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7453" w:rsidRPr="00997453" w:rsidRDefault="00997453" w:rsidP="00997453">
      <w:pPr>
        <w:pStyle w:val="1"/>
        <w:spacing w:before="0"/>
        <w:jc w:val="center"/>
        <w:rPr>
          <w:rFonts w:ascii="Verdana" w:hAnsi="Verdana"/>
          <w:sz w:val="24"/>
          <w:szCs w:val="24"/>
          <w:lang w:val="ru-RU"/>
        </w:rPr>
      </w:pPr>
      <w:bookmarkStart w:id="0" w:name="_Toc352106100"/>
      <w:r w:rsidRPr="00997453">
        <w:rPr>
          <w:rFonts w:ascii="Verdana" w:hAnsi="Verdana"/>
          <w:sz w:val="24"/>
          <w:szCs w:val="24"/>
          <w:lang w:val="ru-RU"/>
        </w:rPr>
        <w:t>Ідентифікація проблем розвитку інтелектуально-інноваційної системи регіонів</w:t>
      </w:r>
      <w:bookmarkEnd w:id="0"/>
    </w:p>
    <w:p w:rsidR="00997453" w:rsidRPr="00997453" w:rsidRDefault="00997453" w:rsidP="00997453">
      <w:pPr>
        <w:pStyle w:val="1"/>
        <w:spacing w:before="0"/>
        <w:jc w:val="center"/>
        <w:rPr>
          <w:rFonts w:ascii="Verdana" w:hAnsi="Verdana"/>
          <w:b w:val="0"/>
          <w:sz w:val="22"/>
          <w:szCs w:val="22"/>
          <w:lang w:val="ru-RU"/>
        </w:rPr>
      </w:pPr>
      <w:bookmarkStart w:id="1" w:name="_Toc352106101"/>
      <w:r w:rsidRPr="00997453">
        <w:rPr>
          <w:rFonts w:ascii="Verdana" w:hAnsi="Verdana"/>
          <w:b w:val="0"/>
          <w:sz w:val="22"/>
          <w:szCs w:val="22"/>
          <w:lang w:val="ru-RU"/>
        </w:rPr>
        <w:t>Тульчинська С.О.</w:t>
      </w:r>
      <w:bookmarkEnd w:id="1"/>
    </w:p>
    <w:p w:rsidR="00997453" w:rsidRPr="000275C2" w:rsidRDefault="00997453" w:rsidP="00997453">
      <w:pPr>
        <w:spacing w:after="0" w:line="240" w:lineRule="auto"/>
        <w:jc w:val="center"/>
        <w:rPr>
          <w:rFonts w:ascii="Verdana" w:hAnsi="Verdana"/>
          <w:b/>
        </w:rPr>
      </w:pPr>
      <w:r w:rsidRPr="000275C2">
        <w:rPr>
          <w:rFonts w:ascii="Verdana" w:hAnsi="Verdana"/>
          <w:b/>
        </w:rPr>
        <w:t>Національний технічний університет України «КПІ»</w:t>
      </w:r>
    </w:p>
    <w:p w:rsidR="00997453" w:rsidRPr="000275C2" w:rsidRDefault="00997453" w:rsidP="00997453">
      <w:pPr>
        <w:spacing w:after="0" w:line="240" w:lineRule="auto"/>
        <w:jc w:val="center"/>
        <w:rPr>
          <w:rFonts w:ascii="Verdana" w:hAnsi="Verdana"/>
          <w:i/>
        </w:rPr>
      </w:pPr>
      <w:r w:rsidRPr="000275C2">
        <w:rPr>
          <w:rFonts w:ascii="Verdana" w:hAnsi="Verdana"/>
          <w:i/>
          <w:lang w:val="en-US"/>
        </w:rPr>
        <w:t>E</w:t>
      </w:r>
      <w:r w:rsidRPr="000275C2">
        <w:rPr>
          <w:rFonts w:ascii="Verdana" w:hAnsi="Verdana"/>
          <w:i/>
        </w:rPr>
        <w:t>-</w:t>
      </w:r>
      <w:r w:rsidRPr="000275C2">
        <w:rPr>
          <w:rFonts w:ascii="Verdana" w:hAnsi="Verdana"/>
          <w:i/>
          <w:lang w:val="en-US"/>
        </w:rPr>
        <w:t>mail</w:t>
      </w:r>
      <w:r w:rsidRPr="000275C2">
        <w:rPr>
          <w:rFonts w:ascii="Verdana" w:hAnsi="Verdana"/>
          <w:i/>
        </w:rPr>
        <w:t xml:space="preserve">: </w:t>
      </w:r>
      <w:r w:rsidRPr="000275C2">
        <w:rPr>
          <w:rFonts w:ascii="Verdana" w:hAnsi="Verdana"/>
          <w:i/>
          <w:lang w:val="en-US"/>
        </w:rPr>
        <w:t>tuha</w:t>
      </w:r>
      <w:r w:rsidRPr="000275C2">
        <w:rPr>
          <w:rFonts w:ascii="Verdana" w:hAnsi="Verdana"/>
          <w:i/>
        </w:rPr>
        <w:t>@</w:t>
      </w:r>
      <w:r w:rsidRPr="000275C2">
        <w:rPr>
          <w:rFonts w:ascii="Verdana" w:hAnsi="Verdana"/>
          <w:i/>
          <w:lang w:val="en-US"/>
        </w:rPr>
        <w:t>ukr</w:t>
      </w:r>
      <w:r w:rsidRPr="000275C2">
        <w:rPr>
          <w:rFonts w:ascii="Verdana" w:hAnsi="Verdana"/>
          <w:i/>
        </w:rPr>
        <w:t>.</w:t>
      </w:r>
      <w:r w:rsidRPr="000275C2">
        <w:rPr>
          <w:rFonts w:ascii="Verdana" w:hAnsi="Verdana"/>
          <w:i/>
          <w:lang w:val="en-US"/>
        </w:rPr>
        <w:t>net</w:t>
      </w:r>
    </w:p>
    <w:p w:rsidR="00997453" w:rsidRPr="000275C2" w:rsidRDefault="00997453" w:rsidP="00997453">
      <w:pPr>
        <w:spacing w:after="0" w:line="240" w:lineRule="auto"/>
        <w:ind w:firstLine="567"/>
        <w:jc w:val="both"/>
        <w:rPr>
          <w:rFonts w:ascii="Verdana" w:hAnsi="Verdana"/>
          <w:sz w:val="18"/>
          <w:szCs w:val="18"/>
        </w:rPr>
      </w:pPr>
      <w:r w:rsidRPr="000275C2">
        <w:rPr>
          <w:rFonts w:ascii="Verdana" w:hAnsi="Verdana"/>
          <w:sz w:val="18"/>
          <w:szCs w:val="18"/>
        </w:rPr>
        <w:t xml:space="preserve">Результативність інтелектуально-інноваційної системи регіонів (ІІСР) буде залежати від того, наскільки вона органічно вмонтована в систему суспільного життя регіону. Під інтелектуально-інноваційною системою регіонів,маємо на увазі сукупність взаємопов’язаних підсистем (формування, генерації, освоєння знань і дифузії інновацій) та їх елементів, локалізованих на певній території, яким притаманні певні властивості, що, взаємодіючи, зумовлюють нову інтегровану цілісність, а також сукупність органів регіонального управління та інститутів, які забезпечують реалізацію інноваційного процесу. Головною метою розвитку інтелектуально-інноваційної системи регіонів є створення умов і механізмів забезпечення формування, генерації, освоєння знань і дифузії інновацій задля сталого розвитку регіонів та становлення економіки знань. Інституційна структура інтелектуально-інноваційної системи характеризується взаємозалежністю підсистем, в яких ціле більше суми складових, оскільки їх єдності властивий синергізм. </w:t>
      </w:r>
    </w:p>
    <w:p w:rsidR="00997453" w:rsidRPr="000275C2" w:rsidRDefault="00997453" w:rsidP="00997453">
      <w:pPr>
        <w:spacing w:after="0" w:line="240" w:lineRule="auto"/>
        <w:ind w:firstLine="567"/>
        <w:jc w:val="both"/>
        <w:rPr>
          <w:rFonts w:ascii="Verdana" w:hAnsi="Verdana"/>
          <w:sz w:val="18"/>
          <w:szCs w:val="18"/>
        </w:rPr>
      </w:pPr>
      <w:r w:rsidRPr="000275C2">
        <w:rPr>
          <w:rFonts w:ascii="Verdana" w:hAnsi="Verdana"/>
          <w:sz w:val="18"/>
          <w:szCs w:val="18"/>
        </w:rPr>
        <w:t>Оскільки ІІСР пронизує весь соціально-економічний організм регіону, охоплює життєдіяльність різноманітних економічних суб’єктів: науковців, передавачів і споживачів нововведень, торкаючись інтересів практично усіх підприємств, організацій, галузей та всього соціуму, важливо визначити системні труднощі та бар’єри на шляху її розбудови. До головних проблем, які гальмують становлення інтелектуально-інноваційної системи регіонів, слід віднести такі:</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відсутність чіткої регіональної політики щодо пріоритетних напрямів науково-технічної та інноваційної діяльності, послідовного управління інноваційними процесами з боку регіональних органів влади;</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фрагментарність та суперечливість нормативно-правової бази інноваційного процесу;</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недосконалість правового захисту інтелектуальної власності;</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недостатнє використання інтелектуального потенціалу держави, внаслідок чого частка виконаних наукових та науково-технічних робіт у ВВП залишається низькою;</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незадовільне фінансування наукової і науково-технічної діяльності, яке жодного року не відповідало нормі, закріплений у Законі України «Про наукову і науково-технічну діяльність», вкрай низький рівень фінансування науки взагалі та інноваційної діяльності зокрема, що об’єктивно унеможливлює отримання суттєвих результатів;</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незацікавленість кредитно-банківської системи у підтримці інноваційного процесу;</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нерозвинутість та функціональна неповнота інноваційної інфраструктури, представленої лише окремими типами функціонуючих структур;</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низька інноваційна активність вітчизняного бізнесу, свідченням чого є замала частка підприємств, які впроваджують інновації;</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 xml:space="preserve">недостатній розвиток інноваційної культури як фактора гуманізації економіки </w:t>
      </w:r>
      <w:r w:rsidRPr="000275C2">
        <w:rPr>
          <w:rFonts w:ascii="Verdana" w:hAnsi="Verdana"/>
          <w:iCs/>
          <w:sz w:val="18"/>
          <w:szCs w:val="18"/>
        </w:rPr>
        <w:t>– невід’ємної складової економіки знань;</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cs="Tahoma"/>
          <w:sz w:val="18"/>
          <w:szCs w:val="18"/>
          <w:lang w:eastAsia="uk-UA"/>
        </w:rPr>
        <w:t>відсутність заходів, спрямованих на створення інструментів довгострокового планування, управління та підтримки суб’єктів ІІСР, і, як наслідок, відсутність обґрунтованого та достатнього виділення коштів місцевих бюджетів на розвиток ІІСР;</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cs="Tahoma"/>
          <w:sz w:val="18"/>
          <w:szCs w:val="18"/>
          <w:lang w:eastAsia="uk-UA"/>
        </w:rPr>
        <w:t xml:space="preserve">недосконалість державної статистики, </w:t>
      </w:r>
      <w:r w:rsidRPr="000275C2">
        <w:rPr>
          <w:rFonts w:ascii="Verdana" w:hAnsi="Verdana"/>
          <w:sz w:val="18"/>
          <w:szCs w:val="18"/>
        </w:rPr>
        <w:t>в</w:t>
      </w:r>
      <w:r w:rsidRPr="000275C2">
        <w:rPr>
          <w:rFonts w:ascii="Verdana" w:hAnsi="Verdana" w:cs="Tahoma"/>
          <w:sz w:val="18"/>
          <w:szCs w:val="18"/>
          <w:lang w:eastAsia="uk-UA"/>
        </w:rPr>
        <w:t>ідсутність постійних індикаторів для оцінки ефективності розвитку ІІСР;</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cs="Tahoma"/>
          <w:sz w:val="18"/>
          <w:szCs w:val="18"/>
          <w:lang w:eastAsia="uk-UA"/>
        </w:rPr>
        <w:t>відсутність чіткої інформації про стан національної інноваційної системи</w:t>
      </w:r>
      <w:r w:rsidRPr="000275C2">
        <w:rPr>
          <w:rFonts w:ascii="Verdana" w:hAnsi="Verdana" w:cs="Tahoma"/>
          <w:sz w:val="18"/>
          <w:szCs w:val="18"/>
        </w:rPr>
        <w:t xml:space="preserve"> та </w:t>
      </w:r>
      <w:r w:rsidRPr="000275C2">
        <w:rPr>
          <w:rFonts w:ascii="Verdana" w:hAnsi="Verdana" w:cs="Tahoma"/>
          <w:sz w:val="18"/>
          <w:szCs w:val="18"/>
          <w:lang w:eastAsia="uk-UA"/>
        </w:rPr>
        <w:t>механізмів інтеграції інтелектуально-інноваційних систем регіонів з національною інноваційною системою;</w:t>
      </w:r>
    </w:p>
    <w:p w:rsidR="00997453" w:rsidRPr="000275C2" w:rsidRDefault="00997453" w:rsidP="00997453">
      <w:pPr>
        <w:numPr>
          <w:ilvl w:val="0"/>
          <w:numId w:val="41"/>
        </w:numPr>
        <w:shd w:val="clear" w:color="auto" w:fill="FFFFFF"/>
        <w:tabs>
          <w:tab w:val="clear" w:pos="720"/>
          <w:tab w:val="num" w:pos="993"/>
        </w:tabs>
        <w:spacing w:after="0" w:line="240" w:lineRule="auto"/>
        <w:ind w:left="0" w:firstLine="567"/>
        <w:jc w:val="both"/>
        <w:rPr>
          <w:rFonts w:ascii="Verdana" w:hAnsi="Verdana"/>
          <w:sz w:val="18"/>
          <w:szCs w:val="18"/>
        </w:rPr>
      </w:pPr>
      <w:r w:rsidRPr="000275C2">
        <w:rPr>
          <w:rFonts w:ascii="Verdana" w:hAnsi="Verdana"/>
          <w:sz w:val="18"/>
          <w:szCs w:val="18"/>
        </w:rPr>
        <w:t>неготовність регіонів до повноцінного функціонування у глобальних мережах і структурах, які є важливим джерелом і рушійною силою становлення економіки знань.</w:t>
      </w:r>
    </w:p>
    <w:p w:rsidR="001C18CD" w:rsidRPr="002E2CD6" w:rsidRDefault="00997453" w:rsidP="00997453">
      <w:pPr>
        <w:rPr>
          <w:szCs w:val="18"/>
        </w:rPr>
      </w:pPr>
      <w:r w:rsidRPr="000275C2">
        <w:rPr>
          <w:rFonts w:ascii="Verdana" w:hAnsi="Verdana"/>
          <w:sz w:val="18"/>
          <w:szCs w:val="18"/>
        </w:rPr>
        <w:t>Отже, незважаючи на проголошений курс на інноваційний шлях розвитку, інтелектуально-інноваційна система регіонів поки що залишається нерозвиненою, головною метою якої має стати забезпечення взаємодії між її підсистемами для забезпечення сталого розвитку регіонів та становлення економіки знань. Інтелектуально-інноваційна система регіонів має стати багаторівневою динамічною системою суспільних відносин, інституцій та організацій, основою для розвитку інтелектуального капіталу, інноваційної культури та відповідного способу мислення населення, які забезпечуватимуть формування, генерування, освоєння знань та дифузію інновацій.</w:t>
      </w:r>
    </w:p>
    <w:sectPr w:rsidR="001C18CD" w:rsidRPr="002E2CD6" w:rsidSect="007E50FE">
      <w:footerReference w:type="default" r:id="rId7"/>
      <w:pgSz w:w="11906" w:h="16838"/>
      <w:pgMar w:top="1134"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3064" w:rsidRDefault="00453064" w:rsidP="00842066">
      <w:pPr>
        <w:spacing w:after="0" w:line="240" w:lineRule="auto"/>
      </w:pPr>
      <w:r>
        <w:separator/>
      </w:r>
    </w:p>
  </w:endnote>
  <w:endnote w:type="continuationSeparator" w:id="1">
    <w:p w:rsidR="00453064" w:rsidRDefault="00453064"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3831FF">
        <w:pPr>
          <w:pStyle w:val="af7"/>
        </w:pPr>
        <w:r>
          <w:t>8</w:t>
        </w:r>
        <w:r w:rsidR="00997453">
          <w:t>4</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3064" w:rsidRDefault="00453064" w:rsidP="00842066">
      <w:pPr>
        <w:spacing w:after="0" w:line="240" w:lineRule="auto"/>
      </w:pPr>
      <w:r>
        <w:separator/>
      </w:r>
    </w:p>
  </w:footnote>
  <w:footnote w:type="continuationSeparator" w:id="1">
    <w:p w:rsidR="00453064" w:rsidRDefault="00453064"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C17096F"/>
    <w:multiLevelType w:val="hybridMultilevel"/>
    <w:tmpl w:val="3C804D46"/>
    <w:lvl w:ilvl="0" w:tplc="9524098A">
      <w:numFmt w:val="bullet"/>
      <w:lvlText w:val="-"/>
      <w:lvlJc w:val="left"/>
      <w:pPr>
        <w:ind w:left="927" w:hanging="360"/>
      </w:pPr>
      <w:rPr>
        <w:rFonts w:ascii="Verdana" w:eastAsia="Calibri" w:hAnsi="Verdana"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E6A275A"/>
    <w:multiLevelType w:val="multilevel"/>
    <w:tmpl w:val="37A05A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3">
    <w:nsid w:val="2DB54668"/>
    <w:multiLevelType w:val="multilevel"/>
    <w:tmpl w:val="885812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3014278D"/>
    <w:multiLevelType w:val="multilevel"/>
    <w:tmpl w:val="0EA661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7">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3CD91D05"/>
    <w:multiLevelType w:val="hybridMultilevel"/>
    <w:tmpl w:val="2092C60C"/>
    <w:lvl w:ilvl="0" w:tplc="F60253EE">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2">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23">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9">
    <w:nsid w:val="5DE72F60"/>
    <w:multiLevelType w:val="hybridMultilevel"/>
    <w:tmpl w:val="D1BEDD3C"/>
    <w:lvl w:ilvl="0" w:tplc="5BDEBAE0">
      <w:start w:val="1"/>
      <w:numFmt w:val="decimal"/>
      <w:lvlText w:val="%1."/>
      <w:lvlJc w:val="left"/>
      <w:pPr>
        <w:ind w:left="927" w:hanging="360"/>
      </w:pPr>
      <w:rPr>
        <w:rFonts w:eastAsia="Times New Roman" w:cs="Times New Roman" w:hint="default"/>
        <w:color w:val="333333"/>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0">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31">
    <w:nsid w:val="6BEA4740"/>
    <w:multiLevelType w:val="multilevel"/>
    <w:tmpl w:val="315291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6D2612C1"/>
    <w:multiLevelType w:val="hybridMultilevel"/>
    <w:tmpl w:val="5A70CF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739A236D"/>
    <w:multiLevelType w:val="multilevel"/>
    <w:tmpl w:val="7F1E05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6">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7">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C3314AD"/>
    <w:multiLevelType w:val="multilevel"/>
    <w:tmpl w:val="B15482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7F0E1178"/>
    <w:multiLevelType w:val="hybridMultilevel"/>
    <w:tmpl w:val="52F0364A"/>
    <w:lvl w:ilvl="0" w:tplc="001A355E">
      <w:start w:val="1"/>
      <w:numFmt w:val="decimal"/>
      <w:lvlText w:val="%1)"/>
      <w:lvlJc w:val="left"/>
      <w:pPr>
        <w:ind w:left="927" w:hanging="360"/>
      </w:pPr>
      <w:rPr>
        <w:rFonts w:ascii="Verdana" w:eastAsia="Calibri" w:hAnsi="Verdana"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9"/>
  </w:num>
  <w:num w:numId="2">
    <w:abstractNumId w:val="12"/>
  </w:num>
  <w:num w:numId="3">
    <w:abstractNumId w:val="22"/>
  </w:num>
  <w:num w:numId="4">
    <w:abstractNumId w:val="35"/>
  </w:num>
  <w:num w:numId="5">
    <w:abstractNumId w:val="25"/>
  </w:num>
  <w:num w:numId="6">
    <w:abstractNumId w:val="0"/>
  </w:num>
  <w:num w:numId="7">
    <w:abstractNumId w:val="32"/>
  </w:num>
  <w:num w:numId="8">
    <w:abstractNumId w:val="7"/>
  </w:num>
  <w:num w:numId="9">
    <w:abstractNumId w:val="37"/>
  </w:num>
  <w:num w:numId="10">
    <w:abstractNumId w:val="18"/>
  </w:num>
  <w:num w:numId="11">
    <w:abstractNumId w:val="15"/>
  </w:num>
  <w:num w:numId="12">
    <w:abstractNumId w:val="4"/>
  </w:num>
  <w:num w:numId="13">
    <w:abstractNumId w:val="36"/>
  </w:num>
  <w:num w:numId="14">
    <w:abstractNumId w:val="27"/>
  </w:num>
  <w:num w:numId="15">
    <w:abstractNumId w:val="10"/>
  </w:num>
  <w:num w:numId="16">
    <w:abstractNumId w:val="23"/>
  </w:num>
  <w:num w:numId="17">
    <w:abstractNumId w:val="3"/>
  </w:num>
  <w:num w:numId="18">
    <w:abstractNumId w:val="8"/>
  </w:num>
  <w:num w:numId="19">
    <w:abstractNumId w:val="21"/>
  </w:num>
  <w:num w:numId="20">
    <w:abstractNumId w:val="28"/>
  </w:num>
  <w:num w:numId="21">
    <w:abstractNumId w:val="9"/>
  </w:num>
  <w:num w:numId="22">
    <w:abstractNumId w:val="24"/>
  </w:num>
  <w:num w:numId="23">
    <w:abstractNumId w:val="30"/>
  </w:num>
  <w:num w:numId="24">
    <w:abstractNumId w:val="17"/>
  </w:num>
  <w:num w:numId="25">
    <w:abstractNumId w:val="11"/>
  </w:num>
  <w:num w:numId="26">
    <w:abstractNumId w:val="6"/>
  </w:num>
  <w:num w:numId="27">
    <w:abstractNumId w:val="38"/>
  </w:num>
  <w:num w:numId="28">
    <w:abstractNumId w:val="1"/>
  </w:num>
  <w:num w:numId="29">
    <w:abstractNumId w:val="26"/>
  </w:num>
  <w:num w:numId="3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0"/>
  </w:num>
  <w:num w:numId="32">
    <w:abstractNumId w:val="33"/>
  </w:num>
  <w:num w:numId="33">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num>
  <w:num w:numId="40">
    <w:abstractNumId w:val="29"/>
  </w:num>
  <w:num w:numId="4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B59C8"/>
    <w:rsid w:val="000E33ED"/>
    <w:rsid w:val="00162A35"/>
    <w:rsid w:val="001752C1"/>
    <w:rsid w:val="001C18CD"/>
    <w:rsid w:val="001C4033"/>
    <w:rsid w:val="001F6A01"/>
    <w:rsid w:val="00202F3C"/>
    <w:rsid w:val="002C00BE"/>
    <w:rsid w:val="002C3B8A"/>
    <w:rsid w:val="002E2CD6"/>
    <w:rsid w:val="002F1C3B"/>
    <w:rsid w:val="002F6A61"/>
    <w:rsid w:val="00300FFD"/>
    <w:rsid w:val="00336DE6"/>
    <w:rsid w:val="00343BCA"/>
    <w:rsid w:val="003831FF"/>
    <w:rsid w:val="00397084"/>
    <w:rsid w:val="003B19C3"/>
    <w:rsid w:val="00404BAA"/>
    <w:rsid w:val="004464F7"/>
    <w:rsid w:val="0045151F"/>
    <w:rsid w:val="00453064"/>
    <w:rsid w:val="00485B02"/>
    <w:rsid w:val="004C3C43"/>
    <w:rsid w:val="00500F25"/>
    <w:rsid w:val="00504985"/>
    <w:rsid w:val="00512354"/>
    <w:rsid w:val="00540221"/>
    <w:rsid w:val="005A2078"/>
    <w:rsid w:val="005B28B6"/>
    <w:rsid w:val="005D3369"/>
    <w:rsid w:val="00607A49"/>
    <w:rsid w:val="00651076"/>
    <w:rsid w:val="006573BB"/>
    <w:rsid w:val="006A7249"/>
    <w:rsid w:val="006B27E3"/>
    <w:rsid w:val="00716B2C"/>
    <w:rsid w:val="007240F2"/>
    <w:rsid w:val="007353A6"/>
    <w:rsid w:val="00745BAB"/>
    <w:rsid w:val="00777798"/>
    <w:rsid w:val="00793DEB"/>
    <w:rsid w:val="007C4E99"/>
    <w:rsid w:val="007E342D"/>
    <w:rsid w:val="007E50FE"/>
    <w:rsid w:val="00800172"/>
    <w:rsid w:val="00814DB4"/>
    <w:rsid w:val="00826639"/>
    <w:rsid w:val="00842066"/>
    <w:rsid w:val="00845D20"/>
    <w:rsid w:val="00884BD8"/>
    <w:rsid w:val="008D5547"/>
    <w:rsid w:val="00944C4B"/>
    <w:rsid w:val="009604D0"/>
    <w:rsid w:val="00961D19"/>
    <w:rsid w:val="009772C4"/>
    <w:rsid w:val="00977C49"/>
    <w:rsid w:val="0098493A"/>
    <w:rsid w:val="00997453"/>
    <w:rsid w:val="009A0D1B"/>
    <w:rsid w:val="009D434A"/>
    <w:rsid w:val="009E7F0F"/>
    <w:rsid w:val="00A15681"/>
    <w:rsid w:val="00A52C1E"/>
    <w:rsid w:val="00A9671B"/>
    <w:rsid w:val="00AA4557"/>
    <w:rsid w:val="00AD1AD3"/>
    <w:rsid w:val="00B078E6"/>
    <w:rsid w:val="00B1060C"/>
    <w:rsid w:val="00B10D8C"/>
    <w:rsid w:val="00B17F3E"/>
    <w:rsid w:val="00B26518"/>
    <w:rsid w:val="00B66B59"/>
    <w:rsid w:val="00B8770B"/>
    <w:rsid w:val="00BC0205"/>
    <w:rsid w:val="00BD129B"/>
    <w:rsid w:val="00BD6F9F"/>
    <w:rsid w:val="00BE66C9"/>
    <w:rsid w:val="00C055CA"/>
    <w:rsid w:val="00C25F2A"/>
    <w:rsid w:val="00C431F4"/>
    <w:rsid w:val="00C43FFD"/>
    <w:rsid w:val="00C646CF"/>
    <w:rsid w:val="00C65DB8"/>
    <w:rsid w:val="00C85B4E"/>
    <w:rsid w:val="00CB3F13"/>
    <w:rsid w:val="00CD3499"/>
    <w:rsid w:val="00CE2709"/>
    <w:rsid w:val="00D26A99"/>
    <w:rsid w:val="00D329AE"/>
    <w:rsid w:val="00D66D06"/>
    <w:rsid w:val="00DA2709"/>
    <w:rsid w:val="00DC6492"/>
    <w:rsid w:val="00DD53BA"/>
    <w:rsid w:val="00DE6B1D"/>
    <w:rsid w:val="00DF3CE7"/>
    <w:rsid w:val="00E113BA"/>
    <w:rsid w:val="00E236A9"/>
    <w:rsid w:val="00E45840"/>
    <w:rsid w:val="00E476B8"/>
    <w:rsid w:val="00E71C27"/>
    <w:rsid w:val="00EA15B8"/>
    <w:rsid w:val="00F31707"/>
    <w:rsid w:val="00F5173E"/>
    <w:rsid w:val="00FA222E"/>
    <w:rsid w:val="00FA5990"/>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627</Words>
  <Characters>3579</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4198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2013-10-11T08:20:00Z</dcterms:created>
  <dcterms:modified xsi:type="dcterms:W3CDTF">2013-10-11T08:20:00Z</dcterms:modified>
</cp:coreProperties>
</file>