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5325" w:rsidRDefault="002E1C06" w:rsidP="00204799">
      <w:pPr>
        <w:spacing w:after="0" w:line="360" w:lineRule="auto"/>
        <w:rPr>
          <w:rFonts w:ascii="Arial" w:hAnsi="Arial" w:cs="Arial"/>
          <w:sz w:val="24"/>
          <w:szCs w:val="24"/>
          <w:lang w:val="uk-UA"/>
        </w:rPr>
      </w:pPr>
      <w:r>
        <w:rPr>
          <w:rFonts w:ascii="Arial" w:hAnsi="Arial" w:cs="Arial"/>
          <w:sz w:val="24"/>
          <w:szCs w:val="24"/>
          <w:lang w:val="uk-UA"/>
        </w:rPr>
        <w:t>УДК 628.162:628.3:621.359.7</w:t>
      </w:r>
    </w:p>
    <w:p w:rsidR="002E1C06" w:rsidRDefault="002E1C06" w:rsidP="00204799">
      <w:pPr>
        <w:spacing w:after="0" w:line="360" w:lineRule="auto"/>
        <w:jc w:val="both"/>
        <w:rPr>
          <w:rFonts w:ascii="Arial" w:hAnsi="Arial" w:cs="Arial"/>
          <w:sz w:val="24"/>
          <w:szCs w:val="24"/>
          <w:lang w:val="uk-UA"/>
        </w:rPr>
      </w:pPr>
      <w:r>
        <w:rPr>
          <w:rFonts w:ascii="Arial" w:hAnsi="Arial" w:cs="Arial"/>
          <w:sz w:val="24"/>
          <w:szCs w:val="24"/>
          <w:lang w:val="uk-UA"/>
        </w:rPr>
        <w:t>Гомеля М.Д. (</w:t>
      </w:r>
      <w:proofErr w:type="spellStart"/>
      <w:r>
        <w:rPr>
          <w:rFonts w:ascii="Arial" w:hAnsi="Arial" w:cs="Arial"/>
          <w:sz w:val="24"/>
          <w:szCs w:val="24"/>
          <w:lang w:val="uk-UA"/>
        </w:rPr>
        <w:t>д.т.н</w:t>
      </w:r>
      <w:proofErr w:type="spellEnd"/>
      <w:r>
        <w:rPr>
          <w:rFonts w:ascii="Arial" w:hAnsi="Arial" w:cs="Arial"/>
          <w:sz w:val="24"/>
          <w:szCs w:val="24"/>
          <w:lang w:val="uk-UA"/>
        </w:rPr>
        <w:t xml:space="preserve">., проф., зав. кафедрою Е та ТРП), </w:t>
      </w:r>
      <w:proofErr w:type="spellStart"/>
      <w:r>
        <w:rPr>
          <w:rFonts w:ascii="Arial" w:hAnsi="Arial" w:cs="Arial"/>
          <w:sz w:val="24"/>
          <w:szCs w:val="24"/>
          <w:lang w:val="uk-UA"/>
        </w:rPr>
        <w:t>Грабітченко</w:t>
      </w:r>
      <w:proofErr w:type="spellEnd"/>
      <w:r>
        <w:rPr>
          <w:rFonts w:ascii="Arial" w:hAnsi="Arial" w:cs="Arial"/>
          <w:sz w:val="24"/>
          <w:szCs w:val="24"/>
          <w:lang w:val="uk-UA"/>
        </w:rPr>
        <w:t xml:space="preserve"> В.М. (аспірант), Трус І.М. (асистент)</w:t>
      </w:r>
    </w:p>
    <w:p w:rsidR="00204799" w:rsidRDefault="00204799" w:rsidP="00204799">
      <w:pPr>
        <w:spacing w:after="0" w:line="360" w:lineRule="auto"/>
        <w:jc w:val="both"/>
        <w:rPr>
          <w:rFonts w:ascii="Arial" w:hAnsi="Arial" w:cs="Arial"/>
          <w:sz w:val="24"/>
          <w:szCs w:val="24"/>
          <w:lang w:val="uk-UA"/>
        </w:rPr>
      </w:pPr>
    </w:p>
    <w:p w:rsidR="002E1C06" w:rsidRDefault="002E1C06" w:rsidP="00204799">
      <w:pPr>
        <w:spacing w:after="0" w:line="360" w:lineRule="auto"/>
        <w:jc w:val="both"/>
        <w:rPr>
          <w:rFonts w:ascii="Arial" w:hAnsi="Arial" w:cs="Arial"/>
          <w:sz w:val="24"/>
          <w:szCs w:val="24"/>
          <w:lang w:val="uk-UA"/>
        </w:rPr>
      </w:pPr>
      <w:r>
        <w:rPr>
          <w:rFonts w:ascii="Arial" w:hAnsi="Arial" w:cs="Arial"/>
          <w:sz w:val="24"/>
          <w:szCs w:val="24"/>
          <w:lang w:val="uk-UA"/>
        </w:rPr>
        <w:t>Національний технічний університет України «Київський політехнічний інститут» (НТУУ «КПІ»)</w:t>
      </w:r>
    </w:p>
    <w:p w:rsidR="002B5187" w:rsidRDefault="002B5187" w:rsidP="00204799">
      <w:pPr>
        <w:spacing w:after="0" w:line="360" w:lineRule="auto"/>
        <w:jc w:val="center"/>
        <w:rPr>
          <w:rFonts w:ascii="Arial" w:hAnsi="Arial" w:cs="Arial"/>
          <w:sz w:val="24"/>
          <w:szCs w:val="24"/>
          <w:lang w:val="uk-UA"/>
        </w:rPr>
      </w:pPr>
    </w:p>
    <w:p w:rsidR="002E1C06" w:rsidRPr="00204799" w:rsidRDefault="002E1C06" w:rsidP="00204799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  <w:lang w:val="uk-UA"/>
        </w:rPr>
      </w:pPr>
      <w:r w:rsidRPr="00204799">
        <w:rPr>
          <w:rFonts w:ascii="Arial" w:hAnsi="Arial" w:cs="Arial"/>
          <w:b/>
          <w:sz w:val="24"/>
          <w:szCs w:val="24"/>
          <w:lang w:val="uk-UA"/>
        </w:rPr>
        <w:t>Оцінка впливу хлоридів на іонообмінне очищення води від нітратів</w:t>
      </w:r>
    </w:p>
    <w:p w:rsidR="002E1C06" w:rsidRDefault="002E1C06" w:rsidP="00D07C34">
      <w:pPr>
        <w:spacing w:after="0" w:line="360" w:lineRule="auto"/>
        <w:jc w:val="center"/>
        <w:rPr>
          <w:rFonts w:ascii="Arial" w:hAnsi="Arial" w:cs="Arial"/>
          <w:sz w:val="24"/>
          <w:szCs w:val="24"/>
          <w:lang w:val="uk-UA"/>
        </w:rPr>
      </w:pPr>
    </w:p>
    <w:p w:rsidR="002E1C06" w:rsidRDefault="002E1C06" w:rsidP="002B5187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  <w:lang w:val="uk-UA"/>
        </w:rPr>
      </w:pPr>
      <w:r>
        <w:rPr>
          <w:rFonts w:ascii="Arial" w:hAnsi="Arial" w:cs="Arial"/>
          <w:sz w:val="24"/>
          <w:szCs w:val="24"/>
          <w:lang w:val="uk-UA"/>
        </w:rPr>
        <w:t xml:space="preserve">Приведено результати досліджень, щодо іонообмінного вилучення нітратів із води при використанні </w:t>
      </w:r>
      <w:proofErr w:type="spellStart"/>
      <w:r w:rsidR="00346BD1">
        <w:rPr>
          <w:rFonts w:ascii="Arial" w:hAnsi="Arial" w:cs="Arial"/>
          <w:sz w:val="24"/>
          <w:szCs w:val="24"/>
          <w:lang w:val="uk-UA"/>
        </w:rPr>
        <w:t>високо</w:t>
      </w:r>
      <w:r>
        <w:rPr>
          <w:rFonts w:ascii="Arial" w:hAnsi="Arial" w:cs="Arial"/>
          <w:sz w:val="24"/>
          <w:szCs w:val="24"/>
          <w:lang w:val="uk-UA"/>
        </w:rPr>
        <w:t>основного</w:t>
      </w:r>
      <w:proofErr w:type="spellEnd"/>
      <w:r>
        <w:rPr>
          <w:rFonts w:ascii="Arial" w:hAnsi="Arial" w:cs="Arial"/>
          <w:sz w:val="24"/>
          <w:szCs w:val="24"/>
          <w:lang w:val="uk-UA"/>
        </w:rPr>
        <w:t xml:space="preserve"> аніоніту АВ-17-8. Визначено залежність між ефективністю вилучення нітратів із води від їх концентрації та концентрації хлоридів. Показано, що ємність іоніту по нітратах підвищується із ростом концентрації нітрат-аніонів в розчині з 500 до 1500 мг/дм</w:t>
      </w:r>
      <w:r>
        <w:rPr>
          <w:rFonts w:ascii="Arial" w:hAnsi="Arial" w:cs="Arial"/>
          <w:sz w:val="24"/>
          <w:szCs w:val="24"/>
          <w:vertAlign w:val="superscript"/>
          <w:lang w:val="uk-UA"/>
        </w:rPr>
        <w:t>3</w:t>
      </w:r>
      <w:r>
        <w:rPr>
          <w:rFonts w:ascii="Arial" w:hAnsi="Arial" w:cs="Arial"/>
          <w:sz w:val="24"/>
          <w:szCs w:val="24"/>
          <w:lang w:val="uk-UA"/>
        </w:rPr>
        <w:t xml:space="preserve"> та знижується із підвищенням концентрації хлоридів із 100 до 1000 мг/мг</w:t>
      </w:r>
      <w:r>
        <w:rPr>
          <w:rFonts w:ascii="Arial" w:hAnsi="Arial" w:cs="Arial"/>
          <w:sz w:val="24"/>
          <w:szCs w:val="24"/>
          <w:vertAlign w:val="superscript"/>
          <w:lang w:val="uk-UA"/>
        </w:rPr>
        <w:t>3</w:t>
      </w:r>
      <w:r>
        <w:rPr>
          <w:rFonts w:ascii="Arial" w:hAnsi="Arial" w:cs="Arial"/>
          <w:sz w:val="24"/>
          <w:szCs w:val="24"/>
          <w:lang w:val="uk-UA"/>
        </w:rPr>
        <w:t xml:space="preserve">. </w:t>
      </w:r>
      <w:r w:rsidR="00346BD1">
        <w:rPr>
          <w:rFonts w:ascii="Arial" w:hAnsi="Arial" w:cs="Arial"/>
          <w:sz w:val="24"/>
          <w:szCs w:val="24"/>
          <w:lang w:val="uk-UA"/>
        </w:rPr>
        <w:t>В</w:t>
      </w:r>
      <w:r>
        <w:rPr>
          <w:rFonts w:ascii="Arial" w:hAnsi="Arial" w:cs="Arial"/>
          <w:sz w:val="24"/>
          <w:szCs w:val="24"/>
          <w:lang w:val="uk-UA"/>
        </w:rPr>
        <w:t xml:space="preserve">ивчені процеси регенерації іонітів із використанням сполук натрію, калію та амонію. </w:t>
      </w:r>
    </w:p>
    <w:p w:rsidR="002E1C06" w:rsidRDefault="002E1C06" w:rsidP="002B5187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  <w:lang w:val="uk-UA"/>
        </w:rPr>
      </w:pPr>
      <w:r w:rsidRPr="00346BD1">
        <w:rPr>
          <w:rFonts w:ascii="Arial" w:hAnsi="Arial" w:cs="Arial"/>
          <w:sz w:val="24"/>
          <w:szCs w:val="24"/>
        </w:rPr>
        <w:t>Приведены результат</w:t>
      </w:r>
      <w:r w:rsidR="00346BD1" w:rsidRPr="00346BD1">
        <w:rPr>
          <w:rFonts w:ascii="Arial" w:hAnsi="Arial" w:cs="Arial"/>
          <w:sz w:val="24"/>
          <w:szCs w:val="24"/>
        </w:rPr>
        <w:t>ы исследований, по ионообменному извлечению</w:t>
      </w:r>
      <w:r w:rsidRPr="00346BD1">
        <w:rPr>
          <w:rFonts w:ascii="Arial" w:hAnsi="Arial" w:cs="Arial"/>
          <w:sz w:val="24"/>
          <w:szCs w:val="24"/>
        </w:rPr>
        <w:t xml:space="preserve"> нитратов и</w:t>
      </w:r>
      <w:r w:rsidR="00346BD1" w:rsidRPr="00346BD1">
        <w:rPr>
          <w:rFonts w:ascii="Arial" w:hAnsi="Arial" w:cs="Arial"/>
          <w:sz w:val="24"/>
          <w:szCs w:val="24"/>
        </w:rPr>
        <w:t>з воды при использовании высоко</w:t>
      </w:r>
      <w:r w:rsidRPr="00346BD1">
        <w:rPr>
          <w:rFonts w:ascii="Arial" w:hAnsi="Arial" w:cs="Arial"/>
          <w:sz w:val="24"/>
          <w:szCs w:val="24"/>
        </w:rPr>
        <w:t>основного анионита АВ-17-8. Определена зависимость между эффективностью удаления нитратов из воды от их концентрации и концентрации хлоридов. Показано, что емкость ионита по нитрата</w:t>
      </w:r>
      <w:r w:rsidR="00346BD1" w:rsidRPr="00346BD1">
        <w:rPr>
          <w:rFonts w:ascii="Arial" w:hAnsi="Arial" w:cs="Arial"/>
          <w:sz w:val="24"/>
          <w:szCs w:val="24"/>
        </w:rPr>
        <w:t>м</w:t>
      </w:r>
      <w:r w:rsidRPr="00346BD1">
        <w:rPr>
          <w:rFonts w:ascii="Arial" w:hAnsi="Arial" w:cs="Arial"/>
          <w:sz w:val="24"/>
          <w:szCs w:val="24"/>
        </w:rPr>
        <w:t xml:space="preserve"> повышается с ростом концентрации </w:t>
      </w:r>
      <w:proofErr w:type="spellStart"/>
      <w:proofErr w:type="gramStart"/>
      <w:r w:rsidRPr="00346BD1">
        <w:rPr>
          <w:rFonts w:ascii="Arial" w:hAnsi="Arial" w:cs="Arial"/>
          <w:sz w:val="24"/>
          <w:szCs w:val="24"/>
        </w:rPr>
        <w:t>нитрат-анионов</w:t>
      </w:r>
      <w:proofErr w:type="spellEnd"/>
      <w:proofErr w:type="gramEnd"/>
      <w:r w:rsidRPr="00346BD1">
        <w:rPr>
          <w:rFonts w:ascii="Arial" w:hAnsi="Arial" w:cs="Arial"/>
          <w:sz w:val="24"/>
          <w:szCs w:val="24"/>
        </w:rPr>
        <w:t xml:space="preserve"> в растворе с 500 до 1500 мг/дм</w:t>
      </w:r>
      <w:r w:rsidR="00346BD1" w:rsidRPr="00346BD1">
        <w:rPr>
          <w:rFonts w:ascii="Arial" w:hAnsi="Arial" w:cs="Arial"/>
          <w:sz w:val="24"/>
          <w:szCs w:val="24"/>
          <w:vertAlign w:val="superscript"/>
        </w:rPr>
        <w:t>3</w:t>
      </w:r>
      <w:r w:rsidRPr="00346BD1">
        <w:rPr>
          <w:rFonts w:ascii="Arial" w:hAnsi="Arial" w:cs="Arial"/>
          <w:sz w:val="24"/>
          <w:szCs w:val="24"/>
        </w:rPr>
        <w:t xml:space="preserve"> и снижается с повышением концентрации хлоридов с 100 до 1000 мг/мг</w:t>
      </w:r>
      <w:r w:rsidR="00346BD1" w:rsidRPr="00346BD1">
        <w:rPr>
          <w:rFonts w:ascii="Arial" w:hAnsi="Arial" w:cs="Arial"/>
          <w:sz w:val="24"/>
          <w:szCs w:val="24"/>
          <w:vertAlign w:val="superscript"/>
        </w:rPr>
        <w:t>3</w:t>
      </w:r>
      <w:r w:rsidR="00346BD1" w:rsidRPr="00346BD1">
        <w:rPr>
          <w:rFonts w:ascii="Arial" w:hAnsi="Arial" w:cs="Arial"/>
          <w:sz w:val="24"/>
          <w:szCs w:val="24"/>
        </w:rPr>
        <w:t>. И</w:t>
      </w:r>
      <w:r w:rsidRPr="00346BD1">
        <w:rPr>
          <w:rFonts w:ascii="Arial" w:hAnsi="Arial" w:cs="Arial"/>
          <w:sz w:val="24"/>
          <w:szCs w:val="24"/>
        </w:rPr>
        <w:t>зучены процессы регенерац</w:t>
      </w:r>
      <w:proofErr w:type="gramStart"/>
      <w:r w:rsidRPr="00346BD1">
        <w:rPr>
          <w:rFonts w:ascii="Arial" w:hAnsi="Arial" w:cs="Arial"/>
          <w:sz w:val="24"/>
          <w:szCs w:val="24"/>
        </w:rPr>
        <w:t>ии ио</w:t>
      </w:r>
      <w:proofErr w:type="gramEnd"/>
      <w:r w:rsidRPr="00346BD1">
        <w:rPr>
          <w:rFonts w:ascii="Arial" w:hAnsi="Arial" w:cs="Arial"/>
          <w:sz w:val="24"/>
          <w:szCs w:val="24"/>
        </w:rPr>
        <w:t>нитов с использованием соединений натрия, калия и аммония.</w:t>
      </w:r>
    </w:p>
    <w:p w:rsidR="00D07C34" w:rsidRPr="00D07C34" w:rsidRDefault="00D07C34" w:rsidP="00D07C34">
      <w:pPr>
        <w:spacing w:after="0" w:line="360" w:lineRule="auto"/>
        <w:ind w:firstLine="709"/>
        <w:jc w:val="both"/>
        <w:rPr>
          <w:rFonts w:ascii="Arial" w:eastAsia="Times New Roman" w:hAnsi="Arial" w:cs="Arial"/>
          <w:sz w:val="24"/>
          <w:szCs w:val="24"/>
          <w:lang w:val="en-US"/>
        </w:rPr>
      </w:pPr>
      <w:r w:rsidRPr="00D07C34">
        <w:rPr>
          <w:rFonts w:ascii="Arial" w:eastAsia="Times New Roman" w:hAnsi="Arial" w:cs="Arial"/>
          <w:sz w:val="24"/>
          <w:szCs w:val="24"/>
          <w:lang w:val="en-US"/>
        </w:rPr>
        <w:t xml:space="preserve">The research results of ion exchange removal of nitrates from water with using high-basic </w:t>
      </w:r>
      <w:proofErr w:type="spellStart"/>
      <w:r w:rsidRPr="00D07C34">
        <w:rPr>
          <w:rFonts w:ascii="Arial" w:eastAsia="Times New Roman" w:hAnsi="Arial" w:cs="Arial"/>
          <w:sz w:val="24"/>
          <w:szCs w:val="24"/>
          <w:lang w:val="en-US"/>
        </w:rPr>
        <w:t>anionite</w:t>
      </w:r>
      <w:proofErr w:type="spellEnd"/>
      <w:r w:rsidRPr="00D07C34">
        <w:rPr>
          <w:rFonts w:ascii="Arial" w:eastAsia="Times New Roman" w:hAnsi="Arial" w:cs="Arial"/>
          <w:sz w:val="24"/>
          <w:szCs w:val="24"/>
          <w:lang w:val="en-US"/>
        </w:rPr>
        <w:t xml:space="preserve"> AV-17-8 are described. The dependence between efficiency of nitrates removal from water on their concentration and the chlorides concentration are define</w:t>
      </w:r>
      <w:r w:rsidRPr="00D07C34">
        <w:rPr>
          <w:rFonts w:ascii="Arial" w:eastAsia="Times New Roman" w:hAnsi="Arial" w:cs="Arial"/>
          <w:sz w:val="24"/>
          <w:szCs w:val="24"/>
          <w:lang w:val="uk-UA"/>
        </w:rPr>
        <w:t>d</w:t>
      </w:r>
      <w:r w:rsidRPr="00D07C34">
        <w:rPr>
          <w:rFonts w:ascii="Arial" w:eastAsia="Times New Roman" w:hAnsi="Arial" w:cs="Arial"/>
          <w:sz w:val="24"/>
          <w:szCs w:val="24"/>
          <w:lang w:val="en-US"/>
        </w:rPr>
        <w:t>. It is shown that the capacity of ion exchange resin by nitrate increases with increasing concentration of nitrate anions in solution from 500 to 1500 mg/dm</w:t>
      </w:r>
      <w:r w:rsidRPr="00D07C34">
        <w:rPr>
          <w:rFonts w:ascii="Arial" w:eastAsia="Times New Roman" w:hAnsi="Arial" w:cs="Arial"/>
          <w:sz w:val="24"/>
          <w:szCs w:val="24"/>
          <w:vertAlign w:val="superscript"/>
          <w:lang w:val="en-US"/>
        </w:rPr>
        <w:t>3</w:t>
      </w:r>
      <w:r w:rsidRPr="00D07C34">
        <w:rPr>
          <w:rFonts w:ascii="Arial" w:eastAsia="Times New Roman" w:hAnsi="Arial" w:cs="Arial"/>
          <w:sz w:val="24"/>
          <w:szCs w:val="24"/>
          <w:lang w:val="en-US"/>
        </w:rPr>
        <w:t xml:space="preserve"> and decreases with increasing concentrations of chlorides from 100 to 1000 mg/dm</w:t>
      </w:r>
      <w:r w:rsidRPr="00D07C34">
        <w:rPr>
          <w:rFonts w:ascii="Arial" w:eastAsia="Times New Roman" w:hAnsi="Arial" w:cs="Arial"/>
          <w:sz w:val="24"/>
          <w:szCs w:val="24"/>
          <w:vertAlign w:val="superscript"/>
          <w:lang w:val="en-US"/>
        </w:rPr>
        <w:t>3</w:t>
      </w:r>
      <w:r w:rsidRPr="00D07C34">
        <w:rPr>
          <w:rFonts w:ascii="Arial" w:eastAsia="Times New Roman" w:hAnsi="Arial" w:cs="Arial"/>
          <w:sz w:val="24"/>
          <w:szCs w:val="24"/>
          <w:lang w:val="en-US"/>
        </w:rPr>
        <w:t>. Studied the ion exchange regeneration processes with using compounds of sodium, potassium and ammonium.</w:t>
      </w:r>
    </w:p>
    <w:p w:rsidR="00346BD1" w:rsidRDefault="00346BD1" w:rsidP="002B5187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  <w:lang w:val="uk-UA"/>
        </w:rPr>
      </w:pPr>
      <w:r>
        <w:rPr>
          <w:rFonts w:ascii="Arial" w:hAnsi="Arial" w:cs="Arial"/>
          <w:sz w:val="24"/>
          <w:szCs w:val="24"/>
          <w:lang w:val="uk-UA"/>
        </w:rPr>
        <w:t>Ключові слова: нітрати, хлориди, іонний обмін, сорбція, регенерація, знесолення.</w:t>
      </w:r>
    </w:p>
    <w:p w:rsidR="00B350A3" w:rsidRPr="00D07C34" w:rsidRDefault="00B350A3" w:rsidP="00D07C34">
      <w:pPr>
        <w:spacing w:after="0" w:line="360" w:lineRule="auto"/>
        <w:jc w:val="both"/>
        <w:rPr>
          <w:rFonts w:ascii="Arial" w:hAnsi="Arial" w:cs="Arial"/>
          <w:sz w:val="24"/>
          <w:szCs w:val="24"/>
          <w:lang w:val="uk-UA"/>
        </w:rPr>
      </w:pPr>
    </w:p>
    <w:p w:rsidR="00D07C34" w:rsidRPr="00D07C34" w:rsidRDefault="00D07C34" w:rsidP="00D07C34">
      <w:pPr>
        <w:spacing w:after="0" w:line="360" w:lineRule="auto"/>
        <w:ind w:firstLine="709"/>
        <w:jc w:val="both"/>
        <w:rPr>
          <w:rFonts w:ascii="Arial" w:eastAsia="Times New Roman" w:hAnsi="Arial" w:cs="Arial"/>
          <w:color w:val="000000"/>
          <w:sz w:val="24"/>
          <w:szCs w:val="24"/>
          <w:lang w:val="uk-UA"/>
        </w:rPr>
      </w:pPr>
      <w:r w:rsidRPr="00D07C34">
        <w:rPr>
          <w:rFonts w:ascii="Arial" w:eastAsia="Times New Roman" w:hAnsi="Arial" w:cs="Arial"/>
          <w:sz w:val="24"/>
          <w:szCs w:val="24"/>
          <w:lang w:val="uk-UA"/>
        </w:rPr>
        <w:lastRenderedPageBreak/>
        <w:t xml:space="preserve">Проблема знесолення природних та стічних вод дедалі стає все більш актуальною. Актуальність зростає по мірі росту мінералізації природних вод внаслідок природних та антропогенних факторів. Головним чином ріст мінералізації води в поверхневих водоймах обумовлений скидом стічних вод з підвищеними концентраціями солей [1-3]. Слід відмітити, що </w:t>
      </w:r>
      <w:r w:rsidRPr="00695B1E">
        <w:rPr>
          <w:rFonts w:ascii="Arial" w:eastAsia="Times New Roman" w:hAnsi="Arial" w:cs="Arial"/>
          <w:sz w:val="24"/>
          <w:szCs w:val="24"/>
          <w:lang w:val="uk-UA"/>
        </w:rPr>
        <w:t>проблеми забруднення</w:t>
      </w:r>
      <w:r w:rsidR="00695B1E" w:rsidRPr="00695B1E">
        <w:rPr>
          <w:rFonts w:ascii="Arial" w:eastAsia="Times New Roman" w:hAnsi="Arial" w:cs="Arial"/>
          <w:sz w:val="24"/>
          <w:szCs w:val="24"/>
          <w:lang w:val="uk-UA"/>
        </w:rPr>
        <w:t xml:space="preserve"> </w:t>
      </w:r>
      <w:r w:rsidRPr="00695B1E">
        <w:rPr>
          <w:rFonts w:ascii="Arial" w:eastAsia="Times New Roman" w:hAnsi="Arial" w:cs="Arial"/>
          <w:sz w:val="24"/>
          <w:szCs w:val="24"/>
          <w:lang w:val="uk-UA"/>
        </w:rPr>
        <w:t>мінеральними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солями значно складніші за проблеми отримання знесоленої води. Якщо відкинути проблему утилізації засолених концентратів, регенераційних розчинів, кубових</w:t>
      </w:r>
      <w:r w:rsidRPr="00D07C34">
        <w:rPr>
          <w:rFonts w:ascii="Arial" w:eastAsia="Times New Roman" w:hAnsi="Arial" w:cs="Arial"/>
          <w:color w:val="FF0000"/>
          <w:sz w:val="24"/>
          <w:szCs w:val="24"/>
          <w:lang w:val="uk-UA"/>
        </w:rPr>
        <w:t xml:space="preserve"> 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залишків і т.д., то знесолену воду легко отримати при застосуванні будь-якого із відомих методів опріснення води — 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зворотнього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осмосу, електродіалізу, іонного обміну, термічного дистилювання та інших. Інша справа знесолення води із повною утилізацією засолених рідких відходів. На сьогодні не існує економічно обґрунтованих  рішень даної проблеми. Особливо ситуація ускладнюється при наявності в стічних чи природних водах нітратів. На сьогодні досить широко розглянуті проблеми вилучення з води сульфатів 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реагентними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методами [4], хлоридів та сульфатів іонним обміном [5; 6; 7], хлоридів та сульфатів електродіалізом [8; 9].</w:t>
      </w:r>
    </w:p>
    <w:p w:rsidR="00D07C34" w:rsidRPr="00D07C34" w:rsidRDefault="00D07C34" w:rsidP="00D07C34">
      <w:pPr>
        <w:spacing w:after="0" w:line="360" w:lineRule="auto"/>
        <w:ind w:firstLine="709"/>
        <w:jc w:val="both"/>
        <w:rPr>
          <w:rFonts w:ascii="Arial" w:eastAsia="Times New Roman" w:hAnsi="Arial" w:cs="Arial"/>
          <w:color w:val="000000"/>
          <w:sz w:val="24"/>
          <w:szCs w:val="24"/>
          <w:lang w:val="uk-UA"/>
        </w:rPr>
      </w:pP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Слід відмітити, що вилучення нітратів із води з низькою мінералізацією не є складною проблемою. Застосування 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високоосновного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аніоніту дозволяє ефективно видаляти з води нітрати, знижуючи їх концентрацію до допустимого рівня [10]. Подібні результати отримано і при застосуванні 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низькоосновного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аніоніту. Іоніти добре регенеруються розчинами сполук натрію, калію та амонію. Ситуація ускладнюється при очищенні шахтних вод або природних і стічних вод із високим вмістом сульфатів та хлоридів. Якщо сульфати легко виділяються 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нанофільтруванням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, 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реагентним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[4] та іонообмінним методом, то в разі хлоридів ситуація значно ускладнюється. 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Нанофільтраційна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мембрана пропускає як нітрати так і хлориди, 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зворотньо</w:t>
      </w:r>
      <w:r w:rsidR="00695B1E">
        <w:rPr>
          <w:rFonts w:ascii="Arial" w:eastAsia="Times New Roman" w:hAnsi="Arial" w:cs="Arial"/>
          <w:color w:val="000000"/>
          <w:sz w:val="24"/>
          <w:szCs w:val="24"/>
          <w:lang w:val="uk-UA"/>
        </w:rPr>
        <w:t>осмотичні</w:t>
      </w:r>
      <w:proofErr w:type="spellEnd"/>
      <w:r w:rsidR="00695B1E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мембрани затримують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хлорид</w:t>
      </w:r>
      <w:r w:rsidR="00695B1E">
        <w:rPr>
          <w:rFonts w:ascii="Arial" w:eastAsia="Times New Roman" w:hAnsi="Arial" w:cs="Arial"/>
          <w:color w:val="000000"/>
          <w:sz w:val="24"/>
          <w:szCs w:val="24"/>
          <w:lang w:val="uk-UA"/>
        </w:rPr>
        <w:t>и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і нітрат</w:t>
      </w:r>
      <w:r w:rsidR="00695B1E">
        <w:rPr>
          <w:rFonts w:ascii="Arial" w:eastAsia="Times New Roman" w:hAnsi="Arial" w:cs="Arial"/>
          <w:color w:val="000000"/>
          <w:sz w:val="24"/>
          <w:szCs w:val="24"/>
          <w:lang w:val="uk-UA"/>
        </w:rPr>
        <w:t>и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. 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Реагентним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методом розділити дані іони практично неможливо. Тому найбільш перспективним методом вилучення з води нітратів в присутності хлоридів є іонний обмін.</w:t>
      </w:r>
    </w:p>
    <w:p w:rsidR="00D07C34" w:rsidRPr="00D07C34" w:rsidRDefault="00D07C34" w:rsidP="00D07C34">
      <w:pPr>
        <w:spacing w:after="0" w:line="360" w:lineRule="auto"/>
        <w:ind w:firstLine="709"/>
        <w:jc w:val="both"/>
        <w:rPr>
          <w:rFonts w:ascii="Arial" w:eastAsia="Times New Roman" w:hAnsi="Arial" w:cs="Arial"/>
          <w:color w:val="000000"/>
          <w:sz w:val="24"/>
          <w:szCs w:val="24"/>
          <w:lang w:val="uk-UA"/>
        </w:rPr>
      </w:pP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Метою даної роботи було визначення ефективності іонообмінного процесу вилучення нітратів </w:t>
      </w:r>
      <w:r w:rsidR="00695B1E">
        <w:rPr>
          <w:rFonts w:ascii="Arial" w:eastAsia="Times New Roman" w:hAnsi="Arial" w:cs="Arial"/>
          <w:color w:val="000000"/>
          <w:sz w:val="24"/>
          <w:szCs w:val="24"/>
          <w:lang w:val="uk-UA"/>
        </w:rPr>
        <w:t>і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з води та оцінка впливу на дані процеси хлоридів.</w:t>
      </w:r>
    </w:p>
    <w:p w:rsidR="00D07C34" w:rsidRPr="00D07C34" w:rsidRDefault="00D07C34" w:rsidP="00D07C34">
      <w:pPr>
        <w:spacing w:after="0" w:line="360" w:lineRule="auto"/>
        <w:ind w:firstLine="709"/>
        <w:jc w:val="both"/>
        <w:rPr>
          <w:rFonts w:ascii="Arial" w:eastAsia="Times New Roman" w:hAnsi="Arial" w:cs="Arial"/>
          <w:color w:val="000000"/>
          <w:sz w:val="24"/>
          <w:szCs w:val="24"/>
          <w:lang w:val="uk-UA"/>
        </w:rPr>
      </w:pP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Процеси іонообмінного вилучення нітратів з води в присутності хлоридів проводили при використанні аніоніту АВ-17-8. При вилучені нітратів із модельних розчинів, що містили лише нітрати та суміш нітратів і хлоридів аніоніт використовували в Cl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-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формі. При регенерації іоніту використовували хлористий 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lastRenderedPageBreak/>
        <w:t>настрій, хлористий калій та амоній, а також луг, соду та карбонат калію. Витрата розчинів при сорбції складала 10-15 см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/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хв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(швидкість фільтрування 2,12-3,18 м/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год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), при регенерації 1-5 см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/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хв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(швидкість фільтрування 0,212-1,06</w:t>
      </w:r>
      <w:r w:rsidR="00695B1E">
        <w:rPr>
          <w:rFonts w:ascii="Arial" w:eastAsia="Times New Roman" w:hAnsi="Arial" w:cs="Arial"/>
          <w:color w:val="000000"/>
          <w:sz w:val="24"/>
          <w:szCs w:val="24"/>
          <w:lang w:val="uk-UA"/>
        </w:rPr>
        <w:t>0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м/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год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). При сорбції об</w:t>
      </w:r>
      <w:r w:rsidRPr="00D07C34">
        <w:rPr>
          <w:rFonts w:ascii="Arial" w:eastAsia="Times New Roman" w:hAnsi="Arial" w:cs="Arial"/>
          <w:color w:val="4D4D4D"/>
          <w:sz w:val="24"/>
          <w:szCs w:val="24"/>
          <w:lang w:val="uk-UA"/>
        </w:rPr>
        <w:t>’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єм проб складав 100-500 см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, при регенерації об</w:t>
      </w:r>
      <w:r w:rsidRPr="00D07C34">
        <w:rPr>
          <w:rFonts w:ascii="Arial" w:eastAsia="Times New Roman" w:hAnsi="Arial" w:cs="Arial"/>
          <w:color w:val="4D4D4D"/>
          <w:sz w:val="24"/>
          <w:szCs w:val="24"/>
          <w:lang w:val="uk-UA"/>
        </w:rPr>
        <w:t>’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єм проб був 20 см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.</w:t>
      </w:r>
    </w:p>
    <w:p w:rsidR="00D07C34" w:rsidRPr="00D07C34" w:rsidRDefault="00D07C34" w:rsidP="00D07C34">
      <w:pPr>
        <w:spacing w:after="0" w:line="360" w:lineRule="auto"/>
        <w:ind w:firstLine="709"/>
        <w:jc w:val="both"/>
        <w:rPr>
          <w:rFonts w:ascii="Arial" w:eastAsia="Times New Roman" w:hAnsi="Arial" w:cs="Arial"/>
          <w:color w:val="000000"/>
          <w:sz w:val="24"/>
          <w:szCs w:val="24"/>
          <w:lang w:val="uk-UA"/>
        </w:rPr>
      </w:pP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Обмінну ємність іоніту, ступінь регенерації іоніту розраховували по методиках [10; 11].</w:t>
      </w:r>
    </w:p>
    <w:p w:rsidR="00D07C34" w:rsidRPr="00D07C34" w:rsidRDefault="00D07C34" w:rsidP="00D07C34">
      <w:pPr>
        <w:spacing w:after="0" w:line="360" w:lineRule="auto"/>
        <w:ind w:firstLine="709"/>
        <w:jc w:val="both"/>
        <w:rPr>
          <w:rFonts w:ascii="Arial" w:eastAsia="Times New Roman" w:hAnsi="Arial" w:cs="Arial"/>
          <w:color w:val="000000"/>
          <w:sz w:val="24"/>
          <w:szCs w:val="24"/>
          <w:lang w:val="uk-UA"/>
        </w:rPr>
      </w:pP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Відомо, що в природних прісних водах в окремих випадках вміст нітратів сягає 50-200 мг/дм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, в шахтних водах — 400-800 мг/дм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, в концентратах баромембранного опріснення концентрація нітратів досягає 1000 і більше мг/дм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. Вилучення нітратів з води при невисоких концентраціях вивчено в роботі [10]. При цьому було показано, що за низьких концентрацій інших аніонів (хлоридів, сульфатів, гідрокарбонатів) їх вплив на сорбцію нітратів зовсім незначний і практично не впливає на ємність аніонітів по нітратах. В разі коли йдеться про знесолення шахтних вод або при переробці концентратів баромембранного очищення води, де вміст нітратів і інших аніонів високий, застосування іонного обміну може бути проблематичним.</w:t>
      </w:r>
    </w:p>
    <w:p w:rsidR="00D07C34" w:rsidRPr="00D07C34" w:rsidRDefault="00D07C34" w:rsidP="00D07C34">
      <w:pPr>
        <w:spacing w:after="0" w:line="360" w:lineRule="auto"/>
        <w:ind w:firstLine="709"/>
        <w:jc w:val="both"/>
        <w:rPr>
          <w:rFonts w:ascii="Arial" w:eastAsia="Times New Roman" w:hAnsi="Arial" w:cs="Arial"/>
          <w:color w:val="000000"/>
          <w:sz w:val="24"/>
          <w:szCs w:val="24"/>
          <w:lang w:val="uk-UA"/>
        </w:rPr>
      </w:pP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Проте в роботі [11] було показано, що сульфати можна розділяти іонообмінним методом з хлоридами за значних концентрацій як хлоридів, так і сульфатів. Враховуючи високу селективність аніоніту АВ-17-8 по нітратах в розведених розчинах, можна було сподіватись на ефективне розділення хлоридів і нітратів за високих концентрацій іонів. Це підтвердили результати отримані при іонообмінному виділенні з води нітратів в присутності хлоридів при концентрації нітратів </w:t>
      </w:r>
      <w:r w:rsidR="00695B1E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             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500-1500 мг/дм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при концентрації хлоридів 100-1000 мг/дм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.</w:t>
      </w:r>
    </w:p>
    <w:p w:rsidR="00D07C34" w:rsidRDefault="00D07C34" w:rsidP="00D07C34">
      <w:pPr>
        <w:spacing w:after="0" w:line="360" w:lineRule="auto"/>
        <w:ind w:firstLine="709"/>
        <w:jc w:val="both"/>
        <w:rPr>
          <w:rFonts w:ascii="Arial" w:eastAsia="Times New Roman" w:hAnsi="Arial" w:cs="Arial"/>
          <w:color w:val="000000"/>
          <w:sz w:val="24"/>
          <w:szCs w:val="24"/>
          <w:lang w:val="uk-UA"/>
        </w:rPr>
      </w:pP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Суттєвий вплив на вилучення нітратів при концентрації 500 мг/дм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 xml:space="preserve">3 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і вище мали хлориди (рис. 1)</w:t>
      </w:r>
      <w:r w:rsidRPr="00D07C34">
        <w:rPr>
          <w:rFonts w:ascii="Arial" w:eastAsia="Times New Roman" w:hAnsi="Arial" w:cs="Arial"/>
          <w:color w:val="000000"/>
          <w:sz w:val="24"/>
          <w:szCs w:val="24"/>
        </w:rPr>
        <w:t>.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При концентрації хлоридів до 100 мг/дм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ємність іоніту по нітратах перевищувала 1500 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мг</w:t>
      </w:r>
      <w:r w:rsidR="00695B1E">
        <w:rPr>
          <w:rFonts w:ascii="Arial" w:eastAsia="Times New Roman" w:hAnsi="Arial" w:cs="Arial"/>
          <w:color w:val="000000"/>
          <w:sz w:val="24"/>
          <w:szCs w:val="24"/>
          <w:lang w:val="uk-UA"/>
        </w:rPr>
        <w:t>-екв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. Високої ємності по нітратах було досягнуто як за рахунок значної їх концентрації в розчинах, так і за рахунок високої селективності іоніту по нітратах.</w:t>
      </w:r>
    </w:p>
    <w:p w:rsidR="00695B1E" w:rsidRDefault="00695B1E" w:rsidP="00D07C34">
      <w:pPr>
        <w:spacing w:after="0" w:line="360" w:lineRule="auto"/>
        <w:ind w:firstLine="709"/>
        <w:jc w:val="both"/>
        <w:rPr>
          <w:rFonts w:ascii="Arial" w:hAnsi="Arial" w:cs="Arial"/>
          <w:color w:val="000000"/>
          <w:sz w:val="24"/>
          <w:szCs w:val="24"/>
          <w:lang w:val="uk-UA"/>
        </w:rPr>
      </w:pPr>
      <w:r w:rsidRPr="00695B1E">
        <w:rPr>
          <w:rFonts w:ascii="Arial" w:hAnsi="Arial" w:cs="Arial"/>
          <w:noProof/>
          <w:color w:val="000000"/>
          <w:sz w:val="24"/>
          <w:szCs w:val="24"/>
        </w:rPr>
        <w:lastRenderedPageBreak/>
        <w:drawing>
          <wp:inline distT="0" distB="0" distL="0" distR="0">
            <wp:extent cx="5486400" cy="2543175"/>
            <wp:effectExtent l="19050" t="0" r="19050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D07C34" w:rsidRPr="00D07C34" w:rsidRDefault="00D07C34" w:rsidP="00D07C34">
      <w:pPr>
        <w:spacing w:after="0" w:line="360" w:lineRule="auto"/>
        <w:ind w:firstLine="709"/>
        <w:jc w:val="both"/>
        <w:rPr>
          <w:rFonts w:ascii="Arial" w:eastAsia="Times New Roman" w:hAnsi="Arial" w:cs="Arial"/>
          <w:color w:val="000000"/>
          <w:sz w:val="24"/>
          <w:szCs w:val="24"/>
          <w:lang w:val="uk-UA"/>
        </w:rPr>
      </w:pP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Рис. 1 Залежність вихідних концентрацій нітратів (1-4) та хлоридів (5-8) від пропущеного об’єму розчину через аніоніт АВ-17-8 (V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vertAlign w:val="subscript"/>
          <w:lang w:val="en-US"/>
        </w:rPr>
        <w:t>i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= 20 см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) в Cl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-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формі з концентрацією нітратів 500 мг/дм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(1-8), концентрацією хлоридів, мг/дм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: 0 (1; 5); 100 (2; 6); 500 (3;7); 1000 (2; 8) (ПОДЕ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bscript"/>
          <w:lang w:val="uk-UA"/>
        </w:rPr>
        <w:t>1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= 1703 </w:t>
      </w:r>
      <w:proofErr w:type="spellStart"/>
      <w:r w:rsidR="00695B1E">
        <w:rPr>
          <w:rFonts w:ascii="Arial" w:eastAsia="Times New Roman" w:hAnsi="Arial" w:cs="Arial"/>
          <w:color w:val="000000"/>
          <w:sz w:val="24"/>
          <w:szCs w:val="24"/>
          <w:lang w:val="uk-UA"/>
        </w:rPr>
        <w:t>м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г</w:t>
      </w:r>
      <w:r w:rsidR="00695B1E">
        <w:rPr>
          <w:rFonts w:ascii="Arial" w:eastAsia="Times New Roman" w:hAnsi="Arial" w:cs="Arial"/>
          <w:color w:val="000000"/>
          <w:sz w:val="24"/>
          <w:szCs w:val="24"/>
          <w:lang w:val="uk-UA"/>
        </w:rPr>
        <w:t>-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екв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; ПОДЕ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bscript"/>
          <w:lang w:val="uk-UA"/>
        </w:rPr>
        <w:t>2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= 1503 </w:t>
      </w:r>
      <w:proofErr w:type="spellStart"/>
      <w:r w:rsidR="00695B1E">
        <w:rPr>
          <w:rFonts w:ascii="Arial" w:eastAsia="Times New Roman" w:hAnsi="Arial" w:cs="Arial"/>
          <w:color w:val="000000"/>
          <w:sz w:val="24"/>
          <w:szCs w:val="24"/>
          <w:lang w:val="uk-UA"/>
        </w:rPr>
        <w:t>м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г</w:t>
      </w:r>
      <w:r w:rsidR="00695B1E">
        <w:rPr>
          <w:rFonts w:ascii="Arial" w:eastAsia="Times New Roman" w:hAnsi="Arial" w:cs="Arial"/>
          <w:color w:val="000000"/>
          <w:sz w:val="24"/>
          <w:szCs w:val="24"/>
          <w:lang w:val="uk-UA"/>
        </w:rPr>
        <w:t>-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екв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; ПОДЕ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b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= 986 </w:t>
      </w:r>
      <w:proofErr w:type="spellStart"/>
      <w:r w:rsidR="00695B1E">
        <w:rPr>
          <w:rFonts w:ascii="Arial" w:eastAsia="Times New Roman" w:hAnsi="Arial" w:cs="Arial"/>
          <w:color w:val="000000"/>
          <w:sz w:val="24"/>
          <w:szCs w:val="24"/>
          <w:lang w:val="uk-UA"/>
        </w:rPr>
        <w:t>м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г</w:t>
      </w:r>
      <w:r w:rsidR="00695B1E">
        <w:rPr>
          <w:rFonts w:ascii="Arial" w:eastAsia="Times New Roman" w:hAnsi="Arial" w:cs="Arial"/>
          <w:color w:val="000000"/>
          <w:sz w:val="24"/>
          <w:szCs w:val="24"/>
          <w:lang w:val="uk-UA"/>
        </w:rPr>
        <w:t>-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екв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; ПОДЕ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bscript"/>
          <w:lang w:val="uk-UA"/>
        </w:rPr>
        <w:t>4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= 735 </w:t>
      </w:r>
      <w:proofErr w:type="spellStart"/>
      <w:r w:rsidR="00695B1E">
        <w:rPr>
          <w:rFonts w:ascii="Arial" w:eastAsia="Times New Roman" w:hAnsi="Arial" w:cs="Arial"/>
          <w:color w:val="000000"/>
          <w:sz w:val="24"/>
          <w:szCs w:val="24"/>
          <w:lang w:val="uk-UA"/>
        </w:rPr>
        <w:t>м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г</w:t>
      </w:r>
      <w:r w:rsidR="00695B1E">
        <w:rPr>
          <w:rFonts w:ascii="Arial" w:eastAsia="Times New Roman" w:hAnsi="Arial" w:cs="Arial"/>
          <w:color w:val="000000"/>
          <w:sz w:val="24"/>
          <w:szCs w:val="24"/>
          <w:lang w:val="uk-UA"/>
        </w:rPr>
        <w:t>-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екв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)</w:t>
      </w:r>
    </w:p>
    <w:p w:rsidR="00D07C34" w:rsidRPr="00D07C34" w:rsidRDefault="00D07C34" w:rsidP="00D07C34">
      <w:pPr>
        <w:spacing w:after="0" w:line="360" w:lineRule="auto"/>
        <w:ind w:firstLine="709"/>
        <w:jc w:val="both"/>
        <w:rPr>
          <w:rFonts w:ascii="Arial" w:eastAsia="Times New Roman" w:hAnsi="Arial" w:cs="Arial"/>
          <w:color w:val="000000"/>
          <w:sz w:val="24"/>
          <w:szCs w:val="24"/>
          <w:lang w:val="uk-UA"/>
        </w:rPr>
      </w:pPr>
    </w:p>
    <w:p w:rsidR="00D07C34" w:rsidRPr="00D07C34" w:rsidRDefault="00D07C34" w:rsidP="00D07C34">
      <w:pPr>
        <w:spacing w:after="0" w:line="360" w:lineRule="auto"/>
        <w:ind w:firstLine="709"/>
        <w:jc w:val="both"/>
        <w:rPr>
          <w:rFonts w:ascii="Arial" w:eastAsia="Times New Roman" w:hAnsi="Arial" w:cs="Arial"/>
          <w:color w:val="000000"/>
          <w:sz w:val="24"/>
          <w:szCs w:val="24"/>
          <w:lang w:val="uk-UA"/>
        </w:rPr>
      </w:pP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Висока селективність іоніту по нітратах підтверджується тим, що при концентрації хлоридів 500 і 1000 мг/дм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 xml:space="preserve">3 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за концентрації нітратів 500 мг/дм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, повна обмінна ємність за нітратами сягала 986 та 735 </w:t>
      </w:r>
      <w:proofErr w:type="spellStart"/>
      <w:r w:rsidR="00695B1E">
        <w:rPr>
          <w:rFonts w:ascii="Arial" w:eastAsia="Times New Roman" w:hAnsi="Arial" w:cs="Arial"/>
          <w:color w:val="000000"/>
          <w:sz w:val="24"/>
          <w:szCs w:val="24"/>
          <w:lang w:val="uk-UA"/>
        </w:rPr>
        <w:t>м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г</w:t>
      </w:r>
      <w:r w:rsidR="00695B1E">
        <w:rPr>
          <w:rFonts w:ascii="Arial" w:eastAsia="Times New Roman" w:hAnsi="Arial" w:cs="Arial"/>
          <w:color w:val="000000"/>
          <w:sz w:val="24"/>
          <w:szCs w:val="24"/>
          <w:lang w:val="uk-UA"/>
        </w:rPr>
        <w:t>-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екв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. При цьому, вміст хлоридів у регенераційному розчині у першому випадку сягав 22 </w:t>
      </w:r>
      <w:proofErr w:type="spellStart"/>
      <w:r w:rsidRPr="00695B1E">
        <w:rPr>
          <w:rFonts w:ascii="Arial" w:eastAsia="Times New Roman" w:hAnsi="Arial" w:cs="Arial"/>
          <w:color w:val="000000"/>
          <w:sz w:val="24"/>
          <w:szCs w:val="24"/>
          <w:lang w:val="uk-UA"/>
        </w:rPr>
        <w:t>г</w:t>
      </w:r>
      <w:r w:rsidR="00695B1E">
        <w:rPr>
          <w:rFonts w:ascii="Arial" w:eastAsia="Times New Roman" w:hAnsi="Arial" w:cs="Arial"/>
          <w:color w:val="000000"/>
          <w:sz w:val="24"/>
          <w:szCs w:val="24"/>
          <w:lang w:val="uk-UA"/>
        </w:rPr>
        <w:t>-</w:t>
      </w:r>
      <w:r w:rsidRPr="00695B1E">
        <w:rPr>
          <w:rFonts w:ascii="Arial" w:eastAsia="Times New Roman" w:hAnsi="Arial" w:cs="Arial"/>
          <w:color w:val="000000"/>
          <w:sz w:val="24"/>
          <w:szCs w:val="24"/>
          <w:lang w:val="uk-UA"/>
        </w:rPr>
        <w:t>екв</w:t>
      </w:r>
      <w:proofErr w:type="spellEnd"/>
      <w:r w:rsidRPr="00695B1E">
        <w:rPr>
          <w:rFonts w:ascii="Arial" w:eastAsia="Times New Roman" w:hAnsi="Arial" w:cs="Arial"/>
          <w:color w:val="000000"/>
          <w:sz w:val="24"/>
          <w:szCs w:val="24"/>
          <w:lang w:val="uk-UA"/>
        </w:rPr>
        <w:t>/дм</w:t>
      </w:r>
      <w:r w:rsidRPr="00695B1E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, у другому – </w:t>
      </w:r>
      <w:r w:rsidR="00695B1E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       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36,</w:t>
      </w:r>
      <w:r w:rsidRPr="00204799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2 </w:t>
      </w:r>
      <w:proofErr w:type="spellStart"/>
      <w:r w:rsidRPr="00204799">
        <w:rPr>
          <w:rFonts w:ascii="Arial" w:eastAsia="Times New Roman" w:hAnsi="Arial" w:cs="Arial"/>
          <w:color w:val="000000"/>
          <w:sz w:val="24"/>
          <w:szCs w:val="24"/>
          <w:lang w:val="uk-UA"/>
        </w:rPr>
        <w:t>г</w:t>
      </w:r>
      <w:r w:rsidR="00695B1E" w:rsidRPr="00204799">
        <w:rPr>
          <w:rFonts w:ascii="Arial" w:eastAsia="Times New Roman" w:hAnsi="Arial" w:cs="Arial"/>
          <w:color w:val="000000"/>
          <w:sz w:val="24"/>
          <w:szCs w:val="24"/>
          <w:lang w:val="uk-UA"/>
        </w:rPr>
        <w:t>-</w:t>
      </w:r>
      <w:r w:rsidRPr="00204799">
        <w:rPr>
          <w:rFonts w:ascii="Arial" w:eastAsia="Times New Roman" w:hAnsi="Arial" w:cs="Arial"/>
          <w:color w:val="000000"/>
          <w:sz w:val="24"/>
          <w:szCs w:val="24"/>
          <w:lang w:val="uk-UA"/>
        </w:rPr>
        <w:t>екв</w:t>
      </w:r>
      <w:proofErr w:type="spellEnd"/>
      <w:r w:rsidRPr="00204799">
        <w:rPr>
          <w:rFonts w:ascii="Arial" w:eastAsia="Times New Roman" w:hAnsi="Arial" w:cs="Arial"/>
          <w:color w:val="000000"/>
          <w:sz w:val="24"/>
          <w:szCs w:val="24"/>
          <w:lang w:val="uk-UA"/>
        </w:rPr>
        <w:t>/дм</w:t>
      </w:r>
      <w:r w:rsidRPr="00204799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204799">
        <w:rPr>
          <w:rFonts w:ascii="Arial" w:eastAsia="Times New Roman" w:hAnsi="Arial" w:cs="Arial"/>
          <w:color w:val="000000"/>
          <w:sz w:val="24"/>
          <w:szCs w:val="24"/>
          <w:lang w:val="uk-UA"/>
        </w:rPr>
        <w:t>.</w:t>
      </w:r>
    </w:p>
    <w:p w:rsidR="00D07C34" w:rsidRDefault="00D07C34" w:rsidP="00D07C34">
      <w:pPr>
        <w:spacing w:after="0" w:line="360" w:lineRule="auto"/>
        <w:ind w:firstLine="709"/>
        <w:jc w:val="both"/>
        <w:rPr>
          <w:rFonts w:ascii="Arial" w:hAnsi="Arial" w:cs="Arial"/>
          <w:color w:val="000000"/>
          <w:sz w:val="24"/>
          <w:szCs w:val="24"/>
          <w:lang w:val="uk-UA"/>
        </w:rPr>
      </w:pPr>
      <w:r w:rsidRPr="00D07C34">
        <w:rPr>
          <w:rFonts w:ascii="Arial" w:eastAsia="Times New Roman" w:hAnsi="Arial" w:cs="Arial"/>
          <w:sz w:val="24"/>
          <w:szCs w:val="24"/>
          <w:lang w:val="uk-UA"/>
        </w:rPr>
        <w:t xml:space="preserve">При підвищенні концентрації нітратів до 1000 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мг/дм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(рис. 2) відмічено зростання ПОДЕ іоніту по нітратах за всіх концентрацій хлоридів. За низьких концентрацій хлоридів ПОДЕ по NO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b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-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сягає 1677 – 1700 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мгекв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. При концентрації хлоридів 500 та 1000 мг/дм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, ПОДЕ по нітратах знижується відповідно до 1233 та 1152 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мг-екв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. Це обумовлено тим, що в регенераційних розчинах вміст хлоридів сягав 30 та 45 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мг-екв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(1065 та 1598 мг/дм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softHyphen/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). За таких концентрацій хлоридів, концентраційний фактор до певної міри нівелює селективність іоніту. Проте, при підвищенні концентрацій нітратів до 1500 мг/дм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(рис. 3) та при зростанні концентрації хлоридів в регенераційних розчинах до 23 – 52 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мг-екв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, повна обмінна динамічна ємність іоніту по нітратах не 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лище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не знизилась, але і зросла. Навіть при концентрації хлоридів в вихідному</w:t>
      </w:r>
      <w:r w:rsidR="00695B1E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розчині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500 та 1000 мг/дм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, ємність аніоніту по нітратах досягала відповідно 1520 та 1408 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мг-екв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.</w:t>
      </w:r>
    </w:p>
    <w:p w:rsidR="00D07C34" w:rsidRDefault="00695B1E" w:rsidP="00204799">
      <w:pPr>
        <w:spacing w:after="0" w:line="360" w:lineRule="auto"/>
        <w:jc w:val="center"/>
        <w:rPr>
          <w:rFonts w:ascii="Arial" w:hAnsi="Arial" w:cs="Arial"/>
          <w:sz w:val="24"/>
          <w:szCs w:val="24"/>
          <w:lang w:val="uk-UA"/>
        </w:rPr>
      </w:pPr>
      <w:r w:rsidRPr="00695B1E">
        <w:rPr>
          <w:rFonts w:ascii="Arial" w:hAnsi="Arial" w:cs="Arial"/>
          <w:noProof/>
          <w:sz w:val="24"/>
          <w:szCs w:val="24"/>
        </w:rPr>
        <w:lastRenderedPageBreak/>
        <w:drawing>
          <wp:inline distT="0" distB="0" distL="0" distR="0">
            <wp:extent cx="5486400" cy="2543175"/>
            <wp:effectExtent l="19050" t="0" r="19050" b="0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D07C34" w:rsidRPr="00D07C34" w:rsidRDefault="00D07C34" w:rsidP="00D07C34">
      <w:pPr>
        <w:spacing w:after="0" w:line="360" w:lineRule="auto"/>
        <w:ind w:firstLine="709"/>
        <w:jc w:val="both"/>
        <w:rPr>
          <w:rFonts w:ascii="Arial" w:eastAsia="Times New Roman" w:hAnsi="Arial" w:cs="Arial"/>
          <w:color w:val="000000"/>
          <w:sz w:val="24"/>
          <w:szCs w:val="24"/>
          <w:lang w:val="uk-UA"/>
        </w:rPr>
      </w:pP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Рис. 2 Вихідні криві сорбції нітраті</w:t>
      </w:r>
      <w:r w:rsidR="00695B1E">
        <w:rPr>
          <w:rFonts w:ascii="Arial" w:eastAsia="Times New Roman" w:hAnsi="Arial" w:cs="Arial"/>
          <w:color w:val="000000"/>
          <w:sz w:val="24"/>
          <w:szCs w:val="24"/>
          <w:lang w:val="uk-UA"/>
        </w:rPr>
        <w:t>в (1-4) та десорбції хлоридів (5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-8) на аніоніті АВ-17-8 в Cl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-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формі (V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vertAlign w:val="subscript"/>
          <w:lang w:val="en-US"/>
        </w:rPr>
        <w:t>i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= 20 см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) при пропусканні розчинів, що містять 1000 мг/дм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</w:t>
      </w:r>
      <w:r w:rsidR="00695B1E">
        <w:rPr>
          <w:rFonts w:ascii="Arial" w:eastAsia="Times New Roman" w:hAnsi="Arial" w:cs="Arial"/>
          <w:color w:val="000000"/>
          <w:sz w:val="24"/>
          <w:szCs w:val="24"/>
          <w:lang w:val="uk-UA"/>
        </w:rPr>
        <w:t>нітратів (1-8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) при концентрації хлоридів, мг/дм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: 0 (1; 5); 100 (2; 6); 500 (3; 7); 1000 (4; 8) (ПОДЕ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bscript"/>
          <w:lang w:val="uk-UA"/>
        </w:rPr>
        <w:t>1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= 1700 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мгекв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; ПОДЕ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bscript"/>
          <w:lang w:val="uk-UA"/>
        </w:rPr>
        <w:t>2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= 1677 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мгекв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; ПОДЕ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b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= 1233 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мгекв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; ПОДЕ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bscript"/>
          <w:lang w:val="uk-UA"/>
        </w:rPr>
        <w:t>4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= 1152 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мгекв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)</w:t>
      </w:r>
    </w:p>
    <w:p w:rsidR="00D07C34" w:rsidRPr="00D07C34" w:rsidRDefault="00695B1E" w:rsidP="00204799">
      <w:pPr>
        <w:spacing w:after="0" w:line="360" w:lineRule="auto"/>
        <w:ind w:firstLine="709"/>
        <w:jc w:val="center"/>
        <w:rPr>
          <w:rFonts w:ascii="Arial" w:eastAsia="Times New Roman" w:hAnsi="Arial" w:cs="Arial"/>
          <w:color w:val="000000"/>
          <w:sz w:val="24"/>
          <w:szCs w:val="24"/>
          <w:lang w:val="uk-UA"/>
        </w:rPr>
      </w:pPr>
      <w:r w:rsidRPr="00695B1E">
        <w:rPr>
          <w:rFonts w:ascii="Arial" w:eastAsia="Times New Roman" w:hAnsi="Arial" w:cs="Arial"/>
          <w:noProof/>
          <w:color w:val="000000"/>
          <w:sz w:val="24"/>
          <w:szCs w:val="24"/>
        </w:rPr>
        <w:drawing>
          <wp:inline distT="0" distB="0" distL="0" distR="0">
            <wp:extent cx="5486400" cy="2543175"/>
            <wp:effectExtent l="19050" t="0" r="19050" b="0"/>
            <wp:docPr id="3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D07C34" w:rsidRPr="00D07C34" w:rsidRDefault="00D07C34" w:rsidP="00D07C34">
      <w:pPr>
        <w:spacing w:after="0" w:line="360" w:lineRule="auto"/>
        <w:ind w:firstLine="709"/>
        <w:jc w:val="both"/>
        <w:rPr>
          <w:rFonts w:ascii="Arial" w:eastAsia="Times New Roman" w:hAnsi="Arial" w:cs="Arial"/>
          <w:color w:val="000000"/>
          <w:sz w:val="24"/>
          <w:szCs w:val="24"/>
          <w:lang w:val="uk-UA"/>
        </w:rPr>
      </w:pP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Рис. 3 Вихідні криві сорбції нітратів (1-4) та десорбції хлоридів (</w:t>
      </w:r>
      <w:r w:rsidR="00695B1E">
        <w:rPr>
          <w:rFonts w:ascii="Arial" w:eastAsia="Times New Roman" w:hAnsi="Arial" w:cs="Arial"/>
          <w:color w:val="000000"/>
          <w:sz w:val="24"/>
          <w:szCs w:val="24"/>
          <w:lang w:val="uk-UA"/>
        </w:rPr>
        <w:t>5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-8) на аніоніті АВ-17-8 в Cl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-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формі (V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vertAlign w:val="subscript"/>
          <w:lang w:val="en-US"/>
        </w:rPr>
        <w:t>i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= 20 см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) при пропусканні розчинів, що містять 1500 мг/дм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нітратів (1-</w:t>
      </w:r>
      <w:r w:rsidR="00695B1E">
        <w:rPr>
          <w:rFonts w:ascii="Arial" w:eastAsia="Times New Roman" w:hAnsi="Arial" w:cs="Arial"/>
          <w:color w:val="000000"/>
          <w:sz w:val="24"/>
          <w:szCs w:val="24"/>
          <w:lang w:val="uk-UA"/>
        </w:rPr>
        <w:t>8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) при концентрації хлоридів, мг/дм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: 0 (1; 5); 100 (2; 6); 500 (3; 7); 1000 (4; 8) (ПОДЕ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bscript"/>
          <w:lang w:val="uk-UA"/>
        </w:rPr>
        <w:t>1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= 1680 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мг</w:t>
      </w:r>
      <w:r w:rsidR="00695B1E">
        <w:rPr>
          <w:rFonts w:ascii="Arial" w:eastAsia="Times New Roman" w:hAnsi="Arial" w:cs="Arial"/>
          <w:color w:val="000000"/>
          <w:sz w:val="24"/>
          <w:szCs w:val="24"/>
          <w:lang w:val="uk-UA"/>
        </w:rPr>
        <w:t>-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екв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; ПОДЕ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bscript"/>
          <w:lang w:val="uk-UA"/>
        </w:rPr>
        <w:t>2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= 1643 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мг</w:t>
      </w:r>
      <w:r w:rsidR="00695B1E">
        <w:rPr>
          <w:rFonts w:ascii="Arial" w:eastAsia="Times New Roman" w:hAnsi="Arial" w:cs="Arial"/>
          <w:color w:val="000000"/>
          <w:sz w:val="24"/>
          <w:szCs w:val="24"/>
          <w:lang w:val="uk-UA"/>
        </w:rPr>
        <w:t>-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екв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; ПОДЕ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b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= 1520 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мг</w:t>
      </w:r>
      <w:r w:rsidR="00695B1E">
        <w:rPr>
          <w:rFonts w:ascii="Arial" w:eastAsia="Times New Roman" w:hAnsi="Arial" w:cs="Arial"/>
          <w:color w:val="000000"/>
          <w:sz w:val="24"/>
          <w:szCs w:val="24"/>
          <w:lang w:val="uk-UA"/>
        </w:rPr>
        <w:t>-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екв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; ПОДЕ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bscript"/>
          <w:lang w:val="uk-UA"/>
        </w:rPr>
        <w:t>4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= 1408 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мг</w:t>
      </w:r>
      <w:r w:rsidR="00695B1E">
        <w:rPr>
          <w:rFonts w:ascii="Arial" w:eastAsia="Times New Roman" w:hAnsi="Arial" w:cs="Arial"/>
          <w:color w:val="000000"/>
          <w:sz w:val="24"/>
          <w:szCs w:val="24"/>
          <w:lang w:val="uk-UA"/>
        </w:rPr>
        <w:t>-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екв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)</w:t>
      </w:r>
    </w:p>
    <w:p w:rsidR="00D07C34" w:rsidRPr="00D07C34" w:rsidRDefault="00D07C34" w:rsidP="00D07C34">
      <w:pPr>
        <w:spacing w:after="0" w:line="360" w:lineRule="auto"/>
        <w:ind w:firstLine="709"/>
        <w:jc w:val="both"/>
        <w:rPr>
          <w:rFonts w:ascii="Arial" w:eastAsia="Times New Roman" w:hAnsi="Arial" w:cs="Arial"/>
          <w:color w:val="000000"/>
          <w:sz w:val="24"/>
          <w:szCs w:val="24"/>
          <w:lang w:val="uk-UA"/>
        </w:rPr>
      </w:pPr>
    </w:p>
    <w:p w:rsidR="00D07C34" w:rsidRDefault="00D07C34" w:rsidP="00D07C34">
      <w:pPr>
        <w:spacing w:after="0" w:line="360" w:lineRule="auto"/>
        <w:ind w:firstLine="709"/>
        <w:jc w:val="both"/>
        <w:rPr>
          <w:rFonts w:ascii="Arial" w:eastAsia="Times New Roman" w:hAnsi="Arial" w:cs="Arial"/>
          <w:color w:val="000000"/>
          <w:sz w:val="24"/>
          <w:szCs w:val="24"/>
          <w:lang w:val="uk-UA"/>
        </w:rPr>
      </w:pP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Очевидно, що за високих концентрацій нітратів в розчині, ємність іоніту по нітратах зростає в відповідності до підвищення концентрацій нітратів у воді. При цьому, при підвищенні концентрацій хлоридів у вихідному розчині, ємність іоніту по нітратах падає. Якщо порівнювати значення ПОДЕ, то ефект зниження обмінної 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lastRenderedPageBreak/>
        <w:t xml:space="preserve">ємності по нітратах при підвищенні вмісту хлоридів зменшується з підвищенням концентрації нітратів </w:t>
      </w:r>
      <w:r w:rsidRPr="00695B1E">
        <w:rPr>
          <w:rFonts w:ascii="Arial" w:hAnsi="Arial" w:cs="Arial"/>
          <w:color w:val="000000"/>
          <w:sz w:val="24"/>
          <w:szCs w:val="24"/>
          <w:lang w:val="uk-UA"/>
        </w:rPr>
        <w:t>(табл. 1</w:t>
      </w:r>
      <w:r w:rsidRPr="00695B1E">
        <w:rPr>
          <w:rFonts w:ascii="Arial" w:eastAsia="Times New Roman" w:hAnsi="Arial" w:cs="Arial"/>
          <w:color w:val="000000"/>
          <w:sz w:val="24"/>
          <w:szCs w:val="24"/>
          <w:lang w:val="uk-UA"/>
        </w:rPr>
        <w:t>). Так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при концентрації нітратів 500 мг/дм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ПОДЕ по NO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b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-</w:t>
      </w:r>
      <w:r w:rsidR="00695B1E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знижується з 1703 до 735 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мг-екв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при підвищенні вмісту хлоридів з 0 до 1000 мг/дм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. При концентрації нітратів 1000 мг/дм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ПОДЕ при зміні вмісту хлоридів в тому ж діапазоні знижується з 1700 до 1152 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мг-екв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, а при 1500 мг/дм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з 1680 до </w:t>
      </w:r>
      <w:r w:rsidR="00695B1E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     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1408 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мг-екв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. </w:t>
      </w:r>
    </w:p>
    <w:p w:rsidR="00204799" w:rsidRDefault="00204799" w:rsidP="00D07C34">
      <w:pPr>
        <w:spacing w:after="0" w:line="360" w:lineRule="auto"/>
        <w:ind w:firstLine="709"/>
        <w:jc w:val="both"/>
        <w:rPr>
          <w:rFonts w:ascii="Arial" w:hAnsi="Arial" w:cs="Arial"/>
          <w:color w:val="000000"/>
          <w:sz w:val="24"/>
          <w:szCs w:val="24"/>
          <w:lang w:val="uk-UA"/>
        </w:rPr>
      </w:pPr>
    </w:p>
    <w:p w:rsidR="00D07C34" w:rsidRDefault="00D07C34" w:rsidP="00D07C34">
      <w:pPr>
        <w:spacing w:after="0" w:line="360" w:lineRule="auto"/>
        <w:jc w:val="both"/>
        <w:rPr>
          <w:rFonts w:ascii="Arial" w:hAnsi="Arial" w:cs="Arial"/>
          <w:sz w:val="24"/>
          <w:szCs w:val="24"/>
          <w:lang w:val="uk-UA"/>
        </w:rPr>
      </w:pPr>
      <w:r>
        <w:rPr>
          <w:rFonts w:ascii="Arial" w:hAnsi="Arial" w:cs="Arial"/>
          <w:sz w:val="24"/>
          <w:szCs w:val="24"/>
          <w:lang w:val="uk-UA"/>
        </w:rPr>
        <w:t>Таблиця 1. Залежність обмінної ємності аніоніту АВ-17-8 від складу розчинів, що містять хлориди і нітрати</w:t>
      </w:r>
    </w:p>
    <w:p w:rsidR="00D07C34" w:rsidRDefault="00D07C34" w:rsidP="00D07C34">
      <w:pPr>
        <w:spacing w:after="0" w:line="360" w:lineRule="auto"/>
        <w:jc w:val="both"/>
        <w:rPr>
          <w:rFonts w:ascii="Arial" w:hAnsi="Arial" w:cs="Arial"/>
          <w:sz w:val="24"/>
          <w:szCs w:val="24"/>
          <w:lang w:val="uk-UA"/>
        </w:rPr>
      </w:pPr>
    </w:p>
    <w:tbl>
      <w:tblPr>
        <w:tblStyle w:val="a6"/>
        <w:tblW w:w="0" w:type="auto"/>
        <w:tblLook w:val="04A0"/>
      </w:tblPr>
      <w:tblGrid>
        <w:gridCol w:w="817"/>
        <w:gridCol w:w="1843"/>
        <w:gridCol w:w="1843"/>
        <w:gridCol w:w="2065"/>
        <w:gridCol w:w="1643"/>
        <w:gridCol w:w="1643"/>
      </w:tblGrid>
      <w:tr w:rsidR="00D07C34" w:rsidTr="00684C3F">
        <w:tc>
          <w:tcPr>
            <w:tcW w:w="817" w:type="dxa"/>
            <w:vMerge w:val="restart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№ п/п</w:t>
            </w:r>
          </w:p>
        </w:tc>
        <w:tc>
          <w:tcPr>
            <w:tcW w:w="1843" w:type="dxa"/>
            <w:vMerge w:val="restart"/>
            <w:vAlign w:val="center"/>
          </w:tcPr>
          <w:p w:rsidR="00D07C34" w:rsidRPr="00AF0219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vertAlign w:val="superscript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en-US"/>
              </w:rPr>
              <w:t>[NO</w:t>
            </w:r>
            <w:r>
              <w:rPr>
                <w:rFonts w:ascii="Arial" w:hAnsi="Arial" w:cs="Arial"/>
                <w:sz w:val="24"/>
                <w:szCs w:val="24"/>
                <w:vertAlign w:val="subscript"/>
                <w:lang w:val="en-US"/>
              </w:rPr>
              <w:t>3</w:t>
            </w:r>
            <w:r>
              <w:rPr>
                <w:rFonts w:ascii="Arial" w:hAnsi="Arial" w:cs="Arial"/>
                <w:sz w:val="24"/>
                <w:szCs w:val="24"/>
                <w:vertAlign w:val="superscript"/>
                <w:lang w:val="en-US"/>
              </w:rPr>
              <w:t>-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>]</w:t>
            </w:r>
            <w:r>
              <w:rPr>
                <w:rFonts w:ascii="Arial" w:hAnsi="Arial" w:cs="Arial"/>
                <w:sz w:val="24"/>
                <w:szCs w:val="24"/>
                <w:lang w:val="uk-UA"/>
              </w:rPr>
              <w:t>, мг/дм</w:t>
            </w:r>
            <w:r>
              <w:rPr>
                <w:rFonts w:ascii="Arial" w:hAnsi="Arial" w:cs="Arial"/>
                <w:sz w:val="24"/>
                <w:szCs w:val="24"/>
                <w:vertAlign w:val="superscript"/>
                <w:lang w:val="uk-UA"/>
              </w:rPr>
              <w:t>3</w:t>
            </w:r>
          </w:p>
        </w:tc>
        <w:tc>
          <w:tcPr>
            <w:tcW w:w="1843" w:type="dxa"/>
            <w:vMerge w:val="restart"/>
            <w:vAlign w:val="center"/>
          </w:tcPr>
          <w:p w:rsidR="00D07C34" w:rsidRPr="00AF0219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en-US"/>
              </w:rPr>
              <w:t>[</w:t>
            </w:r>
            <w:proofErr w:type="spellStart"/>
            <w:r>
              <w:rPr>
                <w:rFonts w:ascii="Arial" w:hAnsi="Arial" w:cs="Arial"/>
                <w:sz w:val="24"/>
                <w:szCs w:val="24"/>
                <w:lang w:val="en-US"/>
              </w:rPr>
              <w:t>Cl</w:t>
            </w:r>
            <w:proofErr w:type="spellEnd"/>
            <w:r>
              <w:rPr>
                <w:rFonts w:ascii="Arial" w:hAnsi="Arial" w:cs="Arial"/>
                <w:sz w:val="24"/>
                <w:szCs w:val="24"/>
                <w:vertAlign w:val="superscript"/>
                <w:lang w:val="en-US"/>
              </w:rPr>
              <w:t>-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>]</w:t>
            </w:r>
            <w:r>
              <w:rPr>
                <w:rFonts w:ascii="Arial" w:hAnsi="Arial" w:cs="Arial"/>
                <w:sz w:val="24"/>
                <w:szCs w:val="24"/>
                <w:lang w:val="uk-UA"/>
              </w:rPr>
              <w:t>, мг/дм</w:t>
            </w:r>
            <w:r>
              <w:rPr>
                <w:rFonts w:ascii="Arial" w:hAnsi="Arial" w:cs="Arial"/>
                <w:sz w:val="24"/>
                <w:szCs w:val="24"/>
                <w:vertAlign w:val="superscript"/>
                <w:lang w:val="uk-UA"/>
              </w:rPr>
              <w:t>3</w:t>
            </w:r>
          </w:p>
        </w:tc>
        <w:tc>
          <w:tcPr>
            <w:tcW w:w="5351" w:type="dxa"/>
            <w:gridSpan w:val="3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 xml:space="preserve">ОДЄ, </w:t>
            </w:r>
            <w:proofErr w:type="spellStart"/>
            <w:r>
              <w:rPr>
                <w:rFonts w:ascii="Arial" w:hAnsi="Arial" w:cs="Arial"/>
                <w:sz w:val="24"/>
                <w:szCs w:val="24"/>
                <w:lang w:val="uk-UA"/>
              </w:rPr>
              <w:t>мг-екв</w:t>
            </w:r>
            <w:proofErr w:type="spellEnd"/>
            <w:r>
              <w:rPr>
                <w:rFonts w:ascii="Arial" w:hAnsi="Arial" w:cs="Arial"/>
                <w:sz w:val="24"/>
                <w:szCs w:val="24"/>
                <w:lang w:val="uk-UA"/>
              </w:rPr>
              <w:t>/дм</w:t>
            </w:r>
            <w:r>
              <w:rPr>
                <w:rFonts w:ascii="Arial" w:hAnsi="Arial" w:cs="Arial"/>
                <w:sz w:val="24"/>
                <w:szCs w:val="24"/>
                <w:vertAlign w:val="superscript"/>
                <w:lang w:val="uk-UA"/>
              </w:rPr>
              <w:t>3</w:t>
            </w:r>
          </w:p>
        </w:tc>
      </w:tr>
      <w:tr w:rsidR="00D07C34" w:rsidTr="00684C3F">
        <w:tc>
          <w:tcPr>
            <w:tcW w:w="817" w:type="dxa"/>
            <w:vMerge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vMerge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vMerge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</w:p>
        </w:tc>
        <w:tc>
          <w:tcPr>
            <w:tcW w:w="2065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І</w:t>
            </w:r>
          </w:p>
        </w:tc>
        <w:tc>
          <w:tcPr>
            <w:tcW w:w="1643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ІІ</w:t>
            </w:r>
          </w:p>
        </w:tc>
        <w:tc>
          <w:tcPr>
            <w:tcW w:w="1643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ІІІ</w:t>
            </w:r>
          </w:p>
        </w:tc>
      </w:tr>
      <w:tr w:rsidR="00D07C34" w:rsidTr="00684C3F">
        <w:tc>
          <w:tcPr>
            <w:tcW w:w="817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1</w:t>
            </w:r>
          </w:p>
        </w:tc>
        <w:tc>
          <w:tcPr>
            <w:tcW w:w="1843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500</w:t>
            </w:r>
          </w:p>
        </w:tc>
        <w:tc>
          <w:tcPr>
            <w:tcW w:w="1843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0</w:t>
            </w:r>
          </w:p>
        </w:tc>
        <w:tc>
          <w:tcPr>
            <w:tcW w:w="2065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1008</w:t>
            </w:r>
          </w:p>
        </w:tc>
        <w:tc>
          <w:tcPr>
            <w:tcW w:w="1643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1572</w:t>
            </w:r>
          </w:p>
        </w:tc>
        <w:tc>
          <w:tcPr>
            <w:tcW w:w="1643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1703</w:t>
            </w:r>
          </w:p>
        </w:tc>
      </w:tr>
      <w:tr w:rsidR="00D07C34" w:rsidTr="00684C3F">
        <w:tc>
          <w:tcPr>
            <w:tcW w:w="817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2</w:t>
            </w:r>
          </w:p>
        </w:tc>
        <w:tc>
          <w:tcPr>
            <w:tcW w:w="1843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500</w:t>
            </w:r>
          </w:p>
        </w:tc>
        <w:tc>
          <w:tcPr>
            <w:tcW w:w="1843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100</w:t>
            </w:r>
          </w:p>
        </w:tc>
        <w:tc>
          <w:tcPr>
            <w:tcW w:w="2065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806</w:t>
            </w:r>
          </w:p>
        </w:tc>
        <w:tc>
          <w:tcPr>
            <w:tcW w:w="1643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1492</w:t>
            </w:r>
          </w:p>
        </w:tc>
        <w:tc>
          <w:tcPr>
            <w:tcW w:w="1643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1593</w:t>
            </w:r>
          </w:p>
        </w:tc>
      </w:tr>
      <w:tr w:rsidR="00D07C34" w:rsidTr="00684C3F">
        <w:tc>
          <w:tcPr>
            <w:tcW w:w="817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3</w:t>
            </w:r>
          </w:p>
        </w:tc>
        <w:tc>
          <w:tcPr>
            <w:tcW w:w="1843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500</w:t>
            </w:r>
          </w:p>
        </w:tc>
        <w:tc>
          <w:tcPr>
            <w:tcW w:w="1843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500</w:t>
            </w:r>
          </w:p>
        </w:tc>
        <w:tc>
          <w:tcPr>
            <w:tcW w:w="2065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605</w:t>
            </w:r>
          </w:p>
        </w:tc>
        <w:tc>
          <w:tcPr>
            <w:tcW w:w="1643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927</w:t>
            </w:r>
          </w:p>
        </w:tc>
        <w:tc>
          <w:tcPr>
            <w:tcW w:w="1643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986</w:t>
            </w:r>
          </w:p>
        </w:tc>
      </w:tr>
      <w:tr w:rsidR="00D07C34" w:rsidTr="00684C3F">
        <w:tc>
          <w:tcPr>
            <w:tcW w:w="817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4</w:t>
            </w:r>
          </w:p>
        </w:tc>
        <w:tc>
          <w:tcPr>
            <w:tcW w:w="1843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500</w:t>
            </w:r>
          </w:p>
        </w:tc>
        <w:tc>
          <w:tcPr>
            <w:tcW w:w="1843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1000</w:t>
            </w:r>
          </w:p>
        </w:tc>
        <w:tc>
          <w:tcPr>
            <w:tcW w:w="2065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403</w:t>
            </w:r>
          </w:p>
        </w:tc>
        <w:tc>
          <w:tcPr>
            <w:tcW w:w="1643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564</w:t>
            </w:r>
          </w:p>
        </w:tc>
        <w:tc>
          <w:tcPr>
            <w:tcW w:w="1643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735</w:t>
            </w:r>
          </w:p>
        </w:tc>
      </w:tr>
      <w:tr w:rsidR="00D07C34" w:rsidTr="00684C3F">
        <w:tc>
          <w:tcPr>
            <w:tcW w:w="817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5</w:t>
            </w:r>
          </w:p>
        </w:tc>
        <w:tc>
          <w:tcPr>
            <w:tcW w:w="1843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1000</w:t>
            </w:r>
          </w:p>
        </w:tc>
        <w:tc>
          <w:tcPr>
            <w:tcW w:w="1843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0</w:t>
            </w:r>
          </w:p>
        </w:tc>
        <w:tc>
          <w:tcPr>
            <w:tcW w:w="2065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1129</w:t>
            </w:r>
          </w:p>
        </w:tc>
        <w:tc>
          <w:tcPr>
            <w:tcW w:w="1643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1455</w:t>
            </w:r>
          </w:p>
        </w:tc>
        <w:tc>
          <w:tcPr>
            <w:tcW w:w="1643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1700</w:t>
            </w:r>
          </w:p>
        </w:tc>
      </w:tr>
      <w:tr w:rsidR="00D07C34" w:rsidTr="00684C3F">
        <w:tc>
          <w:tcPr>
            <w:tcW w:w="817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6</w:t>
            </w:r>
          </w:p>
        </w:tc>
        <w:tc>
          <w:tcPr>
            <w:tcW w:w="1843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1000</w:t>
            </w:r>
          </w:p>
        </w:tc>
        <w:tc>
          <w:tcPr>
            <w:tcW w:w="1843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100</w:t>
            </w:r>
          </w:p>
        </w:tc>
        <w:tc>
          <w:tcPr>
            <w:tcW w:w="2065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810</w:t>
            </w:r>
          </w:p>
        </w:tc>
        <w:tc>
          <w:tcPr>
            <w:tcW w:w="1643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1451</w:t>
            </w:r>
          </w:p>
        </w:tc>
        <w:tc>
          <w:tcPr>
            <w:tcW w:w="1643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1677</w:t>
            </w:r>
          </w:p>
        </w:tc>
      </w:tr>
      <w:tr w:rsidR="00D07C34" w:rsidTr="00684C3F">
        <w:tc>
          <w:tcPr>
            <w:tcW w:w="817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7</w:t>
            </w:r>
          </w:p>
        </w:tc>
        <w:tc>
          <w:tcPr>
            <w:tcW w:w="1843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1000</w:t>
            </w:r>
          </w:p>
        </w:tc>
        <w:tc>
          <w:tcPr>
            <w:tcW w:w="1843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500</w:t>
            </w:r>
          </w:p>
        </w:tc>
        <w:tc>
          <w:tcPr>
            <w:tcW w:w="2065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720</w:t>
            </w:r>
          </w:p>
        </w:tc>
        <w:tc>
          <w:tcPr>
            <w:tcW w:w="1643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887</w:t>
            </w:r>
          </w:p>
        </w:tc>
        <w:tc>
          <w:tcPr>
            <w:tcW w:w="1643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1233</w:t>
            </w:r>
          </w:p>
        </w:tc>
      </w:tr>
      <w:tr w:rsidR="00D07C34" w:rsidTr="00684C3F">
        <w:tc>
          <w:tcPr>
            <w:tcW w:w="817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8</w:t>
            </w:r>
          </w:p>
        </w:tc>
        <w:tc>
          <w:tcPr>
            <w:tcW w:w="1843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1000</w:t>
            </w:r>
          </w:p>
        </w:tc>
        <w:tc>
          <w:tcPr>
            <w:tcW w:w="1843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1000</w:t>
            </w:r>
          </w:p>
        </w:tc>
        <w:tc>
          <w:tcPr>
            <w:tcW w:w="2065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480</w:t>
            </w:r>
          </w:p>
        </w:tc>
        <w:tc>
          <w:tcPr>
            <w:tcW w:w="1643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885</w:t>
            </w:r>
          </w:p>
        </w:tc>
        <w:tc>
          <w:tcPr>
            <w:tcW w:w="1643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1152</w:t>
            </w:r>
          </w:p>
        </w:tc>
      </w:tr>
      <w:tr w:rsidR="00D07C34" w:rsidTr="00684C3F">
        <w:tc>
          <w:tcPr>
            <w:tcW w:w="817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9</w:t>
            </w:r>
          </w:p>
        </w:tc>
        <w:tc>
          <w:tcPr>
            <w:tcW w:w="1843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1500</w:t>
            </w:r>
          </w:p>
        </w:tc>
        <w:tc>
          <w:tcPr>
            <w:tcW w:w="1843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0</w:t>
            </w:r>
          </w:p>
        </w:tc>
        <w:tc>
          <w:tcPr>
            <w:tcW w:w="2065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720</w:t>
            </w:r>
          </w:p>
        </w:tc>
        <w:tc>
          <w:tcPr>
            <w:tcW w:w="1643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1456</w:t>
            </w:r>
          </w:p>
        </w:tc>
        <w:tc>
          <w:tcPr>
            <w:tcW w:w="1643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1680</w:t>
            </w:r>
          </w:p>
        </w:tc>
      </w:tr>
      <w:tr w:rsidR="00D07C34" w:rsidTr="00684C3F">
        <w:tc>
          <w:tcPr>
            <w:tcW w:w="817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10</w:t>
            </w:r>
          </w:p>
        </w:tc>
        <w:tc>
          <w:tcPr>
            <w:tcW w:w="1843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1500</w:t>
            </w:r>
          </w:p>
        </w:tc>
        <w:tc>
          <w:tcPr>
            <w:tcW w:w="1843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100</w:t>
            </w:r>
          </w:p>
        </w:tc>
        <w:tc>
          <w:tcPr>
            <w:tcW w:w="2065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615</w:t>
            </w:r>
          </w:p>
        </w:tc>
        <w:tc>
          <w:tcPr>
            <w:tcW w:w="1643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1210</w:t>
            </w:r>
          </w:p>
        </w:tc>
        <w:tc>
          <w:tcPr>
            <w:tcW w:w="1643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1643</w:t>
            </w:r>
          </w:p>
        </w:tc>
      </w:tr>
      <w:tr w:rsidR="00D07C34" w:rsidTr="00684C3F">
        <w:tc>
          <w:tcPr>
            <w:tcW w:w="817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11</w:t>
            </w:r>
          </w:p>
        </w:tc>
        <w:tc>
          <w:tcPr>
            <w:tcW w:w="1843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1500</w:t>
            </w:r>
          </w:p>
        </w:tc>
        <w:tc>
          <w:tcPr>
            <w:tcW w:w="1843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500</w:t>
            </w:r>
          </w:p>
        </w:tc>
        <w:tc>
          <w:tcPr>
            <w:tcW w:w="2065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480</w:t>
            </w:r>
          </w:p>
        </w:tc>
        <w:tc>
          <w:tcPr>
            <w:tcW w:w="1643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1089</w:t>
            </w:r>
          </w:p>
        </w:tc>
        <w:tc>
          <w:tcPr>
            <w:tcW w:w="1643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1520</w:t>
            </w:r>
          </w:p>
        </w:tc>
      </w:tr>
      <w:tr w:rsidR="00D07C34" w:rsidTr="00684C3F">
        <w:tc>
          <w:tcPr>
            <w:tcW w:w="817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12</w:t>
            </w:r>
          </w:p>
        </w:tc>
        <w:tc>
          <w:tcPr>
            <w:tcW w:w="1843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1500</w:t>
            </w:r>
          </w:p>
        </w:tc>
        <w:tc>
          <w:tcPr>
            <w:tcW w:w="1843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1000</w:t>
            </w:r>
          </w:p>
        </w:tc>
        <w:tc>
          <w:tcPr>
            <w:tcW w:w="2065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345</w:t>
            </w:r>
          </w:p>
        </w:tc>
        <w:tc>
          <w:tcPr>
            <w:tcW w:w="1643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847</w:t>
            </w:r>
          </w:p>
        </w:tc>
        <w:tc>
          <w:tcPr>
            <w:tcW w:w="1643" w:type="dxa"/>
            <w:vAlign w:val="center"/>
          </w:tcPr>
          <w:p w:rsidR="00D07C34" w:rsidRDefault="00D07C34" w:rsidP="00684C3F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4"/>
                <w:szCs w:val="24"/>
                <w:lang w:val="uk-UA"/>
              </w:rPr>
              <w:t>1408</w:t>
            </w:r>
          </w:p>
        </w:tc>
      </w:tr>
    </w:tbl>
    <w:p w:rsidR="00D07C34" w:rsidRDefault="00D07C34" w:rsidP="00D07C34">
      <w:pPr>
        <w:spacing w:after="0" w:line="360" w:lineRule="auto"/>
        <w:jc w:val="both"/>
        <w:rPr>
          <w:rFonts w:ascii="Arial" w:hAnsi="Arial" w:cs="Arial"/>
          <w:sz w:val="24"/>
          <w:szCs w:val="24"/>
          <w:lang w:val="uk-UA"/>
        </w:rPr>
      </w:pPr>
      <w:r>
        <w:rPr>
          <w:rFonts w:ascii="Arial" w:hAnsi="Arial" w:cs="Arial"/>
          <w:sz w:val="24"/>
          <w:szCs w:val="24"/>
          <w:lang w:val="uk-UA"/>
        </w:rPr>
        <w:t xml:space="preserve"> </w:t>
      </w:r>
    </w:p>
    <w:p w:rsidR="00D07C34" w:rsidRDefault="00D07C34" w:rsidP="00D07C34">
      <w:pPr>
        <w:spacing w:after="0" w:line="360" w:lineRule="auto"/>
        <w:jc w:val="both"/>
        <w:rPr>
          <w:rFonts w:ascii="Arial" w:hAnsi="Arial" w:cs="Arial"/>
          <w:sz w:val="24"/>
          <w:szCs w:val="24"/>
          <w:lang w:val="uk-UA"/>
        </w:rPr>
      </w:pPr>
      <w:r>
        <w:rPr>
          <w:rFonts w:ascii="Arial" w:hAnsi="Arial" w:cs="Arial"/>
          <w:sz w:val="24"/>
          <w:szCs w:val="24"/>
          <w:lang w:val="uk-UA"/>
        </w:rPr>
        <w:t xml:space="preserve">І – ОДЄ до </w:t>
      </w:r>
      <w:proofErr w:type="spellStart"/>
      <w:r>
        <w:rPr>
          <w:rFonts w:ascii="Arial" w:hAnsi="Arial" w:cs="Arial"/>
          <w:sz w:val="24"/>
          <w:szCs w:val="24"/>
          <w:lang w:val="uk-UA"/>
        </w:rPr>
        <w:t>проскоку</w:t>
      </w:r>
      <w:proofErr w:type="spellEnd"/>
    </w:p>
    <w:p w:rsidR="00D07C34" w:rsidRDefault="00D07C34" w:rsidP="00D07C34">
      <w:pPr>
        <w:spacing w:after="0" w:line="360" w:lineRule="auto"/>
        <w:jc w:val="both"/>
        <w:rPr>
          <w:rFonts w:ascii="Arial" w:hAnsi="Arial" w:cs="Arial"/>
          <w:sz w:val="24"/>
          <w:szCs w:val="24"/>
          <w:vertAlign w:val="superscript"/>
          <w:lang w:val="uk-UA"/>
        </w:rPr>
      </w:pPr>
      <w:r>
        <w:rPr>
          <w:rFonts w:ascii="Arial" w:hAnsi="Arial" w:cs="Arial"/>
          <w:sz w:val="24"/>
          <w:szCs w:val="24"/>
          <w:lang w:val="uk-UA"/>
        </w:rPr>
        <w:t xml:space="preserve">ІІ – ОДЄ до </w:t>
      </w:r>
      <w:proofErr w:type="spellStart"/>
      <w:r>
        <w:rPr>
          <w:rFonts w:ascii="Arial" w:hAnsi="Arial" w:cs="Arial"/>
          <w:sz w:val="24"/>
          <w:szCs w:val="24"/>
          <w:lang w:val="uk-UA"/>
        </w:rPr>
        <w:t>проскоку</w:t>
      </w:r>
      <w:proofErr w:type="spellEnd"/>
      <w:r>
        <w:rPr>
          <w:rFonts w:ascii="Arial" w:hAnsi="Arial" w:cs="Arial"/>
          <w:sz w:val="24"/>
          <w:szCs w:val="24"/>
          <w:lang w:val="uk-UA"/>
        </w:rPr>
        <w:t xml:space="preserve"> концентрації </w:t>
      </w:r>
      <w:r>
        <w:rPr>
          <w:rFonts w:ascii="Arial" w:hAnsi="Arial" w:cs="Arial"/>
          <w:sz w:val="24"/>
          <w:szCs w:val="24"/>
          <w:lang w:val="en-US"/>
        </w:rPr>
        <w:t>NO</w:t>
      </w:r>
      <w:r w:rsidRPr="00AF0219">
        <w:rPr>
          <w:rFonts w:ascii="Arial" w:hAnsi="Arial" w:cs="Arial"/>
          <w:sz w:val="24"/>
          <w:szCs w:val="24"/>
          <w:vertAlign w:val="subscript"/>
        </w:rPr>
        <w:t>3</w:t>
      </w:r>
      <w:r w:rsidRPr="00AF0219">
        <w:rPr>
          <w:rFonts w:ascii="Arial" w:hAnsi="Arial" w:cs="Arial"/>
          <w:sz w:val="24"/>
          <w:szCs w:val="24"/>
          <w:vertAlign w:val="superscript"/>
        </w:rPr>
        <w:t>-</w:t>
      </w:r>
      <w:r>
        <w:rPr>
          <w:rFonts w:ascii="Arial" w:hAnsi="Arial" w:cs="Arial"/>
          <w:sz w:val="24"/>
          <w:szCs w:val="24"/>
          <w:lang w:val="uk-UA"/>
        </w:rPr>
        <w:t xml:space="preserve"> 40</w:t>
      </w:r>
      <w:r w:rsidRPr="00AF0219">
        <w:rPr>
          <w:rFonts w:ascii="Arial" w:hAnsi="Arial" w:cs="Arial"/>
          <w:sz w:val="24"/>
          <w:szCs w:val="24"/>
          <w:lang w:val="uk-UA"/>
        </w:rPr>
        <w:t xml:space="preserve"> </w:t>
      </w:r>
      <w:r>
        <w:rPr>
          <w:rFonts w:ascii="Arial" w:hAnsi="Arial" w:cs="Arial"/>
          <w:sz w:val="24"/>
          <w:szCs w:val="24"/>
          <w:lang w:val="uk-UA"/>
        </w:rPr>
        <w:t>мг/дм</w:t>
      </w:r>
      <w:r>
        <w:rPr>
          <w:rFonts w:ascii="Arial" w:hAnsi="Arial" w:cs="Arial"/>
          <w:sz w:val="24"/>
          <w:szCs w:val="24"/>
          <w:vertAlign w:val="superscript"/>
          <w:lang w:val="uk-UA"/>
        </w:rPr>
        <w:t>3</w:t>
      </w:r>
    </w:p>
    <w:p w:rsidR="00D07C34" w:rsidRDefault="00D07C34" w:rsidP="00D07C34">
      <w:pPr>
        <w:spacing w:after="0" w:line="360" w:lineRule="auto"/>
        <w:jc w:val="both"/>
        <w:rPr>
          <w:rFonts w:ascii="Arial" w:hAnsi="Arial" w:cs="Arial"/>
          <w:sz w:val="24"/>
          <w:szCs w:val="24"/>
          <w:lang w:val="uk-UA"/>
        </w:rPr>
      </w:pPr>
      <w:r>
        <w:rPr>
          <w:rFonts w:ascii="Arial" w:hAnsi="Arial" w:cs="Arial"/>
          <w:sz w:val="24"/>
          <w:szCs w:val="24"/>
          <w:lang w:val="uk-UA"/>
        </w:rPr>
        <w:t>ІІІ – ПОДЄ</w:t>
      </w:r>
    </w:p>
    <w:p w:rsidR="00D07C34" w:rsidRPr="00D07C34" w:rsidRDefault="00D07C34" w:rsidP="00D07C34">
      <w:pPr>
        <w:spacing w:after="0" w:line="360" w:lineRule="auto"/>
        <w:ind w:firstLine="709"/>
        <w:jc w:val="both"/>
        <w:rPr>
          <w:rFonts w:ascii="Arial" w:eastAsia="Times New Roman" w:hAnsi="Arial" w:cs="Arial"/>
          <w:color w:val="000000"/>
          <w:sz w:val="24"/>
          <w:szCs w:val="24"/>
          <w:lang w:val="uk-UA"/>
        </w:rPr>
      </w:pPr>
    </w:p>
    <w:p w:rsidR="00D07C34" w:rsidRPr="00D07C34" w:rsidRDefault="00D07C34" w:rsidP="00D07C34">
      <w:pPr>
        <w:spacing w:after="0" w:line="360" w:lineRule="auto"/>
        <w:ind w:firstLine="709"/>
        <w:jc w:val="both"/>
        <w:rPr>
          <w:rFonts w:ascii="Arial" w:eastAsia="Times New Roman" w:hAnsi="Arial" w:cs="Arial"/>
          <w:color w:val="000000"/>
          <w:sz w:val="24"/>
          <w:szCs w:val="24"/>
          <w:lang w:val="uk-UA"/>
        </w:rPr>
      </w:pP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Проте, коли стоїть питання не лише про виділення нітратів, але і про їх розділення із хлоридами, більш важливим є показник не повної обмінної динамічної ємності, а показник обмінної ємності іоніту по нітратах до 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проскоку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. </w:t>
      </w:r>
    </w:p>
    <w:p w:rsidR="00D07C34" w:rsidRPr="00D07C34" w:rsidRDefault="00D07C34" w:rsidP="00D07C34">
      <w:pPr>
        <w:spacing w:after="0" w:line="360" w:lineRule="auto"/>
        <w:ind w:firstLine="709"/>
        <w:jc w:val="both"/>
        <w:rPr>
          <w:rFonts w:ascii="Arial" w:eastAsia="Times New Roman" w:hAnsi="Arial" w:cs="Arial"/>
          <w:color w:val="000000"/>
          <w:sz w:val="24"/>
          <w:szCs w:val="24"/>
          <w:lang w:val="uk-UA"/>
        </w:rPr>
      </w:pP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В даному </w:t>
      </w:r>
      <w:r w:rsidRPr="00695B1E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випадку </w:t>
      </w:r>
      <w:r w:rsidRPr="00695B1E">
        <w:rPr>
          <w:rFonts w:ascii="Arial" w:hAnsi="Arial" w:cs="Arial"/>
          <w:color w:val="000000"/>
          <w:sz w:val="24"/>
          <w:szCs w:val="24"/>
          <w:lang w:val="uk-UA"/>
        </w:rPr>
        <w:t>(табл.1</w:t>
      </w:r>
      <w:r w:rsidRPr="00695B1E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)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розраховували обмінну динамічну ємність</w:t>
      </w:r>
      <w:r w:rsidR="00695B1E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(ОДЕ) до </w:t>
      </w:r>
      <w:proofErr w:type="spellStart"/>
      <w:r w:rsidR="00695B1E">
        <w:rPr>
          <w:rFonts w:ascii="Arial" w:eastAsia="Times New Roman" w:hAnsi="Arial" w:cs="Arial"/>
          <w:color w:val="000000"/>
          <w:sz w:val="24"/>
          <w:szCs w:val="24"/>
          <w:lang w:val="uk-UA"/>
        </w:rPr>
        <w:t>проскоку</w:t>
      </w:r>
      <w:proofErr w:type="spellEnd"/>
      <w:r w:rsidR="00695B1E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нітратів та ОДЕ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до 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проскоку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нітратів в концентрації 40 мг/дм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. Концентрації 40 мг/дм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вибрали як гранично допустиме значення в питній воді. </w:t>
      </w:r>
    </w:p>
    <w:p w:rsidR="00D07C34" w:rsidRPr="00D07C34" w:rsidRDefault="00D07C34" w:rsidP="00D07C34">
      <w:pPr>
        <w:spacing w:after="0" w:line="360" w:lineRule="auto"/>
        <w:ind w:firstLine="709"/>
        <w:jc w:val="both"/>
        <w:rPr>
          <w:rFonts w:ascii="Arial" w:eastAsia="Times New Roman" w:hAnsi="Arial" w:cs="Arial"/>
          <w:color w:val="000000"/>
          <w:sz w:val="24"/>
          <w:szCs w:val="24"/>
          <w:lang w:val="uk-UA"/>
        </w:rPr>
      </w:pP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В даному випадку спостерігалось зниження ОДЕ як при підвищенні концентрації нітратів, так і хлоридів.</w:t>
      </w:r>
    </w:p>
    <w:p w:rsidR="00D07C34" w:rsidRPr="00D07C34" w:rsidRDefault="00D07C34" w:rsidP="00D07C34">
      <w:pPr>
        <w:spacing w:after="0" w:line="360" w:lineRule="auto"/>
        <w:ind w:firstLine="709"/>
        <w:jc w:val="both"/>
        <w:rPr>
          <w:rFonts w:ascii="Arial" w:eastAsia="Times New Roman" w:hAnsi="Arial" w:cs="Arial"/>
          <w:color w:val="000000"/>
          <w:sz w:val="24"/>
          <w:szCs w:val="24"/>
          <w:lang w:val="uk-UA"/>
        </w:rPr>
      </w:pP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Так, при концентрації нітратів 500 та мг/дм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, ОДЕ до 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проскоку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по NO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b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-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сягала відповідно 1008 та 1129 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мг-екв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при відсутності хлоридів у вихідному розчині. При 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lastRenderedPageBreak/>
        <w:t>підвищенні концентрації хлоридів від 100 до 1000 мг/дм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ОДЕ до 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проскоку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по NO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b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-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за тих же значень концентрацій нітратів знижується з 806 та 810 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мг-екв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до 403 та 480 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мг-екв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. При концентрації нітратів 1500 мг/дм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, ОДЕ до 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проскоку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по NO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b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-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із підвищенням концентрації хлоридів із 100 до 1000 мг/дм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падає із 615 до </w:t>
      </w:r>
      <w:r w:rsidR="00695B1E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              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345 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мг-екв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.</w:t>
      </w:r>
    </w:p>
    <w:p w:rsidR="00D07C34" w:rsidRPr="00D07C34" w:rsidRDefault="00D07C34" w:rsidP="00D07C34">
      <w:pPr>
        <w:spacing w:after="0" w:line="360" w:lineRule="auto"/>
        <w:ind w:firstLine="709"/>
        <w:jc w:val="both"/>
        <w:rPr>
          <w:rFonts w:ascii="Arial" w:eastAsia="Times New Roman" w:hAnsi="Arial" w:cs="Arial"/>
          <w:color w:val="000000"/>
          <w:sz w:val="24"/>
          <w:szCs w:val="24"/>
          <w:lang w:val="uk-UA"/>
        </w:rPr>
      </w:pP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Із приведених даних ви</w:t>
      </w:r>
      <w:r w:rsidR="00695B1E">
        <w:rPr>
          <w:rFonts w:ascii="Arial" w:eastAsia="Times New Roman" w:hAnsi="Arial" w:cs="Arial"/>
          <w:color w:val="000000"/>
          <w:sz w:val="24"/>
          <w:szCs w:val="24"/>
          <w:lang w:val="uk-UA"/>
        </w:rPr>
        <w:t>дно, що виділяти нітрати іонним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обміном краще за низьких концентрацій. Тобто доцільно використовувати аніоніти для вилучення нітратів із природних, стічних чи шахтних вод перед концентруванням їх на 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баромембранних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установках. </w:t>
      </w:r>
    </w:p>
    <w:p w:rsidR="00D07C34" w:rsidRPr="00D07C34" w:rsidRDefault="00D07C34" w:rsidP="00D07C34">
      <w:pPr>
        <w:spacing w:after="0" w:line="360" w:lineRule="auto"/>
        <w:ind w:firstLine="709"/>
        <w:jc w:val="both"/>
        <w:rPr>
          <w:rFonts w:ascii="Arial" w:eastAsia="Times New Roman" w:hAnsi="Arial" w:cs="Arial"/>
          <w:color w:val="000000"/>
          <w:sz w:val="24"/>
          <w:szCs w:val="24"/>
          <w:lang w:val="uk-UA"/>
        </w:rPr>
      </w:pP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При необхідності вилучення нітратів із концентрованих розчинів, застосування іонообмінного методу доцільно при концентраціях нітратів менших 1000 мг/дм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.</w:t>
      </w:r>
    </w:p>
    <w:p w:rsidR="00D07C34" w:rsidRPr="00D07C34" w:rsidRDefault="00D07C34" w:rsidP="00D07C34">
      <w:pPr>
        <w:spacing w:after="0" w:line="360" w:lineRule="auto"/>
        <w:ind w:firstLine="709"/>
        <w:jc w:val="both"/>
        <w:rPr>
          <w:rFonts w:ascii="Arial" w:eastAsia="Times New Roman" w:hAnsi="Arial" w:cs="Arial"/>
          <w:color w:val="000000"/>
          <w:sz w:val="24"/>
          <w:szCs w:val="24"/>
          <w:lang w:val="uk-UA"/>
        </w:rPr>
      </w:pP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При використанні іоніту в Cl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-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формі для його регенерації доцільно використовувати хлористий натрій чи калій, або хлорид амонію. Хлорид натрію є доступним реагентом. А при застосуванні хлориду амонію або хлористого калію, відпрацьовані розчини можна використовувати для виробництва мінеральних добрив.</w:t>
      </w:r>
    </w:p>
    <w:p w:rsidR="00D07C34" w:rsidRDefault="00695B1E" w:rsidP="00D07C34">
      <w:pPr>
        <w:spacing w:after="0" w:line="360" w:lineRule="auto"/>
        <w:ind w:firstLine="709"/>
        <w:jc w:val="both"/>
        <w:rPr>
          <w:rFonts w:ascii="Arial" w:hAnsi="Arial" w:cs="Arial"/>
          <w:color w:val="000000"/>
          <w:sz w:val="24"/>
          <w:szCs w:val="24"/>
          <w:lang w:val="uk-UA"/>
        </w:rPr>
      </w:pPr>
      <w:r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В цілому, як видно з рис. 4 і </w:t>
      </w:r>
      <w:r w:rsidR="00D07C34"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5, регенерація аніоніту АВ-17-8 в NO</w:t>
      </w:r>
      <w:r w:rsidR="00D07C34" w:rsidRPr="00D07C34">
        <w:rPr>
          <w:rFonts w:ascii="Arial" w:eastAsia="Times New Roman" w:hAnsi="Arial" w:cs="Arial"/>
          <w:color w:val="000000"/>
          <w:sz w:val="24"/>
          <w:szCs w:val="24"/>
          <w:vertAlign w:val="subscript"/>
          <w:lang w:val="uk-UA"/>
        </w:rPr>
        <w:t>3</w:t>
      </w:r>
      <w:r w:rsidR="00D07C34"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-</w:t>
      </w:r>
      <w:r w:rsidR="00D07C34"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формі проходить досить ефективно при використанні розчинів </w:t>
      </w:r>
      <w:proofErr w:type="spellStart"/>
      <w:r w:rsidR="00D07C34"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NaCl</w:t>
      </w:r>
      <w:proofErr w:type="spellEnd"/>
      <w:r w:rsidR="00D07C34"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, </w:t>
      </w:r>
      <w:proofErr w:type="spellStart"/>
      <w:r w:rsidR="00D07C34"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KCl</w:t>
      </w:r>
      <w:proofErr w:type="spellEnd"/>
      <w:r w:rsidR="00D07C34"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або NH</w:t>
      </w:r>
      <w:r w:rsidR="00D07C34" w:rsidRPr="00D07C34">
        <w:rPr>
          <w:rFonts w:ascii="Arial" w:eastAsia="Times New Roman" w:hAnsi="Arial" w:cs="Arial"/>
          <w:color w:val="000000"/>
          <w:sz w:val="24"/>
          <w:szCs w:val="24"/>
          <w:vertAlign w:val="subscript"/>
          <w:lang w:val="uk-UA"/>
        </w:rPr>
        <w:t>4</w:t>
      </w:r>
      <w:r w:rsidR="00D07C34"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Cl. Концентрація нітратів в регенераційних розчинах сягає 400 – 500 </w:t>
      </w:r>
      <w:proofErr w:type="spellStart"/>
      <w:r w:rsidR="00D07C34"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мг-екв</w:t>
      </w:r>
      <w:proofErr w:type="spellEnd"/>
      <w:r w:rsidR="00D07C34"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/дм</w:t>
      </w:r>
      <w:r w:rsidR="00D07C34"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="00D07C34"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(~30 г/дм</w:t>
      </w:r>
      <w:r w:rsidR="00D07C34"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="00D07C34"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по нітратах). При питомій витраті регенераційного розчину на заданий об’єм іоніту 5 м</w:t>
      </w:r>
      <w:r w:rsidR="00D07C34"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="00D07C34"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/ </w:t>
      </w:r>
      <w:r w:rsidR="00D07C34" w:rsidRPr="00695B1E">
        <w:rPr>
          <w:rFonts w:ascii="Arial" w:eastAsia="Times New Roman" w:hAnsi="Arial" w:cs="Arial"/>
          <w:color w:val="000000"/>
          <w:sz w:val="24"/>
          <w:szCs w:val="24"/>
          <w:lang w:val="uk-UA"/>
        </w:rPr>
        <w:t>м</w:t>
      </w:r>
      <w:r w:rsidR="00D07C34" w:rsidRPr="00695B1E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</w:t>
      </w:r>
      <w:r w:rsidR="00D07C34" w:rsidRPr="00695B1E">
        <w:rPr>
          <w:rFonts w:ascii="Arial" w:eastAsia="Times New Roman" w:hAnsi="Arial" w:cs="Arial"/>
          <w:color w:val="000000"/>
          <w:sz w:val="24"/>
          <w:szCs w:val="24"/>
          <w:lang w:val="uk-UA"/>
        </w:rPr>
        <w:t>іоніту</w:t>
      </w:r>
      <w:r w:rsidR="00D07C34"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, ступінь регенерації сягає 85 (</w:t>
      </w:r>
      <w:proofErr w:type="spellStart"/>
      <w:r w:rsidR="00D07C34"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NaCl</w:t>
      </w:r>
      <w:proofErr w:type="spellEnd"/>
      <w:r w:rsidR="00D07C34"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), 88 (</w:t>
      </w:r>
      <w:proofErr w:type="spellStart"/>
      <w:r w:rsidR="00D07C34"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KCl</w:t>
      </w:r>
      <w:proofErr w:type="spellEnd"/>
      <w:r w:rsidR="00D07C34"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) та 90 % (NH</w:t>
      </w:r>
      <w:r w:rsidR="00D07C34" w:rsidRPr="00D07C34">
        <w:rPr>
          <w:rFonts w:ascii="Arial" w:eastAsia="Times New Roman" w:hAnsi="Arial" w:cs="Arial"/>
          <w:color w:val="000000"/>
          <w:sz w:val="24"/>
          <w:szCs w:val="24"/>
          <w:vertAlign w:val="subscript"/>
          <w:lang w:val="uk-UA"/>
        </w:rPr>
        <w:t>4</w:t>
      </w:r>
      <w:r w:rsidR="00D07C34"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Cl).</w:t>
      </w:r>
    </w:p>
    <w:p w:rsidR="00D07C34" w:rsidRDefault="00D07C34" w:rsidP="00D07C34">
      <w:pPr>
        <w:spacing w:after="0" w:line="360" w:lineRule="auto"/>
        <w:jc w:val="both"/>
        <w:rPr>
          <w:rFonts w:ascii="Arial" w:hAnsi="Arial" w:cs="Arial"/>
          <w:sz w:val="24"/>
          <w:szCs w:val="24"/>
          <w:lang w:val="uk-UA"/>
        </w:rPr>
      </w:pPr>
    </w:p>
    <w:p w:rsidR="00D07C34" w:rsidRDefault="00D07C34" w:rsidP="00D07C34">
      <w:pPr>
        <w:spacing w:after="0" w:line="360" w:lineRule="auto"/>
        <w:jc w:val="both"/>
        <w:rPr>
          <w:rFonts w:ascii="Arial" w:hAnsi="Arial" w:cs="Arial"/>
          <w:sz w:val="24"/>
          <w:szCs w:val="24"/>
          <w:lang w:val="uk-UA"/>
        </w:rPr>
      </w:pPr>
      <w:r w:rsidRPr="00AF0219">
        <w:rPr>
          <w:rFonts w:ascii="Arial" w:hAnsi="Arial" w:cs="Arial"/>
          <w:noProof/>
          <w:sz w:val="24"/>
          <w:szCs w:val="24"/>
        </w:rPr>
        <w:drawing>
          <wp:inline distT="0" distB="0" distL="0" distR="0">
            <wp:extent cx="5486400" cy="2543175"/>
            <wp:effectExtent l="19050" t="0" r="19050" b="0"/>
            <wp:docPr id="9" name="Диаграмма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D07C34" w:rsidRPr="00D07C34" w:rsidRDefault="00D07C34" w:rsidP="00D07C34">
      <w:pPr>
        <w:spacing w:after="0" w:line="360" w:lineRule="auto"/>
        <w:ind w:firstLine="709"/>
        <w:jc w:val="both"/>
        <w:rPr>
          <w:rFonts w:ascii="Arial" w:eastAsia="Times New Roman" w:hAnsi="Arial" w:cs="Arial"/>
          <w:color w:val="000000"/>
          <w:sz w:val="24"/>
          <w:szCs w:val="24"/>
          <w:lang w:val="uk-UA"/>
        </w:rPr>
      </w:pP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Рис. 4 Вихідні криві десорбції нітрат-аніонів з аніоніту АВ-17-8 в 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en-US"/>
        </w:rPr>
        <w:t>NO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b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-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формі (V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vertAlign w:val="subscript"/>
          <w:lang w:val="en-US"/>
        </w:rPr>
        <w:t>i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= 20 см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) при використанні розчинів: 1,0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en-US"/>
        </w:rPr>
        <w:t>H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en-US"/>
        </w:rPr>
        <w:t>NaOH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(1); 1,1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en-US"/>
        </w:rPr>
        <w:t>H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en-US"/>
        </w:rPr>
        <w:t>Na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bscript"/>
          <w:lang w:val="uk-UA"/>
        </w:rPr>
        <w:t>2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en-US"/>
        </w:rPr>
        <w:t>CO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b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(2); 0,78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en-US"/>
        </w:rPr>
        <w:t>H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en-US"/>
        </w:rPr>
        <w:t>K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bscript"/>
          <w:lang w:val="uk-UA"/>
        </w:rPr>
        <w:t>2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en-US"/>
        </w:rPr>
        <w:t>CO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b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(3); 1,7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en-US"/>
        </w:rPr>
        <w:t>H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(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en-US"/>
        </w:rPr>
        <w:t>NaCl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); 1,7</w:t>
      </w:r>
      <w:r w:rsidR="00695B1E">
        <w:rPr>
          <w:rFonts w:ascii="Arial" w:eastAsia="Times New Roman" w:hAnsi="Arial" w:cs="Arial"/>
          <w:color w:val="000000"/>
          <w:sz w:val="24"/>
          <w:szCs w:val="24"/>
          <w:lang w:val="uk-UA"/>
        </w:rPr>
        <w:t>Н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en-US"/>
        </w:rPr>
        <w:t>KCl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(5); 1,7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en-US"/>
        </w:rPr>
        <w:t>H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en-US"/>
        </w:rPr>
        <w:t>NH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bscript"/>
          <w:lang w:val="uk-UA"/>
        </w:rPr>
        <w:t>4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en-US"/>
        </w:rPr>
        <w:t>Cl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(6)</w:t>
      </w:r>
    </w:p>
    <w:p w:rsidR="00D07C34" w:rsidRDefault="00D07C34" w:rsidP="00D07C34">
      <w:pPr>
        <w:spacing w:after="0" w:line="360" w:lineRule="auto"/>
        <w:jc w:val="both"/>
        <w:rPr>
          <w:rFonts w:ascii="Arial" w:hAnsi="Arial" w:cs="Arial"/>
          <w:sz w:val="24"/>
          <w:szCs w:val="24"/>
          <w:lang w:val="uk-UA"/>
        </w:rPr>
      </w:pPr>
      <w:r w:rsidRPr="00F24CCE">
        <w:rPr>
          <w:rFonts w:ascii="Arial" w:hAnsi="Arial" w:cs="Arial"/>
          <w:noProof/>
          <w:sz w:val="24"/>
          <w:szCs w:val="24"/>
        </w:rPr>
        <w:lastRenderedPageBreak/>
        <w:drawing>
          <wp:inline distT="0" distB="0" distL="0" distR="0">
            <wp:extent cx="5486400" cy="2543175"/>
            <wp:effectExtent l="19050" t="0" r="19050" b="0"/>
            <wp:docPr id="10" name="Диаграм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D07C34" w:rsidRPr="00D07C34" w:rsidRDefault="00D07C34" w:rsidP="00D07C34">
      <w:pPr>
        <w:spacing w:after="0" w:line="360" w:lineRule="auto"/>
        <w:ind w:firstLine="709"/>
        <w:jc w:val="both"/>
        <w:rPr>
          <w:rFonts w:ascii="Arial" w:eastAsia="Times New Roman" w:hAnsi="Arial" w:cs="Arial"/>
          <w:color w:val="000000"/>
          <w:sz w:val="24"/>
          <w:szCs w:val="24"/>
          <w:lang w:val="uk-UA"/>
        </w:rPr>
      </w:pP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Рис. 5 Залежність ступеню десорбції нітратів з аніоніту АВ-17-8 в 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en-US"/>
        </w:rPr>
        <w:t>NO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b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-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формі (V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vertAlign w:val="subscript"/>
          <w:lang w:val="en-US"/>
        </w:rPr>
        <w:t>i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= 20 см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) від пропущеного об’єму розчинів: 1,0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en-US"/>
        </w:rPr>
        <w:t>H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en-US"/>
        </w:rPr>
        <w:t>NaOH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(1); 1,1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en-US"/>
        </w:rPr>
        <w:t>H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en-US"/>
        </w:rPr>
        <w:t>Na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bscript"/>
          <w:lang w:val="uk-UA"/>
        </w:rPr>
        <w:t>2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en-US"/>
        </w:rPr>
        <w:t>CO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b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(2); 0,78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en-US"/>
        </w:rPr>
        <w:t>H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en-US"/>
        </w:rPr>
        <w:t>K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bscript"/>
          <w:lang w:val="uk-UA"/>
        </w:rPr>
        <w:t>2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en-US"/>
        </w:rPr>
        <w:t>CO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b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(3); 1,7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en-US"/>
        </w:rPr>
        <w:t>H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(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en-US"/>
        </w:rPr>
        <w:t>NaCl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); 1,7</w:t>
      </w:r>
      <w:r w:rsidR="00695B1E">
        <w:rPr>
          <w:rFonts w:ascii="Arial" w:eastAsia="Times New Roman" w:hAnsi="Arial" w:cs="Arial"/>
          <w:color w:val="000000"/>
          <w:sz w:val="24"/>
          <w:szCs w:val="24"/>
          <w:lang w:val="uk-UA"/>
        </w:rPr>
        <w:t>Н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en-US"/>
        </w:rPr>
        <w:t>KCl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(5); 1,7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en-US"/>
        </w:rPr>
        <w:t>H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en-US"/>
        </w:rPr>
        <w:t>NH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bscript"/>
          <w:lang w:val="uk-UA"/>
        </w:rPr>
        <w:t>4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en-US"/>
        </w:rPr>
        <w:t>Cl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(6)</w:t>
      </w:r>
    </w:p>
    <w:p w:rsidR="00D07C34" w:rsidRPr="00D07C34" w:rsidRDefault="00D07C34" w:rsidP="00D07C34">
      <w:pPr>
        <w:spacing w:after="0" w:line="360" w:lineRule="auto"/>
        <w:ind w:firstLine="709"/>
        <w:jc w:val="both"/>
        <w:rPr>
          <w:rFonts w:ascii="Arial" w:eastAsia="Times New Roman" w:hAnsi="Arial" w:cs="Arial"/>
          <w:color w:val="000000"/>
          <w:sz w:val="24"/>
          <w:szCs w:val="24"/>
          <w:lang w:val="uk-UA"/>
        </w:rPr>
      </w:pPr>
    </w:p>
    <w:p w:rsidR="00D07C34" w:rsidRPr="00D07C34" w:rsidRDefault="00D07C34" w:rsidP="00D07C34">
      <w:pPr>
        <w:spacing w:after="0" w:line="360" w:lineRule="auto"/>
        <w:ind w:firstLine="709"/>
        <w:jc w:val="both"/>
        <w:rPr>
          <w:rFonts w:ascii="Arial" w:eastAsia="Times New Roman" w:hAnsi="Arial" w:cs="Arial"/>
          <w:color w:val="000000"/>
          <w:sz w:val="24"/>
          <w:szCs w:val="24"/>
          <w:lang w:val="uk-UA"/>
        </w:rPr>
      </w:pP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Подібні результати при регенерації отримані при використанні лугу, соди та поташу з концентрацією 1 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г</w:t>
      </w:r>
      <w:r w:rsidR="00695B1E">
        <w:rPr>
          <w:rFonts w:ascii="Arial" w:eastAsia="Times New Roman" w:hAnsi="Arial" w:cs="Arial"/>
          <w:color w:val="000000"/>
          <w:sz w:val="24"/>
          <w:szCs w:val="24"/>
          <w:lang w:val="uk-UA"/>
        </w:rPr>
        <w:t>-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екв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. При цьому іоніт переходить в OH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-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та CO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b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2-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форму. Іоніт  в основній формі можна використовувати при вилученні з води аніонів з одночасним її пом’якшенням. </w:t>
      </w:r>
    </w:p>
    <w:p w:rsidR="00D07C34" w:rsidRPr="00D07C34" w:rsidRDefault="00D07C34" w:rsidP="00D07C34">
      <w:pPr>
        <w:spacing w:after="0" w:line="360" w:lineRule="auto"/>
        <w:ind w:firstLine="709"/>
        <w:jc w:val="both"/>
        <w:rPr>
          <w:rFonts w:ascii="Arial" w:eastAsia="Times New Roman" w:hAnsi="Arial" w:cs="Arial"/>
          <w:color w:val="000000"/>
          <w:sz w:val="24"/>
          <w:szCs w:val="24"/>
          <w:lang w:val="uk-UA"/>
        </w:rPr>
      </w:pP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ВИСНОВКИ</w:t>
      </w:r>
    </w:p>
    <w:p w:rsidR="00D07C34" w:rsidRPr="00D07C34" w:rsidRDefault="00D07C34" w:rsidP="00D07C34">
      <w:pPr>
        <w:spacing w:after="0" w:line="360" w:lineRule="auto"/>
        <w:ind w:firstLine="709"/>
        <w:jc w:val="both"/>
        <w:rPr>
          <w:rFonts w:ascii="Arial" w:eastAsia="Times New Roman" w:hAnsi="Arial" w:cs="Arial"/>
          <w:color w:val="000000"/>
          <w:sz w:val="24"/>
          <w:szCs w:val="24"/>
          <w:lang w:val="uk-UA"/>
        </w:rPr>
      </w:pP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Визначено вплив концентрації нітратів та співвідношення концентрацій нітратів та хлоридів на ефективність вилучення нітратів з водних розчинів на високоосновному аніоніті АВ-17-8. Показано, що при підвищенні концентрації нітратів у водному розчині, зростає повна обмінна динамічна ємність іоніту по нітратах незалежно від концентрації хлоридів в діапазоні концентрацій від 0 до 1000 мг/дм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.</w:t>
      </w:r>
    </w:p>
    <w:p w:rsidR="00D07C34" w:rsidRPr="00D07C34" w:rsidRDefault="00D07C34" w:rsidP="00D07C34">
      <w:pPr>
        <w:spacing w:after="0" w:line="360" w:lineRule="auto"/>
        <w:ind w:firstLine="709"/>
        <w:jc w:val="both"/>
        <w:rPr>
          <w:rFonts w:ascii="Arial" w:eastAsia="Times New Roman" w:hAnsi="Arial" w:cs="Arial"/>
          <w:color w:val="000000"/>
          <w:sz w:val="24"/>
          <w:szCs w:val="24"/>
          <w:lang w:val="uk-UA"/>
        </w:rPr>
      </w:pP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Показано, що обмінна динамічна ємність до 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проскоку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аніоніту АВ-17-8 по нітратах знижується із підвищенням концентр</w:t>
      </w:r>
      <w:r w:rsidR="00695B1E">
        <w:rPr>
          <w:rFonts w:ascii="Arial" w:eastAsia="Times New Roman" w:hAnsi="Arial" w:cs="Arial"/>
          <w:color w:val="000000"/>
          <w:sz w:val="24"/>
          <w:szCs w:val="24"/>
          <w:lang w:val="uk-UA"/>
        </w:rPr>
        <w:t>ацій нітратів в діапазоні 500-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1500 мг/дм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та х</w:t>
      </w:r>
      <w:r w:rsidR="00695B1E">
        <w:rPr>
          <w:rFonts w:ascii="Arial" w:eastAsia="Times New Roman" w:hAnsi="Arial" w:cs="Arial"/>
          <w:color w:val="000000"/>
          <w:sz w:val="24"/>
          <w:szCs w:val="24"/>
          <w:lang w:val="uk-UA"/>
        </w:rPr>
        <w:t>лоридів при концентраціях 100-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1000 мг/дм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. При цьому величина ОДЕ до 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проскоку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по нітратах в більшій мірі залежить від концентрації хлоридів у вихідному розчині. Задовільних результатів по розділенню нітратів і хлоридів можна досягти при концентраціях нітратів та хлоридів менше 1000 мг/дм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.</w:t>
      </w:r>
    </w:p>
    <w:p w:rsidR="00D07C34" w:rsidRPr="00D07C34" w:rsidRDefault="00D07C34" w:rsidP="00D07C34">
      <w:pPr>
        <w:spacing w:after="0" w:line="360" w:lineRule="auto"/>
        <w:ind w:firstLine="709"/>
        <w:jc w:val="both"/>
        <w:rPr>
          <w:rFonts w:ascii="Arial" w:eastAsia="Times New Roman" w:hAnsi="Arial" w:cs="Arial"/>
          <w:color w:val="000000"/>
          <w:sz w:val="24"/>
          <w:szCs w:val="24"/>
          <w:lang w:val="uk-UA"/>
        </w:rPr>
      </w:pP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Встановлено, що аніоніт АВ-17-8 в нітратній формі досить ефективно регенерується при концентрації хлористого натрію, калію або амонію ~1,7 </w:t>
      </w:r>
      <w:proofErr w:type="spellStart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г</w:t>
      </w:r>
      <w:r w:rsidR="00695B1E">
        <w:rPr>
          <w:rFonts w:ascii="Arial" w:eastAsia="Times New Roman" w:hAnsi="Arial" w:cs="Arial"/>
          <w:color w:val="000000"/>
          <w:sz w:val="24"/>
          <w:szCs w:val="24"/>
          <w:lang w:val="uk-UA"/>
        </w:rPr>
        <w:t>-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екв</w:t>
      </w:r>
      <w:proofErr w:type="spellEnd"/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>/дм</w:t>
      </w:r>
      <w:r w:rsidRPr="00D07C34">
        <w:rPr>
          <w:rFonts w:ascii="Arial" w:eastAsia="Times New Roman" w:hAnsi="Arial" w:cs="Arial"/>
          <w:color w:val="000000"/>
          <w:sz w:val="24"/>
          <w:szCs w:val="24"/>
          <w:vertAlign w:val="superscript"/>
          <w:lang w:val="uk-UA"/>
        </w:rPr>
        <w:t>3</w:t>
      </w:r>
      <w:r w:rsidRPr="00D07C34">
        <w:rPr>
          <w:rFonts w:ascii="Arial" w:eastAsia="Times New Roman" w:hAnsi="Arial" w:cs="Arial"/>
          <w:color w:val="000000"/>
          <w:sz w:val="24"/>
          <w:szCs w:val="24"/>
          <w:lang w:val="uk-UA"/>
        </w:rPr>
        <w:t xml:space="preserve"> та при застосуванні 1Н розчинів лугу, соди або поташу. Аніоніт в основній або карбонатній формі можна використовувати для вилучення з води аніонів з одночасним її пом’якшенням. </w:t>
      </w:r>
    </w:p>
    <w:p w:rsidR="00D07C34" w:rsidRPr="00D07C34" w:rsidRDefault="00204799" w:rsidP="00204799">
      <w:pPr>
        <w:spacing w:after="0" w:line="360" w:lineRule="auto"/>
        <w:ind w:firstLine="709"/>
        <w:jc w:val="center"/>
        <w:rPr>
          <w:rFonts w:ascii="Arial" w:eastAsia="Times New Roman" w:hAnsi="Arial" w:cs="Arial"/>
          <w:color w:val="000000"/>
          <w:sz w:val="24"/>
          <w:szCs w:val="24"/>
          <w:lang w:val="uk-UA"/>
        </w:rPr>
      </w:pPr>
      <w:r>
        <w:rPr>
          <w:rFonts w:ascii="Arial" w:eastAsia="Times New Roman" w:hAnsi="Arial" w:cs="Arial"/>
          <w:color w:val="000000"/>
          <w:sz w:val="24"/>
          <w:szCs w:val="24"/>
          <w:lang w:val="uk-UA"/>
        </w:rPr>
        <w:lastRenderedPageBreak/>
        <w:t>Список використаних джерел</w:t>
      </w:r>
    </w:p>
    <w:p w:rsidR="00D07C34" w:rsidRPr="00D07C34" w:rsidRDefault="00695B1E" w:rsidP="00D07C34">
      <w:pPr>
        <w:pStyle w:val="a"/>
        <w:spacing w:line="360" w:lineRule="auto"/>
        <w:ind w:left="0"/>
        <w:jc w:val="both"/>
        <w:rPr>
          <w:rFonts w:ascii="Arial" w:hAnsi="Arial" w:cs="Arial"/>
          <w:lang w:val="uk-UA"/>
        </w:rPr>
      </w:pPr>
      <w:proofErr w:type="spellStart"/>
      <w:r>
        <w:rPr>
          <w:rFonts w:ascii="Arial" w:hAnsi="Arial" w:cs="Arial"/>
          <w:lang w:val="uk-UA"/>
        </w:rPr>
        <w:t>Агапов</w:t>
      </w:r>
      <w:proofErr w:type="spellEnd"/>
      <w:r>
        <w:rPr>
          <w:rFonts w:ascii="Arial" w:hAnsi="Arial" w:cs="Arial"/>
          <w:lang w:val="uk-UA"/>
        </w:rPr>
        <w:t xml:space="preserve"> А.</w:t>
      </w:r>
      <w:r w:rsidR="00D07C34" w:rsidRPr="00D07C34">
        <w:rPr>
          <w:rFonts w:ascii="Arial" w:hAnsi="Arial" w:cs="Arial"/>
          <w:lang w:val="uk-UA"/>
        </w:rPr>
        <w:t xml:space="preserve">Е. </w:t>
      </w:r>
      <w:proofErr w:type="spellStart"/>
      <w:r w:rsidR="00D07C34" w:rsidRPr="00D07C34">
        <w:rPr>
          <w:rFonts w:ascii="Arial" w:hAnsi="Arial" w:cs="Arial"/>
          <w:lang w:val="uk-UA"/>
        </w:rPr>
        <w:t>Шахтные</w:t>
      </w:r>
      <w:proofErr w:type="spellEnd"/>
      <w:r w:rsidR="00D07C34" w:rsidRPr="00D07C34">
        <w:rPr>
          <w:rFonts w:ascii="Arial" w:hAnsi="Arial" w:cs="Arial"/>
          <w:lang w:val="uk-UA"/>
        </w:rPr>
        <w:t xml:space="preserve"> и </w:t>
      </w:r>
      <w:proofErr w:type="spellStart"/>
      <w:r w:rsidR="00D07C34" w:rsidRPr="00D07C34">
        <w:rPr>
          <w:rFonts w:ascii="Arial" w:hAnsi="Arial" w:cs="Arial"/>
          <w:lang w:val="uk-UA"/>
        </w:rPr>
        <w:t>карьерные</w:t>
      </w:r>
      <w:proofErr w:type="spellEnd"/>
      <w:r w:rsidR="00D07C34" w:rsidRPr="00D07C34">
        <w:rPr>
          <w:rFonts w:ascii="Arial" w:hAnsi="Arial" w:cs="Arial"/>
          <w:lang w:val="uk-UA"/>
        </w:rPr>
        <w:t xml:space="preserve"> </w:t>
      </w:r>
      <w:proofErr w:type="spellStart"/>
      <w:r w:rsidR="00D07C34" w:rsidRPr="00D07C34">
        <w:rPr>
          <w:rFonts w:ascii="Arial" w:hAnsi="Arial" w:cs="Arial"/>
          <w:lang w:val="uk-UA"/>
        </w:rPr>
        <w:t>во</w:t>
      </w:r>
      <w:r>
        <w:rPr>
          <w:rFonts w:ascii="Arial" w:hAnsi="Arial" w:cs="Arial"/>
          <w:lang w:val="uk-UA"/>
        </w:rPr>
        <w:t>ды</w:t>
      </w:r>
      <w:proofErr w:type="spellEnd"/>
      <w:r>
        <w:rPr>
          <w:rFonts w:ascii="Arial" w:hAnsi="Arial" w:cs="Arial"/>
          <w:lang w:val="uk-UA"/>
        </w:rPr>
        <w:t xml:space="preserve"> </w:t>
      </w:r>
      <w:proofErr w:type="spellStart"/>
      <w:r>
        <w:rPr>
          <w:rFonts w:ascii="Arial" w:hAnsi="Arial" w:cs="Arial"/>
          <w:lang w:val="uk-UA"/>
        </w:rPr>
        <w:t>угольной</w:t>
      </w:r>
      <w:proofErr w:type="spellEnd"/>
      <w:r>
        <w:rPr>
          <w:rFonts w:ascii="Arial" w:hAnsi="Arial" w:cs="Arial"/>
          <w:lang w:val="uk-UA"/>
        </w:rPr>
        <w:t xml:space="preserve"> </w:t>
      </w:r>
      <w:proofErr w:type="spellStart"/>
      <w:r>
        <w:rPr>
          <w:rFonts w:ascii="Arial" w:hAnsi="Arial" w:cs="Arial"/>
          <w:lang w:val="uk-UA"/>
        </w:rPr>
        <w:t>промышленности</w:t>
      </w:r>
      <w:proofErr w:type="spellEnd"/>
      <w:r>
        <w:rPr>
          <w:rFonts w:ascii="Arial" w:hAnsi="Arial" w:cs="Arial"/>
          <w:lang w:val="uk-UA"/>
        </w:rPr>
        <w:t xml:space="preserve"> / А.Е. </w:t>
      </w:r>
      <w:proofErr w:type="spellStart"/>
      <w:r>
        <w:rPr>
          <w:rFonts w:ascii="Arial" w:hAnsi="Arial" w:cs="Arial"/>
          <w:lang w:val="uk-UA"/>
        </w:rPr>
        <w:t>Агапов</w:t>
      </w:r>
      <w:proofErr w:type="spellEnd"/>
      <w:r>
        <w:rPr>
          <w:rFonts w:ascii="Arial" w:hAnsi="Arial" w:cs="Arial"/>
          <w:lang w:val="uk-UA"/>
        </w:rPr>
        <w:t xml:space="preserve">, А.М. </w:t>
      </w:r>
      <w:proofErr w:type="spellStart"/>
      <w:r>
        <w:rPr>
          <w:rFonts w:ascii="Arial" w:hAnsi="Arial" w:cs="Arial"/>
          <w:lang w:val="uk-UA"/>
        </w:rPr>
        <w:t>Навитный</w:t>
      </w:r>
      <w:proofErr w:type="spellEnd"/>
      <w:r>
        <w:rPr>
          <w:rFonts w:ascii="Arial" w:hAnsi="Arial" w:cs="Arial"/>
          <w:lang w:val="uk-UA"/>
        </w:rPr>
        <w:t xml:space="preserve">, Ю.В. </w:t>
      </w:r>
      <w:proofErr w:type="spellStart"/>
      <w:r>
        <w:rPr>
          <w:rFonts w:ascii="Arial" w:hAnsi="Arial" w:cs="Arial"/>
          <w:lang w:val="uk-UA"/>
        </w:rPr>
        <w:t>Каплунов</w:t>
      </w:r>
      <w:proofErr w:type="spellEnd"/>
      <w:r>
        <w:rPr>
          <w:rFonts w:ascii="Arial" w:hAnsi="Arial" w:cs="Arial"/>
          <w:lang w:val="uk-UA"/>
        </w:rPr>
        <w:t>, А.</w:t>
      </w:r>
      <w:r w:rsidR="00D07C34" w:rsidRPr="00D07C34">
        <w:rPr>
          <w:rFonts w:ascii="Arial" w:hAnsi="Arial" w:cs="Arial"/>
          <w:lang w:val="uk-UA"/>
        </w:rPr>
        <w:t xml:space="preserve">А. </w:t>
      </w:r>
      <w:proofErr w:type="spellStart"/>
      <w:r w:rsidR="00D07C34" w:rsidRPr="00D07C34">
        <w:rPr>
          <w:rFonts w:ascii="Arial" w:hAnsi="Arial" w:cs="Arial"/>
          <w:lang w:val="uk-UA"/>
        </w:rPr>
        <w:t>Харионовский</w:t>
      </w:r>
      <w:proofErr w:type="spellEnd"/>
      <w:r w:rsidR="00D07C34" w:rsidRPr="00D07C34">
        <w:rPr>
          <w:rFonts w:ascii="Arial" w:hAnsi="Arial" w:cs="Arial"/>
          <w:lang w:val="uk-UA"/>
        </w:rPr>
        <w:t xml:space="preserve"> // </w:t>
      </w:r>
      <w:proofErr w:type="spellStart"/>
      <w:r w:rsidR="00D07C34" w:rsidRPr="00D07C34">
        <w:rPr>
          <w:rFonts w:ascii="Arial" w:hAnsi="Arial" w:cs="Arial"/>
          <w:lang w:val="uk-UA"/>
        </w:rPr>
        <w:t>Справочный</w:t>
      </w:r>
      <w:proofErr w:type="spellEnd"/>
      <w:r w:rsidR="00D07C34" w:rsidRPr="00D07C34">
        <w:rPr>
          <w:rFonts w:ascii="Arial" w:hAnsi="Arial" w:cs="Arial"/>
          <w:lang w:val="uk-UA"/>
        </w:rPr>
        <w:t xml:space="preserve"> </w:t>
      </w:r>
      <w:proofErr w:type="spellStart"/>
      <w:r w:rsidR="00D07C34" w:rsidRPr="00D07C34">
        <w:rPr>
          <w:rFonts w:ascii="Arial" w:hAnsi="Arial" w:cs="Arial"/>
          <w:lang w:val="uk-UA"/>
        </w:rPr>
        <w:t>обзор</w:t>
      </w:r>
      <w:proofErr w:type="spellEnd"/>
      <w:r w:rsidR="00D07C34" w:rsidRPr="00D07C34">
        <w:rPr>
          <w:rFonts w:ascii="Arial" w:hAnsi="Arial" w:cs="Arial"/>
          <w:lang w:val="uk-UA"/>
        </w:rPr>
        <w:t xml:space="preserve">. М.: </w:t>
      </w:r>
      <w:proofErr w:type="spellStart"/>
      <w:r w:rsidR="00D07C34" w:rsidRPr="00D07C34">
        <w:rPr>
          <w:rFonts w:ascii="Arial" w:hAnsi="Arial" w:cs="Arial"/>
          <w:lang w:val="uk-UA"/>
        </w:rPr>
        <w:t>Центральный</w:t>
      </w:r>
      <w:proofErr w:type="spellEnd"/>
      <w:r w:rsidR="00D07C34" w:rsidRPr="00D07C34">
        <w:rPr>
          <w:rFonts w:ascii="Arial" w:hAnsi="Arial" w:cs="Arial"/>
          <w:lang w:val="uk-UA"/>
        </w:rPr>
        <w:t xml:space="preserve"> </w:t>
      </w:r>
      <w:proofErr w:type="spellStart"/>
      <w:r w:rsidR="00D07C34" w:rsidRPr="00D07C34">
        <w:rPr>
          <w:rFonts w:ascii="Arial" w:hAnsi="Arial" w:cs="Arial"/>
          <w:lang w:val="uk-UA"/>
        </w:rPr>
        <w:t>издательский</w:t>
      </w:r>
      <w:proofErr w:type="spellEnd"/>
      <w:r w:rsidR="00D07C34" w:rsidRPr="00D07C34">
        <w:rPr>
          <w:rFonts w:ascii="Arial" w:hAnsi="Arial" w:cs="Arial"/>
          <w:lang w:val="uk-UA"/>
        </w:rPr>
        <w:t xml:space="preserve"> </w:t>
      </w:r>
      <w:proofErr w:type="spellStart"/>
      <w:r w:rsidR="00D07C34" w:rsidRPr="00D07C34">
        <w:rPr>
          <w:rFonts w:ascii="Arial" w:hAnsi="Arial" w:cs="Arial"/>
          <w:lang w:val="uk-UA"/>
        </w:rPr>
        <w:t>дом</w:t>
      </w:r>
      <w:proofErr w:type="spellEnd"/>
      <w:r w:rsidR="00D07C34" w:rsidRPr="00D07C34">
        <w:rPr>
          <w:rFonts w:ascii="Arial" w:hAnsi="Arial" w:cs="Arial"/>
          <w:lang w:val="uk-UA"/>
        </w:rPr>
        <w:t xml:space="preserve">. – 2007. – </w:t>
      </w:r>
      <w:r w:rsidR="00D07C34" w:rsidRPr="00D07C34">
        <w:rPr>
          <w:rFonts w:ascii="Arial" w:hAnsi="Arial" w:cs="Arial"/>
          <w:color w:val="000000"/>
          <w:shd w:val="clear" w:color="auto" w:fill="FFFFFF"/>
          <w:lang w:val="uk-UA"/>
        </w:rPr>
        <w:t>357</w:t>
      </w:r>
      <w:r w:rsidR="00D07C34" w:rsidRPr="00D07C34">
        <w:rPr>
          <w:rFonts w:ascii="Arial" w:hAnsi="Arial" w:cs="Arial"/>
          <w:lang w:val="uk-UA"/>
        </w:rPr>
        <w:t xml:space="preserve"> С. </w:t>
      </w:r>
    </w:p>
    <w:p w:rsidR="00D07C34" w:rsidRPr="00D07C34" w:rsidRDefault="00695B1E" w:rsidP="00D07C34">
      <w:pPr>
        <w:pStyle w:val="a"/>
        <w:spacing w:line="360" w:lineRule="auto"/>
        <w:ind w:left="0"/>
        <w:jc w:val="both"/>
        <w:rPr>
          <w:rFonts w:ascii="Arial" w:hAnsi="Arial" w:cs="Arial"/>
          <w:lang w:val="uk-UA"/>
        </w:rPr>
      </w:pPr>
      <w:r>
        <w:rPr>
          <w:rFonts w:ascii="Arial" w:hAnsi="Arial" w:cs="Arial"/>
          <w:lang w:val="uk-UA"/>
        </w:rPr>
        <w:t>Мєшкова-Клименко Н.</w:t>
      </w:r>
      <w:r w:rsidR="00D07C34" w:rsidRPr="00D07C34">
        <w:rPr>
          <w:rFonts w:ascii="Arial" w:hAnsi="Arial" w:cs="Arial"/>
          <w:lang w:val="uk-UA"/>
        </w:rPr>
        <w:t>А. Інтенсифікація технологічних процесів комплексного очищення стічних вод промис</w:t>
      </w:r>
      <w:r>
        <w:rPr>
          <w:rFonts w:ascii="Arial" w:hAnsi="Arial" w:cs="Arial"/>
          <w:lang w:val="uk-UA"/>
        </w:rPr>
        <w:t xml:space="preserve">лово-урбаністичних центрів / Н.А. Мєшкова-Клименко, С.М. </w:t>
      </w:r>
      <w:proofErr w:type="spellStart"/>
      <w:r>
        <w:rPr>
          <w:rFonts w:ascii="Arial" w:hAnsi="Arial" w:cs="Arial"/>
          <w:lang w:val="uk-UA"/>
        </w:rPr>
        <w:t>Епоян</w:t>
      </w:r>
      <w:proofErr w:type="spellEnd"/>
      <w:r>
        <w:rPr>
          <w:rFonts w:ascii="Arial" w:hAnsi="Arial" w:cs="Arial"/>
          <w:lang w:val="uk-UA"/>
        </w:rPr>
        <w:t xml:space="preserve">, М.Д. Гомеля, В.І. </w:t>
      </w:r>
      <w:proofErr w:type="spellStart"/>
      <w:r>
        <w:rPr>
          <w:rFonts w:ascii="Arial" w:hAnsi="Arial" w:cs="Arial"/>
          <w:lang w:val="uk-UA"/>
        </w:rPr>
        <w:t>Нездоймінов</w:t>
      </w:r>
      <w:proofErr w:type="spellEnd"/>
      <w:r>
        <w:rPr>
          <w:rFonts w:ascii="Arial" w:hAnsi="Arial" w:cs="Arial"/>
          <w:lang w:val="uk-UA"/>
        </w:rPr>
        <w:t xml:space="preserve">, В.М. </w:t>
      </w:r>
      <w:proofErr w:type="spellStart"/>
      <w:r>
        <w:rPr>
          <w:rFonts w:ascii="Arial" w:hAnsi="Arial" w:cs="Arial"/>
          <w:lang w:val="uk-UA"/>
        </w:rPr>
        <w:t>Чернишев</w:t>
      </w:r>
      <w:proofErr w:type="spellEnd"/>
      <w:r>
        <w:rPr>
          <w:rFonts w:ascii="Arial" w:hAnsi="Arial" w:cs="Arial"/>
          <w:lang w:val="uk-UA"/>
        </w:rPr>
        <w:t xml:space="preserve">, В.І. </w:t>
      </w:r>
      <w:proofErr w:type="spellStart"/>
      <w:r>
        <w:rPr>
          <w:rFonts w:ascii="Arial" w:hAnsi="Arial" w:cs="Arial"/>
          <w:lang w:val="uk-UA"/>
        </w:rPr>
        <w:t>Кашковський</w:t>
      </w:r>
      <w:proofErr w:type="spellEnd"/>
      <w:r>
        <w:rPr>
          <w:rFonts w:ascii="Arial" w:hAnsi="Arial" w:cs="Arial"/>
          <w:lang w:val="uk-UA"/>
        </w:rPr>
        <w:t xml:space="preserve">,        А.О. </w:t>
      </w:r>
      <w:proofErr w:type="spellStart"/>
      <w:r>
        <w:rPr>
          <w:rFonts w:ascii="Arial" w:hAnsi="Arial" w:cs="Arial"/>
          <w:lang w:val="uk-UA"/>
        </w:rPr>
        <w:t>Кавіцька</w:t>
      </w:r>
      <w:proofErr w:type="spellEnd"/>
      <w:r>
        <w:rPr>
          <w:rFonts w:ascii="Arial" w:hAnsi="Arial" w:cs="Arial"/>
          <w:lang w:val="uk-UA"/>
        </w:rPr>
        <w:t>, С.</w:t>
      </w:r>
      <w:r w:rsidR="00D07C34" w:rsidRPr="00D07C34">
        <w:rPr>
          <w:rFonts w:ascii="Arial" w:hAnsi="Arial" w:cs="Arial"/>
          <w:lang w:val="uk-UA"/>
        </w:rPr>
        <w:t>К.</w:t>
      </w:r>
      <w:r>
        <w:rPr>
          <w:rFonts w:ascii="Arial" w:hAnsi="Arial" w:cs="Arial"/>
          <w:lang w:val="uk-UA"/>
        </w:rPr>
        <w:t xml:space="preserve"> </w:t>
      </w:r>
      <w:proofErr w:type="spellStart"/>
      <w:r>
        <w:rPr>
          <w:rFonts w:ascii="Arial" w:hAnsi="Arial" w:cs="Arial"/>
          <w:lang w:val="uk-UA"/>
        </w:rPr>
        <w:t>Смолін</w:t>
      </w:r>
      <w:proofErr w:type="spellEnd"/>
      <w:r>
        <w:rPr>
          <w:rFonts w:ascii="Arial" w:hAnsi="Arial" w:cs="Arial"/>
          <w:lang w:val="uk-UA"/>
        </w:rPr>
        <w:t>, В.</w:t>
      </w:r>
      <w:r w:rsidR="00D07C34" w:rsidRPr="00D07C34">
        <w:rPr>
          <w:rFonts w:ascii="Arial" w:hAnsi="Arial" w:cs="Arial"/>
          <w:lang w:val="uk-UA"/>
        </w:rPr>
        <w:t xml:space="preserve">О. </w:t>
      </w:r>
      <w:proofErr w:type="spellStart"/>
      <w:r w:rsidR="00D07C34" w:rsidRPr="00D07C34">
        <w:rPr>
          <w:rFonts w:ascii="Arial" w:hAnsi="Arial" w:cs="Arial"/>
          <w:lang w:val="uk-UA"/>
        </w:rPr>
        <w:t>Євдокименко</w:t>
      </w:r>
      <w:proofErr w:type="spellEnd"/>
      <w:r w:rsidR="00D07C34" w:rsidRPr="00D07C34">
        <w:rPr>
          <w:rFonts w:ascii="Arial" w:hAnsi="Arial" w:cs="Arial"/>
          <w:lang w:val="uk-UA"/>
        </w:rPr>
        <w:t>. – Харків: ТОВ «ТО Ексклюзив», 2013. – 239 С.</w:t>
      </w:r>
    </w:p>
    <w:p w:rsidR="00D07C34" w:rsidRPr="00D07C34" w:rsidRDefault="00695B1E" w:rsidP="00D07C34">
      <w:pPr>
        <w:pStyle w:val="a"/>
        <w:spacing w:line="360" w:lineRule="auto"/>
        <w:ind w:left="0"/>
        <w:jc w:val="both"/>
        <w:rPr>
          <w:rFonts w:ascii="Arial" w:hAnsi="Arial" w:cs="Arial"/>
          <w:lang w:val="uk-UA"/>
        </w:rPr>
      </w:pPr>
      <w:proofErr w:type="spellStart"/>
      <w:r>
        <w:rPr>
          <w:rFonts w:ascii="Arial" w:hAnsi="Arial" w:cs="Arial"/>
          <w:lang w:val="uk-UA"/>
        </w:rPr>
        <w:t>Шаблій</w:t>
      </w:r>
      <w:proofErr w:type="spellEnd"/>
      <w:r>
        <w:rPr>
          <w:rFonts w:ascii="Arial" w:hAnsi="Arial" w:cs="Arial"/>
          <w:lang w:val="uk-UA"/>
        </w:rPr>
        <w:t xml:space="preserve"> Т.</w:t>
      </w:r>
      <w:r w:rsidR="00D07C34" w:rsidRPr="00D07C34">
        <w:rPr>
          <w:rFonts w:ascii="Arial" w:hAnsi="Arial" w:cs="Arial"/>
          <w:lang w:val="uk-UA"/>
        </w:rPr>
        <w:t xml:space="preserve">О. Застосування нових реагентів і технологій в промисловому </w:t>
      </w:r>
      <w:r>
        <w:rPr>
          <w:rFonts w:ascii="Arial" w:hAnsi="Arial" w:cs="Arial"/>
          <w:lang w:val="uk-UA"/>
        </w:rPr>
        <w:t xml:space="preserve">водоспоживанні / Т.О. </w:t>
      </w:r>
      <w:proofErr w:type="spellStart"/>
      <w:r>
        <w:rPr>
          <w:rFonts w:ascii="Arial" w:hAnsi="Arial" w:cs="Arial"/>
          <w:lang w:val="uk-UA"/>
        </w:rPr>
        <w:t>Шаблій</w:t>
      </w:r>
      <w:proofErr w:type="spellEnd"/>
      <w:r>
        <w:rPr>
          <w:rFonts w:ascii="Arial" w:hAnsi="Arial" w:cs="Arial"/>
          <w:lang w:val="uk-UA"/>
        </w:rPr>
        <w:t xml:space="preserve">, В.М. </w:t>
      </w:r>
      <w:proofErr w:type="spellStart"/>
      <w:r>
        <w:rPr>
          <w:rFonts w:ascii="Arial" w:hAnsi="Arial" w:cs="Arial"/>
          <w:lang w:val="uk-UA"/>
        </w:rPr>
        <w:t>Радовенчик</w:t>
      </w:r>
      <w:proofErr w:type="spellEnd"/>
      <w:r>
        <w:rPr>
          <w:rFonts w:ascii="Arial" w:hAnsi="Arial" w:cs="Arial"/>
          <w:lang w:val="uk-UA"/>
        </w:rPr>
        <w:t>, М.</w:t>
      </w:r>
      <w:r w:rsidR="00D07C34" w:rsidRPr="00D07C34">
        <w:rPr>
          <w:rFonts w:ascii="Arial" w:hAnsi="Arial" w:cs="Arial"/>
          <w:lang w:val="uk-UA"/>
        </w:rPr>
        <w:t xml:space="preserve">Д. Гомеля. – К.: </w:t>
      </w:r>
      <w:proofErr w:type="spellStart"/>
      <w:r w:rsidR="00D07C34" w:rsidRPr="00D07C34">
        <w:rPr>
          <w:rFonts w:ascii="Arial" w:hAnsi="Arial" w:cs="Arial"/>
          <w:lang w:val="uk-UA"/>
        </w:rPr>
        <w:t>Інфодрук</w:t>
      </w:r>
      <w:proofErr w:type="spellEnd"/>
      <w:r w:rsidR="00D07C34" w:rsidRPr="00D07C34">
        <w:rPr>
          <w:rFonts w:ascii="Arial" w:hAnsi="Arial" w:cs="Arial"/>
          <w:lang w:val="uk-UA"/>
        </w:rPr>
        <w:t>, 2014. – 302 С.</w:t>
      </w:r>
    </w:p>
    <w:p w:rsidR="00D07C34" w:rsidRPr="00D07C34" w:rsidRDefault="00695B1E" w:rsidP="00D07C34">
      <w:pPr>
        <w:pStyle w:val="a"/>
        <w:spacing w:line="360" w:lineRule="auto"/>
        <w:ind w:left="0"/>
        <w:jc w:val="both"/>
        <w:rPr>
          <w:rFonts w:ascii="Arial" w:hAnsi="Arial" w:cs="Arial"/>
          <w:lang w:val="uk-UA"/>
        </w:rPr>
      </w:pPr>
      <w:proofErr w:type="spellStart"/>
      <w:r>
        <w:rPr>
          <w:rFonts w:ascii="Arial" w:hAnsi="Arial" w:cs="Arial"/>
          <w:lang w:val="uk-UA"/>
        </w:rPr>
        <w:t>Рисухін</w:t>
      </w:r>
      <w:proofErr w:type="spellEnd"/>
      <w:r>
        <w:rPr>
          <w:rFonts w:ascii="Arial" w:hAnsi="Arial" w:cs="Arial"/>
          <w:lang w:val="uk-UA"/>
        </w:rPr>
        <w:t xml:space="preserve"> В.</w:t>
      </w:r>
      <w:r w:rsidR="00D07C34" w:rsidRPr="00D07C34">
        <w:rPr>
          <w:rFonts w:ascii="Arial" w:hAnsi="Arial" w:cs="Arial"/>
          <w:lang w:val="uk-UA"/>
        </w:rPr>
        <w:t xml:space="preserve">В. Вилучення сульфатів із концентратів, що утворюються при </w:t>
      </w:r>
      <w:proofErr w:type="spellStart"/>
      <w:r w:rsidR="00D07C34" w:rsidRPr="00D07C34">
        <w:rPr>
          <w:rFonts w:ascii="Arial" w:hAnsi="Arial" w:cs="Arial"/>
          <w:lang w:val="uk-UA"/>
        </w:rPr>
        <w:t>нанофільтрац</w:t>
      </w:r>
      <w:r>
        <w:rPr>
          <w:rFonts w:ascii="Arial" w:hAnsi="Arial" w:cs="Arial"/>
          <w:lang w:val="uk-UA"/>
        </w:rPr>
        <w:t>ійній</w:t>
      </w:r>
      <w:proofErr w:type="spellEnd"/>
      <w:r>
        <w:rPr>
          <w:rFonts w:ascii="Arial" w:hAnsi="Arial" w:cs="Arial"/>
          <w:lang w:val="uk-UA"/>
        </w:rPr>
        <w:t xml:space="preserve"> </w:t>
      </w:r>
      <w:proofErr w:type="spellStart"/>
      <w:r>
        <w:rPr>
          <w:rFonts w:ascii="Arial" w:hAnsi="Arial" w:cs="Arial"/>
          <w:lang w:val="uk-UA"/>
        </w:rPr>
        <w:t>демінералізації</w:t>
      </w:r>
      <w:proofErr w:type="spellEnd"/>
      <w:r>
        <w:rPr>
          <w:rFonts w:ascii="Arial" w:hAnsi="Arial" w:cs="Arial"/>
          <w:lang w:val="uk-UA"/>
        </w:rPr>
        <w:t xml:space="preserve"> води / В.В. </w:t>
      </w:r>
      <w:proofErr w:type="spellStart"/>
      <w:r>
        <w:rPr>
          <w:rFonts w:ascii="Arial" w:hAnsi="Arial" w:cs="Arial"/>
          <w:lang w:val="uk-UA"/>
        </w:rPr>
        <w:t>Рисухін</w:t>
      </w:r>
      <w:proofErr w:type="spellEnd"/>
      <w:r>
        <w:rPr>
          <w:rFonts w:ascii="Arial" w:hAnsi="Arial" w:cs="Arial"/>
          <w:lang w:val="uk-UA"/>
        </w:rPr>
        <w:t xml:space="preserve">, Т.О. </w:t>
      </w:r>
      <w:proofErr w:type="spellStart"/>
      <w:r>
        <w:rPr>
          <w:rFonts w:ascii="Arial" w:hAnsi="Arial" w:cs="Arial"/>
          <w:lang w:val="uk-UA"/>
        </w:rPr>
        <w:t>Шаблій</w:t>
      </w:r>
      <w:proofErr w:type="spellEnd"/>
      <w:r>
        <w:rPr>
          <w:rFonts w:ascii="Arial" w:hAnsi="Arial" w:cs="Arial"/>
          <w:lang w:val="uk-UA"/>
        </w:rPr>
        <w:t xml:space="preserve">, В.С. </w:t>
      </w:r>
      <w:proofErr w:type="spellStart"/>
      <w:r>
        <w:rPr>
          <w:rFonts w:ascii="Arial" w:hAnsi="Arial" w:cs="Arial"/>
          <w:lang w:val="uk-UA"/>
        </w:rPr>
        <w:t>Камаєв</w:t>
      </w:r>
      <w:proofErr w:type="spellEnd"/>
      <w:r>
        <w:rPr>
          <w:rFonts w:ascii="Arial" w:hAnsi="Arial" w:cs="Arial"/>
          <w:lang w:val="uk-UA"/>
        </w:rPr>
        <w:t>,   М.</w:t>
      </w:r>
      <w:r w:rsidR="00D07C34" w:rsidRPr="00D07C34">
        <w:rPr>
          <w:rFonts w:ascii="Arial" w:hAnsi="Arial" w:cs="Arial"/>
          <w:lang w:val="uk-UA"/>
        </w:rPr>
        <w:t xml:space="preserve">Д. Гомеля // </w:t>
      </w:r>
      <w:proofErr w:type="spellStart"/>
      <w:r w:rsidR="00D07C34" w:rsidRPr="00D07C34">
        <w:rPr>
          <w:rFonts w:ascii="Arial" w:hAnsi="Arial" w:cs="Arial"/>
          <w:lang w:val="uk-UA"/>
        </w:rPr>
        <w:t>Экология</w:t>
      </w:r>
      <w:proofErr w:type="spellEnd"/>
      <w:r w:rsidR="00D07C34" w:rsidRPr="00D07C34">
        <w:rPr>
          <w:rFonts w:ascii="Arial" w:hAnsi="Arial" w:cs="Arial"/>
          <w:lang w:val="uk-UA"/>
        </w:rPr>
        <w:t xml:space="preserve"> и </w:t>
      </w:r>
      <w:proofErr w:type="spellStart"/>
      <w:r w:rsidR="00D07C34" w:rsidRPr="00D07C34">
        <w:rPr>
          <w:rFonts w:ascii="Arial" w:hAnsi="Arial" w:cs="Arial"/>
          <w:lang w:val="uk-UA"/>
        </w:rPr>
        <w:t>промышленность</w:t>
      </w:r>
      <w:proofErr w:type="spellEnd"/>
      <w:r w:rsidR="00D07C34" w:rsidRPr="00D07C34">
        <w:rPr>
          <w:rFonts w:ascii="Arial" w:hAnsi="Arial" w:cs="Arial"/>
          <w:lang w:val="uk-UA"/>
        </w:rPr>
        <w:t>. – 2011. – № 4. – С. 83-88.</w:t>
      </w:r>
    </w:p>
    <w:p w:rsidR="00D07C34" w:rsidRPr="00D07C34" w:rsidRDefault="00695B1E" w:rsidP="00D07C34">
      <w:pPr>
        <w:pStyle w:val="a"/>
        <w:spacing w:line="360" w:lineRule="auto"/>
        <w:ind w:left="0"/>
        <w:jc w:val="both"/>
        <w:rPr>
          <w:rFonts w:ascii="Arial" w:hAnsi="Arial" w:cs="Arial"/>
          <w:lang w:val="uk-UA"/>
        </w:rPr>
      </w:pPr>
      <w:proofErr w:type="spellStart"/>
      <w:r>
        <w:rPr>
          <w:rFonts w:ascii="Arial" w:hAnsi="Arial" w:cs="Arial"/>
          <w:lang w:val="uk-UA"/>
        </w:rPr>
        <w:t>Голтвяницька</w:t>
      </w:r>
      <w:proofErr w:type="spellEnd"/>
      <w:r>
        <w:rPr>
          <w:rFonts w:ascii="Arial" w:hAnsi="Arial" w:cs="Arial"/>
          <w:lang w:val="uk-UA"/>
        </w:rPr>
        <w:t xml:space="preserve"> О.</w:t>
      </w:r>
      <w:r w:rsidR="00D07C34" w:rsidRPr="00D07C34">
        <w:rPr>
          <w:rFonts w:ascii="Arial" w:hAnsi="Arial" w:cs="Arial"/>
          <w:lang w:val="uk-UA"/>
        </w:rPr>
        <w:t>В. Видалення та розділення хлоридів і сульфатів при іонообмінному знесоленн</w:t>
      </w:r>
      <w:r>
        <w:rPr>
          <w:rFonts w:ascii="Arial" w:hAnsi="Arial" w:cs="Arial"/>
          <w:lang w:val="uk-UA"/>
        </w:rPr>
        <w:t xml:space="preserve">і води / О.В. </w:t>
      </w:r>
      <w:proofErr w:type="spellStart"/>
      <w:r>
        <w:rPr>
          <w:rFonts w:ascii="Arial" w:hAnsi="Arial" w:cs="Arial"/>
          <w:lang w:val="uk-UA"/>
        </w:rPr>
        <w:t>Голтвяницька</w:t>
      </w:r>
      <w:proofErr w:type="spellEnd"/>
      <w:r>
        <w:rPr>
          <w:rFonts w:ascii="Arial" w:hAnsi="Arial" w:cs="Arial"/>
          <w:lang w:val="uk-UA"/>
        </w:rPr>
        <w:t xml:space="preserve">, Т.О. </w:t>
      </w:r>
      <w:proofErr w:type="spellStart"/>
      <w:r>
        <w:rPr>
          <w:rFonts w:ascii="Arial" w:hAnsi="Arial" w:cs="Arial"/>
          <w:lang w:val="uk-UA"/>
        </w:rPr>
        <w:t>Шаблій</w:t>
      </w:r>
      <w:proofErr w:type="spellEnd"/>
      <w:r>
        <w:rPr>
          <w:rFonts w:ascii="Arial" w:hAnsi="Arial" w:cs="Arial"/>
          <w:lang w:val="uk-UA"/>
        </w:rPr>
        <w:t>, М.Д. Гомеля, С.</w:t>
      </w:r>
      <w:r w:rsidR="00D07C34" w:rsidRPr="00D07C34">
        <w:rPr>
          <w:rFonts w:ascii="Arial" w:hAnsi="Arial" w:cs="Arial"/>
          <w:lang w:val="uk-UA"/>
        </w:rPr>
        <w:t xml:space="preserve">С. </w:t>
      </w:r>
      <w:proofErr w:type="spellStart"/>
      <w:r w:rsidR="00D07C34" w:rsidRPr="00D07C34">
        <w:rPr>
          <w:rFonts w:ascii="Arial" w:hAnsi="Arial" w:cs="Arial"/>
          <w:lang w:val="uk-UA"/>
        </w:rPr>
        <w:t>Ставська</w:t>
      </w:r>
      <w:proofErr w:type="spellEnd"/>
      <w:r w:rsidR="00D07C34" w:rsidRPr="00D07C34">
        <w:rPr>
          <w:rFonts w:ascii="Arial" w:hAnsi="Arial" w:cs="Arial"/>
          <w:lang w:val="uk-UA"/>
        </w:rPr>
        <w:t xml:space="preserve"> // </w:t>
      </w:r>
      <w:proofErr w:type="spellStart"/>
      <w:r w:rsidR="00D07C34" w:rsidRPr="00D07C34">
        <w:rPr>
          <w:rFonts w:ascii="Arial" w:hAnsi="Arial" w:cs="Arial"/>
          <w:lang w:val="uk-UA"/>
        </w:rPr>
        <w:t>Восточно-Европейский</w:t>
      </w:r>
      <w:proofErr w:type="spellEnd"/>
      <w:r w:rsidR="00D07C34" w:rsidRPr="00D07C34">
        <w:rPr>
          <w:rFonts w:ascii="Arial" w:hAnsi="Arial" w:cs="Arial"/>
          <w:lang w:val="uk-UA"/>
        </w:rPr>
        <w:t xml:space="preserve"> журнал </w:t>
      </w:r>
      <w:proofErr w:type="spellStart"/>
      <w:r w:rsidR="00D07C34" w:rsidRPr="00D07C34">
        <w:rPr>
          <w:rFonts w:ascii="Arial" w:hAnsi="Arial" w:cs="Arial"/>
          <w:lang w:val="uk-UA"/>
        </w:rPr>
        <w:t>передовых</w:t>
      </w:r>
      <w:proofErr w:type="spellEnd"/>
      <w:r w:rsidR="00D07C34" w:rsidRPr="00D07C34">
        <w:rPr>
          <w:rFonts w:ascii="Arial" w:hAnsi="Arial" w:cs="Arial"/>
          <w:lang w:val="uk-UA"/>
        </w:rPr>
        <w:t xml:space="preserve"> </w:t>
      </w:r>
      <w:proofErr w:type="spellStart"/>
      <w:r w:rsidR="00D07C34" w:rsidRPr="00D07C34">
        <w:rPr>
          <w:rFonts w:ascii="Arial" w:hAnsi="Arial" w:cs="Arial"/>
          <w:lang w:val="uk-UA"/>
        </w:rPr>
        <w:t>технологий</w:t>
      </w:r>
      <w:proofErr w:type="spellEnd"/>
      <w:r w:rsidR="00D07C34" w:rsidRPr="00D07C34">
        <w:rPr>
          <w:rFonts w:ascii="Arial" w:hAnsi="Arial" w:cs="Arial"/>
          <w:lang w:val="uk-UA"/>
        </w:rPr>
        <w:t>. 2012. - № 4 (103). – С. 12-15.</w:t>
      </w:r>
    </w:p>
    <w:p w:rsidR="00D07C34" w:rsidRPr="00D07C34" w:rsidRDefault="00695B1E" w:rsidP="00D07C34">
      <w:pPr>
        <w:pStyle w:val="a"/>
        <w:spacing w:line="360" w:lineRule="auto"/>
        <w:ind w:left="0"/>
        <w:jc w:val="both"/>
        <w:rPr>
          <w:rFonts w:ascii="Arial" w:hAnsi="Arial" w:cs="Arial"/>
          <w:lang w:val="uk-UA"/>
        </w:rPr>
      </w:pPr>
      <w:r>
        <w:rPr>
          <w:rFonts w:ascii="Arial" w:hAnsi="Arial" w:cs="Arial"/>
          <w:lang w:val="uk-UA"/>
        </w:rPr>
        <w:t>Кучерик Г.</w:t>
      </w:r>
      <w:r w:rsidR="00D07C34" w:rsidRPr="00D07C34">
        <w:rPr>
          <w:rFonts w:ascii="Arial" w:hAnsi="Arial" w:cs="Arial"/>
          <w:lang w:val="uk-UA"/>
        </w:rPr>
        <w:t xml:space="preserve">В. Іонообмінне вилучення сульфатів та хлоридів з шахтних вод / </w:t>
      </w:r>
      <w:r>
        <w:rPr>
          <w:rFonts w:ascii="Arial" w:hAnsi="Arial" w:cs="Arial"/>
          <w:lang w:val="uk-UA"/>
        </w:rPr>
        <w:t xml:space="preserve">             </w:t>
      </w:r>
      <w:r w:rsidR="00D07C34" w:rsidRPr="00D07C34">
        <w:rPr>
          <w:rFonts w:ascii="Arial" w:hAnsi="Arial" w:cs="Arial"/>
          <w:lang w:val="uk-UA"/>
        </w:rPr>
        <w:t>Г.</w:t>
      </w:r>
      <w:r>
        <w:rPr>
          <w:rFonts w:ascii="Arial" w:hAnsi="Arial" w:cs="Arial"/>
          <w:lang w:val="uk-UA"/>
        </w:rPr>
        <w:t xml:space="preserve">В. Кучерик, Ю.А. </w:t>
      </w:r>
      <w:proofErr w:type="spellStart"/>
      <w:r>
        <w:rPr>
          <w:rFonts w:ascii="Arial" w:hAnsi="Arial" w:cs="Arial"/>
          <w:lang w:val="uk-UA"/>
        </w:rPr>
        <w:t>Омельчук</w:t>
      </w:r>
      <w:proofErr w:type="spellEnd"/>
      <w:r>
        <w:rPr>
          <w:rFonts w:ascii="Arial" w:hAnsi="Arial" w:cs="Arial"/>
          <w:lang w:val="uk-UA"/>
        </w:rPr>
        <w:t>, М.</w:t>
      </w:r>
      <w:r w:rsidR="00D07C34" w:rsidRPr="00D07C34">
        <w:rPr>
          <w:rFonts w:ascii="Arial" w:hAnsi="Arial" w:cs="Arial"/>
          <w:lang w:val="uk-UA"/>
        </w:rPr>
        <w:t xml:space="preserve">Д. Гомеля // Збірник наукових праць </w:t>
      </w:r>
      <w:proofErr w:type="spellStart"/>
      <w:r w:rsidR="00D07C34" w:rsidRPr="00D07C34">
        <w:rPr>
          <w:rFonts w:ascii="Arial" w:hAnsi="Arial" w:cs="Arial"/>
          <w:lang w:val="uk-UA"/>
        </w:rPr>
        <w:t>СНУЯЕтаП</w:t>
      </w:r>
      <w:proofErr w:type="spellEnd"/>
      <w:r w:rsidR="00D07C34" w:rsidRPr="00D07C34">
        <w:rPr>
          <w:rFonts w:ascii="Arial" w:hAnsi="Arial" w:cs="Arial"/>
          <w:lang w:val="uk-UA"/>
        </w:rPr>
        <w:t>. – 2012. – Т. 1, № 41. – С. 138-143.</w:t>
      </w:r>
    </w:p>
    <w:p w:rsidR="00D07C34" w:rsidRPr="00D07C34" w:rsidRDefault="00695B1E" w:rsidP="00D07C34">
      <w:pPr>
        <w:pStyle w:val="a"/>
        <w:spacing w:line="360" w:lineRule="auto"/>
        <w:ind w:left="0"/>
        <w:jc w:val="both"/>
        <w:rPr>
          <w:rFonts w:ascii="Arial" w:hAnsi="Arial" w:cs="Arial"/>
          <w:lang w:val="uk-UA"/>
        </w:rPr>
      </w:pPr>
      <w:r>
        <w:rPr>
          <w:rFonts w:ascii="Arial" w:hAnsi="Arial" w:cs="Arial"/>
          <w:lang w:val="uk-UA"/>
        </w:rPr>
        <w:t>Кучерик Г.</w:t>
      </w:r>
      <w:r w:rsidR="00D07C34" w:rsidRPr="00D07C34">
        <w:rPr>
          <w:rFonts w:ascii="Arial" w:hAnsi="Arial" w:cs="Arial"/>
          <w:lang w:val="uk-UA"/>
        </w:rPr>
        <w:t xml:space="preserve">В. Дослідження процесів пом’якшення при </w:t>
      </w:r>
      <w:proofErr w:type="spellStart"/>
      <w:r w:rsidR="00D07C34" w:rsidRPr="00D07C34">
        <w:rPr>
          <w:rFonts w:ascii="Arial" w:hAnsi="Arial" w:cs="Arial"/>
          <w:lang w:val="uk-UA"/>
        </w:rPr>
        <w:t>демінералізації</w:t>
      </w:r>
      <w:proofErr w:type="spellEnd"/>
      <w:r w:rsidR="00D07C34" w:rsidRPr="00D07C34">
        <w:rPr>
          <w:rFonts w:ascii="Arial" w:hAnsi="Arial" w:cs="Arial"/>
          <w:lang w:val="uk-UA"/>
        </w:rPr>
        <w:t xml:space="preserve"> шахтних вод на аніон</w:t>
      </w:r>
      <w:r>
        <w:rPr>
          <w:rFonts w:ascii="Arial" w:hAnsi="Arial" w:cs="Arial"/>
          <w:lang w:val="uk-UA"/>
        </w:rPr>
        <w:t>іті АВ-17-8 / Г.В. Кучерик, Ю.</w:t>
      </w:r>
      <w:r w:rsidR="00D07C34" w:rsidRPr="00D07C34">
        <w:rPr>
          <w:rFonts w:ascii="Arial" w:hAnsi="Arial" w:cs="Arial"/>
          <w:lang w:val="uk-UA"/>
        </w:rPr>
        <w:t xml:space="preserve">А. </w:t>
      </w:r>
      <w:proofErr w:type="spellStart"/>
      <w:r w:rsidR="00D07C34" w:rsidRPr="00D07C34">
        <w:rPr>
          <w:rFonts w:ascii="Arial" w:hAnsi="Arial" w:cs="Arial"/>
          <w:lang w:val="uk-UA"/>
        </w:rPr>
        <w:t>Омел</w:t>
      </w:r>
      <w:r>
        <w:rPr>
          <w:rFonts w:ascii="Arial" w:hAnsi="Arial" w:cs="Arial"/>
          <w:lang w:val="uk-UA"/>
        </w:rPr>
        <w:t>ьчук</w:t>
      </w:r>
      <w:proofErr w:type="spellEnd"/>
      <w:r>
        <w:rPr>
          <w:rFonts w:ascii="Arial" w:hAnsi="Arial" w:cs="Arial"/>
          <w:lang w:val="uk-UA"/>
        </w:rPr>
        <w:t>, М.</w:t>
      </w:r>
      <w:r w:rsidR="00D07C34" w:rsidRPr="00D07C34">
        <w:rPr>
          <w:rFonts w:ascii="Arial" w:hAnsi="Arial" w:cs="Arial"/>
          <w:lang w:val="uk-UA"/>
        </w:rPr>
        <w:t xml:space="preserve">Д. Гомеля // </w:t>
      </w:r>
      <w:proofErr w:type="spellStart"/>
      <w:r w:rsidR="00D07C34" w:rsidRPr="00D07C34">
        <w:rPr>
          <w:rFonts w:ascii="Arial" w:hAnsi="Arial" w:cs="Arial"/>
          <w:lang w:val="uk-UA"/>
        </w:rPr>
        <w:t>Східно-Європейський</w:t>
      </w:r>
      <w:proofErr w:type="spellEnd"/>
      <w:r w:rsidR="00D07C34" w:rsidRPr="00D07C34">
        <w:rPr>
          <w:rFonts w:ascii="Arial" w:hAnsi="Arial" w:cs="Arial"/>
          <w:lang w:val="uk-UA"/>
        </w:rPr>
        <w:t xml:space="preserve"> журнал передових технологій. – 2013. Т. 2/11, № 62. – С. 35-38.</w:t>
      </w:r>
    </w:p>
    <w:p w:rsidR="00D07C34" w:rsidRPr="00D07C34" w:rsidRDefault="00695B1E" w:rsidP="00D07C34">
      <w:pPr>
        <w:pStyle w:val="a"/>
        <w:spacing w:line="360" w:lineRule="auto"/>
        <w:ind w:left="0"/>
        <w:jc w:val="both"/>
        <w:rPr>
          <w:rFonts w:ascii="Arial" w:hAnsi="Arial" w:cs="Arial"/>
          <w:lang w:val="uk-UA"/>
        </w:rPr>
      </w:pPr>
      <w:proofErr w:type="spellStart"/>
      <w:r>
        <w:rPr>
          <w:rFonts w:ascii="Arial" w:hAnsi="Arial" w:cs="Arial"/>
          <w:lang w:val="uk-UA"/>
        </w:rPr>
        <w:t>Голтвяницька</w:t>
      </w:r>
      <w:proofErr w:type="spellEnd"/>
      <w:r>
        <w:rPr>
          <w:rFonts w:ascii="Arial" w:hAnsi="Arial" w:cs="Arial"/>
          <w:lang w:val="uk-UA"/>
        </w:rPr>
        <w:t xml:space="preserve"> О.</w:t>
      </w:r>
      <w:r w:rsidR="00D07C34" w:rsidRPr="00D07C34">
        <w:rPr>
          <w:rFonts w:ascii="Arial" w:hAnsi="Arial" w:cs="Arial"/>
          <w:lang w:val="uk-UA"/>
        </w:rPr>
        <w:t xml:space="preserve">В. </w:t>
      </w:r>
      <w:proofErr w:type="spellStart"/>
      <w:r w:rsidR="00D07C34" w:rsidRPr="00D07C34">
        <w:rPr>
          <w:rFonts w:ascii="Arial" w:hAnsi="Arial" w:cs="Arial"/>
          <w:lang w:val="uk-UA"/>
        </w:rPr>
        <w:t>Електродіалізне</w:t>
      </w:r>
      <w:proofErr w:type="spellEnd"/>
      <w:r w:rsidR="00D07C34" w:rsidRPr="00D07C34">
        <w:rPr>
          <w:rFonts w:ascii="Arial" w:hAnsi="Arial" w:cs="Arial"/>
          <w:lang w:val="uk-UA"/>
        </w:rPr>
        <w:t xml:space="preserve"> отримання сірчаної кислоти та лугу з розчинів сульфату </w:t>
      </w:r>
      <w:r>
        <w:rPr>
          <w:rFonts w:ascii="Arial" w:hAnsi="Arial" w:cs="Arial"/>
          <w:lang w:val="uk-UA"/>
        </w:rPr>
        <w:t xml:space="preserve">натрію / О.В. </w:t>
      </w:r>
      <w:proofErr w:type="spellStart"/>
      <w:r>
        <w:rPr>
          <w:rFonts w:ascii="Arial" w:hAnsi="Arial" w:cs="Arial"/>
          <w:lang w:val="uk-UA"/>
        </w:rPr>
        <w:t>Голтвяницька</w:t>
      </w:r>
      <w:proofErr w:type="spellEnd"/>
      <w:r>
        <w:rPr>
          <w:rFonts w:ascii="Arial" w:hAnsi="Arial" w:cs="Arial"/>
          <w:lang w:val="uk-UA"/>
        </w:rPr>
        <w:t xml:space="preserve">, Т.О. </w:t>
      </w:r>
      <w:proofErr w:type="spellStart"/>
      <w:r>
        <w:rPr>
          <w:rFonts w:ascii="Arial" w:hAnsi="Arial" w:cs="Arial"/>
          <w:lang w:val="uk-UA"/>
        </w:rPr>
        <w:t>Шаблій</w:t>
      </w:r>
      <w:proofErr w:type="spellEnd"/>
      <w:r>
        <w:rPr>
          <w:rFonts w:ascii="Arial" w:hAnsi="Arial" w:cs="Arial"/>
          <w:lang w:val="uk-UA"/>
        </w:rPr>
        <w:t>, М.</w:t>
      </w:r>
      <w:r w:rsidR="00D07C34" w:rsidRPr="00D07C34">
        <w:rPr>
          <w:rFonts w:ascii="Arial" w:hAnsi="Arial" w:cs="Arial"/>
          <w:lang w:val="uk-UA"/>
        </w:rPr>
        <w:t xml:space="preserve">Д. Гомеля // </w:t>
      </w:r>
      <w:proofErr w:type="spellStart"/>
      <w:r w:rsidR="00D07C34" w:rsidRPr="00D07C34">
        <w:rPr>
          <w:rFonts w:ascii="Arial" w:hAnsi="Arial" w:cs="Arial"/>
          <w:lang w:val="uk-UA"/>
        </w:rPr>
        <w:t>Східно-Європейський</w:t>
      </w:r>
      <w:proofErr w:type="spellEnd"/>
      <w:r w:rsidR="00D07C34" w:rsidRPr="00D07C34">
        <w:rPr>
          <w:rFonts w:ascii="Arial" w:hAnsi="Arial" w:cs="Arial"/>
          <w:lang w:val="uk-UA"/>
        </w:rPr>
        <w:t xml:space="preserve"> журнал передових технологій. – 2011. - № 3/6 (51). – С. 18-22.</w:t>
      </w:r>
    </w:p>
    <w:p w:rsidR="00D07C34" w:rsidRPr="00D07C34" w:rsidRDefault="00695B1E" w:rsidP="00D07C34">
      <w:pPr>
        <w:pStyle w:val="a"/>
        <w:spacing w:line="360" w:lineRule="auto"/>
        <w:ind w:left="0"/>
        <w:jc w:val="both"/>
        <w:rPr>
          <w:rFonts w:ascii="Arial" w:hAnsi="Arial" w:cs="Arial"/>
          <w:lang w:val="uk-UA"/>
        </w:rPr>
      </w:pPr>
      <w:r>
        <w:rPr>
          <w:rFonts w:ascii="Arial" w:hAnsi="Arial" w:cs="Arial"/>
          <w:lang w:val="uk-UA"/>
        </w:rPr>
        <w:t>Кучерик Г.</w:t>
      </w:r>
      <w:r w:rsidR="00D07C34" w:rsidRPr="00D07C34">
        <w:rPr>
          <w:rFonts w:ascii="Arial" w:hAnsi="Arial" w:cs="Arial"/>
          <w:lang w:val="uk-UA"/>
        </w:rPr>
        <w:t>В. Використання електродіалізу для вилучення хлоридів та сульфатів з лужн</w:t>
      </w:r>
      <w:r>
        <w:rPr>
          <w:rFonts w:ascii="Arial" w:hAnsi="Arial" w:cs="Arial"/>
          <w:lang w:val="uk-UA"/>
        </w:rPr>
        <w:t xml:space="preserve">их регенераційних розчинів / Г.В. Кучерик, Ю.А. </w:t>
      </w:r>
      <w:proofErr w:type="spellStart"/>
      <w:r>
        <w:rPr>
          <w:rFonts w:ascii="Arial" w:hAnsi="Arial" w:cs="Arial"/>
          <w:lang w:val="uk-UA"/>
        </w:rPr>
        <w:t>Омельчук</w:t>
      </w:r>
      <w:proofErr w:type="spellEnd"/>
      <w:r>
        <w:rPr>
          <w:rFonts w:ascii="Arial" w:hAnsi="Arial" w:cs="Arial"/>
          <w:lang w:val="uk-UA"/>
        </w:rPr>
        <w:t>, М.</w:t>
      </w:r>
      <w:r w:rsidR="00D07C34" w:rsidRPr="00D07C34">
        <w:rPr>
          <w:rFonts w:ascii="Arial" w:hAnsi="Arial" w:cs="Arial"/>
          <w:lang w:val="uk-UA"/>
        </w:rPr>
        <w:t>Д. Гомеля // Екологічна безпека. – 2012. – Т. 1, № 13. – С. 68-73.</w:t>
      </w:r>
    </w:p>
    <w:p w:rsidR="00D07C34" w:rsidRPr="00695B1E" w:rsidRDefault="00695B1E" w:rsidP="00D07C34">
      <w:pPr>
        <w:pStyle w:val="a"/>
        <w:spacing w:line="360" w:lineRule="auto"/>
        <w:ind w:left="0"/>
        <w:jc w:val="both"/>
        <w:rPr>
          <w:rFonts w:ascii="Arial" w:hAnsi="Arial" w:cs="Arial"/>
          <w:lang w:val="uk-UA"/>
        </w:rPr>
      </w:pPr>
      <w:r>
        <w:rPr>
          <w:rFonts w:ascii="Arial" w:hAnsi="Arial" w:cs="Arial"/>
          <w:lang w:val="uk-UA"/>
        </w:rPr>
        <w:t>Гомеля М.</w:t>
      </w:r>
      <w:r w:rsidR="00D07C34" w:rsidRPr="00D07C34">
        <w:rPr>
          <w:rFonts w:ascii="Arial" w:hAnsi="Arial" w:cs="Arial"/>
          <w:lang w:val="uk-UA"/>
        </w:rPr>
        <w:t xml:space="preserve">Д. Оцінка ефективності аніонітів в маловідходних процесах </w:t>
      </w:r>
      <w:r>
        <w:rPr>
          <w:rFonts w:ascii="Arial" w:hAnsi="Arial" w:cs="Arial"/>
          <w:lang w:val="uk-UA"/>
        </w:rPr>
        <w:t xml:space="preserve">очищення води від нітратів / М.Д. Гомеля, О.В. </w:t>
      </w:r>
      <w:proofErr w:type="spellStart"/>
      <w:r>
        <w:rPr>
          <w:rFonts w:ascii="Arial" w:hAnsi="Arial" w:cs="Arial"/>
          <w:lang w:val="uk-UA"/>
        </w:rPr>
        <w:t>Голтвяницька</w:t>
      </w:r>
      <w:proofErr w:type="spellEnd"/>
      <w:r>
        <w:rPr>
          <w:rFonts w:ascii="Arial" w:hAnsi="Arial" w:cs="Arial"/>
          <w:lang w:val="uk-UA"/>
        </w:rPr>
        <w:t>, Т.</w:t>
      </w:r>
      <w:r w:rsidR="00D07C34" w:rsidRPr="00D07C34">
        <w:rPr>
          <w:rFonts w:ascii="Arial" w:hAnsi="Arial" w:cs="Arial"/>
          <w:lang w:val="uk-UA"/>
        </w:rPr>
        <w:t xml:space="preserve">О. </w:t>
      </w:r>
      <w:proofErr w:type="spellStart"/>
      <w:r w:rsidR="00D07C34" w:rsidRPr="00D07C34">
        <w:rPr>
          <w:rFonts w:ascii="Arial" w:hAnsi="Arial" w:cs="Arial"/>
          <w:lang w:val="uk-UA"/>
        </w:rPr>
        <w:t>Шаблій</w:t>
      </w:r>
      <w:proofErr w:type="spellEnd"/>
      <w:r w:rsidR="00D07C34" w:rsidRPr="00D07C34">
        <w:rPr>
          <w:rFonts w:ascii="Arial" w:hAnsi="Arial" w:cs="Arial"/>
          <w:lang w:val="uk-UA"/>
        </w:rPr>
        <w:t xml:space="preserve"> // Вісник Національного </w:t>
      </w:r>
      <w:r w:rsidR="00D07C34" w:rsidRPr="00695B1E">
        <w:rPr>
          <w:rFonts w:ascii="Arial" w:hAnsi="Arial" w:cs="Arial"/>
          <w:lang w:val="uk-UA"/>
        </w:rPr>
        <w:t>технічного університету «ХПІ». – 2012. – № 1. – С. 84-90.</w:t>
      </w:r>
    </w:p>
    <w:p w:rsidR="00D07C34" w:rsidRPr="00695B1E" w:rsidRDefault="00695B1E" w:rsidP="00D07C34">
      <w:pPr>
        <w:pStyle w:val="a"/>
        <w:spacing w:line="360" w:lineRule="auto"/>
        <w:ind w:left="0"/>
        <w:jc w:val="both"/>
        <w:rPr>
          <w:rFonts w:ascii="Arial" w:hAnsi="Arial" w:cs="Arial"/>
          <w:lang w:val="uk-UA"/>
        </w:rPr>
      </w:pPr>
      <w:r w:rsidRPr="00695B1E">
        <w:rPr>
          <w:rFonts w:ascii="Arial" w:hAnsi="Arial" w:cs="Arial"/>
          <w:lang w:val="uk-UA"/>
        </w:rPr>
        <w:t xml:space="preserve">Трус И.Н. </w:t>
      </w:r>
      <w:proofErr w:type="spellStart"/>
      <w:r w:rsidRPr="00695B1E">
        <w:rPr>
          <w:rFonts w:ascii="Arial" w:hAnsi="Arial" w:cs="Arial"/>
          <w:lang w:val="uk-UA"/>
        </w:rPr>
        <w:t>Малоотходные</w:t>
      </w:r>
      <w:proofErr w:type="spellEnd"/>
      <w:r w:rsidRPr="00695B1E">
        <w:rPr>
          <w:rFonts w:ascii="Arial" w:hAnsi="Arial" w:cs="Arial"/>
          <w:lang w:val="uk-UA"/>
        </w:rPr>
        <w:t xml:space="preserve"> </w:t>
      </w:r>
      <w:proofErr w:type="spellStart"/>
      <w:r w:rsidRPr="00695B1E">
        <w:rPr>
          <w:rFonts w:ascii="Arial" w:hAnsi="Arial" w:cs="Arial"/>
          <w:lang w:val="uk-UA"/>
        </w:rPr>
        <w:t>процессы</w:t>
      </w:r>
      <w:proofErr w:type="spellEnd"/>
      <w:r w:rsidRPr="00695B1E">
        <w:rPr>
          <w:rFonts w:ascii="Arial" w:hAnsi="Arial" w:cs="Arial"/>
          <w:lang w:val="uk-UA"/>
        </w:rPr>
        <w:t xml:space="preserve"> очистки </w:t>
      </w:r>
      <w:proofErr w:type="spellStart"/>
      <w:r w:rsidRPr="00695B1E">
        <w:rPr>
          <w:rFonts w:ascii="Arial" w:hAnsi="Arial" w:cs="Arial"/>
          <w:lang w:val="uk-UA"/>
        </w:rPr>
        <w:t>сточных</w:t>
      </w:r>
      <w:proofErr w:type="spellEnd"/>
      <w:r w:rsidRPr="00695B1E">
        <w:rPr>
          <w:rFonts w:ascii="Arial" w:hAnsi="Arial" w:cs="Arial"/>
          <w:lang w:val="uk-UA"/>
        </w:rPr>
        <w:t xml:space="preserve"> вод от </w:t>
      </w:r>
      <w:proofErr w:type="spellStart"/>
      <w:r w:rsidRPr="00695B1E">
        <w:rPr>
          <w:rFonts w:ascii="Arial" w:hAnsi="Arial" w:cs="Arial"/>
          <w:lang w:val="uk-UA"/>
        </w:rPr>
        <w:t>сульфатов</w:t>
      </w:r>
      <w:proofErr w:type="spellEnd"/>
      <w:r w:rsidRPr="00695B1E">
        <w:rPr>
          <w:rFonts w:ascii="Arial" w:hAnsi="Arial" w:cs="Arial"/>
          <w:lang w:val="uk-UA"/>
        </w:rPr>
        <w:t xml:space="preserve"> и </w:t>
      </w:r>
      <w:proofErr w:type="spellStart"/>
      <w:r w:rsidRPr="00695B1E">
        <w:rPr>
          <w:rFonts w:ascii="Arial" w:hAnsi="Arial" w:cs="Arial"/>
          <w:lang w:val="uk-UA"/>
        </w:rPr>
        <w:t>хлоридов</w:t>
      </w:r>
      <w:proofErr w:type="spellEnd"/>
      <w:r w:rsidRPr="00695B1E">
        <w:rPr>
          <w:rFonts w:ascii="Arial" w:hAnsi="Arial" w:cs="Arial"/>
          <w:lang w:val="uk-UA"/>
        </w:rPr>
        <w:t xml:space="preserve"> / И.Н. Трус, В.Н. </w:t>
      </w:r>
      <w:proofErr w:type="spellStart"/>
      <w:r w:rsidRPr="00695B1E">
        <w:rPr>
          <w:rFonts w:ascii="Arial" w:hAnsi="Arial" w:cs="Arial"/>
          <w:lang w:val="uk-UA"/>
        </w:rPr>
        <w:t>Грабитченко</w:t>
      </w:r>
      <w:proofErr w:type="spellEnd"/>
      <w:r w:rsidRPr="00695B1E">
        <w:rPr>
          <w:rFonts w:ascii="Arial" w:hAnsi="Arial" w:cs="Arial"/>
          <w:lang w:val="uk-UA"/>
        </w:rPr>
        <w:t xml:space="preserve">, Н.Д. Гомеля // </w:t>
      </w:r>
      <w:proofErr w:type="spellStart"/>
      <w:r w:rsidRPr="00695B1E">
        <w:rPr>
          <w:rFonts w:ascii="Arial" w:hAnsi="Arial" w:cs="Arial"/>
          <w:lang w:val="uk-UA"/>
        </w:rPr>
        <w:t>Энерготехнологии</w:t>
      </w:r>
      <w:proofErr w:type="spellEnd"/>
      <w:r w:rsidRPr="00695B1E">
        <w:rPr>
          <w:rFonts w:ascii="Arial" w:hAnsi="Arial" w:cs="Arial"/>
          <w:lang w:val="uk-UA"/>
        </w:rPr>
        <w:t xml:space="preserve"> и </w:t>
      </w:r>
      <w:proofErr w:type="spellStart"/>
      <w:r w:rsidRPr="00695B1E">
        <w:rPr>
          <w:rFonts w:ascii="Arial" w:hAnsi="Arial" w:cs="Arial"/>
          <w:lang w:val="uk-UA"/>
        </w:rPr>
        <w:t>ресурсосбережение</w:t>
      </w:r>
      <w:proofErr w:type="spellEnd"/>
      <w:r w:rsidRPr="00695B1E">
        <w:rPr>
          <w:rFonts w:ascii="Arial" w:hAnsi="Arial" w:cs="Arial"/>
          <w:lang w:val="uk-UA"/>
        </w:rPr>
        <w:t xml:space="preserve">. </w:t>
      </w:r>
      <w:r w:rsidRPr="00695B1E">
        <w:rPr>
          <w:rFonts w:ascii="Arial" w:hAnsi="Arial" w:cs="Arial"/>
          <w:lang w:val="uk-UA"/>
        </w:rPr>
        <w:lastRenderedPageBreak/>
        <w:t>– 2014. - № 4. – С. 42-48.</w:t>
      </w:r>
    </w:p>
    <w:p w:rsidR="00D07C34" w:rsidRPr="00D07C34" w:rsidRDefault="00D07C34" w:rsidP="00D07C34">
      <w:pPr>
        <w:pStyle w:val="a"/>
        <w:spacing w:line="360" w:lineRule="auto"/>
        <w:ind w:left="0"/>
        <w:jc w:val="both"/>
        <w:rPr>
          <w:rFonts w:ascii="Arial" w:hAnsi="Arial" w:cs="Arial"/>
          <w:color w:val="000000"/>
          <w:lang w:val="uk-UA"/>
        </w:rPr>
      </w:pPr>
      <w:r w:rsidRPr="00D07C34">
        <w:rPr>
          <w:rFonts w:ascii="Arial" w:hAnsi="Arial" w:cs="Arial"/>
          <w:lang w:val="uk-UA"/>
        </w:rPr>
        <w:t xml:space="preserve">Кучерик Г. В. Дослідження процесів пом’якшення при </w:t>
      </w:r>
      <w:proofErr w:type="spellStart"/>
      <w:r w:rsidRPr="00D07C34">
        <w:rPr>
          <w:rFonts w:ascii="Arial" w:hAnsi="Arial" w:cs="Arial"/>
          <w:lang w:val="uk-UA"/>
        </w:rPr>
        <w:t>демінералізації</w:t>
      </w:r>
      <w:proofErr w:type="spellEnd"/>
      <w:r w:rsidRPr="00D07C34">
        <w:rPr>
          <w:rFonts w:ascii="Arial" w:hAnsi="Arial" w:cs="Arial"/>
          <w:lang w:val="uk-UA"/>
        </w:rPr>
        <w:t xml:space="preserve"> шахтн</w:t>
      </w:r>
      <w:r w:rsidR="00695B1E">
        <w:rPr>
          <w:rFonts w:ascii="Arial" w:hAnsi="Arial" w:cs="Arial"/>
          <w:lang w:val="uk-UA"/>
        </w:rPr>
        <w:t xml:space="preserve">их вод на аніоніті АВ-17-8 / Г.В. Кучерик, Ю.А. </w:t>
      </w:r>
      <w:proofErr w:type="spellStart"/>
      <w:r w:rsidR="00695B1E">
        <w:rPr>
          <w:rFonts w:ascii="Arial" w:hAnsi="Arial" w:cs="Arial"/>
          <w:lang w:val="uk-UA"/>
        </w:rPr>
        <w:t>Омельчук</w:t>
      </w:r>
      <w:proofErr w:type="spellEnd"/>
      <w:r w:rsidR="00695B1E">
        <w:rPr>
          <w:rFonts w:ascii="Arial" w:hAnsi="Arial" w:cs="Arial"/>
          <w:lang w:val="uk-UA"/>
        </w:rPr>
        <w:t>, М.</w:t>
      </w:r>
      <w:r w:rsidRPr="00D07C34">
        <w:rPr>
          <w:rFonts w:ascii="Arial" w:hAnsi="Arial" w:cs="Arial"/>
          <w:lang w:val="uk-UA"/>
        </w:rPr>
        <w:t xml:space="preserve">Д. Гомеля // </w:t>
      </w:r>
      <w:proofErr w:type="spellStart"/>
      <w:r w:rsidRPr="00D07C34">
        <w:rPr>
          <w:rFonts w:ascii="Arial" w:hAnsi="Arial" w:cs="Arial"/>
          <w:lang w:val="uk-UA"/>
        </w:rPr>
        <w:t>Східно-Європейський</w:t>
      </w:r>
      <w:proofErr w:type="spellEnd"/>
      <w:r w:rsidRPr="00D07C34">
        <w:rPr>
          <w:rFonts w:ascii="Arial" w:hAnsi="Arial" w:cs="Arial"/>
          <w:lang w:val="uk-UA"/>
        </w:rPr>
        <w:t xml:space="preserve"> журнал передових технологій. – 2013. - № 2/11 (62). – С. 35-38.</w:t>
      </w:r>
    </w:p>
    <w:sectPr w:rsidR="00D07C34" w:rsidRPr="00D07C34" w:rsidSect="002E1C0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Andale Sans UI">
    <w:altName w:val="Times New Roman"/>
    <w:charset w:val="CC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8"/>
    <w:multiLevelType w:val="singleLevel"/>
    <w:tmpl w:val="4BBA6C5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b w:val="0"/>
        <w:sz w:val="24"/>
        <w:szCs w:val="24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>
    <w:useFELayout/>
  </w:compat>
  <w:rsids>
    <w:rsidRoot w:val="002E1C06"/>
    <w:rsid w:val="00095325"/>
    <w:rsid w:val="00204799"/>
    <w:rsid w:val="002B5187"/>
    <w:rsid w:val="002E1C06"/>
    <w:rsid w:val="00346BD1"/>
    <w:rsid w:val="00635031"/>
    <w:rsid w:val="00695B1E"/>
    <w:rsid w:val="00976C76"/>
    <w:rsid w:val="00AF0219"/>
    <w:rsid w:val="00B350A3"/>
    <w:rsid w:val="00C73D62"/>
    <w:rsid w:val="00D07C34"/>
    <w:rsid w:val="00E45506"/>
    <w:rsid w:val="00F24CCE"/>
    <w:rsid w:val="00FB0C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095325"/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Balloon Text"/>
    <w:basedOn w:val="a0"/>
    <w:link w:val="a5"/>
    <w:uiPriority w:val="99"/>
    <w:semiHidden/>
    <w:unhideWhenUsed/>
    <w:rsid w:val="00B350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1"/>
    <w:link w:val="a4"/>
    <w:uiPriority w:val="99"/>
    <w:semiHidden/>
    <w:rsid w:val="00B350A3"/>
    <w:rPr>
      <w:rFonts w:ascii="Tahoma" w:hAnsi="Tahoma" w:cs="Tahoma"/>
      <w:sz w:val="16"/>
      <w:szCs w:val="16"/>
    </w:rPr>
  </w:style>
  <w:style w:type="table" w:styleId="a6">
    <w:name w:val="Table Grid"/>
    <w:basedOn w:val="a2"/>
    <w:uiPriority w:val="59"/>
    <w:rsid w:val="00AF02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">
    <w:name w:val="List Number"/>
    <w:basedOn w:val="a0"/>
    <w:uiPriority w:val="99"/>
    <w:semiHidden/>
    <w:unhideWhenUsed/>
    <w:rsid w:val="00D07C34"/>
    <w:pPr>
      <w:widowControl w:val="0"/>
      <w:numPr>
        <w:numId w:val="1"/>
      </w:numPr>
      <w:suppressAutoHyphens/>
      <w:spacing w:after="0" w:line="240" w:lineRule="auto"/>
      <w:contextualSpacing/>
    </w:pPr>
    <w:rPr>
      <w:rFonts w:ascii="Times New Roman" w:eastAsia="Andale Sans UI" w:hAnsi="Times New Roman" w:cs="Times New Roman"/>
      <w:kern w:val="1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4.xml"/><Relationship Id="rId3" Type="http://schemas.openxmlformats.org/officeDocument/2006/relationships/settings" Target="settings.xml"/><Relationship Id="rId7" Type="http://schemas.openxmlformats.org/officeDocument/2006/relationships/chart" Target="charts/chart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chart" Target="charts/chart2.xml"/><Relationship Id="rId11" Type="http://schemas.openxmlformats.org/officeDocument/2006/relationships/theme" Target="theme/theme1.xml"/><Relationship Id="rId5" Type="http://schemas.openxmlformats.org/officeDocument/2006/relationships/chart" Target="charts/chart1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hart" Target="charts/chart5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H:\!&#1055;&#1091;&#1073;&#1083;&#1110;&#1082;&#1072;&#1094;&#1110;&#1111;\!&#1069;&#1082;&#1086;&#1083;&#1086;&#1075;&#1080;&#1103;%20&#1080;%20&#1087;&#1088;&#1086;&#1084;&#1099;&#1096;&#1083;&#1077;&#1085;&#1085;&#1086;&#1089;&#1090;&#1100;\&#1057;&#1086;&#1088;&#1073;&#1094;&#1110;&#1103;1.xls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H:\!&#1055;&#1091;&#1073;&#1083;&#1110;&#1082;&#1072;&#1094;&#1110;&#1111;\!&#1069;&#1082;&#1086;&#1083;&#1086;&#1075;&#1080;&#1103;%20&#1080;%20&#1087;&#1088;&#1086;&#1084;&#1099;&#1096;&#1083;&#1077;&#1085;&#1085;&#1086;&#1089;&#1090;&#1100;\&#1057;&#1086;&#1088;&#1073;&#1094;&#1110;&#1103;1.xls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H:\!&#1055;&#1091;&#1073;&#1083;&#1110;&#1082;&#1072;&#1094;&#1110;&#1111;\!&#1069;&#1082;&#1086;&#1083;&#1086;&#1075;&#1080;&#1103;%20&#1080;%20&#1087;&#1088;&#1086;&#1084;&#1099;&#1096;&#1083;&#1077;&#1085;&#1085;&#1086;&#1089;&#1090;&#1100;\&#1057;&#1086;&#1088;&#1073;&#1094;&#1110;&#1103;1.xls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H:\!&#1055;&#1091;&#1073;&#1083;&#1110;&#1082;&#1072;&#1094;&#1110;&#1111;\!&#1069;&#1082;&#1086;&#1083;&#1086;&#1075;&#1080;&#1103;%20&#1080;%20&#1087;&#1088;&#1086;&#1084;&#1099;&#1096;&#1083;&#1077;&#1085;&#1085;&#1086;&#1089;&#1090;&#1100;\&#1057;&#1086;&#1088;&#1073;&#1094;&#1110;&#1103;1.xls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H:\!&#1055;&#1091;&#1073;&#1083;&#1110;&#1082;&#1072;&#1094;&#1110;&#1111;\!&#1069;&#1082;&#1086;&#1083;&#1086;&#1075;&#1080;&#1103;%20&#1080;%20&#1087;&#1088;&#1086;&#1084;&#1099;&#1096;&#1083;&#1077;&#1085;&#1085;&#1086;&#1089;&#1090;&#1100;\&#1057;&#1086;&#1088;&#1073;&#1094;&#1110;&#1103;1.xls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>
        <c:manualLayout>
          <c:layoutTarget val="inner"/>
          <c:xMode val="edge"/>
          <c:yMode val="edge"/>
          <c:x val="9.7759674134419577E-2"/>
          <c:y val="0.10861462947181322"/>
          <c:w val="0.79790902919212492"/>
          <c:h val="0.67041443708463988"/>
        </c:manualLayout>
      </c:layout>
      <c:scatterChart>
        <c:scatterStyle val="smoothMarker"/>
        <c:ser>
          <c:idx val="0"/>
          <c:order val="0"/>
          <c:tx>
            <c:v>1</c:v>
          </c:tx>
          <c:spPr>
            <a:ln w="12700">
              <a:solidFill>
                <a:srgbClr val="000000"/>
              </a:solidFill>
              <a:prstDash val="solid"/>
            </a:ln>
          </c:spPr>
          <c:marker>
            <c:symbol val="diamond"/>
            <c:size val="5"/>
            <c:spPr>
              <a:solidFill>
                <a:srgbClr val="000000"/>
              </a:solidFill>
              <a:ln>
                <a:solidFill>
                  <a:srgbClr val="000000"/>
                </a:solidFill>
                <a:prstDash val="solid"/>
              </a:ln>
            </c:spPr>
          </c:marker>
          <c:xVal>
            <c:numRef>
              <c:f>Лист3!$I$3:$I$13</c:f>
              <c:numCache>
                <c:formatCode>General</c:formatCode>
                <c:ptCount val="11"/>
                <c:pt idx="0">
                  <c:v>0</c:v>
                </c:pt>
                <c:pt idx="1">
                  <c:v>0.5</c:v>
                </c:pt>
                <c:pt idx="2">
                  <c:v>1</c:v>
                </c:pt>
                <c:pt idx="3">
                  <c:v>1.5</c:v>
                </c:pt>
                <c:pt idx="4">
                  <c:v>2</c:v>
                </c:pt>
                <c:pt idx="5">
                  <c:v>2.5</c:v>
                </c:pt>
                <c:pt idx="6">
                  <c:v>3</c:v>
                </c:pt>
                <c:pt idx="7">
                  <c:v>3.5</c:v>
                </c:pt>
                <c:pt idx="8">
                  <c:v>4</c:v>
                </c:pt>
                <c:pt idx="9">
                  <c:v>4.5</c:v>
                </c:pt>
                <c:pt idx="10">
                  <c:v>5</c:v>
                </c:pt>
              </c:numCache>
            </c:numRef>
          </c:xVal>
          <c:yVal>
            <c:numRef>
              <c:f>Лист3!$J$3:$J$13</c:f>
              <c:numCache>
                <c:formatCode>General</c:formatCode>
                <c:ptCount val="11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0.24000000000000002</c:v>
                </c:pt>
                <c:pt idx="7">
                  <c:v>0.44000000000000006</c:v>
                </c:pt>
                <c:pt idx="8">
                  <c:v>0.94000000000000006</c:v>
                </c:pt>
                <c:pt idx="9">
                  <c:v>6.49</c:v>
                </c:pt>
                <c:pt idx="10">
                  <c:v>8.06</c:v>
                </c:pt>
              </c:numCache>
            </c:numRef>
          </c:yVal>
          <c:smooth val="1"/>
        </c:ser>
        <c:ser>
          <c:idx val="1"/>
          <c:order val="1"/>
          <c:tx>
            <c:v>2</c:v>
          </c:tx>
          <c:spPr>
            <a:ln w="12700">
              <a:solidFill>
                <a:srgbClr val="000000"/>
              </a:solidFill>
              <a:prstDash val="solid"/>
            </a:ln>
          </c:spPr>
          <c:marker>
            <c:symbol val="square"/>
            <c:size val="5"/>
            <c:spPr>
              <a:noFill/>
              <a:ln>
                <a:solidFill>
                  <a:srgbClr val="000000"/>
                </a:solidFill>
                <a:prstDash val="solid"/>
              </a:ln>
            </c:spPr>
          </c:marker>
          <c:xVal>
            <c:numRef>
              <c:f>Лист3!$I$3:$I$13</c:f>
              <c:numCache>
                <c:formatCode>General</c:formatCode>
                <c:ptCount val="11"/>
                <c:pt idx="0">
                  <c:v>0</c:v>
                </c:pt>
                <c:pt idx="1">
                  <c:v>0.5</c:v>
                </c:pt>
                <c:pt idx="2">
                  <c:v>1</c:v>
                </c:pt>
                <c:pt idx="3">
                  <c:v>1.5</c:v>
                </c:pt>
                <c:pt idx="4">
                  <c:v>2</c:v>
                </c:pt>
                <c:pt idx="5">
                  <c:v>2.5</c:v>
                </c:pt>
                <c:pt idx="6">
                  <c:v>3</c:v>
                </c:pt>
                <c:pt idx="7">
                  <c:v>3.5</c:v>
                </c:pt>
                <c:pt idx="8">
                  <c:v>4</c:v>
                </c:pt>
                <c:pt idx="9">
                  <c:v>4.5</c:v>
                </c:pt>
                <c:pt idx="10">
                  <c:v>5</c:v>
                </c:pt>
              </c:numCache>
            </c:numRef>
          </c:xVal>
          <c:yVal>
            <c:numRef>
              <c:f>Лист3!$K$3:$K$13</c:f>
              <c:numCache>
                <c:formatCode>General</c:formatCode>
                <c:ptCount val="11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0.19000000000000003</c:v>
                </c:pt>
                <c:pt idx="6">
                  <c:v>0.25</c:v>
                </c:pt>
                <c:pt idx="7">
                  <c:v>0.35000000000000003</c:v>
                </c:pt>
                <c:pt idx="8">
                  <c:v>1.61</c:v>
                </c:pt>
                <c:pt idx="9">
                  <c:v>4.03</c:v>
                </c:pt>
                <c:pt idx="10">
                  <c:v>8.06</c:v>
                </c:pt>
              </c:numCache>
            </c:numRef>
          </c:yVal>
          <c:smooth val="1"/>
        </c:ser>
        <c:ser>
          <c:idx val="2"/>
          <c:order val="2"/>
          <c:tx>
            <c:v>3</c:v>
          </c:tx>
          <c:spPr>
            <a:ln w="12700">
              <a:solidFill>
                <a:srgbClr val="000000"/>
              </a:solidFill>
              <a:prstDash val="solid"/>
            </a:ln>
          </c:spPr>
          <c:marker>
            <c:symbol val="triangle"/>
            <c:size val="5"/>
            <c:spPr>
              <a:solidFill>
                <a:srgbClr val="000000"/>
              </a:solidFill>
              <a:ln>
                <a:solidFill>
                  <a:srgbClr val="000000"/>
                </a:solidFill>
                <a:prstDash val="solid"/>
              </a:ln>
            </c:spPr>
          </c:marker>
          <c:xVal>
            <c:numRef>
              <c:f>Лист3!$I$3:$I$13</c:f>
              <c:numCache>
                <c:formatCode>General</c:formatCode>
                <c:ptCount val="11"/>
                <c:pt idx="0">
                  <c:v>0</c:v>
                </c:pt>
                <c:pt idx="1">
                  <c:v>0.5</c:v>
                </c:pt>
                <c:pt idx="2">
                  <c:v>1</c:v>
                </c:pt>
                <c:pt idx="3">
                  <c:v>1.5</c:v>
                </c:pt>
                <c:pt idx="4">
                  <c:v>2</c:v>
                </c:pt>
                <c:pt idx="5">
                  <c:v>2.5</c:v>
                </c:pt>
                <c:pt idx="6">
                  <c:v>3</c:v>
                </c:pt>
                <c:pt idx="7">
                  <c:v>3.5</c:v>
                </c:pt>
                <c:pt idx="8">
                  <c:v>4</c:v>
                </c:pt>
                <c:pt idx="9">
                  <c:v>4.5</c:v>
                </c:pt>
                <c:pt idx="10">
                  <c:v>5</c:v>
                </c:pt>
              </c:numCache>
            </c:numRef>
          </c:xVal>
          <c:yVal>
            <c:numRef>
              <c:f>Лист3!$L$3:$L$13</c:f>
              <c:numCache>
                <c:formatCode>General</c:formatCode>
                <c:ptCount val="11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0.24000000000000002</c:v>
                </c:pt>
                <c:pt idx="5">
                  <c:v>5</c:v>
                </c:pt>
                <c:pt idx="6">
                  <c:v>8.06</c:v>
                </c:pt>
                <c:pt idx="7">
                  <c:v>8.06</c:v>
                </c:pt>
                <c:pt idx="8">
                  <c:v>8.06</c:v>
                </c:pt>
                <c:pt idx="9">
                  <c:v>8.06</c:v>
                </c:pt>
                <c:pt idx="10">
                  <c:v>8.06</c:v>
                </c:pt>
              </c:numCache>
            </c:numRef>
          </c:yVal>
          <c:smooth val="1"/>
        </c:ser>
        <c:ser>
          <c:idx val="3"/>
          <c:order val="3"/>
          <c:tx>
            <c:v>4</c:v>
          </c:tx>
          <c:spPr>
            <a:ln w="12700">
              <a:solidFill>
                <a:srgbClr val="000000"/>
              </a:solidFill>
              <a:prstDash val="solid"/>
            </a:ln>
          </c:spPr>
          <c:marker>
            <c:symbol val="triangle"/>
            <c:size val="5"/>
            <c:spPr>
              <a:noFill/>
              <a:ln>
                <a:solidFill>
                  <a:srgbClr val="000000"/>
                </a:solidFill>
                <a:prstDash val="solid"/>
              </a:ln>
            </c:spPr>
          </c:marker>
          <c:xVal>
            <c:numRef>
              <c:f>Лист3!$I$3:$I$13</c:f>
              <c:numCache>
                <c:formatCode>General</c:formatCode>
                <c:ptCount val="11"/>
                <c:pt idx="0">
                  <c:v>0</c:v>
                </c:pt>
                <c:pt idx="1">
                  <c:v>0.5</c:v>
                </c:pt>
                <c:pt idx="2">
                  <c:v>1</c:v>
                </c:pt>
                <c:pt idx="3">
                  <c:v>1.5</c:v>
                </c:pt>
                <c:pt idx="4">
                  <c:v>2</c:v>
                </c:pt>
                <c:pt idx="5">
                  <c:v>2.5</c:v>
                </c:pt>
                <c:pt idx="6">
                  <c:v>3</c:v>
                </c:pt>
                <c:pt idx="7">
                  <c:v>3.5</c:v>
                </c:pt>
                <c:pt idx="8">
                  <c:v>4</c:v>
                </c:pt>
                <c:pt idx="9">
                  <c:v>4.5</c:v>
                </c:pt>
                <c:pt idx="10">
                  <c:v>5</c:v>
                </c:pt>
              </c:numCache>
            </c:numRef>
          </c:xVal>
          <c:yVal>
            <c:numRef>
              <c:f>Лист3!$M$3:$M$13</c:f>
              <c:numCache>
                <c:formatCode>General</c:formatCode>
                <c:ptCount val="11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0.89000000000000012</c:v>
                </c:pt>
                <c:pt idx="4">
                  <c:v>5.48</c:v>
                </c:pt>
                <c:pt idx="5">
                  <c:v>8.06</c:v>
                </c:pt>
                <c:pt idx="6">
                  <c:v>8.06</c:v>
                </c:pt>
                <c:pt idx="7">
                  <c:v>8.06</c:v>
                </c:pt>
                <c:pt idx="8">
                  <c:v>8.06</c:v>
                </c:pt>
                <c:pt idx="9">
                  <c:v>8.06</c:v>
                </c:pt>
                <c:pt idx="10">
                  <c:v>8.06</c:v>
                </c:pt>
              </c:numCache>
            </c:numRef>
          </c:yVal>
          <c:smooth val="1"/>
        </c:ser>
        <c:axId val="65144320"/>
        <c:axId val="65150976"/>
      </c:scatterChart>
      <c:scatterChart>
        <c:scatterStyle val="lineMarker"/>
        <c:ser>
          <c:idx val="4"/>
          <c:order val="4"/>
          <c:tx>
            <c:v>5</c:v>
          </c:tx>
          <c:spPr>
            <a:ln w="12700">
              <a:solidFill>
                <a:srgbClr val="000000"/>
              </a:solidFill>
              <a:prstDash val="solid"/>
            </a:ln>
          </c:spPr>
          <c:marker>
            <c:symbol val="star"/>
            <c:size val="5"/>
            <c:spPr>
              <a:noFill/>
              <a:ln>
                <a:solidFill>
                  <a:srgbClr val="000000"/>
                </a:solidFill>
                <a:prstDash val="solid"/>
              </a:ln>
            </c:spPr>
          </c:marker>
          <c:xVal>
            <c:numRef>
              <c:f>Лист3!$I$3:$I$13</c:f>
              <c:numCache>
                <c:formatCode>General</c:formatCode>
                <c:ptCount val="11"/>
                <c:pt idx="0">
                  <c:v>0</c:v>
                </c:pt>
                <c:pt idx="1">
                  <c:v>0.5</c:v>
                </c:pt>
                <c:pt idx="2">
                  <c:v>1</c:v>
                </c:pt>
                <c:pt idx="3">
                  <c:v>1.5</c:v>
                </c:pt>
                <c:pt idx="4">
                  <c:v>2</c:v>
                </c:pt>
                <c:pt idx="5">
                  <c:v>2.5</c:v>
                </c:pt>
                <c:pt idx="6">
                  <c:v>3</c:v>
                </c:pt>
                <c:pt idx="7">
                  <c:v>3.5</c:v>
                </c:pt>
                <c:pt idx="8">
                  <c:v>4</c:v>
                </c:pt>
                <c:pt idx="9">
                  <c:v>4.5</c:v>
                </c:pt>
                <c:pt idx="10">
                  <c:v>5</c:v>
                </c:pt>
              </c:numCache>
            </c:numRef>
          </c:xVal>
          <c:yVal>
            <c:numRef>
              <c:f>Лист3!$N$3:$N$13</c:f>
              <c:numCache>
                <c:formatCode>General</c:formatCode>
                <c:ptCount val="11"/>
                <c:pt idx="0">
                  <c:v>0</c:v>
                </c:pt>
                <c:pt idx="1">
                  <c:v>8.15</c:v>
                </c:pt>
                <c:pt idx="2">
                  <c:v>8.2000000000000011</c:v>
                </c:pt>
                <c:pt idx="3">
                  <c:v>8.06</c:v>
                </c:pt>
                <c:pt idx="4">
                  <c:v>8.06</c:v>
                </c:pt>
                <c:pt idx="5">
                  <c:v>8</c:v>
                </c:pt>
                <c:pt idx="6">
                  <c:v>7.8</c:v>
                </c:pt>
                <c:pt idx="7">
                  <c:v>7.6199999999999992</c:v>
                </c:pt>
                <c:pt idx="8">
                  <c:v>7.1199999999999992</c:v>
                </c:pt>
                <c:pt idx="9">
                  <c:v>1.51</c:v>
                </c:pt>
                <c:pt idx="10">
                  <c:v>4.0000000000000008E-2</c:v>
                </c:pt>
              </c:numCache>
            </c:numRef>
          </c:yVal>
          <c:smooth val="1"/>
        </c:ser>
        <c:ser>
          <c:idx val="5"/>
          <c:order val="5"/>
          <c:tx>
            <c:v>6</c:v>
          </c:tx>
          <c:spPr>
            <a:ln w="12700">
              <a:solidFill>
                <a:srgbClr val="000000"/>
              </a:solidFill>
            </a:ln>
          </c:spPr>
          <c:marker>
            <c:symbol val="circle"/>
            <c:size val="5"/>
            <c:spPr>
              <a:solidFill>
                <a:sysClr val="windowText" lastClr="000000"/>
              </a:solidFill>
              <a:ln>
                <a:solidFill>
                  <a:srgbClr val="000000"/>
                </a:solidFill>
              </a:ln>
            </c:spPr>
          </c:marker>
          <c:xVal>
            <c:numRef>
              <c:f>Лист3!$I$3:$I$13</c:f>
              <c:numCache>
                <c:formatCode>General</c:formatCode>
                <c:ptCount val="11"/>
                <c:pt idx="0">
                  <c:v>0</c:v>
                </c:pt>
                <c:pt idx="1">
                  <c:v>0.5</c:v>
                </c:pt>
                <c:pt idx="2">
                  <c:v>1</c:v>
                </c:pt>
                <c:pt idx="3">
                  <c:v>1.5</c:v>
                </c:pt>
                <c:pt idx="4">
                  <c:v>2</c:v>
                </c:pt>
                <c:pt idx="5">
                  <c:v>2.5</c:v>
                </c:pt>
                <c:pt idx="6">
                  <c:v>3</c:v>
                </c:pt>
                <c:pt idx="7">
                  <c:v>3.5</c:v>
                </c:pt>
                <c:pt idx="8">
                  <c:v>4</c:v>
                </c:pt>
                <c:pt idx="9">
                  <c:v>4.5</c:v>
                </c:pt>
                <c:pt idx="10">
                  <c:v>5</c:v>
                </c:pt>
              </c:numCache>
            </c:numRef>
          </c:xVal>
          <c:yVal>
            <c:numRef>
              <c:f>Лист3!$O$3:$O$13</c:f>
              <c:numCache>
                <c:formatCode>General</c:formatCode>
                <c:ptCount val="11"/>
                <c:pt idx="0">
                  <c:v>2.82</c:v>
                </c:pt>
                <c:pt idx="1">
                  <c:v>11</c:v>
                </c:pt>
                <c:pt idx="2" formatCode="0.00">
                  <c:v>10.9</c:v>
                </c:pt>
                <c:pt idx="3" formatCode="0.00">
                  <c:v>11.03</c:v>
                </c:pt>
                <c:pt idx="4" formatCode="0.00">
                  <c:v>10.82</c:v>
                </c:pt>
                <c:pt idx="5" formatCode="0.00">
                  <c:v>10.629999999999999</c:v>
                </c:pt>
                <c:pt idx="6" formatCode="0.00">
                  <c:v>10.57</c:v>
                </c:pt>
                <c:pt idx="7" formatCode="0.00">
                  <c:v>10.47</c:v>
                </c:pt>
                <c:pt idx="8" formatCode="0.00">
                  <c:v>9.2100000000000009</c:v>
                </c:pt>
                <c:pt idx="9" formatCode="0.00">
                  <c:v>6.72</c:v>
                </c:pt>
                <c:pt idx="10" formatCode="0.00">
                  <c:v>2.7600000000000002</c:v>
                </c:pt>
              </c:numCache>
            </c:numRef>
          </c:yVal>
        </c:ser>
        <c:ser>
          <c:idx val="6"/>
          <c:order val="6"/>
          <c:tx>
            <c:v>7</c:v>
          </c:tx>
          <c:spPr>
            <a:ln w="12700">
              <a:solidFill>
                <a:srgbClr val="000000"/>
              </a:solidFill>
            </a:ln>
          </c:spPr>
          <c:marker>
            <c:symbol val="plus"/>
            <c:size val="5"/>
            <c:spPr>
              <a:solidFill>
                <a:sysClr val="windowText" lastClr="000000"/>
              </a:solidFill>
              <a:ln>
                <a:solidFill>
                  <a:srgbClr val="000000"/>
                </a:solidFill>
              </a:ln>
            </c:spPr>
          </c:marker>
          <c:xVal>
            <c:numRef>
              <c:f>Лист3!$I$3:$I$13</c:f>
              <c:numCache>
                <c:formatCode>General</c:formatCode>
                <c:ptCount val="11"/>
                <c:pt idx="0">
                  <c:v>0</c:v>
                </c:pt>
                <c:pt idx="1">
                  <c:v>0.5</c:v>
                </c:pt>
                <c:pt idx="2">
                  <c:v>1</c:v>
                </c:pt>
                <c:pt idx="3">
                  <c:v>1.5</c:v>
                </c:pt>
                <c:pt idx="4">
                  <c:v>2</c:v>
                </c:pt>
                <c:pt idx="5">
                  <c:v>2.5</c:v>
                </c:pt>
                <c:pt idx="6">
                  <c:v>3</c:v>
                </c:pt>
                <c:pt idx="7">
                  <c:v>3.5</c:v>
                </c:pt>
                <c:pt idx="8">
                  <c:v>4</c:v>
                </c:pt>
                <c:pt idx="9">
                  <c:v>4.5</c:v>
                </c:pt>
                <c:pt idx="10">
                  <c:v>5</c:v>
                </c:pt>
              </c:numCache>
            </c:numRef>
          </c:xVal>
          <c:yVal>
            <c:numRef>
              <c:f>Лист3!$P$3:$P$13</c:f>
              <c:numCache>
                <c:formatCode>General</c:formatCode>
                <c:ptCount val="11"/>
                <c:pt idx="0">
                  <c:v>14.08</c:v>
                </c:pt>
                <c:pt idx="1">
                  <c:v>20.5</c:v>
                </c:pt>
                <c:pt idx="2">
                  <c:v>21.05</c:v>
                </c:pt>
                <c:pt idx="3">
                  <c:v>22.07</c:v>
                </c:pt>
                <c:pt idx="4">
                  <c:v>21.9</c:v>
                </c:pt>
                <c:pt idx="5">
                  <c:v>17.7</c:v>
                </c:pt>
                <c:pt idx="6">
                  <c:v>14.6</c:v>
                </c:pt>
                <c:pt idx="7">
                  <c:v>14.4</c:v>
                </c:pt>
                <c:pt idx="8">
                  <c:v>14.2</c:v>
                </c:pt>
                <c:pt idx="9">
                  <c:v>14.2</c:v>
                </c:pt>
                <c:pt idx="10">
                  <c:v>14.1</c:v>
                </c:pt>
              </c:numCache>
            </c:numRef>
          </c:yVal>
        </c:ser>
        <c:ser>
          <c:idx val="7"/>
          <c:order val="7"/>
          <c:tx>
            <c:v>8</c:v>
          </c:tx>
          <c:spPr>
            <a:ln w="12700">
              <a:solidFill>
                <a:srgbClr val="000000"/>
              </a:solidFill>
            </a:ln>
          </c:spPr>
          <c:marker>
            <c:symbol val="circle"/>
            <c:size val="5"/>
            <c:spPr>
              <a:noFill/>
              <a:ln>
                <a:solidFill>
                  <a:srgbClr val="000000"/>
                </a:solidFill>
              </a:ln>
            </c:spPr>
          </c:marker>
          <c:xVal>
            <c:numRef>
              <c:f>Лист3!$I$3:$I$13</c:f>
              <c:numCache>
                <c:formatCode>General</c:formatCode>
                <c:ptCount val="11"/>
                <c:pt idx="0">
                  <c:v>0</c:v>
                </c:pt>
                <c:pt idx="1">
                  <c:v>0.5</c:v>
                </c:pt>
                <c:pt idx="2">
                  <c:v>1</c:v>
                </c:pt>
                <c:pt idx="3">
                  <c:v>1.5</c:v>
                </c:pt>
                <c:pt idx="4">
                  <c:v>2</c:v>
                </c:pt>
                <c:pt idx="5">
                  <c:v>2.5</c:v>
                </c:pt>
                <c:pt idx="6">
                  <c:v>3</c:v>
                </c:pt>
                <c:pt idx="7">
                  <c:v>3.5</c:v>
                </c:pt>
                <c:pt idx="8">
                  <c:v>4</c:v>
                </c:pt>
                <c:pt idx="9">
                  <c:v>4.5</c:v>
                </c:pt>
                <c:pt idx="10">
                  <c:v>5</c:v>
                </c:pt>
              </c:numCache>
            </c:numRef>
          </c:xVal>
          <c:yVal>
            <c:numRef>
              <c:f>Лист3!$Q$3:$Q$13</c:f>
              <c:numCache>
                <c:formatCode>General</c:formatCode>
                <c:ptCount val="11"/>
                <c:pt idx="0">
                  <c:v>28.16</c:v>
                </c:pt>
                <c:pt idx="1">
                  <c:v>36</c:v>
                </c:pt>
                <c:pt idx="2">
                  <c:v>36.200000000000003</c:v>
                </c:pt>
                <c:pt idx="3">
                  <c:v>35.93</c:v>
                </c:pt>
                <c:pt idx="4">
                  <c:v>30.74</c:v>
                </c:pt>
                <c:pt idx="5">
                  <c:v>28.16</c:v>
                </c:pt>
                <c:pt idx="6">
                  <c:v>28.1</c:v>
                </c:pt>
                <c:pt idx="7">
                  <c:v>28.2</c:v>
                </c:pt>
                <c:pt idx="8">
                  <c:v>28.14</c:v>
                </c:pt>
                <c:pt idx="9">
                  <c:v>28.12</c:v>
                </c:pt>
                <c:pt idx="10">
                  <c:v>28.16</c:v>
                </c:pt>
              </c:numCache>
            </c:numRef>
          </c:yVal>
        </c:ser>
        <c:axId val="65144320"/>
        <c:axId val="65150976"/>
      </c:scatterChart>
      <c:valAx>
        <c:axId val="65144320"/>
        <c:scaling>
          <c:orientation val="minMax"/>
          <c:max val="5"/>
          <c:min val="0"/>
        </c:scaling>
        <c:axPos val="b"/>
        <c:title>
          <c:tx>
            <c:rich>
              <a:bodyPr/>
              <a:lstStyle/>
              <a:p>
                <a:pPr>
                  <a:defRPr sz="1100" b="0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r>
                  <a:rPr lang="en-US" sz="1200" b="0" i="0" strike="noStrike">
                    <a:solidFill>
                      <a:srgbClr val="000000"/>
                    </a:solidFill>
                    <a:latin typeface="Times New Roman"/>
                    <a:cs typeface="Times New Roman"/>
                  </a:rPr>
                  <a:t>V, </a:t>
                </a:r>
                <a:r>
                  <a:rPr lang="ru-RU" sz="1200" b="0" i="0" strike="noStrike">
                    <a:solidFill>
                      <a:srgbClr val="000000"/>
                    </a:solidFill>
                    <a:latin typeface="Times New Roman"/>
                    <a:cs typeface="Times New Roman"/>
                  </a:rPr>
                  <a:t>дм</a:t>
                </a:r>
                <a:r>
                  <a:rPr lang="ru-RU" sz="1200" b="0" i="0" strike="noStrike" baseline="30000">
                    <a:solidFill>
                      <a:srgbClr val="000000"/>
                    </a:solidFill>
                    <a:latin typeface="Times New Roman"/>
                    <a:cs typeface="Times New Roman"/>
                  </a:rPr>
                  <a:t>3</a:t>
                </a:r>
              </a:p>
            </c:rich>
          </c:tx>
          <c:layout>
            <c:manualLayout>
              <c:xMode val="edge"/>
              <c:yMode val="edge"/>
              <c:x val="0.89872338874307389"/>
              <c:y val="0.88140139785897564"/>
            </c:manualLayout>
          </c:layout>
          <c:spPr>
            <a:noFill/>
            <a:ln w="25400">
              <a:noFill/>
            </a:ln>
          </c:spPr>
        </c:title>
        <c:numFmt formatCode="General" sourceLinked="1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2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65150976"/>
        <c:crosses val="autoZero"/>
        <c:crossBetween val="midCat"/>
        <c:majorUnit val="1"/>
      </c:valAx>
      <c:valAx>
        <c:axId val="65150976"/>
        <c:scaling>
          <c:orientation val="minMax"/>
          <c:max val="39"/>
          <c:min val="0"/>
        </c:scaling>
        <c:axPos val="l"/>
        <c:majorGridlines>
          <c:spPr>
            <a:ln w="3175">
              <a:solidFill>
                <a:srgbClr val="FFFFFF"/>
              </a:solidFill>
              <a:prstDash val="solid"/>
            </a:ln>
          </c:spPr>
        </c:majorGridlines>
        <c:title>
          <c:tx>
            <c:rich>
              <a:bodyPr rot="0" vert="horz"/>
              <a:lstStyle/>
              <a:p>
                <a:pPr algn="ctr">
                  <a:defRPr sz="1100" b="0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r>
                  <a:rPr lang="en-US" sz="1200" b="0" i="0" strike="noStrike">
                    <a:solidFill>
                      <a:srgbClr val="000000"/>
                    </a:solidFill>
                    <a:latin typeface="Times New Roman"/>
                    <a:cs typeface="Times New Roman"/>
                  </a:rPr>
                  <a:t>C, </a:t>
                </a:r>
                <a:r>
                  <a:rPr lang="ru-RU" sz="1200" b="0" i="0" strike="noStrike">
                    <a:solidFill>
                      <a:srgbClr val="000000"/>
                    </a:solidFill>
                    <a:latin typeface="Times New Roman"/>
                    <a:cs typeface="Times New Roman"/>
                  </a:rPr>
                  <a:t>мг-екв/дм</a:t>
                </a:r>
                <a:r>
                  <a:rPr lang="ru-RU" sz="1200" b="0" i="0" strike="noStrike" baseline="30000">
                    <a:solidFill>
                      <a:srgbClr val="000000"/>
                    </a:solidFill>
                    <a:latin typeface="Times New Roman"/>
                    <a:cs typeface="Times New Roman"/>
                  </a:rPr>
                  <a:t>3</a:t>
                </a:r>
              </a:p>
            </c:rich>
          </c:tx>
          <c:layout>
            <c:manualLayout>
              <c:xMode val="edge"/>
              <c:yMode val="edge"/>
              <c:x val="1.018336249635462E-2"/>
              <c:y val="1.872659176029964E-2"/>
            </c:manualLayout>
          </c:layout>
          <c:spPr>
            <a:noFill/>
            <a:ln w="25400">
              <a:noFill/>
            </a:ln>
          </c:spPr>
        </c:title>
        <c:numFmt formatCode="General" sourceLinked="1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2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65144320"/>
        <c:crosses val="autoZero"/>
        <c:crossBetween val="midCat"/>
        <c:majorUnit val="10"/>
      </c:valAx>
      <c:spPr>
        <a:solidFill>
          <a:srgbClr val="FFFFFF"/>
        </a:solidFill>
        <a:ln w="12700">
          <a:solidFill>
            <a:srgbClr val="FFFFFF"/>
          </a:solidFill>
          <a:prstDash val="solid"/>
        </a:ln>
      </c:spPr>
    </c:plotArea>
    <c:legend>
      <c:legendPos val="r"/>
      <c:layout>
        <c:manualLayout>
          <c:xMode val="edge"/>
          <c:yMode val="edge"/>
          <c:x val="0.1863591790609507"/>
          <c:y val="0.90137642906996118"/>
          <c:w val="0.60300925925925963"/>
          <c:h val="9.8623570930038332E-2"/>
        </c:manualLayout>
      </c:layout>
      <c:spPr>
        <a:solidFill>
          <a:srgbClr val="FFFFFF"/>
        </a:solidFill>
        <a:ln w="3175">
          <a:solidFill>
            <a:srgbClr val="FFFFFF"/>
          </a:solidFill>
          <a:prstDash val="solid"/>
        </a:ln>
      </c:spPr>
      <c:txPr>
        <a:bodyPr/>
        <a:lstStyle/>
        <a:p>
          <a:pPr>
            <a:defRPr sz="1100" b="0" i="0" u="none" strike="noStrike" baseline="0">
              <a:solidFill>
                <a:srgbClr val="000000"/>
              </a:solidFill>
              <a:latin typeface="Times New Roman"/>
              <a:ea typeface="Times New Roman"/>
              <a:cs typeface="Times New Roman"/>
            </a:defRPr>
          </a:pPr>
          <a:endParaRPr lang="ru-RU"/>
        </a:p>
      </c:txPr>
    </c:legend>
    <c:plotVisOnly val="1"/>
    <c:dispBlanksAs val="gap"/>
  </c:chart>
  <c:spPr>
    <a:solidFill>
      <a:srgbClr val="FFFFFF"/>
    </a:solidFill>
    <a:ln w="12700">
      <a:solidFill>
        <a:srgbClr val="FFFFFF"/>
      </a:solidFill>
      <a:prstDash val="solid"/>
    </a:ln>
  </c:spPr>
  <c:txPr>
    <a:bodyPr/>
    <a:lstStyle/>
    <a:p>
      <a:pPr>
        <a:defRPr sz="1200" b="0" i="0" u="none" strike="noStrike" baseline="0">
          <a:solidFill>
            <a:srgbClr val="000000"/>
          </a:solidFill>
          <a:latin typeface="Times New Roman"/>
          <a:ea typeface="Times New Roman"/>
          <a:cs typeface="Times New Roman"/>
        </a:defRPr>
      </a:pPr>
      <a:endParaRPr lang="ru-RU"/>
    </a:p>
  </c:tx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>
        <c:manualLayout>
          <c:layoutTarget val="inner"/>
          <c:xMode val="edge"/>
          <c:yMode val="edge"/>
          <c:x val="9.7759674134419564E-2"/>
          <c:y val="0.10861462947181329"/>
          <c:w val="0.79790902919212492"/>
          <c:h val="0.6704144370846401"/>
        </c:manualLayout>
      </c:layout>
      <c:scatterChart>
        <c:scatterStyle val="smoothMarker"/>
        <c:ser>
          <c:idx val="0"/>
          <c:order val="0"/>
          <c:tx>
            <c:v>1</c:v>
          </c:tx>
          <c:spPr>
            <a:ln w="12700">
              <a:solidFill>
                <a:srgbClr val="000000"/>
              </a:solidFill>
              <a:prstDash val="solid"/>
            </a:ln>
          </c:spPr>
          <c:marker>
            <c:symbol val="diamond"/>
            <c:size val="5"/>
            <c:spPr>
              <a:solidFill>
                <a:srgbClr val="000000"/>
              </a:solidFill>
              <a:ln>
                <a:solidFill>
                  <a:srgbClr val="000000"/>
                </a:solidFill>
                <a:prstDash val="solid"/>
              </a:ln>
            </c:spPr>
          </c:marker>
          <c:xVal>
            <c:numRef>
              <c:f>Лист3!$S$3:$S$16</c:f>
              <c:numCache>
                <c:formatCode>General</c:formatCode>
                <c:ptCount val="14"/>
                <c:pt idx="0">
                  <c:v>0</c:v>
                </c:pt>
                <c:pt idx="1">
                  <c:v>0.2</c:v>
                </c:pt>
                <c:pt idx="2">
                  <c:v>0.4</c:v>
                </c:pt>
                <c:pt idx="3">
                  <c:v>0.6000000000000002</c:v>
                </c:pt>
                <c:pt idx="4">
                  <c:v>0.8</c:v>
                </c:pt>
                <c:pt idx="5">
                  <c:v>1</c:v>
                </c:pt>
                <c:pt idx="6">
                  <c:v>1.2</c:v>
                </c:pt>
                <c:pt idx="7">
                  <c:v>1.4</c:v>
                </c:pt>
                <c:pt idx="8">
                  <c:v>1.5999999999999996</c:v>
                </c:pt>
                <c:pt idx="9">
                  <c:v>1.7999999999999996</c:v>
                </c:pt>
                <c:pt idx="10">
                  <c:v>1.9999999999999998</c:v>
                </c:pt>
                <c:pt idx="11">
                  <c:v>2.1999999999999997</c:v>
                </c:pt>
                <c:pt idx="12">
                  <c:v>2.4</c:v>
                </c:pt>
                <c:pt idx="13">
                  <c:v>2.6</c:v>
                </c:pt>
              </c:numCache>
            </c:numRef>
          </c:xVal>
          <c:yVal>
            <c:numRef>
              <c:f>Лист3!$T$3:$T$16</c:f>
              <c:numCache>
                <c:formatCode>General</c:formatCode>
                <c:ptCount val="14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0.14000000000000001</c:v>
                </c:pt>
                <c:pt idx="8">
                  <c:v>0.32000000000000006</c:v>
                </c:pt>
                <c:pt idx="9">
                  <c:v>0.94000000000000006</c:v>
                </c:pt>
                <c:pt idx="10">
                  <c:v>1.26</c:v>
                </c:pt>
                <c:pt idx="11">
                  <c:v>14.52</c:v>
                </c:pt>
                <c:pt idx="12">
                  <c:v>16.130000000000003</c:v>
                </c:pt>
                <c:pt idx="13">
                  <c:v>16.130000000000003</c:v>
                </c:pt>
              </c:numCache>
            </c:numRef>
          </c:yVal>
          <c:smooth val="1"/>
        </c:ser>
        <c:ser>
          <c:idx val="1"/>
          <c:order val="1"/>
          <c:tx>
            <c:v>2</c:v>
          </c:tx>
          <c:spPr>
            <a:ln w="12700">
              <a:solidFill>
                <a:srgbClr val="000000"/>
              </a:solidFill>
              <a:prstDash val="solid"/>
            </a:ln>
          </c:spPr>
          <c:marker>
            <c:symbol val="square"/>
            <c:size val="5"/>
            <c:spPr>
              <a:noFill/>
              <a:ln>
                <a:solidFill>
                  <a:srgbClr val="000000"/>
                </a:solidFill>
                <a:prstDash val="solid"/>
              </a:ln>
            </c:spPr>
          </c:marker>
          <c:xVal>
            <c:numRef>
              <c:f>Лист3!$S$3:$S$16</c:f>
              <c:numCache>
                <c:formatCode>General</c:formatCode>
                <c:ptCount val="14"/>
                <c:pt idx="0">
                  <c:v>0</c:v>
                </c:pt>
                <c:pt idx="1">
                  <c:v>0.2</c:v>
                </c:pt>
                <c:pt idx="2">
                  <c:v>0.4</c:v>
                </c:pt>
                <c:pt idx="3">
                  <c:v>0.6000000000000002</c:v>
                </c:pt>
                <c:pt idx="4">
                  <c:v>0.8</c:v>
                </c:pt>
                <c:pt idx="5">
                  <c:v>1</c:v>
                </c:pt>
                <c:pt idx="6">
                  <c:v>1.2</c:v>
                </c:pt>
                <c:pt idx="7">
                  <c:v>1.4</c:v>
                </c:pt>
                <c:pt idx="8">
                  <c:v>1.5999999999999996</c:v>
                </c:pt>
                <c:pt idx="9">
                  <c:v>1.7999999999999996</c:v>
                </c:pt>
                <c:pt idx="10">
                  <c:v>1.9999999999999998</c:v>
                </c:pt>
                <c:pt idx="11">
                  <c:v>2.1999999999999997</c:v>
                </c:pt>
                <c:pt idx="12">
                  <c:v>2.4</c:v>
                </c:pt>
                <c:pt idx="13">
                  <c:v>2.6</c:v>
                </c:pt>
              </c:numCache>
            </c:numRef>
          </c:xVal>
          <c:yVal>
            <c:numRef>
              <c:f>Лист3!$U$3:$U$16</c:f>
              <c:numCache>
                <c:formatCode>General</c:formatCode>
                <c:ptCount val="14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0.29000000000000004</c:v>
                </c:pt>
                <c:pt idx="6">
                  <c:v>0.30000000000000004</c:v>
                </c:pt>
                <c:pt idx="7">
                  <c:v>0.34</c:v>
                </c:pt>
                <c:pt idx="8">
                  <c:v>0.4</c:v>
                </c:pt>
                <c:pt idx="9">
                  <c:v>0.5</c:v>
                </c:pt>
                <c:pt idx="10">
                  <c:v>1.1499999999999997</c:v>
                </c:pt>
                <c:pt idx="11">
                  <c:v>10.89</c:v>
                </c:pt>
                <c:pt idx="12">
                  <c:v>16.130000000000003</c:v>
                </c:pt>
                <c:pt idx="13">
                  <c:v>16.54</c:v>
                </c:pt>
              </c:numCache>
            </c:numRef>
          </c:yVal>
          <c:smooth val="1"/>
        </c:ser>
        <c:ser>
          <c:idx val="2"/>
          <c:order val="2"/>
          <c:tx>
            <c:v>3</c:v>
          </c:tx>
          <c:spPr>
            <a:ln w="12700">
              <a:solidFill>
                <a:srgbClr val="000000"/>
              </a:solidFill>
              <a:prstDash val="solid"/>
            </a:ln>
          </c:spPr>
          <c:marker>
            <c:symbol val="triangle"/>
            <c:size val="5"/>
            <c:spPr>
              <a:solidFill>
                <a:srgbClr val="000000"/>
              </a:solidFill>
              <a:ln>
                <a:solidFill>
                  <a:srgbClr val="000000"/>
                </a:solidFill>
                <a:prstDash val="solid"/>
              </a:ln>
            </c:spPr>
          </c:marker>
          <c:xVal>
            <c:numRef>
              <c:f>Лист3!$S$3:$S$16</c:f>
              <c:numCache>
                <c:formatCode>General</c:formatCode>
                <c:ptCount val="14"/>
                <c:pt idx="0">
                  <c:v>0</c:v>
                </c:pt>
                <c:pt idx="1">
                  <c:v>0.2</c:v>
                </c:pt>
                <c:pt idx="2">
                  <c:v>0.4</c:v>
                </c:pt>
                <c:pt idx="3">
                  <c:v>0.6000000000000002</c:v>
                </c:pt>
                <c:pt idx="4">
                  <c:v>0.8</c:v>
                </c:pt>
                <c:pt idx="5">
                  <c:v>1</c:v>
                </c:pt>
                <c:pt idx="6">
                  <c:v>1.2</c:v>
                </c:pt>
                <c:pt idx="7">
                  <c:v>1.4</c:v>
                </c:pt>
                <c:pt idx="8">
                  <c:v>1.5999999999999996</c:v>
                </c:pt>
                <c:pt idx="9">
                  <c:v>1.7999999999999996</c:v>
                </c:pt>
                <c:pt idx="10">
                  <c:v>1.9999999999999998</c:v>
                </c:pt>
                <c:pt idx="11">
                  <c:v>2.1999999999999997</c:v>
                </c:pt>
                <c:pt idx="12">
                  <c:v>2.4</c:v>
                </c:pt>
                <c:pt idx="13">
                  <c:v>2.6</c:v>
                </c:pt>
              </c:numCache>
            </c:numRef>
          </c:xVal>
          <c:yVal>
            <c:numRef>
              <c:f>Лист3!$V$3:$V$16</c:f>
              <c:numCache>
                <c:formatCode>General</c:formatCode>
                <c:ptCount val="14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0.24000000000000002</c:v>
                </c:pt>
                <c:pt idx="5">
                  <c:v>0.29000000000000004</c:v>
                </c:pt>
                <c:pt idx="6">
                  <c:v>0.92</c:v>
                </c:pt>
                <c:pt idx="7">
                  <c:v>2.2599999999999998</c:v>
                </c:pt>
                <c:pt idx="8">
                  <c:v>8.65</c:v>
                </c:pt>
                <c:pt idx="9">
                  <c:v>10.97</c:v>
                </c:pt>
                <c:pt idx="10">
                  <c:v>16.130000000000003</c:v>
                </c:pt>
                <c:pt idx="11">
                  <c:v>16.850000000000001</c:v>
                </c:pt>
                <c:pt idx="12">
                  <c:v>17</c:v>
                </c:pt>
                <c:pt idx="13">
                  <c:v>16.95</c:v>
                </c:pt>
              </c:numCache>
            </c:numRef>
          </c:yVal>
          <c:smooth val="1"/>
        </c:ser>
        <c:ser>
          <c:idx val="3"/>
          <c:order val="3"/>
          <c:tx>
            <c:v>4</c:v>
          </c:tx>
          <c:spPr>
            <a:ln w="12700">
              <a:solidFill>
                <a:srgbClr val="000000"/>
              </a:solidFill>
              <a:prstDash val="solid"/>
            </a:ln>
          </c:spPr>
          <c:marker>
            <c:symbol val="triangle"/>
            <c:size val="5"/>
            <c:spPr>
              <a:noFill/>
              <a:ln>
                <a:solidFill>
                  <a:srgbClr val="000000"/>
                </a:solidFill>
                <a:prstDash val="solid"/>
              </a:ln>
            </c:spPr>
          </c:marker>
          <c:xVal>
            <c:numRef>
              <c:f>Лист3!$S$3:$S$16</c:f>
              <c:numCache>
                <c:formatCode>General</c:formatCode>
                <c:ptCount val="14"/>
                <c:pt idx="0">
                  <c:v>0</c:v>
                </c:pt>
                <c:pt idx="1">
                  <c:v>0.2</c:v>
                </c:pt>
                <c:pt idx="2">
                  <c:v>0.4</c:v>
                </c:pt>
                <c:pt idx="3">
                  <c:v>0.6000000000000002</c:v>
                </c:pt>
                <c:pt idx="4">
                  <c:v>0.8</c:v>
                </c:pt>
                <c:pt idx="5">
                  <c:v>1</c:v>
                </c:pt>
                <c:pt idx="6">
                  <c:v>1.2</c:v>
                </c:pt>
                <c:pt idx="7">
                  <c:v>1.4</c:v>
                </c:pt>
                <c:pt idx="8">
                  <c:v>1.5999999999999996</c:v>
                </c:pt>
                <c:pt idx="9">
                  <c:v>1.7999999999999996</c:v>
                </c:pt>
                <c:pt idx="10">
                  <c:v>1.9999999999999998</c:v>
                </c:pt>
                <c:pt idx="11">
                  <c:v>2.1999999999999997</c:v>
                </c:pt>
                <c:pt idx="12">
                  <c:v>2.4</c:v>
                </c:pt>
                <c:pt idx="13">
                  <c:v>2.6</c:v>
                </c:pt>
              </c:numCache>
            </c:numRef>
          </c:xVal>
          <c:yVal>
            <c:numRef>
              <c:f>Лист3!$W$3:$W$16</c:f>
              <c:numCache>
                <c:formatCode>General</c:formatCode>
                <c:ptCount val="14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0.23</c:v>
                </c:pt>
                <c:pt idx="4">
                  <c:v>0.26</c:v>
                </c:pt>
                <c:pt idx="5">
                  <c:v>0.58000000000000007</c:v>
                </c:pt>
                <c:pt idx="6">
                  <c:v>1.45</c:v>
                </c:pt>
                <c:pt idx="7">
                  <c:v>7.26</c:v>
                </c:pt>
                <c:pt idx="8">
                  <c:v>15.93</c:v>
                </c:pt>
                <c:pt idx="9">
                  <c:v>16.09</c:v>
                </c:pt>
                <c:pt idx="10">
                  <c:v>16.100000000000001</c:v>
                </c:pt>
                <c:pt idx="11">
                  <c:v>17.34</c:v>
                </c:pt>
                <c:pt idx="12">
                  <c:v>17.420000000000002</c:v>
                </c:pt>
                <c:pt idx="13">
                  <c:v>17.399999999999999</c:v>
                </c:pt>
              </c:numCache>
            </c:numRef>
          </c:yVal>
          <c:smooth val="1"/>
        </c:ser>
        <c:axId val="65680512"/>
        <c:axId val="65682816"/>
      </c:scatterChart>
      <c:scatterChart>
        <c:scatterStyle val="lineMarker"/>
        <c:ser>
          <c:idx val="4"/>
          <c:order val="4"/>
          <c:tx>
            <c:v>5</c:v>
          </c:tx>
          <c:spPr>
            <a:ln w="12700">
              <a:solidFill>
                <a:srgbClr val="000000"/>
              </a:solidFill>
              <a:prstDash val="solid"/>
            </a:ln>
          </c:spPr>
          <c:marker>
            <c:symbol val="star"/>
            <c:size val="5"/>
            <c:spPr>
              <a:noFill/>
              <a:ln>
                <a:solidFill>
                  <a:srgbClr val="000000"/>
                </a:solidFill>
                <a:prstDash val="solid"/>
              </a:ln>
            </c:spPr>
          </c:marker>
          <c:xVal>
            <c:numRef>
              <c:f>Лист3!$S$3:$S$16</c:f>
              <c:numCache>
                <c:formatCode>General</c:formatCode>
                <c:ptCount val="14"/>
                <c:pt idx="0">
                  <c:v>0</c:v>
                </c:pt>
                <c:pt idx="1">
                  <c:v>0.2</c:v>
                </c:pt>
                <c:pt idx="2">
                  <c:v>0.4</c:v>
                </c:pt>
                <c:pt idx="3">
                  <c:v>0.6000000000000002</c:v>
                </c:pt>
                <c:pt idx="4">
                  <c:v>0.8</c:v>
                </c:pt>
                <c:pt idx="5">
                  <c:v>1</c:v>
                </c:pt>
                <c:pt idx="6">
                  <c:v>1.2</c:v>
                </c:pt>
                <c:pt idx="7">
                  <c:v>1.4</c:v>
                </c:pt>
                <c:pt idx="8">
                  <c:v>1.5999999999999996</c:v>
                </c:pt>
                <c:pt idx="9">
                  <c:v>1.7999999999999996</c:v>
                </c:pt>
                <c:pt idx="10">
                  <c:v>1.9999999999999998</c:v>
                </c:pt>
                <c:pt idx="11">
                  <c:v>2.1999999999999997</c:v>
                </c:pt>
                <c:pt idx="12">
                  <c:v>2.4</c:v>
                </c:pt>
                <c:pt idx="13">
                  <c:v>2.6</c:v>
                </c:pt>
              </c:numCache>
            </c:numRef>
          </c:xVal>
          <c:yVal>
            <c:numRef>
              <c:f>Лист3!$X$3:$X$16</c:f>
              <c:numCache>
                <c:formatCode>General</c:formatCode>
                <c:ptCount val="14"/>
                <c:pt idx="0">
                  <c:v>0</c:v>
                </c:pt>
                <c:pt idx="1">
                  <c:v>16</c:v>
                </c:pt>
                <c:pt idx="2">
                  <c:v>16.2</c:v>
                </c:pt>
                <c:pt idx="3">
                  <c:v>16.5</c:v>
                </c:pt>
                <c:pt idx="4">
                  <c:v>16.3</c:v>
                </c:pt>
                <c:pt idx="5">
                  <c:v>16.25</c:v>
                </c:pt>
                <c:pt idx="6">
                  <c:v>16.130000000000003</c:v>
                </c:pt>
                <c:pt idx="7">
                  <c:v>15.89</c:v>
                </c:pt>
                <c:pt idx="8">
                  <c:v>15.81</c:v>
                </c:pt>
                <c:pt idx="9">
                  <c:v>15.19</c:v>
                </c:pt>
                <c:pt idx="10">
                  <c:v>8.8700000000000028</c:v>
                </c:pt>
                <c:pt idx="11">
                  <c:v>1.61</c:v>
                </c:pt>
                <c:pt idx="12">
                  <c:v>1.0000000000000002E-2</c:v>
                </c:pt>
                <c:pt idx="13">
                  <c:v>0</c:v>
                </c:pt>
              </c:numCache>
            </c:numRef>
          </c:yVal>
          <c:smooth val="1"/>
        </c:ser>
        <c:ser>
          <c:idx val="5"/>
          <c:order val="5"/>
          <c:tx>
            <c:v>6</c:v>
          </c:tx>
          <c:spPr>
            <a:ln w="12700">
              <a:solidFill>
                <a:srgbClr val="000000"/>
              </a:solidFill>
            </a:ln>
          </c:spPr>
          <c:marker>
            <c:symbol val="circle"/>
            <c:size val="5"/>
            <c:spPr>
              <a:solidFill>
                <a:sysClr val="windowText" lastClr="000000"/>
              </a:solidFill>
              <a:ln>
                <a:solidFill>
                  <a:srgbClr val="000000"/>
                </a:solidFill>
              </a:ln>
            </c:spPr>
          </c:marker>
          <c:xVal>
            <c:numRef>
              <c:f>Лист3!$S$3:$S$16</c:f>
              <c:numCache>
                <c:formatCode>General</c:formatCode>
                <c:ptCount val="14"/>
                <c:pt idx="0">
                  <c:v>0</c:v>
                </c:pt>
                <c:pt idx="1">
                  <c:v>0.2</c:v>
                </c:pt>
                <c:pt idx="2">
                  <c:v>0.4</c:v>
                </c:pt>
                <c:pt idx="3">
                  <c:v>0.6000000000000002</c:v>
                </c:pt>
                <c:pt idx="4">
                  <c:v>0.8</c:v>
                </c:pt>
                <c:pt idx="5">
                  <c:v>1</c:v>
                </c:pt>
                <c:pt idx="6">
                  <c:v>1.2</c:v>
                </c:pt>
                <c:pt idx="7">
                  <c:v>1.4</c:v>
                </c:pt>
                <c:pt idx="8">
                  <c:v>1.5999999999999996</c:v>
                </c:pt>
                <c:pt idx="9">
                  <c:v>1.7999999999999996</c:v>
                </c:pt>
                <c:pt idx="10">
                  <c:v>1.9999999999999998</c:v>
                </c:pt>
                <c:pt idx="11">
                  <c:v>2.1999999999999997</c:v>
                </c:pt>
                <c:pt idx="12">
                  <c:v>2.4</c:v>
                </c:pt>
                <c:pt idx="13">
                  <c:v>2.6</c:v>
                </c:pt>
              </c:numCache>
            </c:numRef>
          </c:xVal>
          <c:yVal>
            <c:numRef>
              <c:f>Лист3!$Y$3:$Y$16</c:f>
              <c:numCache>
                <c:formatCode>General</c:formatCode>
                <c:ptCount val="14"/>
                <c:pt idx="0">
                  <c:v>2.82</c:v>
                </c:pt>
                <c:pt idx="1">
                  <c:v>18</c:v>
                </c:pt>
                <c:pt idx="2" formatCode="0.00">
                  <c:v>18.5</c:v>
                </c:pt>
                <c:pt idx="3" formatCode="0.00">
                  <c:v>18.899999999999999</c:v>
                </c:pt>
                <c:pt idx="4" formatCode="0.00">
                  <c:v>18.5</c:v>
                </c:pt>
                <c:pt idx="5" formatCode="0.00">
                  <c:v>18.149999999999999</c:v>
                </c:pt>
                <c:pt idx="6" formatCode="0.00">
                  <c:v>18</c:v>
                </c:pt>
                <c:pt idx="7" formatCode="0.00">
                  <c:v>16.690000000000001</c:v>
                </c:pt>
                <c:pt idx="8" formatCode="0.00">
                  <c:v>9.3000000000000007</c:v>
                </c:pt>
                <c:pt idx="9" formatCode="0.00">
                  <c:v>7.78</c:v>
                </c:pt>
                <c:pt idx="10" formatCode="0.00">
                  <c:v>2.9499999999999997</c:v>
                </c:pt>
                <c:pt idx="11" formatCode="0.00">
                  <c:v>2.82</c:v>
                </c:pt>
                <c:pt idx="12" formatCode="0.00">
                  <c:v>2.6</c:v>
                </c:pt>
                <c:pt idx="13" formatCode="0.00">
                  <c:v>2.65</c:v>
                </c:pt>
              </c:numCache>
            </c:numRef>
          </c:yVal>
        </c:ser>
        <c:ser>
          <c:idx val="6"/>
          <c:order val="6"/>
          <c:tx>
            <c:v>7</c:v>
          </c:tx>
          <c:spPr>
            <a:ln w="12700">
              <a:solidFill>
                <a:srgbClr val="000000"/>
              </a:solidFill>
            </a:ln>
          </c:spPr>
          <c:marker>
            <c:symbol val="plus"/>
            <c:size val="5"/>
            <c:spPr>
              <a:solidFill>
                <a:sysClr val="windowText" lastClr="000000"/>
              </a:solidFill>
              <a:ln>
                <a:solidFill>
                  <a:srgbClr val="000000"/>
                </a:solidFill>
              </a:ln>
            </c:spPr>
          </c:marker>
          <c:xVal>
            <c:numRef>
              <c:f>Лист3!$S$3:$S$16</c:f>
              <c:numCache>
                <c:formatCode>General</c:formatCode>
                <c:ptCount val="14"/>
                <c:pt idx="0">
                  <c:v>0</c:v>
                </c:pt>
                <c:pt idx="1">
                  <c:v>0.2</c:v>
                </c:pt>
                <c:pt idx="2">
                  <c:v>0.4</c:v>
                </c:pt>
                <c:pt idx="3">
                  <c:v>0.6000000000000002</c:v>
                </c:pt>
                <c:pt idx="4">
                  <c:v>0.8</c:v>
                </c:pt>
                <c:pt idx="5">
                  <c:v>1</c:v>
                </c:pt>
                <c:pt idx="6">
                  <c:v>1.2</c:v>
                </c:pt>
                <c:pt idx="7">
                  <c:v>1.4</c:v>
                </c:pt>
                <c:pt idx="8">
                  <c:v>1.5999999999999996</c:v>
                </c:pt>
                <c:pt idx="9">
                  <c:v>1.7999999999999996</c:v>
                </c:pt>
                <c:pt idx="10">
                  <c:v>1.9999999999999998</c:v>
                </c:pt>
                <c:pt idx="11">
                  <c:v>2.1999999999999997</c:v>
                </c:pt>
                <c:pt idx="12">
                  <c:v>2.4</c:v>
                </c:pt>
                <c:pt idx="13">
                  <c:v>2.6</c:v>
                </c:pt>
              </c:numCache>
            </c:numRef>
          </c:xVal>
          <c:yVal>
            <c:numRef>
              <c:f>Лист3!$Z$3:$Z$16</c:f>
              <c:numCache>
                <c:formatCode>General</c:formatCode>
                <c:ptCount val="14"/>
                <c:pt idx="0">
                  <c:v>14.08</c:v>
                </c:pt>
                <c:pt idx="1">
                  <c:v>29.5</c:v>
                </c:pt>
                <c:pt idx="2">
                  <c:v>30.2</c:v>
                </c:pt>
                <c:pt idx="3">
                  <c:v>30.21</c:v>
                </c:pt>
                <c:pt idx="4">
                  <c:v>30.01</c:v>
                </c:pt>
                <c:pt idx="5">
                  <c:v>29.85</c:v>
                </c:pt>
                <c:pt idx="6">
                  <c:v>29.05</c:v>
                </c:pt>
                <c:pt idx="7">
                  <c:v>27</c:v>
                </c:pt>
                <c:pt idx="8">
                  <c:v>21.56</c:v>
                </c:pt>
                <c:pt idx="9">
                  <c:v>19.239999999999995</c:v>
                </c:pt>
                <c:pt idx="10">
                  <c:v>14.15</c:v>
                </c:pt>
                <c:pt idx="11">
                  <c:v>14.350000000000001</c:v>
                </c:pt>
                <c:pt idx="12">
                  <c:v>14.09</c:v>
                </c:pt>
                <c:pt idx="13">
                  <c:v>14.11</c:v>
                </c:pt>
              </c:numCache>
            </c:numRef>
          </c:yVal>
        </c:ser>
        <c:ser>
          <c:idx val="7"/>
          <c:order val="7"/>
          <c:tx>
            <c:v>8</c:v>
          </c:tx>
          <c:spPr>
            <a:ln w="12700">
              <a:solidFill>
                <a:srgbClr val="000000"/>
              </a:solidFill>
            </a:ln>
          </c:spPr>
          <c:marker>
            <c:symbol val="circle"/>
            <c:size val="5"/>
            <c:spPr>
              <a:noFill/>
              <a:ln>
                <a:solidFill>
                  <a:srgbClr val="000000"/>
                </a:solidFill>
              </a:ln>
            </c:spPr>
          </c:marker>
          <c:xVal>
            <c:numRef>
              <c:f>Лист3!$S$3:$S$16</c:f>
              <c:numCache>
                <c:formatCode>General</c:formatCode>
                <c:ptCount val="14"/>
                <c:pt idx="0">
                  <c:v>0</c:v>
                </c:pt>
                <c:pt idx="1">
                  <c:v>0.2</c:v>
                </c:pt>
                <c:pt idx="2">
                  <c:v>0.4</c:v>
                </c:pt>
                <c:pt idx="3">
                  <c:v>0.6000000000000002</c:v>
                </c:pt>
                <c:pt idx="4">
                  <c:v>0.8</c:v>
                </c:pt>
                <c:pt idx="5">
                  <c:v>1</c:v>
                </c:pt>
                <c:pt idx="6">
                  <c:v>1.2</c:v>
                </c:pt>
                <c:pt idx="7">
                  <c:v>1.4</c:v>
                </c:pt>
                <c:pt idx="8">
                  <c:v>1.5999999999999996</c:v>
                </c:pt>
                <c:pt idx="9">
                  <c:v>1.7999999999999996</c:v>
                </c:pt>
                <c:pt idx="10">
                  <c:v>1.9999999999999998</c:v>
                </c:pt>
                <c:pt idx="11">
                  <c:v>2.1999999999999997</c:v>
                </c:pt>
                <c:pt idx="12">
                  <c:v>2.4</c:v>
                </c:pt>
                <c:pt idx="13">
                  <c:v>2.6</c:v>
                </c:pt>
              </c:numCache>
            </c:numRef>
          </c:xVal>
          <c:yVal>
            <c:numRef>
              <c:f>Лист3!$AA$3:$AA$15</c:f>
              <c:numCache>
                <c:formatCode>General</c:formatCode>
                <c:ptCount val="13"/>
                <c:pt idx="0">
                  <c:v>28.16</c:v>
                </c:pt>
                <c:pt idx="1">
                  <c:v>45</c:v>
                </c:pt>
                <c:pt idx="2">
                  <c:v>44.8</c:v>
                </c:pt>
                <c:pt idx="3">
                  <c:v>44.3</c:v>
                </c:pt>
                <c:pt idx="4">
                  <c:v>44.21</c:v>
                </c:pt>
                <c:pt idx="5">
                  <c:v>44</c:v>
                </c:pt>
                <c:pt idx="6">
                  <c:v>42.839999999999996</c:v>
                </c:pt>
                <c:pt idx="7">
                  <c:v>37.03</c:v>
                </c:pt>
                <c:pt idx="8">
                  <c:v>28.36</c:v>
                </c:pt>
                <c:pt idx="9">
                  <c:v>28.2</c:v>
                </c:pt>
                <c:pt idx="10">
                  <c:v>28.1</c:v>
                </c:pt>
                <c:pt idx="11">
                  <c:v>28.150000000000002</c:v>
                </c:pt>
                <c:pt idx="12">
                  <c:v>28.16</c:v>
                </c:pt>
              </c:numCache>
            </c:numRef>
          </c:yVal>
        </c:ser>
        <c:axId val="65680512"/>
        <c:axId val="65682816"/>
      </c:scatterChart>
      <c:valAx>
        <c:axId val="65680512"/>
        <c:scaling>
          <c:orientation val="minMax"/>
          <c:max val="2.6"/>
          <c:min val="0"/>
        </c:scaling>
        <c:axPos val="b"/>
        <c:title>
          <c:tx>
            <c:rich>
              <a:bodyPr/>
              <a:lstStyle/>
              <a:p>
                <a:pPr>
                  <a:defRPr sz="1100" b="0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r>
                  <a:rPr lang="en-US" sz="1200" b="0" i="0" strike="noStrike">
                    <a:solidFill>
                      <a:srgbClr val="000000"/>
                    </a:solidFill>
                    <a:latin typeface="Times New Roman"/>
                    <a:cs typeface="Times New Roman"/>
                  </a:rPr>
                  <a:t>V, </a:t>
                </a:r>
                <a:r>
                  <a:rPr lang="ru-RU" sz="1200" b="0" i="0" strike="noStrike">
                    <a:solidFill>
                      <a:srgbClr val="000000"/>
                    </a:solidFill>
                    <a:latin typeface="Times New Roman"/>
                    <a:cs typeface="Times New Roman"/>
                  </a:rPr>
                  <a:t>дм</a:t>
                </a:r>
                <a:r>
                  <a:rPr lang="ru-RU" sz="1200" b="0" i="0" strike="noStrike" baseline="30000">
                    <a:solidFill>
                      <a:srgbClr val="000000"/>
                    </a:solidFill>
                    <a:latin typeface="Times New Roman"/>
                    <a:cs typeface="Times New Roman"/>
                  </a:rPr>
                  <a:t>3</a:t>
                </a:r>
              </a:p>
            </c:rich>
          </c:tx>
          <c:layout>
            <c:manualLayout>
              <c:xMode val="edge"/>
              <c:yMode val="edge"/>
              <c:x val="0.89872338874307378"/>
              <c:y val="0.88140139785897553"/>
            </c:manualLayout>
          </c:layout>
          <c:spPr>
            <a:noFill/>
            <a:ln w="25400">
              <a:noFill/>
            </a:ln>
          </c:spPr>
        </c:title>
        <c:numFmt formatCode="General" sourceLinked="1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2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65682816"/>
        <c:crosses val="autoZero"/>
        <c:crossBetween val="midCat"/>
        <c:majorUnit val="0.5"/>
      </c:valAx>
      <c:valAx>
        <c:axId val="65682816"/>
        <c:scaling>
          <c:orientation val="minMax"/>
          <c:max val="46"/>
          <c:min val="0"/>
        </c:scaling>
        <c:axPos val="l"/>
        <c:majorGridlines>
          <c:spPr>
            <a:ln w="3175">
              <a:solidFill>
                <a:srgbClr val="FFFFFF"/>
              </a:solidFill>
              <a:prstDash val="solid"/>
            </a:ln>
          </c:spPr>
        </c:majorGridlines>
        <c:title>
          <c:tx>
            <c:rich>
              <a:bodyPr rot="0" vert="horz"/>
              <a:lstStyle/>
              <a:p>
                <a:pPr algn="ctr">
                  <a:defRPr sz="1100" b="0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r>
                  <a:rPr lang="en-US" sz="1200" b="0" i="0" strike="noStrike">
                    <a:solidFill>
                      <a:srgbClr val="000000"/>
                    </a:solidFill>
                    <a:latin typeface="Times New Roman"/>
                    <a:cs typeface="Times New Roman"/>
                  </a:rPr>
                  <a:t>C, </a:t>
                </a:r>
                <a:r>
                  <a:rPr lang="ru-RU" sz="1200" b="0" i="0" strike="noStrike">
                    <a:solidFill>
                      <a:srgbClr val="000000"/>
                    </a:solidFill>
                    <a:latin typeface="Times New Roman"/>
                    <a:cs typeface="Times New Roman"/>
                  </a:rPr>
                  <a:t>мг-екв/дм</a:t>
                </a:r>
                <a:r>
                  <a:rPr lang="ru-RU" sz="1200" b="0" i="0" strike="noStrike" baseline="30000">
                    <a:solidFill>
                      <a:srgbClr val="000000"/>
                    </a:solidFill>
                    <a:latin typeface="Times New Roman"/>
                    <a:cs typeface="Times New Roman"/>
                  </a:rPr>
                  <a:t>3</a:t>
                </a:r>
              </a:p>
            </c:rich>
          </c:tx>
          <c:layout>
            <c:manualLayout>
              <c:xMode val="edge"/>
              <c:yMode val="edge"/>
              <c:x val="1.0183362496354618E-2"/>
              <c:y val="1.872659176029964E-2"/>
            </c:manualLayout>
          </c:layout>
          <c:spPr>
            <a:noFill/>
            <a:ln w="25400">
              <a:noFill/>
            </a:ln>
          </c:spPr>
        </c:title>
        <c:numFmt formatCode="General" sourceLinked="1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2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65680512"/>
        <c:crosses val="autoZero"/>
        <c:crossBetween val="midCat"/>
        <c:majorUnit val="10"/>
      </c:valAx>
      <c:spPr>
        <a:solidFill>
          <a:srgbClr val="FFFFFF"/>
        </a:solidFill>
        <a:ln w="12700">
          <a:solidFill>
            <a:srgbClr val="FFFFFF"/>
          </a:solidFill>
          <a:prstDash val="solid"/>
        </a:ln>
      </c:spPr>
    </c:plotArea>
    <c:legend>
      <c:legendPos val="r"/>
      <c:layout>
        <c:manualLayout>
          <c:xMode val="edge"/>
          <c:yMode val="edge"/>
          <c:x val="0.1863591790609507"/>
          <c:y val="0.89138891346446869"/>
          <c:w val="0.64004629629629695"/>
          <c:h val="0.1086110865355315"/>
        </c:manualLayout>
      </c:layout>
      <c:spPr>
        <a:solidFill>
          <a:srgbClr val="FFFFFF"/>
        </a:solidFill>
        <a:ln w="3175">
          <a:solidFill>
            <a:srgbClr val="FFFFFF"/>
          </a:solidFill>
          <a:prstDash val="solid"/>
        </a:ln>
      </c:spPr>
      <c:txPr>
        <a:bodyPr/>
        <a:lstStyle/>
        <a:p>
          <a:pPr>
            <a:defRPr sz="1100" b="0" i="0" u="none" strike="noStrike" baseline="0">
              <a:solidFill>
                <a:srgbClr val="000000"/>
              </a:solidFill>
              <a:latin typeface="Times New Roman"/>
              <a:ea typeface="Times New Roman"/>
              <a:cs typeface="Times New Roman"/>
            </a:defRPr>
          </a:pPr>
          <a:endParaRPr lang="ru-RU"/>
        </a:p>
      </c:txPr>
    </c:legend>
    <c:plotVisOnly val="1"/>
    <c:dispBlanksAs val="gap"/>
  </c:chart>
  <c:spPr>
    <a:solidFill>
      <a:srgbClr val="FFFFFF"/>
    </a:solidFill>
    <a:ln w="12700">
      <a:solidFill>
        <a:srgbClr val="FFFFFF"/>
      </a:solidFill>
      <a:prstDash val="solid"/>
    </a:ln>
  </c:spPr>
  <c:txPr>
    <a:bodyPr/>
    <a:lstStyle/>
    <a:p>
      <a:pPr>
        <a:defRPr sz="1200" b="0" i="0" u="none" strike="noStrike" baseline="0">
          <a:solidFill>
            <a:srgbClr val="000000"/>
          </a:solidFill>
          <a:latin typeface="Times New Roman"/>
          <a:ea typeface="Times New Roman"/>
          <a:cs typeface="Times New Roman"/>
        </a:defRPr>
      </a:pPr>
      <a:endParaRPr lang="ru-RU"/>
    </a:p>
  </c:txPr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>
        <c:manualLayout>
          <c:layoutTarget val="inner"/>
          <c:xMode val="edge"/>
          <c:yMode val="edge"/>
          <c:x val="9.7759674134419564E-2"/>
          <c:y val="0.10861462947181336"/>
          <c:w val="0.79790902919212492"/>
          <c:h val="0.67041443708464032"/>
        </c:manualLayout>
      </c:layout>
      <c:scatterChart>
        <c:scatterStyle val="smoothMarker"/>
        <c:ser>
          <c:idx val="0"/>
          <c:order val="0"/>
          <c:tx>
            <c:v>1</c:v>
          </c:tx>
          <c:spPr>
            <a:ln w="12700">
              <a:solidFill>
                <a:srgbClr val="000000"/>
              </a:solidFill>
              <a:prstDash val="solid"/>
            </a:ln>
          </c:spPr>
          <c:marker>
            <c:symbol val="diamond"/>
            <c:size val="5"/>
            <c:spPr>
              <a:solidFill>
                <a:srgbClr val="000000"/>
              </a:solidFill>
              <a:ln>
                <a:solidFill>
                  <a:srgbClr val="000000"/>
                </a:solidFill>
                <a:prstDash val="solid"/>
              </a:ln>
            </c:spPr>
          </c:marker>
          <c:xVal>
            <c:numRef>
              <c:f>Лист3!$AD$3:$AD$14</c:f>
              <c:numCache>
                <c:formatCode>General</c:formatCode>
                <c:ptCount val="12"/>
                <c:pt idx="0">
                  <c:v>0</c:v>
                </c:pt>
                <c:pt idx="1">
                  <c:v>0.2</c:v>
                </c:pt>
                <c:pt idx="2">
                  <c:v>0.4</c:v>
                </c:pt>
                <c:pt idx="3">
                  <c:v>0.6000000000000002</c:v>
                </c:pt>
                <c:pt idx="4">
                  <c:v>0.8</c:v>
                </c:pt>
                <c:pt idx="5">
                  <c:v>1</c:v>
                </c:pt>
                <c:pt idx="6">
                  <c:v>1.2</c:v>
                </c:pt>
                <c:pt idx="7">
                  <c:v>1.4</c:v>
                </c:pt>
                <c:pt idx="8">
                  <c:v>1.5999999999999996</c:v>
                </c:pt>
                <c:pt idx="9">
                  <c:v>1.7999999999999996</c:v>
                </c:pt>
                <c:pt idx="10">
                  <c:v>1.9999999999999998</c:v>
                </c:pt>
                <c:pt idx="11">
                  <c:v>2.1999999999999997</c:v>
                </c:pt>
              </c:numCache>
            </c:numRef>
          </c:xVal>
          <c:yVal>
            <c:numRef>
              <c:f>Лист3!$AE$3:$AE$14</c:f>
              <c:numCache>
                <c:formatCode>General</c:formatCode>
                <c:ptCount val="12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0.23</c:v>
                </c:pt>
                <c:pt idx="4">
                  <c:v>0.30000000000000004</c:v>
                </c:pt>
                <c:pt idx="5">
                  <c:v>0.4</c:v>
                </c:pt>
                <c:pt idx="6">
                  <c:v>0.9</c:v>
                </c:pt>
                <c:pt idx="7">
                  <c:v>7.6599999999999993</c:v>
                </c:pt>
                <c:pt idx="8">
                  <c:v>20.16</c:v>
                </c:pt>
                <c:pt idx="9">
                  <c:v>22.17</c:v>
                </c:pt>
                <c:pt idx="10">
                  <c:v>24.19</c:v>
                </c:pt>
                <c:pt idx="11">
                  <c:v>24.19</c:v>
                </c:pt>
              </c:numCache>
            </c:numRef>
          </c:yVal>
          <c:smooth val="1"/>
        </c:ser>
        <c:ser>
          <c:idx val="1"/>
          <c:order val="1"/>
          <c:tx>
            <c:v>2</c:v>
          </c:tx>
          <c:spPr>
            <a:ln w="12700">
              <a:solidFill>
                <a:srgbClr val="000000"/>
              </a:solidFill>
              <a:prstDash val="solid"/>
            </a:ln>
          </c:spPr>
          <c:marker>
            <c:symbol val="square"/>
            <c:size val="5"/>
            <c:spPr>
              <a:noFill/>
              <a:ln>
                <a:solidFill>
                  <a:srgbClr val="000000"/>
                </a:solidFill>
                <a:prstDash val="solid"/>
              </a:ln>
            </c:spPr>
          </c:marker>
          <c:xVal>
            <c:numRef>
              <c:f>Лист3!$AD$3:$AD$14</c:f>
              <c:numCache>
                <c:formatCode>General</c:formatCode>
                <c:ptCount val="12"/>
                <c:pt idx="0">
                  <c:v>0</c:v>
                </c:pt>
                <c:pt idx="1">
                  <c:v>0.2</c:v>
                </c:pt>
                <c:pt idx="2">
                  <c:v>0.4</c:v>
                </c:pt>
                <c:pt idx="3">
                  <c:v>0.6000000000000002</c:v>
                </c:pt>
                <c:pt idx="4">
                  <c:v>0.8</c:v>
                </c:pt>
                <c:pt idx="5">
                  <c:v>1</c:v>
                </c:pt>
                <c:pt idx="6">
                  <c:v>1.2</c:v>
                </c:pt>
                <c:pt idx="7">
                  <c:v>1.4</c:v>
                </c:pt>
                <c:pt idx="8">
                  <c:v>1.5999999999999996</c:v>
                </c:pt>
                <c:pt idx="9">
                  <c:v>1.7999999999999996</c:v>
                </c:pt>
                <c:pt idx="10">
                  <c:v>1.9999999999999998</c:v>
                </c:pt>
                <c:pt idx="11">
                  <c:v>2.1999999999999997</c:v>
                </c:pt>
              </c:numCache>
            </c:numRef>
          </c:xVal>
          <c:yVal>
            <c:numRef>
              <c:f>Лист3!$AF$3:$AF$14</c:f>
              <c:numCache>
                <c:formatCode>General</c:formatCode>
                <c:ptCount val="12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0.30000000000000004</c:v>
                </c:pt>
                <c:pt idx="4">
                  <c:v>0.34</c:v>
                </c:pt>
                <c:pt idx="5">
                  <c:v>0.35000000000000003</c:v>
                </c:pt>
                <c:pt idx="6">
                  <c:v>1.45</c:v>
                </c:pt>
                <c:pt idx="7">
                  <c:v>13.31</c:v>
                </c:pt>
                <c:pt idx="8">
                  <c:v>16.130000000000003</c:v>
                </c:pt>
                <c:pt idx="9">
                  <c:v>24.19</c:v>
                </c:pt>
                <c:pt idx="10">
                  <c:v>24.19</c:v>
                </c:pt>
                <c:pt idx="11">
                  <c:v>24.19</c:v>
                </c:pt>
              </c:numCache>
            </c:numRef>
          </c:yVal>
          <c:smooth val="1"/>
        </c:ser>
        <c:ser>
          <c:idx val="2"/>
          <c:order val="2"/>
          <c:tx>
            <c:v>3</c:v>
          </c:tx>
          <c:spPr>
            <a:ln w="12700">
              <a:solidFill>
                <a:srgbClr val="000000"/>
              </a:solidFill>
              <a:prstDash val="solid"/>
            </a:ln>
          </c:spPr>
          <c:marker>
            <c:symbol val="triangle"/>
            <c:size val="5"/>
            <c:spPr>
              <a:solidFill>
                <a:srgbClr val="000000"/>
              </a:solidFill>
              <a:ln>
                <a:solidFill>
                  <a:srgbClr val="000000"/>
                </a:solidFill>
                <a:prstDash val="solid"/>
              </a:ln>
            </c:spPr>
          </c:marker>
          <c:xVal>
            <c:numRef>
              <c:f>Лист3!$AD$3:$AD$14</c:f>
              <c:numCache>
                <c:formatCode>General</c:formatCode>
                <c:ptCount val="12"/>
                <c:pt idx="0">
                  <c:v>0</c:v>
                </c:pt>
                <c:pt idx="1">
                  <c:v>0.2</c:v>
                </c:pt>
                <c:pt idx="2">
                  <c:v>0.4</c:v>
                </c:pt>
                <c:pt idx="3">
                  <c:v>0.6000000000000002</c:v>
                </c:pt>
                <c:pt idx="4">
                  <c:v>0.8</c:v>
                </c:pt>
                <c:pt idx="5">
                  <c:v>1</c:v>
                </c:pt>
                <c:pt idx="6">
                  <c:v>1.2</c:v>
                </c:pt>
                <c:pt idx="7">
                  <c:v>1.4</c:v>
                </c:pt>
                <c:pt idx="8">
                  <c:v>1.5999999999999996</c:v>
                </c:pt>
                <c:pt idx="9">
                  <c:v>1.7999999999999996</c:v>
                </c:pt>
                <c:pt idx="10">
                  <c:v>1.9999999999999998</c:v>
                </c:pt>
                <c:pt idx="11">
                  <c:v>2.1999999999999997</c:v>
                </c:pt>
              </c:numCache>
            </c:numRef>
          </c:xVal>
          <c:yVal>
            <c:numRef>
              <c:f>Лист3!$AG$3:$AG$14</c:f>
              <c:numCache>
                <c:formatCode>General</c:formatCode>
                <c:ptCount val="12"/>
                <c:pt idx="0">
                  <c:v>0</c:v>
                </c:pt>
                <c:pt idx="1">
                  <c:v>0</c:v>
                </c:pt>
                <c:pt idx="2">
                  <c:v>0.24000000000000002</c:v>
                </c:pt>
                <c:pt idx="3">
                  <c:v>0.24000000000000002</c:v>
                </c:pt>
                <c:pt idx="4">
                  <c:v>0.27</c:v>
                </c:pt>
                <c:pt idx="5">
                  <c:v>1.05</c:v>
                </c:pt>
                <c:pt idx="6">
                  <c:v>2.0699999999999998</c:v>
                </c:pt>
                <c:pt idx="7">
                  <c:v>18.55</c:v>
                </c:pt>
                <c:pt idx="8">
                  <c:v>24.19</c:v>
                </c:pt>
                <c:pt idx="9">
                  <c:v>24.19</c:v>
                </c:pt>
              </c:numCache>
            </c:numRef>
          </c:yVal>
          <c:smooth val="1"/>
        </c:ser>
        <c:ser>
          <c:idx val="3"/>
          <c:order val="3"/>
          <c:tx>
            <c:v>4</c:v>
          </c:tx>
          <c:spPr>
            <a:ln w="12700">
              <a:solidFill>
                <a:srgbClr val="000000"/>
              </a:solidFill>
              <a:prstDash val="solid"/>
            </a:ln>
          </c:spPr>
          <c:marker>
            <c:symbol val="triangle"/>
            <c:size val="5"/>
            <c:spPr>
              <a:noFill/>
              <a:ln>
                <a:solidFill>
                  <a:srgbClr val="000000"/>
                </a:solidFill>
                <a:prstDash val="solid"/>
              </a:ln>
            </c:spPr>
          </c:marker>
          <c:xVal>
            <c:numRef>
              <c:f>Лист3!$AD$3:$AD$14</c:f>
              <c:numCache>
                <c:formatCode>General</c:formatCode>
                <c:ptCount val="12"/>
                <c:pt idx="0">
                  <c:v>0</c:v>
                </c:pt>
                <c:pt idx="1">
                  <c:v>0.2</c:v>
                </c:pt>
                <c:pt idx="2">
                  <c:v>0.4</c:v>
                </c:pt>
                <c:pt idx="3">
                  <c:v>0.6000000000000002</c:v>
                </c:pt>
                <c:pt idx="4">
                  <c:v>0.8</c:v>
                </c:pt>
                <c:pt idx="5">
                  <c:v>1</c:v>
                </c:pt>
                <c:pt idx="6">
                  <c:v>1.2</c:v>
                </c:pt>
                <c:pt idx="7">
                  <c:v>1.4</c:v>
                </c:pt>
                <c:pt idx="8">
                  <c:v>1.5999999999999996</c:v>
                </c:pt>
                <c:pt idx="9">
                  <c:v>1.7999999999999996</c:v>
                </c:pt>
                <c:pt idx="10">
                  <c:v>1.9999999999999998</c:v>
                </c:pt>
                <c:pt idx="11">
                  <c:v>2.1999999999999997</c:v>
                </c:pt>
              </c:numCache>
            </c:numRef>
          </c:xVal>
          <c:yVal>
            <c:numRef>
              <c:f>Лист3!$AH$3:$AH$14</c:f>
              <c:numCache>
                <c:formatCode>General</c:formatCode>
                <c:ptCount val="12"/>
                <c:pt idx="0">
                  <c:v>0</c:v>
                </c:pt>
                <c:pt idx="1">
                  <c:v>0</c:v>
                </c:pt>
                <c:pt idx="2">
                  <c:v>0.27</c:v>
                </c:pt>
                <c:pt idx="3">
                  <c:v>0.32000000000000006</c:v>
                </c:pt>
                <c:pt idx="4">
                  <c:v>1.45</c:v>
                </c:pt>
                <c:pt idx="5">
                  <c:v>7.34</c:v>
                </c:pt>
                <c:pt idx="6">
                  <c:v>19.32</c:v>
                </c:pt>
                <c:pt idx="7">
                  <c:v>20.16</c:v>
                </c:pt>
                <c:pt idx="8">
                  <c:v>22.58</c:v>
                </c:pt>
                <c:pt idx="9">
                  <c:v>24.19</c:v>
                </c:pt>
                <c:pt idx="10">
                  <c:v>24.19</c:v>
                </c:pt>
              </c:numCache>
            </c:numRef>
          </c:yVal>
          <c:smooth val="1"/>
        </c:ser>
        <c:axId val="65819392"/>
        <c:axId val="65821696"/>
      </c:scatterChart>
      <c:scatterChart>
        <c:scatterStyle val="lineMarker"/>
        <c:ser>
          <c:idx val="4"/>
          <c:order val="4"/>
          <c:tx>
            <c:v>5</c:v>
          </c:tx>
          <c:spPr>
            <a:ln w="12700">
              <a:solidFill>
                <a:srgbClr val="000000"/>
              </a:solidFill>
              <a:prstDash val="solid"/>
            </a:ln>
          </c:spPr>
          <c:marker>
            <c:symbol val="star"/>
            <c:size val="5"/>
            <c:spPr>
              <a:noFill/>
              <a:ln>
                <a:solidFill>
                  <a:srgbClr val="000000"/>
                </a:solidFill>
                <a:prstDash val="solid"/>
              </a:ln>
            </c:spPr>
          </c:marker>
          <c:xVal>
            <c:numRef>
              <c:f>Лист3!$AD$3:$AD$14</c:f>
              <c:numCache>
                <c:formatCode>General</c:formatCode>
                <c:ptCount val="12"/>
                <c:pt idx="0">
                  <c:v>0</c:v>
                </c:pt>
                <c:pt idx="1">
                  <c:v>0.2</c:v>
                </c:pt>
                <c:pt idx="2">
                  <c:v>0.4</c:v>
                </c:pt>
                <c:pt idx="3">
                  <c:v>0.6000000000000002</c:v>
                </c:pt>
                <c:pt idx="4">
                  <c:v>0.8</c:v>
                </c:pt>
                <c:pt idx="5">
                  <c:v>1</c:v>
                </c:pt>
                <c:pt idx="6">
                  <c:v>1.2</c:v>
                </c:pt>
                <c:pt idx="7">
                  <c:v>1.4</c:v>
                </c:pt>
                <c:pt idx="8">
                  <c:v>1.5999999999999996</c:v>
                </c:pt>
                <c:pt idx="9">
                  <c:v>1.7999999999999996</c:v>
                </c:pt>
                <c:pt idx="10">
                  <c:v>1.9999999999999998</c:v>
                </c:pt>
                <c:pt idx="11">
                  <c:v>2.1999999999999997</c:v>
                </c:pt>
              </c:numCache>
            </c:numRef>
          </c:xVal>
          <c:yVal>
            <c:numRef>
              <c:f>Лист3!$AI$3:$AI$14</c:f>
              <c:numCache>
                <c:formatCode>General</c:formatCode>
                <c:ptCount val="12"/>
                <c:pt idx="0">
                  <c:v>0</c:v>
                </c:pt>
                <c:pt idx="1">
                  <c:v>23</c:v>
                </c:pt>
                <c:pt idx="2">
                  <c:v>24.2</c:v>
                </c:pt>
                <c:pt idx="3">
                  <c:v>23</c:v>
                </c:pt>
                <c:pt idx="4">
                  <c:v>23</c:v>
                </c:pt>
                <c:pt idx="5">
                  <c:v>22.5</c:v>
                </c:pt>
                <c:pt idx="6">
                  <c:v>22</c:v>
                </c:pt>
                <c:pt idx="7">
                  <c:v>13.15</c:v>
                </c:pt>
                <c:pt idx="8">
                  <c:v>5.55</c:v>
                </c:pt>
                <c:pt idx="9">
                  <c:v>1.25</c:v>
                </c:pt>
                <c:pt idx="10">
                  <c:v>0</c:v>
                </c:pt>
                <c:pt idx="11">
                  <c:v>0</c:v>
                </c:pt>
              </c:numCache>
            </c:numRef>
          </c:yVal>
          <c:smooth val="1"/>
        </c:ser>
        <c:ser>
          <c:idx val="5"/>
          <c:order val="5"/>
          <c:tx>
            <c:v>6</c:v>
          </c:tx>
          <c:spPr>
            <a:ln w="12700">
              <a:solidFill>
                <a:srgbClr val="000000"/>
              </a:solidFill>
            </a:ln>
          </c:spPr>
          <c:marker>
            <c:symbol val="circle"/>
            <c:size val="5"/>
            <c:spPr>
              <a:solidFill>
                <a:sysClr val="windowText" lastClr="000000"/>
              </a:solidFill>
              <a:ln>
                <a:solidFill>
                  <a:srgbClr val="000000"/>
                </a:solidFill>
              </a:ln>
            </c:spPr>
          </c:marker>
          <c:xVal>
            <c:numRef>
              <c:f>Лист3!$AD$3:$AD$14</c:f>
              <c:numCache>
                <c:formatCode>General</c:formatCode>
                <c:ptCount val="12"/>
                <c:pt idx="0">
                  <c:v>0</c:v>
                </c:pt>
                <c:pt idx="1">
                  <c:v>0.2</c:v>
                </c:pt>
                <c:pt idx="2">
                  <c:v>0.4</c:v>
                </c:pt>
                <c:pt idx="3">
                  <c:v>0.6000000000000002</c:v>
                </c:pt>
                <c:pt idx="4">
                  <c:v>0.8</c:v>
                </c:pt>
                <c:pt idx="5">
                  <c:v>1</c:v>
                </c:pt>
                <c:pt idx="6">
                  <c:v>1.2</c:v>
                </c:pt>
                <c:pt idx="7">
                  <c:v>1.4</c:v>
                </c:pt>
                <c:pt idx="8">
                  <c:v>1.5999999999999996</c:v>
                </c:pt>
                <c:pt idx="9">
                  <c:v>1.7999999999999996</c:v>
                </c:pt>
                <c:pt idx="10">
                  <c:v>1.9999999999999998</c:v>
                </c:pt>
                <c:pt idx="11">
                  <c:v>2.1999999999999997</c:v>
                </c:pt>
              </c:numCache>
            </c:numRef>
          </c:xVal>
          <c:yVal>
            <c:numRef>
              <c:f>Лист3!$AJ$3:$AJ$14</c:f>
              <c:numCache>
                <c:formatCode>General</c:formatCode>
                <c:ptCount val="12"/>
                <c:pt idx="0">
                  <c:v>2.82</c:v>
                </c:pt>
                <c:pt idx="1">
                  <c:v>26</c:v>
                </c:pt>
                <c:pt idx="2" formatCode="0.00">
                  <c:v>26.95</c:v>
                </c:pt>
                <c:pt idx="3" formatCode="0.00">
                  <c:v>26.439999999999998</c:v>
                </c:pt>
                <c:pt idx="4" formatCode="0.00">
                  <c:v>26.8</c:v>
                </c:pt>
                <c:pt idx="5" formatCode="0.00">
                  <c:v>26.45</c:v>
                </c:pt>
                <c:pt idx="6" formatCode="0.00">
                  <c:v>25.5</c:v>
                </c:pt>
                <c:pt idx="7" formatCode="0.00">
                  <c:v>13.79</c:v>
                </c:pt>
                <c:pt idx="8" formatCode="0.00">
                  <c:v>11.44</c:v>
                </c:pt>
                <c:pt idx="9" formatCode="0.00">
                  <c:v>3</c:v>
                </c:pt>
                <c:pt idx="10" formatCode="0.00">
                  <c:v>2.8699999999999997</c:v>
                </c:pt>
                <c:pt idx="11" formatCode="0.00">
                  <c:v>2.82</c:v>
                </c:pt>
              </c:numCache>
            </c:numRef>
          </c:yVal>
        </c:ser>
        <c:ser>
          <c:idx val="6"/>
          <c:order val="6"/>
          <c:tx>
            <c:v>7</c:v>
          </c:tx>
          <c:spPr>
            <a:ln w="12700">
              <a:solidFill>
                <a:srgbClr val="000000"/>
              </a:solidFill>
            </a:ln>
          </c:spPr>
          <c:marker>
            <c:symbol val="plus"/>
            <c:size val="5"/>
            <c:spPr>
              <a:solidFill>
                <a:sysClr val="windowText" lastClr="000000"/>
              </a:solidFill>
              <a:ln>
                <a:solidFill>
                  <a:srgbClr val="000000"/>
                </a:solidFill>
              </a:ln>
            </c:spPr>
          </c:marker>
          <c:xVal>
            <c:numRef>
              <c:f>Лист3!$AD$3:$AD$14</c:f>
              <c:numCache>
                <c:formatCode>General</c:formatCode>
                <c:ptCount val="12"/>
                <c:pt idx="0">
                  <c:v>0</c:v>
                </c:pt>
                <c:pt idx="1">
                  <c:v>0.2</c:v>
                </c:pt>
                <c:pt idx="2">
                  <c:v>0.4</c:v>
                </c:pt>
                <c:pt idx="3">
                  <c:v>0.6000000000000002</c:v>
                </c:pt>
                <c:pt idx="4">
                  <c:v>0.8</c:v>
                </c:pt>
                <c:pt idx="5">
                  <c:v>1</c:v>
                </c:pt>
                <c:pt idx="6">
                  <c:v>1.2</c:v>
                </c:pt>
                <c:pt idx="7">
                  <c:v>1.4</c:v>
                </c:pt>
                <c:pt idx="8">
                  <c:v>1.5999999999999996</c:v>
                </c:pt>
                <c:pt idx="9">
                  <c:v>1.7999999999999996</c:v>
                </c:pt>
                <c:pt idx="10">
                  <c:v>1.9999999999999998</c:v>
                </c:pt>
                <c:pt idx="11">
                  <c:v>2.1999999999999997</c:v>
                </c:pt>
              </c:numCache>
            </c:numRef>
          </c:xVal>
          <c:yVal>
            <c:numRef>
              <c:f>Лист3!$AK$3:$AK$14</c:f>
              <c:numCache>
                <c:formatCode>General</c:formatCode>
                <c:ptCount val="12"/>
                <c:pt idx="0">
                  <c:v>14.08</c:v>
                </c:pt>
                <c:pt idx="1">
                  <c:v>38</c:v>
                </c:pt>
                <c:pt idx="2">
                  <c:v>37.5</c:v>
                </c:pt>
                <c:pt idx="3">
                  <c:v>37.5</c:v>
                </c:pt>
                <c:pt idx="4">
                  <c:v>37.4</c:v>
                </c:pt>
                <c:pt idx="5">
                  <c:v>36.949999999999996</c:v>
                </c:pt>
                <c:pt idx="6">
                  <c:v>34.980000000000004</c:v>
                </c:pt>
                <c:pt idx="7">
                  <c:v>19.45</c:v>
                </c:pt>
                <c:pt idx="8">
                  <c:v>14.11</c:v>
                </c:pt>
                <c:pt idx="9">
                  <c:v>14.08</c:v>
                </c:pt>
              </c:numCache>
            </c:numRef>
          </c:yVal>
        </c:ser>
        <c:ser>
          <c:idx val="7"/>
          <c:order val="7"/>
          <c:tx>
            <c:v>8</c:v>
          </c:tx>
          <c:spPr>
            <a:ln w="12700">
              <a:solidFill>
                <a:srgbClr val="000000"/>
              </a:solidFill>
            </a:ln>
          </c:spPr>
          <c:marker>
            <c:symbol val="circle"/>
            <c:size val="5"/>
            <c:spPr>
              <a:noFill/>
              <a:ln>
                <a:solidFill>
                  <a:srgbClr val="000000"/>
                </a:solidFill>
              </a:ln>
            </c:spPr>
          </c:marker>
          <c:xVal>
            <c:numRef>
              <c:f>Лист3!$AD$3:$AD$14</c:f>
              <c:numCache>
                <c:formatCode>General</c:formatCode>
                <c:ptCount val="12"/>
                <c:pt idx="0">
                  <c:v>0</c:v>
                </c:pt>
                <c:pt idx="1">
                  <c:v>0.2</c:v>
                </c:pt>
                <c:pt idx="2">
                  <c:v>0.4</c:v>
                </c:pt>
                <c:pt idx="3">
                  <c:v>0.6000000000000002</c:v>
                </c:pt>
                <c:pt idx="4">
                  <c:v>0.8</c:v>
                </c:pt>
                <c:pt idx="5">
                  <c:v>1</c:v>
                </c:pt>
                <c:pt idx="6">
                  <c:v>1.2</c:v>
                </c:pt>
                <c:pt idx="7">
                  <c:v>1.4</c:v>
                </c:pt>
                <c:pt idx="8">
                  <c:v>1.5999999999999996</c:v>
                </c:pt>
                <c:pt idx="9">
                  <c:v>1.7999999999999996</c:v>
                </c:pt>
                <c:pt idx="10">
                  <c:v>1.9999999999999998</c:v>
                </c:pt>
                <c:pt idx="11">
                  <c:v>2.1999999999999997</c:v>
                </c:pt>
              </c:numCache>
            </c:numRef>
          </c:xVal>
          <c:yVal>
            <c:numRef>
              <c:f>Лист3!$AL$3:$AL$14</c:f>
              <c:numCache>
                <c:formatCode>General</c:formatCode>
                <c:ptCount val="12"/>
                <c:pt idx="0">
                  <c:v>28.16</c:v>
                </c:pt>
                <c:pt idx="1">
                  <c:v>52</c:v>
                </c:pt>
                <c:pt idx="2">
                  <c:v>52.6</c:v>
                </c:pt>
                <c:pt idx="3">
                  <c:v>52.4</c:v>
                </c:pt>
                <c:pt idx="4">
                  <c:v>50.949999999999996</c:v>
                </c:pt>
                <c:pt idx="5">
                  <c:v>45.06</c:v>
                </c:pt>
                <c:pt idx="6">
                  <c:v>33.08</c:v>
                </c:pt>
                <c:pt idx="7">
                  <c:v>32.4</c:v>
                </c:pt>
                <c:pt idx="8">
                  <c:v>29.4</c:v>
                </c:pt>
                <c:pt idx="9">
                  <c:v>28.5</c:v>
                </c:pt>
                <c:pt idx="10">
                  <c:v>28.2</c:v>
                </c:pt>
              </c:numCache>
            </c:numRef>
          </c:yVal>
        </c:ser>
        <c:axId val="65819392"/>
        <c:axId val="65821696"/>
      </c:scatterChart>
      <c:valAx>
        <c:axId val="65819392"/>
        <c:scaling>
          <c:orientation val="minMax"/>
          <c:max val="2.2000000000000002"/>
          <c:min val="0"/>
        </c:scaling>
        <c:axPos val="b"/>
        <c:title>
          <c:tx>
            <c:rich>
              <a:bodyPr/>
              <a:lstStyle/>
              <a:p>
                <a:pPr>
                  <a:defRPr sz="1100" b="0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r>
                  <a:rPr lang="en-US" sz="1200" b="0" i="0" strike="noStrike">
                    <a:solidFill>
                      <a:srgbClr val="000000"/>
                    </a:solidFill>
                    <a:latin typeface="Times New Roman"/>
                    <a:cs typeface="Times New Roman"/>
                  </a:rPr>
                  <a:t>V, </a:t>
                </a:r>
                <a:r>
                  <a:rPr lang="ru-RU" sz="1200" b="0" i="0" strike="noStrike">
                    <a:solidFill>
                      <a:srgbClr val="000000"/>
                    </a:solidFill>
                    <a:latin typeface="Times New Roman"/>
                    <a:cs typeface="Times New Roman"/>
                  </a:rPr>
                  <a:t>дм</a:t>
                </a:r>
                <a:r>
                  <a:rPr lang="ru-RU" sz="1200" b="0" i="0" strike="noStrike" baseline="30000">
                    <a:solidFill>
                      <a:srgbClr val="000000"/>
                    </a:solidFill>
                    <a:latin typeface="Times New Roman"/>
                    <a:cs typeface="Times New Roman"/>
                  </a:rPr>
                  <a:t>3</a:t>
                </a:r>
              </a:p>
            </c:rich>
          </c:tx>
          <c:layout>
            <c:manualLayout>
              <c:xMode val="edge"/>
              <c:yMode val="edge"/>
              <c:x val="0.89872338874307378"/>
              <c:y val="0.88140139785897553"/>
            </c:manualLayout>
          </c:layout>
          <c:spPr>
            <a:noFill/>
            <a:ln w="25400">
              <a:noFill/>
            </a:ln>
          </c:spPr>
        </c:title>
        <c:numFmt formatCode="General" sourceLinked="1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2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65821696"/>
        <c:crosses val="autoZero"/>
        <c:crossBetween val="midCat"/>
        <c:majorUnit val="0.5"/>
      </c:valAx>
      <c:valAx>
        <c:axId val="65821696"/>
        <c:scaling>
          <c:orientation val="minMax"/>
          <c:max val="53"/>
          <c:min val="0"/>
        </c:scaling>
        <c:axPos val="l"/>
        <c:majorGridlines>
          <c:spPr>
            <a:ln w="3175">
              <a:solidFill>
                <a:srgbClr val="FFFFFF"/>
              </a:solidFill>
              <a:prstDash val="solid"/>
            </a:ln>
          </c:spPr>
        </c:majorGridlines>
        <c:title>
          <c:tx>
            <c:rich>
              <a:bodyPr rot="0" vert="horz"/>
              <a:lstStyle/>
              <a:p>
                <a:pPr algn="ctr">
                  <a:defRPr sz="1100" b="0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r>
                  <a:rPr lang="en-US" sz="1200" b="0" i="0" strike="noStrike">
                    <a:solidFill>
                      <a:srgbClr val="000000"/>
                    </a:solidFill>
                    <a:latin typeface="Times New Roman"/>
                    <a:cs typeface="Times New Roman"/>
                  </a:rPr>
                  <a:t>C, </a:t>
                </a:r>
                <a:r>
                  <a:rPr lang="ru-RU" sz="1200" b="0" i="0" strike="noStrike">
                    <a:solidFill>
                      <a:srgbClr val="000000"/>
                    </a:solidFill>
                    <a:latin typeface="Times New Roman"/>
                    <a:cs typeface="Times New Roman"/>
                  </a:rPr>
                  <a:t>мг-екв/дм</a:t>
                </a:r>
                <a:r>
                  <a:rPr lang="ru-RU" sz="1200" b="0" i="0" strike="noStrike" baseline="30000">
                    <a:solidFill>
                      <a:srgbClr val="000000"/>
                    </a:solidFill>
                    <a:latin typeface="Times New Roman"/>
                    <a:cs typeface="Times New Roman"/>
                  </a:rPr>
                  <a:t>3</a:t>
                </a:r>
              </a:p>
            </c:rich>
          </c:tx>
          <c:layout>
            <c:manualLayout>
              <c:xMode val="edge"/>
              <c:yMode val="edge"/>
              <c:x val="1.0183362496354618E-2"/>
              <c:y val="1.872659176029964E-2"/>
            </c:manualLayout>
          </c:layout>
          <c:spPr>
            <a:noFill/>
            <a:ln w="25400">
              <a:noFill/>
            </a:ln>
          </c:spPr>
        </c:title>
        <c:numFmt formatCode="General" sourceLinked="1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2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65819392"/>
        <c:crosses val="autoZero"/>
        <c:crossBetween val="midCat"/>
        <c:majorUnit val="10"/>
      </c:valAx>
      <c:spPr>
        <a:solidFill>
          <a:srgbClr val="FFFFFF"/>
        </a:solidFill>
        <a:ln w="12700">
          <a:solidFill>
            <a:srgbClr val="FFFFFF"/>
          </a:solidFill>
          <a:prstDash val="solid"/>
        </a:ln>
      </c:spPr>
    </c:plotArea>
    <c:legend>
      <c:legendPos val="r"/>
      <c:layout>
        <c:manualLayout>
          <c:xMode val="edge"/>
          <c:yMode val="edge"/>
          <c:x val="0.1863591790609507"/>
          <c:y val="0.89138891346446869"/>
          <c:w val="0.64004629629629695"/>
          <c:h val="0.1086110865355315"/>
        </c:manualLayout>
      </c:layout>
      <c:spPr>
        <a:solidFill>
          <a:srgbClr val="FFFFFF"/>
        </a:solidFill>
        <a:ln w="3175">
          <a:solidFill>
            <a:srgbClr val="FFFFFF"/>
          </a:solidFill>
          <a:prstDash val="solid"/>
        </a:ln>
      </c:spPr>
      <c:txPr>
        <a:bodyPr/>
        <a:lstStyle/>
        <a:p>
          <a:pPr>
            <a:defRPr sz="1100" b="0" i="0" u="none" strike="noStrike" baseline="0">
              <a:solidFill>
                <a:srgbClr val="000000"/>
              </a:solidFill>
              <a:latin typeface="Times New Roman"/>
              <a:ea typeface="Times New Roman"/>
              <a:cs typeface="Times New Roman"/>
            </a:defRPr>
          </a:pPr>
          <a:endParaRPr lang="ru-RU"/>
        </a:p>
      </c:txPr>
    </c:legend>
    <c:plotVisOnly val="1"/>
    <c:dispBlanksAs val="gap"/>
  </c:chart>
  <c:spPr>
    <a:solidFill>
      <a:srgbClr val="FFFFFF"/>
    </a:solidFill>
    <a:ln w="12700">
      <a:solidFill>
        <a:srgbClr val="FFFFFF"/>
      </a:solidFill>
      <a:prstDash val="solid"/>
    </a:ln>
  </c:spPr>
  <c:txPr>
    <a:bodyPr/>
    <a:lstStyle/>
    <a:p>
      <a:pPr>
        <a:defRPr sz="1200" b="0" i="0" u="none" strike="noStrike" baseline="0">
          <a:solidFill>
            <a:srgbClr val="000000"/>
          </a:solidFill>
          <a:latin typeface="Times New Roman"/>
          <a:ea typeface="Times New Roman"/>
          <a:cs typeface="Times New Roman"/>
        </a:defRPr>
      </a:pPr>
      <a:endParaRPr lang="ru-RU"/>
    </a:p>
  </c:txPr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>
        <c:manualLayout>
          <c:layoutTarget val="inner"/>
          <c:xMode val="edge"/>
          <c:yMode val="edge"/>
          <c:x val="9.7759674134419564E-2"/>
          <c:y val="0.10861462947181362"/>
          <c:w val="0.79790902919212492"/>
          <c:h val="0.6704144370846411"/>
        </c:manualLayout>
      </c:layout>
      <c:scatterChart>
        <c:scatterStyle val="smoothMarker"/>
        <c:ser>
          <c:idx val="0"/>
          <c:order val="0"/>
          <c:tx>
            <c:v>1</c:v>
          </c:tx>
          <c:spPr>
            <a:ln w="12700">
              <a:solidFill>
                <a:srgbClr val="000000"/>
              </a:solidFill>
              <a:prstDash val="solid"/>
            </a:ln>
          </c:spPr>
          <c:marker>
            <c:symbol val="diamond"/>
            <c:size val="5"/>
            <c:spPr>
              <a:solidFill>
                <a:srgbClr val="000000"/>
              </a:solidFill>
              <a:ln>
                <a:solidFill>
                  <a:srgbClr val="000000"/>
                </a:solidFill>
                <a:prstDash val="solid"/>
              </a:ln>
            </c:spPr>
          </c:marker>
          <c:xVal>
            <c:numRef>
              <c:f>Лист3!$AN$3:$AN$13</c:f>
              <c:numCache>
                <c:formatCode>General</c:formatCode>
                <c:ptCount val="11"/>
                <c:pt idx="0">
                  <c:v>0</c:v>
                </c:pt>
                <c:pt idx="1">
                  <c:v>20</c:v>
                </c:pt>
                <c:pt idx="2">
                  <c:v>40</c:v>
                </c:pt>
                <c:pt idx="3">
                  <c:v>60</c:v>
                </c:pt>
                <c:pt idx="4">
                  <c:v>80</c:v>
                </c:pt>
                <c:pt idx="5">
                  <c:v>100</c:v>
                </c:pt>
                <c:pt idx="6">
                  <c:v>120</c:v>
                </c:pt>
                <c:pt idx="7">
                  <c:v>140</c:v>
                </c:pt>
                <c:pt idx="8">
                  <c:v>160</c:v>
                </c:pt>
                <c:pt idx="9">
                  <c:v>180</c:v>
                </c:pt>
                <c:pt idx="10">
                  <c:v>200</c:v>
                </c:pt>
              </c:numCache>
            </c:numRef>
          </c:xVal>
          <c:yVal>
            <c:numRef>
              <c:f>Лист3!$AO$3:$AO$13</c:f>
              <c:numCache>
                <c:formatCode>General</c:formatCode>
                <c:ptCount val="11"/>
                <c:pt idx="0">
                  <c:v>0</c:v>
                </c:pt>
                <c:pt idx="1">
                  <c:v>55.4</c:v>
                </c:pt>
                <c:pt idx="2">
                  <c:v>288</c:v>
                </c:pt>
                <c:pt idx="3">
                  <c:v>163</c:v>
                </c:pt>
                <c:pt idx="4">
                  <c:v>142</c:v>
                </c:pt>
                <c:pt idx="5">
                  <c:v>132</c:v>
                </c:pt>
                <c:pt idx="6">
                  <c:v>89</c:v>
                </c:pt>
                <c:pt idx="7">
                  <c:v>89</c:v>
                </c:pt>
                <c:pt idx="8">
                  <c:v>89</c:v>
                </c:pt>
                <c:pt idx="9">
                  <c:v>57</c:v>
                </c:pt>
                <c:pt idx="10">
                  <c:v>57</c:v>
                </c:pt>
              </c:numCache>
            </c:numRef>
          </c:yVal>
          <c:smooth val="1"/>
        </c:ser>
        <c:ser>
          <c:idx val="1"/>
          <c:order val="1"/>
          <c:tx>
            <c:v>2</c:v>
          </c:tx>
          <c:spPr>
            <a:ln w="12700">
              <a:solidFill>
                <a:srgbClr val="000000"/>
              </a:solidFill>
              <a:prstDash val="solid"/>
            </a:ln>
          </c:spPr>
          <c:marker>
            <c:symbol val="square"/>
            <c:size val="5"/>
            <c:spPr>
              <a:noFill/>
              <a:ln>
                <a:solidFill>
                  <a:srgbClr val="000000"/>
                </a:solidFill>
                <a:prstDash val="solid"/>
              </a:ln>
            </c:spPr>
          </c:marker>
          <c:xVal>
            <c:numRef>
              <c:f>Лист3!$AN$3:$AN$13</c:f>
              <c:numCache>
                <c:formatCode>General</c:formatCode>
                <c:ptCount val="11"/>
                <c:pt idx="0">
                  <c:v>0</c:v>
                </c:pt>
                <c:pt idx="1">
                  <c:v>20</c:v>
                </c:pt>
                <c:pt idx="2">
                  <c:v>40</c:v>
                </c:pt>
                <c:pt idx="3">
                  <c:v>60</c:v>
                </c:pt>
                <c:pt idx="4">
                  <c:v>80</c:v>
                </c:pt>
                <c:pt idx="5">
                  <c:v>100</c:v>
                </c:pt>
                <c:pt idx="6">
                  <c:v>120</c:v>
                </c:pt>
                <c:pt idx="7">
                  <c:v>140</c:v>
                </c:pt>
                <c:pt idx="8">
                  <c:v>160</c:v>
                </c:pt>
                <c:pt idx="9">
                  <c:v>180</c:v>
                </c:pt>
                <c:pt idx="10">
                  <c:v>200</c:v>
                </c:pt>
              </c:numCache>
            </c:numRef>
          </c:xVal>
          <c:yVal>
            <c:numRef>
              <c:f>Лист3!$AP$3:$AP$13</c:f>
              <c:numCache>
                <c:formatCode>General</c:formatCode>
                <c:ptCount val="11"/>
                <c:pt idx="0">
                  <c:v>0</c:v>
                </c:pt>
                <c:pt idx="1">
                  <c:v>536</c:v>
                </c:pt>
                <c:pt idx="2">
                  <c:v>268</c:v>
                </c:pt>
                <c:pt idx="3">
                  <c:v>247</c:v>
                </c:pt>
                <c:pt idx="4">
                  <c:v>225</c:v>
                </c:pt>
                <c:pt idx="5">
                  <c:v>155</c:v>
                </c:pt>
                <c:pt idx="6">
                  <c:v>118</c:v>
                </c:pt>
                <c:pt idx="7">
                  <c:v>115</c:v>
                </c:pt>
                <c:pt idx="8">
                  <c:v>25</c:v>
                </c:pt>
                <c:pt idx="9">
                  <c:v>20</c:v>
                </c:pt>
                <c:pt idx="10">
                  <c:v>0</c:v>
                </c:pt>
              </c:numCache>
            </c:numRef>
          </c:yVal>
          <c:smooth val="1"/>
        </c:ser>
        <c:ser>
          <c:idx val="2"/>
          <c:order val="2"/>
          <c:tx>
            <c:v>3</c:v>
          </c:tx>
          <c:spPr>
            <a:ln w="12700">
              <a:solidFill>
                <a:srgbClr val="000000"/>
              </a:solidFill>
              <a:prstDash val="solid"/>
            </a:ln>
          </c:spPr>
          <c:marker>
            <c:symbol val="triangle"/>
            <c:size val="5"/>
            <c:spPr>
              <a:solidFill>
                <a:srgbClr val="000000"/>
              </a:solidFill>
              <a:ln>
                <a:solidFill>
                  <a:srgbClr val="000000"/>
                </a:solidFill>
                <a:prstDash val="solid"/>
              </a:ln>
            </c:spPr>
          </c:marker>
          <c:xVal>
            <c:numRef>
              <c:f>Лист3!$AN$3:$AN$13</c:f>
              <c:numCache>
                <c:formatCode>General</c:formatCode>
                <c:ptCount val="11"/>
                <c:pt idx="0">
                  <c:v>0</c:v>
                </c:pt>
                <c:pt idx="1">
                  <c:v>20</c:v>
                </c:pt>
                <c:pt idx="2">
                  <c:v>40</c:v>
                </c:pt>
                <c:pt idx="3">
                  <c:v>60</c:v>
                </c:pt>
                <c:pt idx="4">
                  <c:v>80</c:v>
                </c:pt>
                <c:pt idx="5">
                  <c:v>100</c:v>
                </c:pt>
                <c:pt idx="6">
                  <c:v>120</c:v>
                </c:pt>
                <c:pt idx="7">
                  <c:v>140</c:v>
                </c:pt>
                <c:pt idx="8">
                  <c:v>160</c:v>
                </c:pt>
                <c:pt idx="9">
                  <c:v>180</c:v>
                </c:pt>
                <c:pt idx="10">
                  <c:v>200</c:v>
                </c:pt>
              </c:numCache>
            </c:numRef>
          </c:xVal>
          <c:yVal>
            <c:numRef>
              <c:f>Лист3!$AQ$3:$AQ$13</c:f>
              <c:numCache>
                <c:formatCode>General</c:formatCode>
                <c:ptCount val="11"/>
                <c:pt idx="0">
                  <c:v>0</c:v>
                </c:pt>
                <c:pt idx="1">
                  <c:v>413</c:v>
                </c:pt>
                <c:pt idx="2">
                  <c:v>283</c:v>
                </c:pt>
                <c:pt idx="3">
                  <c:v>214</c:v>
                </c:pt>
                <c:pt idx="4">
                  <c:v>189</c:v>
                </c:pt>
                <c:pt idx="5">
                  <c:v>155</c:v>
                </c:pt>
                <c:pt idx="6">
                  <c:v>129</c:v>
                </c:pt>
                <c:pt idx="7">
                  <c:v>124</c:v>
                </c:pt>
                <c:pt idx="8">
                  <c:v>104</c:v>
                </c:pt>
                <c:pt idx="9">
                  <c:v>78</c:v>
                </c:pt>
                <c:pt idx="10">
                  <c:v>0</c:v>
                </c:pt>
              </c:numCache>
            </c:numRef>
          </c:yVal>
          <c:smooth val="1"/>
        </c:ser>
        <c:ser>
          <c:idx val="3"/>
          <c:order val="3"/>
          <c:tx>
            <c:v>4</c:v>
          </c:tx>
          <c:spPr>
            <a:ln w="12700">
              <a:solidFill>
                <a:srgbClr val="000000"/>
              </a:solidFill>
              <a:prstDash val="solid"/>
            </a:ln>
          </c:spPr>
          <c:marker>
            <c:symbol val="triangle"/>
            <c:size val="5"/>
            <c:spPr>
              <a:noFill/>
              <a:ln>
                <a:solidFill>
                  <a:srgbClr val="000000"/>
                </a:solidFill>
                <a:prstDash val="solid"/>
              </a:ln>
            </c:spPr>
          </c:marker>
          <c:xVal>
            <c:numRef>
              <c:f>Лист3!$AN$3:$AN$13</c:f>
              <c:numCache>
                <c:formatCode>General</c:formatCode>
                <c:ptCount val="11"/>
                <c:pt idx="0">
                  <c:v>0</c:v>
                </c:pt>
                <c:pt idx="1">
                  <c:v>20</c:v>
                </c:pt>
                <c:pt idx="2">
                  <c:v>40</c:v>
                </c:pt>
                <c:pt idx="3">
                  <c:v>60</c:v>
                </c:pt>
                <c:pt idx="4">
                  <c:v>80</c:v>
                </c:pt>
                <c:pt idx="5">
                  <c:v>100</c:v>
                </c:pt>
                <c:pt idx="6">
                  <c:v>120</c:v>
                </c:pt>
                <c:pt idx="7">
                  <c:v>140</c:v>
                </c:pt>
                <c:pt idx="8">
                  <c:v>160</c:v>
                </c:pt>
                <c:pt idx="9">
                  <c:v>180</c:v>
                </c:pt>
                <c:pt idx="10">
                  <c:v>200</c:v>
                </c:pt>
              </c:numCache>
            </c:numRef>
          </c:xVal>
          <c:yVal>
            <c:numRef>
              <c:f>Лист3!$AR$3:$AR$13</c:f>
              <c:numCache>
                <c:formatCode>General</c:formatCode>
                <c:ptCount val="11"/>
                <c:pt idx="0">
                  <c:v>0</c:v>
                </c:pt>
                <c:pt idx="1">
                  <c:v>532</c:v>
                </c:pt>
                <c:pt idx="2">
                  <c:v>452</c:v>
                </c:pt>
                <c:pt idx="3">
                  <c:v>218</c:v>
                </c:pt>
                <c:pt idx="4">
                  <c:v>121</c:v>
                </c:pt>
                <c:pt idx="5">
                  <c:v>101</c:v>
                </c:pt>
                <c:pt idx="6">
                  <c:v>73</c:v>
                </c:pt>
                <c:pt idx="7">
                  <c:v>56</c:v>
                </c:pt>
                <c:pt idx="8">
                  <c:v>50</c:v>
                </c:pt>
                <c:pt idx="9">
                  <c:v>48</c:v>
                </c:pt>
                <c:pt idx="10">
                  <c:v>45</c:v>
                </c:pt>
              </c:numCache>
            </c:numRef>
          </c:yVal>
          <c:smooth val="1"/>
        </c:ser>
        <c:axId val="65882752"/>
        <c:axId val="65897600"/>
      </c:scatterChart>
      <c:scatterChart>
        <c:scatterStyle val="lineMarker"/>
        <c:ser>
          <c:idx val="4"/>
          <c:order val="4"/>
          <c:tx>
            <c:v>5</c:v>
          </c:tx>
          <c:spPr>
            <a:ln w="12700">
              <a:solidFill>
                <a:srgbClr val="000000"/>
              </a:solidFill>
              <a:prstDash val="solid"/>
            </a:ln>
          </c:spPr>
          <c:marker>
            <c:symbol val="star"/>
            <c:size val="5"/>
            <c:spPr>
              <a:noFill/>
              <a:ln>
                <a:solidFill>
                  <a:srgbClr val="000000"/>
                </a:solidFill>
                <a:prstDash val="solid"/>
              </a:ln>
            </c:spPr>
          </c:marker>
          <c:xVal>
            <c:numRef>
              <c:f>Лист3!$AN$3:$AN$13</c:f>
              <c:numCache>
                <c:formatCode>General</c:formatCode>
                <c:ptCount val="11"/>
                <c:pt idx="0">
                  <c:v>0</c:v>
                </c:pt>
                <c:pt idx="1">
                  <c:v>20</c:v>
                </c:pt>
                <c:pt idx="2">
                  <c:v>40</c:v>
                </c:pt>
                <c:pt idx="3">
                  <c:v>60</c:v>
                </c:pt>
                <c:pt idx="4">
                  <c:v>80</c:v>
                </c:pt>
                <c:pt idx="5">
                  <c:v>100</c:v>
                </c:pt>
                <c:pt idx="6">
                  <c:v>120</c:v>
                </c:pt>
                <c:pt idx="7">
                  <c:v>140</c:v>
                </c:pt>
                <c:pt idx="8">
                  <c:v>160</c:v>
                </c:pt>
                <c:pt idx="9">
                  <c:v>180</c:v>
                </c:pt>
                <c:pt idx="10">
                  <c:v>200</c:v>
                </c:pt>
              </c:numCache>
            </c:numRef>
          </c:xVal>
          <c:yVal>
            <c:numRef>
              <c:f>Лист3!$AS$3:$AS$13</c:f>
              <c:numCache>
                <c:formatCode>General</c:formatCode>
                <c:ptCount val="11"/>
                <c:pt idx="0">
                  <c:v>0</c:v>
                </c:pt>
                <c:pt idx="1">
                  <c:v>419</c:v>
                </c:pt>
                <c:pt idx="2">
                  <c:v>387</c:v>
                </c:pt>
                <c:pt idx="3">
                  <c:v>282</c:v>
                </c:pt>
                <c:pt idx="4">
                  <c:v>206</c:v>
                </c:pt>
                <c:pt idx="5">
                  <c:v>141</c:v>
                </c:pt>
                <c:pt idx="6">
                  <c:v>89</c:v>
                </c:pt>
                <c:pt idx="7">
                  <c:v>52</c:v>
                </c:pt>
                <c:pt idx="8">
                  <c:v>48</c:v>
                </c:pt>
                <c:pt idx="9">
                  <c:v>42</c:v>
                </c:pt>
                <c:pt idx="10">
                  <c:v>35</c:v>
                </c:pt>
              </c:numCache>
            </c:numRef>
          </c:yVal>
          <c:smooth val="1"/>
        </c:ser>
        <c:ser>
          <c:idx val="5"/>
          <c:order val="5"/>
          <c:tx>
            <c:v>6</c:v>
          </c:tx>
          <c:spPr>
            <a:ln w="12700">
              <a:solidFill>
                <a:srgbClr val="000000"/>
              </a:solidFill>
            </a:ln>
          </c:spPr>
          <c:marker>
            <c:symbol val="circle"/>
            <c:size val="5"/>
            <c:spPr>
              <a:solidFill>
                <a:sysClr val="windowText" lastClr="000000"/>
              </a:solidFill>
              <a:ln>
                <a:solidFill>
                  <a:srgbClr val="000000"/>
                </a:solidFill>
              </a:ln>
            </c:spPr>
          </c:marker>
          <c:xVal>
            <c:numRef>
              <c:f>Лист3!$AN$3:$AN$13</c:f>
              <c:numCache>
                <c:formatCode>General</c:formatCode>
                <c:ptCount val="11"/>
                <c:pt idx="0">
                  <c:v>0</c:v>
                </c:pt>
                <c:pt idx="1">
                  <c:v>20</c:v>
                </c:pt>
                <c:pt idx="2">
                  <c:v>40</c:v>
                </c:pt>
                <c:pt idx="3">
                  <c:v>60</c:v>
                </c:pt>
                <c:pt idx="4">
                  <c:v>80</c:v>
                </c:pt>
                <c:pt idx="5">
                  <c:v>100</c:v>
                </c:pt>
                <c:pt idx="6">
                  <c:v>120</c:v>
                </c:pt>
                <c:pt idx="7">
                  <c:v>140</c:v>
                </c:pt>
                <c:pt idx="8">
                  <c:v>160</c:v>
                </c:pt>
                <c:pt idx="9">
                  <c:v>180</c:v>
                </c:pt>
                <c:pt idx="10">
                  <c:v>200</c:v>
                </c:pt>
              </c:numCache>
            </c:numRef>
          </c:xVal>
          <c:yVal>
            <c:numRef>
              <c:f>Лист3!$AT$3:$AT$13</c:f>
              <c:numCache>
                <c:formatCode>General</c:formatCode>
                <c:ptCount val="11"/>
                <c:pt idx="0">
                  <c:v>0</c:v>
                </c:pt>
                <c:pt idx="1">
                  <c:v>403</c:v>
                </c:pt>
                <c:pt idx="2" formatCode="0.00">
                  <c:v>386</c:v>
                </c:pt>
                <c:pt idx="3" formatCode="0.00">
                  <c:v>306</c:v>
                </c:pt>
                <c:pt idx="4" formatCode="0.00">
                  <c:v>223</c:v>
                </c:pt>
                <c:pt idx="5" formatCode="0.00">
                  <c:v>161</c:v>
                </c:pt>
                <c:pt idx="6" formatCode="0.00">
                  <c:v>81</c:v>
                </c:pt>
                <c:pt idx="7" formatCode="0.00">
                  <c:v>40</c:v>
                </c:pt>
                <c:pt idx="8" formatCode="0.00">
                  <c:v>32</c:v>
                </c:pt>
                <c:pt idx="9" formatCode="0.00">
                  <c:v>19</c:v>
                </c:pt>
                <c:pt idx="10" formatCode="0.00">
                  <c:v>4</c:v>
                </c:pt>
              </c:numCache>
            </c:numRef>
          </c:yVal>
        </c:ser>
        <c:axId val="65882752"/>
        <c:axId val="65897600"/>
      </c:scatterChart>
      <c:valAx>
        <c:axId val="65882752"/>
        <c:scaling>
          <c:orientation val="minMax"/>
          <c:max val="203"/>
          <c:min val="0"/>
        </c:scaling>
        <c:axPos val="b"/>
        <c:title>
          <c:tx>
            <c:rich>
              <a:bodyPr/>
              <a:lstStyle/>
              <a:p>
                <a:pPr>
                  <a:defRPr sz="1100" b="0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r>
                  <a:rPr lang="en-US" sz="1200" b="0" i="0" strike="noStrike">
                    <a:solidFill>
                      <a:srgbClr val="000000"/>
                    </a:solidFill>
                    <a:latin typeface="Times New Roman"/>
                    <a:cs typeface="Times New Roman"/>
                  </a:rPr>
                  <a:t>V, c</a:t>
                </a:r>
                <a:r>
                  <a:rPr lang="ru-RU" sz="1200" b="0" i="0" strike="noStrike">
                    <a:solidFill>
                      <a:srgbClr val="000000"/>
                    </a:solidFill>
                    <a:latin typeface="Times New Roman"/>
                    <a:cs typeface="Times New Roman"/>
                  </a:rPr>
                  <a:t>м</a:t>
                </a:r>
                <a:r>
                  <a:rPr lang="ru-RU" sz="1200" b="0" i="0" strike="noStrike" baseline="30000">
                    <a:solidFill>
                      <a:srgbClr val="000000"/>
                    </a:solidFill>
                    <a:latin typeface="Times New Roman"/>
                    <a:cs typeface="Times New Roman"/>
                  </a:rPr>
                  <a:t>3</a:t>
                </a:r>
              </a:p>
            </c:rich>
          </c:tx>
          <c:layout>
            <c:manualLayout>
              <c:xMode val="edge"/>
              <c:yMode val="edge"/>
              <c:x val="0.89872338874307378"/>
              <c:y val="0.88140139785897553"/>
            </c:manualLayout>
          </c:layout>
          <c:spPr>
            <a:noFill/>
            <a:ln w="25400">
              <a:noFill/>
            </a:ln>
          </c:spPr>
        </c:title>
        <c:numFmt formatCode="General" sourceLinked="1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2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65897600"/>
        <c:crosses val="autoZero"/>
        <c:crossBetween val="midCat"/>
        <c:majorUnit val="40"/>
      </c:valAx>
      <c:valAx>
        <c:axId val="65897600"/>
        <c:scaling>
          <c:orientation val="minMax"/>
          <c:max val="555"/>
          <c:min val="0"/>
        </c:scaling>
        <c:axPos val="l"/>
        <c:majorGridlines>
          <c:spPr>
            <a:ln w="3175">
              <a:solidFill>
                <a:srgbClr val="FFFFFF"/>
              </a:solidFill>
              <a:prstDash val="solid"/>
            </a:ln>
          </c:spPr>
        </c:majorGridlines>
        <c:title>
          <c:tx>
            <c:rich>
              <a:bodyPr rot="0" vert="horz"/>
              <a:lstStyle/>
              <a:p>
                <a:pPr algn="ctr">
                  <a:defRPr sz="1100" b="0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r>
                  <a:rPr lang="en-US" sz="1200" b="0" i="0" strike="noStrike">
                    <a:solidFill>
                      <a:srgbClr val="000000"/>
                    </a:solidFill>
                    <a:latin typeface="Times New Roman"/>
                    <a:cs typeface="Times New Roman"/>
                  </a:rPr>
                  <a:t>C, </a:t>
                </a:r>
                <a:r>
                  <a:rPr lang="ru-RU" sz="1200" b="0" i="0" strike="noStrike">
                    <a:solidFill>
                      <a:srgbClr val="000000"/>
                    </a:solidFill>
                    <a:latin typeface="Times New Roman"/>
                    <a:cs typeface="Times New Roman"/>
                  </a:rPr>
                  <a:t>мг-екв/дм</a:t>
                </a:r>
                <a:r>
                  <a:rPr lang="ru-RU" sz="1200" b="0" i="0" strike="noStrike" baseline="30000">
                    <a:solidFill>
                      <a:srgbClr val="000000"/>
                    </a:solidFill>
                    <a:latin typeface="Times New Roman"/>
                    <a:cs typeface="Times New Roman"/>
                  </a:rPr>
                  <a:t>3</a:t>
                </a:r>
              </a:p>
            </c:rich>
          </c:tx>
          <c:layout>
            <c:manualLayout>
              <c:xMode val="edge"/>
              <c:yMode val="edge"/>
              <c:x val="1.0183362496354618E-2"/>
              <c:y val="1.8726591760299643E-2"/>
            </c:manualLayout>
          </c:layout>
          <c:spPr>
            <a:noFill/>
            <a:ln w="25400">
              <a:noFill/>
            </a:ln>
          </c:spPr>
        </c:title>
        <c:numFmt formatCode="General" sourceLinked="1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2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65882752"/>
        <c:crosses val="autoZero"/>
        <c:crossBetween val="midCat"/>
        <c:majorUnit val="100"/>
      </c:valAx>
      <c:spPr>
        <a:solidFill>
          <a:srgbClr val="FFFFFF"/>
        </a:solidFill>
        <a:ln w="12700">
          <a:solidFill>
            <a:srgbClr val="FFFFFF"/>
          </a:solidFill>
          <a:prstDash val="solid"/>
        </a:ln>
      </c:spPr>
    </c:plotArea>
    <c:legend>
      <c:legendPos val="r"/>
      <c:layout>
        <c:manualLayout>
          <c:xMode val="edge"/>
          <c:yMode val="edge"/>
          <c:x val="0.1863591790609507"/>
          <c:y val="0.89138891346446869"/>
          <c:w val="0.6400462962962985"/>
          <c:h val="0.10861108653553163"/>
        </c:manualLayout>
      </c:layout>
      <c:spPr>
        <a:solidFill>
          <a:srgbClr val="FFFFFF"/>
        </a:solidFill>
        <a:ln w="3175">
          <a:solidFill>
            <a:srgbClr val="FFFFFF"/>
          </a:solidFill>
          <a:prstDash val="solid"/>
        </a:ln>
      </c:spPr>
      <c:txPr>
        <a:bodyPr/>
        <a:lstStyle/>
        <a:p>
          <a:pPr>
            <a:defRPr sz="1100" b="0" i="0" u="none" strike="noStrike" baseline="0">
              <a:solidFill>
                <a:srgbClr val="000000"/>
              </a:solidFill>
              <a:latin typeface="Times New Roman"/>
              <a:ea typeface="Times New Roman"/>
              <a:cs typeface="Times New Roman"/>
            </a:defRPr>
          </a:pPr>
          <a:endParaRPr lang="ru-RU"/>
        </a:p>
      </c:txPr>
    </c:legend>
    <c:plotVisOnly val="1"/>
    <c:dispBlanksAs val="gap"/>
  </c:chart>
  <c:spPr>
    <a:solidFill>
      <a:srgbClr val="FFFFFF"/>
    </a:solidFill>
    <a:ln w="12700">
      <a:solidFill>
        <a:srgbClr val="FFFFFF"/>
      </a:solidFill>
      <a:prstDash val="solid"/>
    </a:ln>
  </c:spPr>
  <c:txPr>
    <a:bodyPr/>
    <a:lstStyle/>
    <a:p>
      <a:pPr>
        <a:defRPr sz="1200" b="0" i="0" u="none" strike="noStrike" baseline="0">
          <a:solidFill>
            <a:srgbClr val="000000"/>
          </a:solidFill>
          <a:latin typeface="Times New Roman"/>
          <a:ea typeface="Times New Roman"/>
          <a:cs typeface="Times New Roman"/>
        </a:defRPr>
      </a:pPr>
      <a:endParaRPr lang="ru-RU"/>
    </a:p>
  </c:txPr>
  <c:externalData r:id="rId1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>
        <c:manualLayout>
          <c:layoutTarget val="inner"/>
          <c:xMode val="edge"/>
          <c:yMode val="edge"/>
          <c:x val="9.7759674134419564E-2"/>
          <c:y val="0.10861462947181369"/>
          <c:w val="0.79790902919212492"/>
          <c:h val="0.67041443708464132"/>
        </c:manualLayout>
      </c:layout>
      <c:scatterChart>
        <c:scatterStyle val="smoothMarker"/>
        <c:ser>
          <c:idx val="0"/>
          <c:order val="0"/>
          <c:tx>
            <c:v>1</c:v>
          </c:tx>
          <c:spPr>
            <a:ln w="12700">
              <a:solidFill>
                <a:srgbClr val="000000"/>
              </a:solidFill>
              <a:prstDash val="solid"/>
            </a:ln>
          </c:spPr>
          <c:marker>
            <c:symbol val="diamond"/>
            <c:size val="5"/>
            <c:spPr>
              <a:solidFill>
                <a:srgbClr val="000000"/>
              </a:solidFill>
              <a:ln>
                <a:solidFill>
                  <a:srgbClr val="000000"/>
                </a:solidFill>
                <a:prstDash val="solid"/>
              </a:ln>
            </c:spPr>
          </c:marker>
          <c:xVal>
            <c:numRef>
              <c:f>Лист3!$AN$3:$AN$13</c:f>
              <c:numCache>
                <c:formatCode>General</c:formatCode>
                <c:ptCount val="11"/>
                <c:pt idx="0">
                  <c:v>0</c:v>
                </c:pt>
                <c:pt idx="1">
                  <c:v>20</c:v>
                </c:pt>
                <c:pt idx="2">
                  <c:v>40</c:v>
                </c:pt>
                <c:pt idx="3">
                  <c:v>60</c:v>
                </c:pt>
                <c:pt idx="4">
                  <c:v>80</c:v>
                </c:pt>
                <c:pt idx="5">
                  <c:v>100</c:v>
                </c:pt>
                <c:pt idx="6">
                  <c:v>120</c:v>
                </c:pt>
                <c:pt idx="7">
                  <c:v>140</c:v>
                </c:pt>
                <c:pt idx="8">
                  <c:v>160</c:v>
                </c:pt>
                <c:pt idx="9">
                  <c:v>180</c:v>
                </c:pt>
                <c:pt idx="10">
                  <c:v>200</c:v>
                </c:pt>
              </c:numCache>
            </c:numRef>
          </c:xVal>
          <c:yVal>
            <c:numRef>
              <c:f>Лист3!$AX$3:$AX$13</c:f>
              <c:numCache>
                <c:formatCode>General</c:formatCode>
                <c:ptCount val="11"/>
                <c:pt idx="0">
                  <c:v>0</c:v>
                </c:pt>
                <c:pt idx="1">
                  <c:v>33.6</c:v>
                </c:pt>
                <c:pt idx="2">
                  <c:v>51</c:v>
                </c:pt>
                <c:pt idx="3">
                  <c:v>60.1</c:v>
                </c:pt>
                <c:pt idx="4">
                  <c:v>68.099999999999994</c:v>
                </c:pt>
                <c:pt idx="5">
                  <c:v>78.400000000000006</c:v>
                </c:pt>
                <c:pt idx="6">
                  <c:v>83.1</c:v>
                </c:pt>
                <c:pt idx="7">
                  <c:v>87.5</c:v>
                </c:pt>
                <c:pt idx="8">
                  <c:v>92.8</c:v>
                </c:pt>
                <c:pt idx="9">
                  <c:v>98.2</c:v>
                </c:pt>
                <c:pt idx="10">
                  <c:v>100</c:v>
                </c:pt>
              </c:numCache>
            </c:numRef>
          </c:yVal>
          <c:smooth val="1"/>
        </c:ser>
        <c:ser>
          <c:idx val="1"/>
          <c:order val="1"/>
          <c:tx>
            <c:v>2</c:v>
          </c:tx>
          <c:spPr>
            <a:ln w="12700">
              <a:solidFill>
                <a:srgbClr val="000000"/>
              </a:solidFill>
              <a:prstDash val="solid"/>
            </a:ln>
          </c:spPr>
          <c:marker>
            <c:symbol val="square"/>
            <c:size val="5"/>
            <c:spPr>
              <a:noFill/>
              <a:ln>
                <a:solidFill>
                  <a:srgbClr val="000000"/>
                </a:solidFill>
                <a:prstDash val="solid"/>
              </a:ln>
            </c:spPr>
          </c:marker>
          <c:xVal>
            <c:numRef>
              <c:f>Лист3!$AN$3:$AN$13</c:f>
              <c:numCache>
                <c:formatCode>General</c:formatCode>
                <c:ptCount val="11"/>
                <c:pt idx="0">
                  <c:v>0</c:v>
                </c:pt>
                <c:pt idx="1">
                  <c:v>20</c:v>
                </c:pt>
                <c:pt idx="2">
                  <c:v>40</c:v>
                </c:pt>
                <c:pt idx="3">
                  <c:v>60</c:v>
                </c:pt>
                <c:pt idx="4">
                  <c:v>80</c:v>
                </c:pt>
                <c:pt idx="5">
                  <c:v>100</c:v>
                </c:pt>
                <c:pt idx="6">
                  <c:v>120</c:v>
                </c:pt>
                <c:pt idx="7">
                  <c:v>140</c:v>
                </c:pt>
                <c:pt idx="8">
                  <c:v>160</c:v>
                </c:pt>
                <c:pt idx="9">
                  <c:v>180</c:v>
                </c:pt>
                <c:pt idx="10">
                  <c:v>200</c:v>
                </c:pt>
              </c:numCache>
            </c:numRef>
          </c:xVal>
          <c:yVal>
            <c:numRef>
              <c:f>Лист3!$AY$3:$AY$13</c:f>
              <c:numCache>
                <c:formatCode>General</c:formatCode>
                <c:ptCount val="11"/>
                <c:pt idx="0">
                  <c:v>0</c:v>
                </c:pt>
                <c:pt idx="1">
                  <c:v>31.6</c:v>
                </c:pt>
                <c:pt idx="2">
                  <c:v>47.5</c:v>
                </c:pt>
                <c:pt idx="3">
                  <c:v>62</c:v>
                </c:pt>
                <c:pt idx="4">
                  <c:v>75.400000000000006</c:v>
                </c:pt>
                <c:pt idx="5">
                  <c:v>84.5</c:v>
                </c:pt>
                <c:pt idx="6">
                  <c:v>91.5</c:v>
                </c:pt>
                <c:pt idx="7">
                  <c:v>98.3</c:v>
                </c:pt>
                <c:pt idx="8">
                  <c:v>99.8</c:v>
                </c:pt>
                <c:pt idx="9">
                  <c:v>100</c:v>
                </c:pt>
                <c:pt idx="10">
                  <c:v>100</c:v>
                </c:pt>
              </c:numCache>
            </c:numRef>
          </c:yVal>
          <c:smooth val="1"/>
        </c:ser>
        <c:ser>
          <c:idx val="2"/>
          <c:order val="2"/>
          <c:tx>
            <c:v>3</c:v>
          </c:tx>
          <c:spPr>
            <a:ln w="12700">
              <a:solidFill>
                <a:srgbClr val="000000"/>
              </a:solidFill>
              <a:prstDash val="solid"/>
            </a:ln>
          </c:spPr>
          <c:marker>
            <c:symbol val="triangle"/>
            <c:size val="5"/>
            <c:spPr>
              <a:solidFill>
                <a:srgbClr val="000000"/>
              </a:solidFill>
              <a:ln>
                <a:solidFill>
                  <a:srgbClr val="000000"/>
                </a:solidFill>
                <a:prstDash val="solid"/>
              </a:ln>
            </c:spPr>
          </c:marker>
          <c:xVal>
            <c:numRef>
              <c:f>Лист3!$AN$3:$AN$13</c:f>
              <c:numCache>
                <c:formatCode>General</c:formatCode>
                <c:ptCount val="11"/>
                <c:pt idx="0">
                  <c:v>0</c:v>
                </c:pt>
                <c:pt idx="1">
                  <c:v>20</c:v>
                </c:pt>
                <c:pt idx="2">
                  <c:v>40</c:v>
                </c:pt>
                <c:pt idx="3">
                  <c:v>60</c:v>
                </c:pt>
                <c:pt idx="4">
                  <c:v>80</c:v>
                </c:pt>
                <c:pt idx="5">
                  <c:v>100</c:v>
                </c:pt>
                <c:pt idx="6">
                  <c:v>120</c:v>
                </c:pt>
                <c:pt idx="7">
                  <c:v>140</c:v>
                </c:pt>
                <c:pt idx="8">
                  <c:v>160</c:v>
                </c:pt>
                <c:pt idx="9">
                  <c:v>180</c:v>
                </c:pt>
                <c:pt idx="10">
                  <c:v>200</c:v>
                </c:pt>
              </c:numCache>
            </c:numRef>
          </c:xVal>
          <c:yVal>
            <c:numRef>
              <c:f>Лист3!$AZ$3:$AZ$13</c:f>
              <c:numCache>
                <c:formatCode>General</c:formatCode>
                <c:ptCount val="11"/>
                <c:pt idx="0">
                  <c:v>0</c:v>
                </c:pt>
                <c:pt idx="1">
                  <c:v>24.1</c:v>
                </c:pt>
                <c:pt idx="2">
                  <c:v>41.1</c:v>
                </c:pt>
                <c:pt idx="3">
                  <c:v>53.7</c:v>
                </c:pt>
                <c:pt idx="4">
                  <c:v>64.900000000000006</c:v>
                </c:pt>
                <c:pt idx="5">
                  <c:v>74.099999999999994</c:v>
                </c:pt>
                <c:pt idx="6">
                  <c:v>81.7</c:v>
                </c:pt>
                <c:pt idx="7">
                  <c:v>89</c:v>
                </c:pt>
                <c:pt idx="8">
                  <c:v>95.2</c:v>
                </c:pt>
                <c:pt idx="9">
                  <c:v>100</c:v>
                </c:pt>
                <c:pt idx="10">
                  <c:v>100</c:v>
                </c:pt>
              </c:numCache>
            </c:numRef>
          </c:yVal>
          <c:smooth val="1"/>
        </c:ser>
        <c:ser>
          <c:idx val="3"/>
          <c:order val="3"/>
          <c:tx>
            <c:v>4</c:v>
          </c:tx>
          <c:spPr>
            <a:ln w="12700">
              <a:solidFill>
                <a:srgbClr val="000000"/>
              </a:solidFill>
              <a:prstDash val="solid"/>
            </a:ln>
          </c:spPr>
          <c:marker>
            <c:symbol val="triangle"/>
            <c:size val="5"/>
            <c:spPr>
              <a:noFill/>
              <a:ln>
                <a:solidFill>
                  <a:srgbClr val="000000"/>
                </a:solidFill>
                <a:prstDash val="solid"/>
              </a:ln>
            </c:spPr>
          </c:marker>
          <c:xVal>
            <c:numRef>
              <c:f>Лист3!$AN$3:$AN$13</c:f>
              <c:numCache>
                <c:formatCode>General</c:formatCode>
                <c:ptCount val="11"/>
                <c:pt idx="0">
                  <c:v>0</c:v>
                </c:pt>
                <c:pt idx="1">
                  <c:v>20</c:v>
                </c:pt>
                <c:pt idx="2">
                  <c:v>40</c:v>
                </c:pt>
                <c:pt idx="3">
                  <c:v>60</c:v>
                </c:pt>
                <c:pt idx="4">
                  <c:v>80</c:v>
                </c:pt>
                <c:pt idx="5">
                  <c:v>100</c:v>
                </c:pt>
                <c:pt idx="6">
                  <c:v>120</c:v>
                </c:pt>
                <c:pt idx="7">
                  <c:v>140</c:v>
                </c:pt>
                <c:pt idx="8">
                  <c:v>160</c:v>
                </c:pt>
                <c:pt idx="9">
                  <c:v>180</c:v>
                </c:pt>
                <c:pt idx="10">
                  <c:v>200</c:v>
                </c:pt>
              </c:numCache>
            </c:numRef>
          </c:xVal>
          <c:yVal>
            <c:numRef>
              <c:f>Лист3!$BA$3:$BA$13</c:f>
              <c:numCache>
                <c:formatCode>General</c:formatCode>
                <c:ptCount val="11"/>
                <c:pt idx="0">
                  <c:v>0</c:v>
                </c:pt>
                <c:pt idx="1">
                  <c:v>31.9</c:v>
                </c:pt>
                <c:pt idx="2">
                  <c:v>59</c:v>
                </c:pt>
                <c:pt idx="3">
                  <c:v>72</c:v>
                </c:pt>
                <c:pt idx="4">
                  <c:v>79.3</c:v>
                </c:pt>
                <c:pt idx="5">
                  <c:v>85</c:v>
                </c:pt>
                <c:pt idx="6">
                  <c:v>89.3</c:v>
                </c:pt>
                <c:pt idx="7">
                  <c:v>92.6</c:v>
                </c:pt>
                <c:pt idx="8">
                  <c:v>95.5</c:v>
                </c:pt>
                <c:pt idx="9">
                  <c:v>98.4</c:v>
                </c:pt>
                <c:pt idx="10">
                  <c:v>100</c:v>
                </c:pt>
              </c:numCache>
            </c:numRef>
          </c:yVal>
          <c:smooth val="1"/>
        </c:ser>
        <c:axId val="65950464"/>
        <c:axId val="65952768"/>
      </c:scatterChart>
      <c:scatterChart>
        <c:scatterStyle val="lineMarker"/>
        <c:ser>
          <c:idx val="4"/>
          <c:order val="4"/>
          <c:tx>
            <c:v>5</c:v>
          </c:tx>
          <c:spPr>
            <a:ln w="12700">
              <a:solidFill>
                <a:srgbClr val="000000"/>
              </a:solidFill>
              <a:prstDash val="solid"/>
            </a:ln>
          </c:spPr>
          <c:marker>
            <c:symbol val="star"/>
            <c:size val="5"/>
            <c:spPr>
              <a:noFill/>
              <a:ln>
                <a:solidFill>
                  <a:srgbClr val="000000"/>
                </a:solidFill>
                <a:prstDash val="solid"/>
              </a:ln>
            </c:spPr>
          </c:marker>
          <c:xVal>
            <c:numRef>
              <c:f>Лист3!$AN$3:$AN$13</c:f>
              <c:numCache>
                <c:formatCode>General</c:formatCode>
                <c:ptCount val="11"/>
                <c:pt idx="0">
                  <c:v>0</c:v>
                </c:pt>
                <c:pt idx="1">
                  <c:v>20</c:v>
                </c:pt>
                <c:pt idx="2">
                  <c:v>40</c:v>
                </c:pt>
                <c:pt idx="3">
                  <c:v>60</c:v>
                </c:pt>
                <c:pt idx="4">
                  <c:v>80</c:v>
                </c:pt>
                <c:pt idx="5">
                  <c:v>100</c:v>
                </c:pt>
                <c:pt idx="6">
                  <c:v>120</c:v>
                </c:pt>
                <c:pt idx="7">
                  <c:v>140</c:v>
                </c:pt>
                <c:pt idx="8">
                  <c:v>160</c:v>
                </c:pt>
                <c:pt idx="9">
                  <c:v>180</c:v>
                </c:pt>
                <c:pt idx="10">
                  <c:v>200</c:v>
                </c:pt>
              </c:numCache>
            </c:numRef>
          </c:xVal>
          <c:yVal>
            <c:numRef>
              <c:f>Лист3!$BB$3:$BB$13</c:f>
              <c:numCache>
                <c:formatCode>General</c:formatCode>
                <c:ptCount val="11"/>
                <c:pt idx="0">
                  <c:v>0</c:v>
                </c:pt>
                <c:pt idx="1">
                  <c:v>25.7</c:v>
                </c:pt>
                <c:pt idx="2">
                  <c:v>49.4</c:v>
                </c:pt>
                <c:pt idx="3">
                  <c:v>66.7</c:v>
                </c:pt>
                <c:pt idx="4">
                  <c:v>79.3</c:v>
                </c:pt>
                <c:pt idx="5">
                  <c:v>88</c:v>
                </c:pt>
                <c:pt idx="6">
                  <c:v>93.3</c:v>
                </c:pt>
                <c:pt idx="7">
                  <c:v>96.6</c:v>
                </c:pt>
                <c:pt idx="8">
                  <c:v>99.5</c:v>
                </c:pt>
                <c:pt idx="9">
                  <c:v>100</c:v>
                </c:pt>
                <c:pt idx="10">
                  <c:v>100</c:v>
                </c:pt>
              </c:numCache>
            </c:numRef>
          </c:yVal>
          <c:smooth val="1"/>
        </c:ser>
        <c:ser>
          <c:idx val="5"/>
          <c:order val="5"/>
          <c:tx>
            <c:v>6</c:v>
          </c:tx>
          <c:spPr>
            <a:ln w="12700">
              <a:solidFill>
                <a:srgbClr val="000000"/>
              </a:solidFill>
            </a:ln>
          </c:spPr>
          <c:marker>
            <c:symbol val="circle"/>
            <c:size val="5"/>
            <c:spPr>
              <a:solidFill>
                <a:sysClr val="windowText" lastClr="000000"/>
              </a:solidFill>
              <a:ln>
                <a:solidFill>
                  <a:srgbClr val="000000"/>
                </a:solidFill>
              </a:ln>
            </c:spPr>
          </c:marker>
          <c:xVal>
            <c:numRef>
              <c:f>Лист3!$AN$3:$AN$13</c:f>
              <c:numCache>
                <c:formatCode>General</c:formatCode>
                <c:ptCount val="11"/>
                <c:pt idx="0">
                  <c:v>0</c:v>
                </c:pt>
                <c:pt idx="1">
                  <c:v>20</c:v>
                </c:pt>
                <c:pt idx="2">
                  <c:v>40</c:v>
                </c:pt>
                <c:pt idx="3">
                  <c:v>60</c:v>
                </c:pt>
                <c:pt idx="4">
                  <c:v>80</c:v>
                </c:pt>
                <c:pt idx="5">
                  <c:v>100</c:v>
                </c:pt>
                <c:pt idx="6">
                  <c:v>120</c:v>
                </c:pt>
                <c:pt idx="7">
                  <c:v>140</c:v>
                </c:pt>
                <c:pt idx="8">
                  <c:v>160</c:v>
                </c:pt>
                <c:pt idx="9">
                  <c:v>180</c:v>
                </c:pt>
                <c:pt idx="10">
                  <c:v>200</c:v>
                </c:pt>
              </c:numCache>
            </c:numRef>
          </c:xVal>
          <c:yVal>
            <c:numRef>
              <c:f>Лист3!$BC$3:$BC$13</c:f>
              <c:numCache>
                <c:formatCode>General</c:formatCode>
                <c:ptCount val="11"/>
                <c:pt idx="0">
                  <c:v>0</c:v>
                </c:pt>
                <c:pt idx="1">
                  <c:v>24.5</c:v>
                </c:pt>
                <c:pt idx="2" formatCode="0.00">
                  <c:v>48</c:v>
                </c:pt>
                <c:pt idx="3">
                  <c:v>66.599999999999994</c:v>
                </c:pt>
                <c:pt idx="4" formatCode="0.00">
                  <c:v>80.2</c:v>
                </c:pt>
                <c:pt idx="5" formatCode="0.00">
                  <c:v>90</c:v>
                </c:pt>
                <c:pt idx="6" formatCode="0.00">
                  <c:v>94.9</c:v>
                </c:pt>
                <c:pt idx="7" formatCode="0.00">
                  <c:v>97.4</c:v>
                </c:pt>
                <c:pt idx="8" formatCode="0.00">
                  <c:v>99.3</c:v>
                </c:pt>
                <c:pt idx="9" formatCode="0.00">
                  <c:v>100</c:v>
                </c:pt>
                <c:pt idx="10" formatCode="0.00">
                  <c:v>100</c:v>
                </c:pt>
              </c:numCache>
            </c:numRef>
          </c:yVal>
        </c:ser>
        <c:axId val="65950464"/>
        <c:axId val="65952768"/>
      </c:scatterChart>
      <c:valAx>
        <c:axId val="65950464"/>
        <c:scaling>
          <c:orientation val="minMax"/>
          <c:max val="203"/>
          <c:min val="0"/>
        </c:scaling>
        <c:axPos val="b"/>
        <c:title>
          <c:tx>
            <c:rich>
              <a:bodyPr/>
              <a:lstStyle/>
              <a:p>
                <a:pPr>
                  <a:defRPr sz="1100" b="0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r>
                  <a:rPr lang="en-US" sz="1200" b="0" i="0" strike="noStrike">
                    <a:solidFill>
                      <a:srgbClr val="000000"/>
                    </a:solidFill>
                    <a:latin typeface="Times New Roman"/>
                    <a:cs typeface="Times New Roman"/>
                  </a:rPr>
                  <a:t>V, c</a:t>
                </a:r>
                <a:r>
                  <a:rPr lang="ru-RU" sz="1200" b="0" i="0" strike="noStrike">
                    <a:solidFill>
                      <a:srgbClr val="000000"/>
                    </a:solidFill>
                    <a:latin typeface="Times New Roman"/>
                    <a:cs typeface="Times New Roman"/>
                  </a:rPr>
                  <a:t>м</a:t>
                </a:r>
                <a:r>
                  <a:rPr lang="ru-RU" sz="1200" b="0" i="0" strike="noStrike" baseline="30000">
                    <a:solidFill>
                      <a:srgbClr val="000000"/>
                    </a:solidFill>
                    <a:latin typeface="Times New Roman"/>
                    <a:cs typeface="Times New Roman"/>
                  </a:rPr>
                  <a:t>3</a:t>
                </a:r>
              </a:p>
            </c:rich>
          </c:tx>
          <c:layout>
            <c:manualLayout>
              <c:xMode val="edge"/>
              <c:yMode val="edge"/>
              <c:x val="0.89872338874307378"/>
              <c:y val="0.88140139785897553"/>
            </c:manualLayout>
          </c:layout>
          <c:spPr>
            <a:noFill/>
            <a:ln w="25400">
              <a:noFill/>
            </a:ln>
          </c:spPr>
        </c:title>
        <c:numFmt formatCode="General" sourceLinked="1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2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65952768"/>
        <c:crosses val="autoZero"/>
        <c:crossBetween val="midCat"/>
        <c:majorUnit val="40"/>
      </c:valAx>
      <c:valAx>
        <c:axId val="65952768"/>
        <c:scaling>
          <c:orientation val="minMax"/>
          <c:max val="102"/>
          <c:min val="0"/>
        </c:scaling>
        <c:axPos val="l"/>
        <c:majorGridlines>
          <c:spPr>
            <a:ln w="3175">
              <a:solidFill>
                <a:srgbClr val="FFFFFF"/>
              </a:solidFill>
              <a:prstDash val="solid"/>
            </a:ln>
          </c:spPr>
        </c:majorGridlines>
        <c:title>
          <c:tx>
            <c:rich>
              <a:bodyPr rot="0" vert="horz"/>
              <a:lstStyle/>
              <a:p>
                <a:pPr algn="ctr">
                  <a:defRPr sz="1100" b="0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r>
                  <a:rPr lang="en-US" sz="1200" b="0" i="0" strike="noStrike">
                    <a:solidFill>
                      <a:srgbClr val="000000"/>
                    </a:solidFill>
                    <a:latin typeface="Times New Roman"/>
                    <a:cs typeface="Times New Roman"/>
                  </a:rPr>
                  <a:t>Z, %</a:t>
                </a:r>
                <a:endParaRPr lang="en-US" sz="1200" b="0" i="0" strike="noStrike" baseline="30000">
                  <a:solidFill>
                    <a:srgbClr val="000000"/>
                  </a:solidFill>
                  <a:latin typeface="Times New Roman"/>
                  <a:cs typeface="Times New Roman"/>
                </a:endParaRPr>
              </a:p>
            </c:rich>
          </c:tx>
          <c:layout>
            <c:manualLayout>
              <c:xMode val="edge"/>
              <c:yMode val="edge"/>
              <c:x val="5.8794473607465814E-2"/>
              <c:y val="3.7453183520599351E-3"/>
            </c:manualLayout>
          </c:layout>
          <c:spPr>
            <a:noFill/>
            <a:ln w="25400">
              <a:noFill/>
            </a:ln>
          </c:spPr>
        </c:title>
        <c:numFmt formatCode="General" sourceLinked="1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2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65950464"/>
        <c:crosses val="autoZero"/>
        <c:crossBetween val="midCat"/>
        <c:majorUnit val="20"/>
      </c:valAx>
      <c:spPr>
        <a:solidFill>
          <a:srgbClr val="FFFFFF"/>
        </a:solidFill>
        <a:ln w="12700">
          <a:solidFill>
            <a:srgbClr val="FFFFFF"/>
          </a:solidFill>
          <a:prstDash val="solid"/>
        </a:ln>
      </c:spPr>
    </c:plotArea>
    <c:legend>
      <c:legendPos val="r"/>
      <c:layout>
        <c:manualLayout>
          <c:xMode val="edge"/>
          <c:yMode val="edge"/>
          <c:x val="0.1863591790609507"/>
          <c:y val="0.89138891346446869"/>
          <c:w val="0.64004629629629883"/>
          <c:h val="0.10861108653553166"/>
        </c:manualLayout>
      </c:layout>
      <c:spPr>
        <a:solidFill>
          <a:srgbClr val="FFFFFF"/>
        </a:solidFill>
        <a:ln w="3175">
          <a:solidFill>
            <a:srgbClr val="FFFFFF"/>
          </a:solidFill>
          <a:prstDash val="solid"/>
        </a:ln>
      </c:spPr>
      <c:txPr>
        <a:bodyPr/>
        <a:lstStyle/>
        <a:p>
          <a:pPr>
            <a:defRPr sz="1100" b="0" i="0" u="none" strike="noStrike" baseline="0">
              <a:solidFill>
                <a:srgbClr val="000000"/>
              </a:solidFill>
              <a:latin typeface="Times New Roman"/>
              <a:ea typeface="Times New Roman"/>
              <a:cs typeface="Times New Roman"/>
            </a:defRPr>
          </a:pPr>
          <a:endParaRPr lang="ru-RU"/>
        </a:p>
      </c:txPr>
    </c:legend>
    <c:plotVisOnly val="1"/>
    <c:dispBlanksAs val="gap"/>
  </c:chart>
  <c:spPr>
    <a:solidFill>
      <a:srgbClr val="FFFFFF"/>
    </a:solidFill>
    <a:ln w="12700">
      <a:solidFill>
        <a:srgbClr val="FFFFFF"/>
      </a:solidFill>
      <a:prstDash val="solid"/>
    </a:ln>
  </c:spPr>
  <c:txPr>
    <a:bodyPr/>
    <a:lstStyle/>
    <a:p>
      <a:pPr>
        <a:defRPr sz="1200" b="0" i="0" u="none" strike="noStrike" baseline="0">
          <a:solidFill>
            <a:srgbClr val="000000"/>
          </a:solidFill>
          <a:latin typeface="Times New Roman"/>
          <a:ea typeface="Times New Roman"/>
          <a:cs typeface="Times New Roman"/>
        </a:defRPr>
      </a:pPr>
      <a:endParaRPr lang="ru-RU"/>
    </a:p>
  </c:tx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10</Pages>
  <Words>2523</Words>
  <Characters>14386</Characters>
  <Application>Microsoft Office Word</Application>
  <DocSecurity>0</DocSecurity>
  <Lines>119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16876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cлава </dc:creator>
  <cp:keywords/>
  <dc:description/>
  <cp:lastModifiedBy>cлава </cp:lastModifiedBy>
  <cp:revision>7</cp:revision>
  <dcterms:created xsi:type="dcterms:W3CDTF">2015-01-27T11:12:00Z</dcterms:created>
  <dcterms:modified xsi:type="dcterms:W3CDTF">2015-02-03T10:09:00Z</dcterms:modified>
</cp:coreProperties>
</file>