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9B5" w:rsidRPr="00F159B5" w:rsidRDefault="00F159B5" w:rsidP="00F159B5">
      <w:pPr>
        <w:shd w:val="clear" w:color="auto" w:fill="FFFFFF"/>
        <w:spacing w:before="120" w:after="120" w:line="288" w:lineRule="atLeast"/>
        <w:ind w:firstLine="709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333333"/>
          <w:kern w:val="36"/>
          <w:sz w:val="40"/>
          <w:szCs w:val="36"/>
          <w:lang w:eastAsia="ru-RU"/>
        </w:rPr>
      </w:pPr>
      <w:bookmarkStart w:id="0" w:name="_GoBack"/>
      <w:bookmarkEnd w:id="0"/>
      <w:r w:rsidRPr="00F159B5">
        <w:rPr>
          <w:rFonts w:ascii="Times New Roman" w:eastAsia="Times New Roman" w:hAnsi="Times New Roman" w:cs="Times New Roman"/>
          <w:b/>
          <w:bCs/>
          <w:color w:val="333333"/>
          <w:kern w:val="36"/>
          <w:sz w:val="40"/>
          <w:szCs w:val="36"/>
          <w:lang w:eastAsia="ru-RU"/>
        </w:rPr>
        <w:t>Актуальная киберфилософия: к вопросу о мере цифрового взаимодействия</w:t>
      </w:r>
    </w:p>
    <w:p w:rsidR="0008787C" w:rsidRPr="00F159B5" w:rsidRDefault="0008787C" w:rsidP="00F159B5">
      <w:pPr>
        <w:spacing w:before="120" w:after="120"/>
        <w:ind w:firstLine="709"/>
        <w:rPr>
          <w:rFonts w:ascii="Times New Roman" w:hAnsi="Times New Roman" w:cs="Times New Roman"/>
          <w:sz w:val="28"/>
        </w:rPr>
      </w:pP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right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val="en-US" w:eastAsia="ru-RU"/>
        </w:rPr>
      </w:pPr>
      <w:r w:rsidRPr="00F159B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1"/>
          <w:bdr w:val="none" w:sz="0" w:space="0" w:color="auto" w:frame="1"/>
          <w:lang w:val="en-US" w:eastAsia="ru-RU"/>
        </w:rPr>
        <w:t>Tempora mutantur et nos mutantur in illis.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right"/>
        <w:textAlignment w:val="baseline"/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(Времена меняются и мы меняемся вместе с ними, лат. (Овидий))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right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Глобальные общественные трансформации, происходящие в последние годы в мире, не дают возможности подвергать сомнению факт наступления сетевого информационного общества как реальности, которая давно состоялась и успешно утверждается в своих правах во всех сферах общественного бытия. Существование такого общества как данности позволяет осуществлять рефлексию и над другими производными феноменами: киберсоциум, киберпространство, виртуально-сетевое общество, интермен (intermen, англ.), киберадаптация, киберэффективность и тому подобное. То есть,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принимая во внимание техногенный, технократический характер современной цивилизации, не меньшего научного интереса заслуживает антропологическое измерение существования нового общества, многие актуальные аспекты которого безответственно остаются вне поля зрения технократов.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Особенно важным анализ этого измерения существования киберсоциума представляется в условиях очевидной недееспособности традиционных классических схем и методов. Изменения в динамике исторического процесса и переориентация его характера нуждаются в новых подходах, в пределах которых можно и должно осуществить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философский синтез на качественно новом уровне.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При этом, такой синтез должен выходить за рамки рефлексии над, например, индустриальным производством и информационными технологиями и не ограничиваться исследованием сугубо материальных или материально-опосредованных факторов. Да, так легче, ибо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техносфера по своей сути дискретна и подвластна формализации и алгоритмизации, это – «вторая природа».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Одним из ключевых факторов развития сетевого информационного общества по-прежнему выступает знание.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Его важность проявляется в существовании большого количества связанных с ним феноменов: от концепции «общество знаний», которой часто обозначается новый тип социума, к знанию как непреходящей общечеловеческой ценности, которая является неотъемлемым условием личностного развития и общественно-исторического прогресса. Новое общество, возможно, будут называть как-либо, используя корень «нано», так как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«это будет абсолютно новая эпоха»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[5].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Сейчас уже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не вызывает сомнения сетевая сущность функционирования современного социума.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Указанный аспект является одним из наиболее важных и актуальных, учитывая последние тенденции изменения названия современного социума в научном дискурсе и отход от уже несколько устаревшего – «информационное общество» в пользу новых – «сетевое общество», «электронно-цифровое общество» а также, учитывая целый ряд феноменов, которые обуславливаются сетевым характером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нового типа общества в киберпространстве: киберсоциум и киберсоциализация общества и человека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«Интернет вещей» и тому подобное.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 xml:space="preserve">Здесь необходимо отметить, что школа и высшее учебное заведение в их классическом виде, по факту, стремительно теряют свой авторитет, значение и актуальность, а осознание обществом объективности и неизбежности процессов перехода человечества к шестому технологическому укладу будет только нарастать. Уже сейчас мы 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lastRenderedPageBreak/>
        <w:t>вынуждены говорить о таком явлении, как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псевдокиборгизация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(без инклюзивного вмешательства в организм)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сознания массового пользователя всевозможных гаджетов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 xml:space="preserve">, но, на самом деле, речь идёт о приноровлении мозга, сознания индивида к формально-логической среде, их надёжной коадаптации и </w:t>
      </w:r>
      <w:r>
        <w:rPr>
          <w:rFonts w:ascii="Times New Roman" w:eastAsia="Times New Roman" w:hAnsi="Times New Roman" w:cs="Times New Roman"/>
          <w:color w:val="333333"/>
          <w:sz w:val="24"/>
          <w:szCs w:val="21"/>
          <w:lang w:val="uk-UA" w:eastAsia="ru-RU"/>
        </w:rPr>
        <w:t>в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ыстраивании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безальтернативности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подобной новой когнитивной «связки».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Однако, как известно, многознание уму не научает. Школу давно ругают за то, что она не учит думать, а лишь «даёт знания». Так теперь с этим нет никаких проблем, как говорится, «Гугл – в помощь». И снова актуальным становится вопрос – нужна ли школа в её прежнем виде, дающая знания и «обучающая» (натаскивающая?) зарабатывать баллы на тестах? На выходе мы имеем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поколение «Z», абсолютно не нуждающееся в такой школе. Центениалы могут быстро получать нужную информацию 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не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углубляться при этом в исходные смыслы, скользя по поверхности непознанного.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А зачем? Им это и не надо. Нужный результат в максимально сжатый срок они могут выдать быстрее нас, в рамках существующей образовательной парадигмы. Плохо это или хорошо – некорректная формулировка, потому что это – объективная реальность, стремительно захватывающая огромные массы людей.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Люди </w:t>
      </w:r>
      <w:r w:rsidRPr="00F159B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потребляют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знания, не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задумываясь о </w:t>
      </w:r>
      <w:r w:rsidRPr="00F159B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глубоком постижении смыслов, о научной методологии познания.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Общество людей, поверхностно ориентирующихся в разных вопросах, но не имеющих системно выстроенного знания – идеальный объект для манипуляций разного рода. Именно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объект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а ведь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человек, личность – это субъект, субъект познающий, думающий, принимающий решения, в идеале – изменяющий мир к лучшему.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Именно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человек создал Интернет, и теперь, из создателя, автора, он превращается в пассивный объект воздействия цифровых технологий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основанных, прежде всего, на фундаментальных интересах бизнес-сообществ, корпораций. При этом корпорации уже не интересует человек как таковой, в его телесности. Актуальной становится так называемая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цифровая личность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то есть некий уникальный набор индивидуальных характеристик пользователя Сети, позволяющий наиболее эффективно на нас зарабатывать.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Цифровая личность – это наша цифровая тень, которая стала важнее нас самих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(как у И. Шварца). Вы можете где-то не присутствовать, но ваша цифровая тень (digital shadow, англ.)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будет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присутствовать за Вас везде и всегда.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В современном обществе побеждают те (интермен), кто наиболее органично интегрирован со своей цифровой тенью, для остальных она становится либо обузой, либо раздражающим фактором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(«Большой Брат» не дремлет, якобы).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Цифровые тени живут в структуре киберпространства своей жизнью, являясь при этом субъектами «пассивного трафика». Но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они не могут жить в структуре </w:t>
      </w:r>
      <w:r w:rsidRPr="00F159B5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киберсоциума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, так как они не одушевлены. Киберсоциум нуждается в личностях, прошедших позитивную киберсоциализацию, и генерирующих при этом активный трафик.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Цифровые тени станут объектом Интернета вещей, когда в развитых странах развернут сети 5G. Если пойти дальше в наших рассуждениях,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мы сможем заметить, как готовят общество к необходимости и полезности киборгизации, начиная с чипирования и далее – по мере развития нанотехнологий и нейросетей.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Черты будущего уже сейчас проявляются в пренебрежении антропологией, в стремлении упростить донельзя человеческий фактор, формализовать его и загнать в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«цифровой концлагерь».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Так удобнее во многих смыслах. Плохо это или хорошо? Наверное, плохо для тех, кто не будет встраиваться в новую реальность и пытаться овладеть ею.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Энергия развития современного мира требует новых решений, принципиально иного отношения к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пониманию гармонии человеческого бытия. Киберонтология – это онтология 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метафизика цифровой реальности, с постижением которой придёт понимание того, что нужно делать.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 xml:space="preserve"> Эта реальность носит сетевой динамический характер и способна превращать локальное в глобальное, единичное – во всеобщее одним 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lastRenderedPageBreak/>
        <w:t>кликом.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Понимание сетевой, цифровой реальной действительности даёт нам возможность интегрироваться в неё, минуя «болезни роста» и прочие неприятности, которые сейчас уже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набирают обороты в развитых странах.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Возможно,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в ближайшее время мы столкнёмся с антагонизмом между человеком и его цифровой тенью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так как в этой паре явно прослеживаются диалектические черты. Несмотря на внутреннее соответствие и информационное единство, необходимо отметить такие черты взаимодействия, как потеря самостоятельности источников, неактуальность некоторых, отживших своё, черт, и отсутствие в структуре цифровой тени новых, актуальных, но ещё не успевших «оцифроваться» черт. То есть, проблемы наблюдаются в динамике соответствия, не говоря уже о самой природе тени и её источника («вторая и первая природа»).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Изучение 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разрешение противоречий между личностью живой и личностью цифровой должно лежать в основе методик киберадаптации 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киберсоциализации, интермен сформируется лишь при достижении полной синхронизации со своей цифровой тенью.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Учитывая самую сущность человека, можно предположить в будущем весь спектр чувств по отношению к ней, как если бы это было живое существо. А там, где есть чувства, неизбежно возникает необходимость в процессах воспитания, адекватного живого общения с другим человеком (специалистом, другом, родителем, учителем), который бы смог прояснить природу данного явления, расставить необходимые акценты.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Взаимодействие человека и его цифровой тени носит информационный характер, а, следовательно, подвержено определённой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мере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зависит от неё.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Мера нашей цифровизации и цифровизации всего общества должна стремиться к гармонии в паре «общество-личность».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Лишь при таких условиях можно говорить о здоровом обществе счастливых людей. И при этом тезисы трансгуманизма не всегда и не во всём представляются нам неверными, так как они могут помочь в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интеграции человеческого с цифровым информационным концептом.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Здесь можно ожидать некоего «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нейроцифрового Ренессанса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» [1], который приведёт к взрывному развитию общества, с последующим качественным переходом к обществу нового типа. Нет ничего плохого в киборгизации, но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ошибочное обязательно заключается в том, чтобы отмахиваться от неизбежно приходящей к нам виртуально-сетевой реальной действительности.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Уже сейчас нейросети демонстрируют превосходство над человеком во многих своих возможностях [6], однако они пока &lt;изолированы&gt; от нашего живого, функционируя в киберпространстве и «общаясь» с нашими цифровыми тенями. При этом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интерфейс «человеческий интеллект – искусственный интеллект» уже создан и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развивается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, что может свидетельствовать о том, что наше встраивание в формальную цифровую среду во всей нашей целостности – не за горами.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Таким образом, сверхидеальный план киберсоциализации заключается в полном «растворении» человека в Сети, с применением нейросетей, нанотехнологий и киборгизации. Любые полумеры или, наоборот, перекосы в этом направлении развития будут означать пониженную киберэффективность, снижение статуса, потерю доходов, в конце концов. Либо мы смело киберсоциализируемся, либо отползаем в сторону, на обочину цивилизации. И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одним из важнейших критериев киберсоциализации будет умение эффективно взаимодействовать со своей цифровой тенью, управлять ею, присвоив статус субъекта электронно-цифровых глобальных взаимодействий.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Системы искусственного интеллекта и нейросети уже сейчас позволяют это сделать, речь идёт лишь о том, какой отрезок времени необходим для массового внедрения данных технологий.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«Важно понимать, что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технологии – это не попытка заменить человека»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 xml:space="preserve"> [5] Уже сейчас доступны первые модели систем дополненной реальности, ещё больше стирающие грань между реальным и виртуальным миром. Данная технология, едва появившись, вызвала широкую общественную дискуссию, и это правильно. Следующим этапом будет её массовое внедрение, которое усилит 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lastRenderedPageBreak/>
        <w:t>взаимодействие человека с его цифровой тенью и значительно повысит его эффективность. Мера их интеграции, безусловно, должна носить нормативный характер, после тщательной проработки профильными специалистами, и, повторимся,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синергетический эффект от такого взаимодействия приведёт к качественному рывку в жизни общества.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Метафизика виртуально-сетевой реальности содержит в себе некие маркеры, которые позволяют сделать предварительное заключение о том, что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мы изменились, и изменились навсегда.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Люди 50-70-х годов не сильно отличались от людей 30-40-х, но люди нулевых отличаются от людей 80-90-х радикально.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Необходимость осуществления научной рефлексии в любых областях знания опирается теперь на использование обновлённой методологии, опирающейся на мощные инструменты IT-технологий.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Хотим мы того или нет, но более половины человечества (54,4%, Европа и Северная Америка – 85% и 95% соответственно [7]) подключено к глобальной сети, и основным занятием у всех является ввод информации в компьютер/планшет/смартфон, что не может не натолкнуть на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попытку унифицировать как научную, так и познавательную учебную деятельность.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Синхронная работа человеческого и искусственного интеллектов содержит в себе, безусловно, и некоторые трудности, если говорить об их эффективной коадаптации, так как мера их безопасного взаимодействия ещё не определена.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Природа человеческого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– непрерывность, континуальность осуществления во времени и пространстве, имеет как свои преимущества, так и недостатки.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Природа искусственного интеллекта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(нейросети) – прерывность, дискретность, алгоритмичность, математичность функционирования. Совмещение их для решения задач, безусловно, будет предполагать, прежде всего, дискретную платформу, что может негативно сказываться на человеке, на его развитии, блокируя нашу чувственную составляющую. Дуплекс [3], сформировавшийся в процессе данных процессов коадаптации, уже является неразделимым, и то, каким он будет в недалёком будущем, должно быть детерминировано методиками киберсоциализации личности.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Клиповое, мозаичное сознание [4], мышление интермена уже наглядно показывает нам дискретность, прерывность его, сформировавшуюся под воздействием избыточных объёмов информации. Человек адаптируется к сетям, как может, пытаясь встроиться в сложноорганизованную систему открытого типа с целью повышения эффективности работы в ней.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Человек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становится элементом этой системы, и его идентичность (киберидентичность) наполняется смыслами, непосредственно связанными с тем, что мы называем бытием-в-сети.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Синергетический эффект дуплекса, как у Пифагора – «2 – это не 1+1, а 1 и 1» [3], это существование двух взаимопроникающих феноменов, актуальных и фундаментальных.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Интермен в этой двойственной, дуальной ситуации обретает целостность, так необходимую ему для самореализации, для эффективного решения актуальных задач.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В ходе своей деятельности человек сможет оставлять свою цифровую тень, поручать ей определённые функции, высвободив для себя время жизнедеятелньости. Мера дискретности, которую мы допускаем в пределах «нормального» взаимодействия с искусственным интеллектом, позволяет нам сделать вполне дозированным, конечным процесс «сотрудничества», оставляя время для позитивной и продуктивной, безопасной, успешной и мобильной киберсоциализации личности.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При этом необходимо подчеркнуть, что накопление знаний как таковое не способно заменить собой собственно систему образования, поэтому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в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структуре киберсоциализации обязательно должна присутствовать методология научного познания, системность формирования в сознании личности когнитивных моделей.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Только выстроив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структуру 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 xml:space="preserve">мы сможем получить на выходе 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lastRenderedPageBreak/>
        <w:t>нужную </w:t>
      </w:r>
      <w:r w:rsidRPr="00F159B5">
        <w:rPr>
          <w:rFonts w:ascii="Times New Roman" w:eastAsia="Times New Roman" w:hAnsi="Times New Roman" w:cs="Times New Roman"/>
          <w:i/>
          <w:iCs/>
          <w:color w:val="333333"/>
          <w:sz w:val="24"/>
          <w:szCs w:val="21"/>
          <w:bdr w:val="none" w:sz="0" w:space="0" w:color="auto" w:frame="1"/>
          <w:lang w:eastAsia="ru-RU"/>
        </w:rPr>
        <w:t>функцию, 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которая создаст необходимые предпосылки для гармоничного развития личности новой эпохи.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Таким образом, мера цифрового взаимодействия является именно тем фактором, который должен повлиять на эффективность киберсоциализации личности, сделать её гармоничной и естественной, сохраняя при этом индивидуальность человека, его возможность оставаться человеком во всех своих многообразных проявлениях. Только в</w:t>
      </w: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таких условиях возможен «нейроцифровой Ренессанс» в обществе, энергия и синергия которого приведут к качественно иным результатам.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textAlignment w:val="baseline"/>
        <w:rPr>
          <w:rFonts w:ascii="Times New Roman" w:eastAsia="Times New Roman" w:hAnsi="Times New Roman" w:cs="Times New Roman"/>
          <w:color w:val="333333"/>
          <w:sz w:val="28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8"/>
          <w:szCs w:val="21"/>
          <w:bdr w:val="none" w:sz="0" w:space="0" w:color="auto" w:frame="1"/>
          <w:lang w:eastAsia="ru-RU"/>
        </w:rPr>
        <w:t>Список литературы:</w:t>
      </w:r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Девтеров И.В. Трансгуманизм и нейроцифровой ренессанс // Сборник статей международной исследовательской организации «Cognitio» по материалам V международной научно-практической конференции: «Актуальные проблемы науки ХХІ века» (15 декабря 2015г.), 3 часть, г. Москва: сборник со статьями (уровень стандарта, академический уровень). – СПб.: Международная исследовательская организация «Cognitio», 2015. – 172с. – С. 51-55.</w:t>
      </w:r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Девтеров И.В. К онтологии цифрового мира // Людяність творчості як творчість людяності: Матеріали XIV Всеукраїнської науково-практичної конференції  (25 травня 2017 р., м. Київ) / КПІ ім. Ігоря Сікорського. – К.: ТОВ НВП «Інтерсервіс», 2017. – 245 с. – С. 68-71.</w:t>
      </w:r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Девтеров И.В. Дуплекс, или раздвоение индивидуального бытия информационного человека // Матеріали V Всеукраїнської науково-практичної конференції «Глушковські читання (24/11/2016) «Міждисциплінарні дослідження актуальних проблем застосування інфоормаційних технологій в сучасному світі». – К.: ТОВ НВП «Інтерсервіс», 2016. – С. 63-64.</w:t>
      </w:r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Плешаков В.А., Плешакова К.А. К проблеме духовно-нравственного воспитания в контексте киберсоциализации общества и человека // Электронный научно-публицистический журнал «Homo Cyberus». – 2017. – № 1 (2). [Электронный ресурс] – Режим доступа: </w:t>
      </w:r>
      <w:hyperlink r:id="rId7" w:history="1">
        <w:r w:rsidRPr="00F159B5">
          <w:rPr>
            <w:rFonts w:ascii="Times New Roman" w:eastAsia="Times New Roman" w:hAnsi="Times New Roman" w:cs="Times New Roman"/>
            <w:color w:val="333333"/>
            <w:sz w:val="24"/>
            <w:szCs w:val="21"/>
            <w:bdr w:val="none" w:sz="0" w:space="0" w:color="auto" w:frame="1"/>
            <w:lang w:eastAsia="ru-RU"/>
          </w:rPr>
          <w:t>http://journal.homocyberus.ru/Pleshakov_Pleshakova_K_probleme_duhovno-nravstvennogo_vospitanija_v_kontekste_kibersocializacii_obshhestva_i_cheloveka</w:t>
        </w:r>
      </w:hyperlink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Нанотехнологии будущего. [Электронный ресурс] – Режим доступа: </w:t>
      </w:r>
      <w:hyperlink r:id="rId8" w:history="1">
        <w:r w:rsidRPr="00F159B5">
          <w:rPr>
            <w:rFonts w:ascii="Times New Roman" w:eastAsia="Times New Roman" w:hAnsi="Times New Roman" w:cs="Times New Roman"/>
            <w:color w:val="333333"/>
            <w:sz w:val="24"/>
            <w:szCs w:val="21"/>
            <w:bdr w:val="none" w:sz="0" w:space="0" w:color="auto" w:frame="1"/>
            <w:lang w:eastAsia="ru-RU"/>
          </w:rPr>
          <w:t>http://www.ntsr.info/nanoworld/simply/index.php?ELEMENT_ID=130</w:t>
        </w:r>
      </w:hyperlink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Нейросети: как появились, зачем нужны и чего от них ждать. [Электронный ресурс] – Режим доступа: </w:t>
      </w:r>
      <w:hyperlink r:id="rId9" w:history="1">
        <w:r w:rsidRPr="00F159B5">
          <w:rPr>
            <w:rFonts w:ascii="Times New Roman" w:eastAsia="Times New Roman" w:hAnsi="Times New Roman" w:cs="Times New Roman"/>
            <w:color w:val="333333"/>
            <w:sz w:val="24"/>
            <w:szCs w:val="21"/>
            <w:bdr w:val="none" w:sz="0" w:space="0" w:color="auto" w:frame="1"/>
            <w:lang w:eastAsia="ru-RU"/>
          </w:rPr>
          <w:t>https://blog.sibirix.ru/2018/01/30/neural_networks</w:t>
        </w:r>
      </w:hyperlink>
    </w:p>
    <w:p w:rsidR="00F159B5" w:rsidRPr="00F159B5" w:rsidRDefault="00F159B5" w:rsidP="00F159B5">
      <w:pPr>
        <w:numPr>
          <w:ilvl w:val="0"/>
          <w:numId w:val="1"/>
        </w:numPr>
        <w:shd w:val="clear" w:color="auto" w:fill="FFFFFF"/>
        <w:tabs>
          <w:tab w:val="clear" w:pos="720"/>
          <w:tab w:val="num" w:pos="284"/>
        </w:tabs>
        <w:spacing w:before="120" w:after="120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bdr w:val="none" w:sz="0" w:space="0" w:color="auto" w:frame="1"/>
          <w:lang w:eastAsia="ru-RU"/>
        </w:rPr>
        <w:t>Internet World Stats [Электронный ресурс] – Режим доступа: </w:t>
      </w:r>
      <w:hyperlink r:id="rId10" w:history="1">
        <w:r w:rsidRPr="00F159B5">
          <w:rPr>
            <w:rFonts w:ascii="Times New Roman" w:eastAsia="Times New Roman" w:hAnsi="Times New Roman" w:cs="Times New Roman"/>
            <w:color w:val="333333"/>
            <w:sz w:val="24"/>
            <w:szCs w:val="21"/>
            <w:bdr w:val="none" w:sz="0" w:space="0" w:color="auto" w:frame="1"/>
            <w:lang w:eastAsia="ru-RU"/>
          </w:rPr>
          <w:t>https://www.internetworldstats.com/stats.htm</w:t>
        </w:r>
      </w:hyperlink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  <w:t> </w:t>
      </w:r>
    </w:p>
    <w:p w:rsidR="00F159B5" w:rsidRPr="00F159B5" w:rsidRDefault="00F159B5" w:rsidP="00F159B5">
      <w:pPr>
        <w:shd w:val="clear" w:color="auto" w:fill="FFFFFF"/>
        <w:spacing w:before="120" w:after="120" w:line="240" w:lineRule="auto"/>
        <w:ind w:firstLine="709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1"/>
          <w:lang w:eastAsia="ru-RU"/>
        </w:rPr>
      </w:pPr>
      <w:r w:rsidRPr="00F159B5">
        <w:rPr>
          <w:rFonts w:ascii="Times New Roman" w:eastAsia="Times New Roman" w:hAnsi="Times New Roman" w:cs="Times New Roman"/>
          <w:b/>
          <w:bCs/>
          <w:color w:val="333333"/>
          <w:sz w:val="24"/>
          <w:szCs w:val="21"/>
          <w:bdr w:val="none" w:sz="0" w:space="0" w:color="auto" w:frame="1"/>
          <w:lang w:eastAsia="ru-RU"/>
        </w:rPr>
        <w:t>© </w:t>
      </w:r>
      <w:hyperlink r:id="rId11" w:history="1">
        <w:r w:rsidRPr="00F159B5">
          <w:rPr>
            <w:rFonts w:ascii="Times New Roman" w:eastAsia="Times New Roman" w:hAnsi="Times New Roman" w:cs="Times New Roman"/>
            <w:b/>
            <w:bCs/>
            <w:color w:val="00137F"/>
            <w:sz w:val="24"/>
            <w:szCs w:val="21"/>
            <w:u w:val="single"/>
            <w:bdr w:val="none" w:sz="0" w:space="0" w:color="auto" w:frame="1"/>
            <w:lang w:eastAsia="ru-RU"/>
          </w:rPr>
          <w:t>Девтеров Илья Владимирович</w:t>
        </w:r>
      </w:hyperlink>
    </w:p>
    <w:p w:rsidR="00F159B5" w:rsidRPr="00F159B5" w:rsidRDefault="00F159B5" w:rsidP="00F159B5">
      <w:pPr>
        <w:spacing w:before="120" w:after="120"/>
        <w:ind w:firstLine="709"/>
        <w:rPr>
          <w:rFonts w:ascii="Times New Roman" w:hAnsi="Times New Roman" w:cs="Times New Roman"/>
          <w:sz w:val="28"/>
        </w:rPr>
      </w:pPr>
    </w:p>
    <w:sectPr w:rsidR="00F159B5" w:rsidRPr="00F159B5" w:rsidSect="00F159B5"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B31" w:rsidRDefault="00976B31" w:rsidP="00F159B5">
      <w:pPr>
        <w:spacing w:after="0" w:line="240" w:lineRule="auto"/>
      </w:pPr>
      <w:r>
        <w:separator/>
      </w:r>
    </w:p>
  </w:endnote>
  <w:endnote w:type="continuationSeparator" w:id="0">
    <w:p w:rsidR="00976B31" w:rsidRDefault="00976B31" w:rsidP="00F15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2755215"/>
      <w:docPartObj>
        <w:docPartGallery w:val="Page Numbers (Bottom of Page)"/>
        <w:docPartUnique/>
      </w:docPartObj>
    </w:sdtPr>
    <w:sdtContent>
      <w:p w:rsidR="00F159B5" w:rsidRDefault="00F159B5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F159B5" w:rsidRDefault="00F159B5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B31" w:rsidRDefault="00976B31" w:rsidP="00F159B5">
      <w:pPr>
        <w:spacing w:after="0" w:line="240" w:lineRule="auto"/>
      </w:pPr>
      <w:r>
        <w:separator/>
      </w:r>
    </w:p>
  </w:footnote>
  <w:footnote w:type="continuationSeparator" w:id="0">
    <w:p w:rsidR="00976B31" w:rsidRDefault="00976B31" w:rsidP="00F15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F6B90"/>
    <w:multiLevelType w:val="multilevel"/>
    <w:tmpl w:val="A7F62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9B5"/>
    <w:rsid w:val="0008787C"/>
    <w:rsid w:val="00976B31"/>
    <w:rsid w:val="00F15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2B882"/>
  <w15:chartTrackingRefBased/>
  <w15:docId w15:val="{AEBAFAC8-C10A-4E2A-88E6-7CED41DF4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159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159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rteright">
    <w:name w:val="rteright"/>
    <w:basedOn w:val="a"/>
    <w:rsid w:val="00F159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F159B5"/>
    <w:rPr>
      <w:b/>
      <w:bCs/>
    </w:rPr>
  </w:style>
  <w:style w:type="character" w:styleId="a4">
    <w:name w:val="Emphasis"/>
    <w:basedOn w:val="a0"/>
    <w:uiPriority w:val="20"/>
    <w:qFormat/>
    <w:rsid w:val="00F159B5"/>
    <w:rPr>
      <w:i/>
      <w:iCs/>
    </w:rPr>
  </w:style>
  <w:style w:type="paragraph" w:customStyle="1" w:styleId="rtejustify">
    <w:name w:val="rtejustify"/>
    <w:basedOn w:val="a"/>
    <w:rsid w:val="00F159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tecenter">
    <w:name w:val="rtecenter"/>
    <w:basedOn w:val="a"/>
    <w:rsid w:val="00F159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F159B5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F159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F15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159B5"/>
  </w:style>
  <w:style w:type="paragraph" w:styleId="a9">
    <w:name w:val="footer"/>
    <w:basedOn w:val="a"/>
    <w:link w:val="aa"/>
    <w:uiPriority w:val="99"/>
    <w:unhideWhenUsed/>
    <w:rsid w:val="00F15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159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03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tsr.info/nanoworld/simply/index.php?ELEMENT_ID=130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journal.homocyberus.ru/Pleshakov_Pleshakova_K_probleme_duhovno-nravstvennogo_vospitanija_v_kontekste_kibersocializacii_obshhestva_i_cheloveka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journal.homocyberus.ru/devterov_i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internetworldstats.com/stats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log.sibirix.ru/2018/01/30/neural_network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2577</Words>
  <Characters>14692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Илья Девтеров</dc:creator>
  <cp:keywords/>
  <dc:description/>
  <cp:lastModifiedBy>Илья Девтеров</cp:lastModifiedBy>
  <cp:revision>1</cp:revision>
  <dcterms:created xsi:type="dcterms:W3CDTF">2019-12-04T22:14:00Z</dcterms:created>
  <dcterms:modified xsi:type="dcterms:W3CDTF">2019-12-04T22:19:00Z</dcterms:modified>
</cp:coreProperties>
</file>