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drawings/drawing1.xml" ContentType="application/vnd.openxmlformats-officedocument.drawingml.chartshapes+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0A2A" w:rsidRDefault="001E0A2A">
      <w:pPr>
        <w:widowControl w:val="0"/>
        <w:pBdr>
          <w:top w:val="nil"/>
          <w:left w:val="nil"/>
          <w:bottom w:val="nil"/>
          <w:right w:val="nil"/>
          <w:between w:val="nil"/>
        </w:pBdr>
        <w:spacing w:line="276" w:lineRule="auto"/>
        <w:ind w:firstLine="0"/>
        <w:jc w:val="left"/>
      </w:pPr>
      <w:bookmarkStart w:id="0" w:name="_GoBack"/>
      <w:bookmarkEnd w:id="0"/>
    </w:p>
    <w:p w:rsidR="001E0A2A" w:rsidRDefault="00E079B6">
      <w:pPr>
        <w:widowControl w:val="0"/>
        <w:pBdr>
          <w:top w:val="nil"/>
          <w:left w:val="nil"/>
          <w:bottom w:val="nil"/>
          <w:right w:val="nil"/>
          <w:between w:val="nil"/>
        </w:pBdr>
        <w:spacing w:line="276" w:lineRule="auto"/>
        <w:ind w:firstLine="0"/>
        <w:jc w:val="center"/>
        <w:rPr>
          <w:b/>
          <w:color w:val="000000"/>
          <w:sz w:val="24"/>
          <w:szCs w:val="24"/>
        </w:rPr>
      </w:pPr>
      <w:bookmarkStart w:id="1" w:name="_heading=h.gjdgxs" w:colFirst="0" w:colLast="0"/>
      <w:bookmarkEnd w:id="1"/>
      <w:r>
        <w:rPr>
          <w:b/>
          <w:color w:val="000000"/>
          <w:sz w:val="24"/>
          <w:szCs w:val="24"/>
        </w:rPr>
        <w:t>НАЦІОНАЛЬНИЙ ТЕХНІЧНИЙ УНІВЕРСИТЕТ УКРАЇНИ</w:t>
      </w:r>
    </w:p>
    <w:p w:rsidR="001E0A2A" w:rsidRDefault="00E079B6">
      <w:pPr>
        <w:widowControl w:val="0"/>
        <w:pBdr>
          <w:top w:val="nil"/>
          <w:left w:val="nil"/>
          <w:bottom w:val="nil"/>
          <w:right w:val="nil"/>
          <w:between w:val="nil"/>
        </w:pBdr>
        <w:spacing w:line="276" w:lineRule="auto"/>
        <w:ind w:firstLine="0"/>
        <w:jc w:val="center"/>
        <w:rPr>
          <w:b/>
          <w:color w:val="000000"/>
          <w:sz w:val="24"/>
          <w:szCs w:val="24"/>
        </w:rPr>
      </w:pPr>
      <w:r>
        <w:rPr>
          <w:b/>
          <w:color w:val="000000"/>
          <w:sz w:val="24"/>
          <w:szCs w:val="24"/>
        </w:rPr>
        <w:t>«КИЇВСЬКИЙ ПОЛІТЕХНІЧНИЙ ІНСТИТУТ</w:t>
      </w:r>
    </w:p>
    <w:p w:rsidR="001E0A2A" w:rsidRDefault="00E079B6">
      <w:pPr>
        <w:widowControl w:val="0"/>
        <w:pBdr>
          <w:top w:val="nil"/>
          <w:left w:val="nil"/>
          <w:bottom w:val="nil"/>
          <w:right w:val="nil"/>
          <w:between w:val="nil"/>
        </w:pBdr>
        <w:ind w:firstLine="0"/>
        <w:jc w:val="center"/>
        <w:rPr>
          <w:b/>
          <w:color w:val="000000"/>
          <w:sz w:val="24"/>
          <w:szCs w:val="24"/>
        </w:rPr>
      </w:pPr>
      <w:r>
        <w:rPr>
          <w:b/>
          <w:color w:val="000000"/>
          <w:sz w:val="24"/>
          <w:szCs w:val="24"/>
        </w:rPr>
        <w:t>імені ІГОРЯ СІКОРСЬКОГО»</w:t>
      </w:r>
    </w:p>
    <w:p w:rsidR="001E0A2A" w:rsidRDefault="00E079B6">
      <w:pPr>
        <w:widowControl w:val="0"/>
        <w:pBdr>
          <w:top w:val="nil"/>
          <w:left w:val="nil"/>
          <w:bottom w:val="nil"/>
          <w:right w:val="nil"/>
          <w:between w:val="nil"/>
        </w:pBdr>
        <w:ind w:firstLine="0"/>
        <w:jc w:val="center"/>
        <w:rPr>
          <w:b/>
          <w:color w:val="000000"/>
          <w:sz w:val="24"/>
          <w:szCs w:val="24"/>
        </w:rPr>
      </w:pPr>
      <w:r>
        <w:rPr>
          <w:b/>
          <w:color w:val="000000"/>
          <w:sz w:val="24"/>
          <w:szCs w:val="24"/>
        </w:rPr>
        <w:t>Факультет менеджменту та маркетингу</w:t>
      </w:r>
    </w:p>
    <w:p w:rsidR="001E0A2A" w:rsidRDefault="00E079B6">
      <w:pPr>
        <w:widowControl w:val="0"/>
        <w:pBdr>
          <w:top w:val="nil"/>
          <w:left w:val="nil"/>
          <w:bottom w:val="nil"/>
          <w:right w:val="nil"/>
          <w:between w:val="nil"/>
        </w:pBdr>
        <w:ind w:firstLine="0"/>
        <w:jc w:val="center"/>
        <w:rPr>
          <w:b/>
          <w:color w:val="000000"/>
          <w:sz w:val="24"/>
          <w:szCs w:val="24"/>
        </w:rPr>
        <w:sectPr w:rsidR="001E0A2A">
          <w:headerReference w:type="default" r:id="rId8"/>
          <w:pgSz w:w="11906" w:h="16838"/>
          <w:pgMar w:top="1134" w:right="567" w:bottom="1134" w:left="1418" w:header="709" w:footer="709" w:gutter="0"/>
          <w:pgNumType w:start="1"/>
          <w:cols w:space="720"/>
        </w:sectPr>
      </w:pPr>
      <w:r>
        <w:rPr>
          <w:b/>
          <w:color w:val="000000"/>
          <w:sz w:val="24"/>
          <w:szCs w:val="24"/>
        </w:rPr>
        <w:t>Кафедра промислового маркетингу</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До захисту допущено:</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Завідувач кафедри</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_______ Сергій СОЛНЦЕВ</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w:t>
      </w:r>
      <w:r>
        <w:rPr>
          <w:color w:val="000000"/>
          <w:sz w:val="24"/>
          <w:szCs w:val="24"/>
          <w:u w:val="single"/>
        </w:rPr>
        <w:t xml:space="preserve"> 14 </w:t>
      </w:r>
      <w:r>
        <w:rPr>
          <w:color w:val="000000"/>
          <w:sz w:val="24"/>
          <w:szCs w:val="24"/>
        </w:rPr>
        <w:t xml:space="preserve">» </w:t>
      </w:r>
      <w:r>
        <w:rPr>
          <w:color w:val="000000"/>
          <w:sz w:val="24"/>
          <w:szCs w:val="24"/>
          <w:u w:val="single"/>
        </w:rPr>
        <w:t xml:space="preserve">червня </w:t>
      </w:r>
      <w:r>
        <w:rPr>
          <w:color w:val="000000"/>
          <w:sz w:val="24"/>
          <w:szCs w:val="24"/>
        </w:rPr>
        <w:t>20</w:t>
      </w:r>
      <w:r>
        <w:rPr>
          <w:color w:val="000000"/>
          <w:sz w:val="24"/>
          <w:szCs w:val="24"/>
          <w:u w:val="single"/>
        </w:rPr>
        <w:t>24</w:t>
      </w:r>
      <w:r>
        <w:rPr>
          <w:color w:val="000000"/>
          <w:sz w:val="24"/>
          <w:szCs w:val="24"/>
        </w:rPr>
        <w:t xml:space="preserve"> р.</w:t>
      </w:r>
    </w:p>
    <w:p w:rsidR="001E0A2A" w:rsidRDefault="001E0A2A">
      <w:pPr>
        <w:widowControl w:val="0"/>
        <w:pBdr>
          <w:top w:val="nil"/>
          <w:left w:val="nil"/>
          <w:bottom w:val="nil"/>
          <w:right w:val="nil"/>
          <w:between w:val="nil"/>
        </w:pBdr>
        <w:spacing w:line="240" w:lineRule="auto"/>
        <w:ind w:firstLine="0"/>
        <w:jc w:val="left"/>
        <w:rPr>
          <w:color w:val="000000"/>
          <w:sz w:val="24"/>
          <w:szCs w:val="24"/>
        </w:rPr>
        <w:sectPr w:rsidR="001E0A2A">
          <w:type w:val="continuous"/>
          <w:pgSz w:w="11906" w:h="16838"/>
          <w:pgMar w:top="1134" w:right="567" w:bottom="1134" w:left="1418" w:header="709" w:footer="709" w:gutter="0"/>
          <w:cols w:num="3" w:space="720" w:equalWidth="0">
            <w:col w:w="2834" w:space="708"/>
            <w:col w:w="2834" w:space="708"/>
            <w:col w:w="2834" w:space="0"/>
          </w:cols>
        </w:sectPr>
      </w:pPr>
    </w:p>
    <w:p w:rsidR="001E0A2A" w:rsidRDefault="00E079B6">
      <w:pPr>
        <w:widowControl w:val="0"/>
        <w:spacing w:before="259" w:line="240" w:lineRule="auto"/>
        <w:ind w:firstLine="0"/>
        <w:jc w:val="center"/>
        <w:rPr>
          <w:b/>
          <w:sz w:val="36"/>
          <w:szCs w:val="36"/>
        </w:rPr>
      </w:pPr>
      <w:r>
        <w:rPr>
          <w:b/>
          <w:sz w:val="36"/>
          <w:szCs w:val="36"/>
        </w:rPr>
        <w:lastRenderedPageBreak/>
        <w:t>Дипломна робота</w:t>
      </w:r>
    </w:p>
    <w:p w:rsidR="001E0A2A" w:rsidRDefault="00E079B6">
      <w:pPr>
        <w:widowControl w:val="0"/>
        <w:spacing w:before="120" w:line="240" w:lineRule="auto"/>
        <w:ind w:firstLine="0"/>
        <w:jc w:val="center"/>
        <w:rPr>
          <w:b/>
          <w:sz w:val="24"/>
          <w:szCs w:val="24"/>
        </w:rPr>
      </w:pPr>
      <w:r>
        <w:rPr>
          <w:b/>
          <w:sz w:val="24"/>
          <w:szCs w:val="24"/>
        </w:rPr>
        <w:t>на здобуття ступеня бакалавра</w:t>
      </w:r>
    </w:p>
    <w:p w:rsidR="001E0A2A" w:rsidRDefault="00E079B6">
      <w:pPr>
        <w:widowControl w:val="0"/>
        <w:spacing w:before="120" w:line="240" w:lineRule="auto"/>
        <w:ind w:firstLine="0"/>
        <w:jc w:val="center"/>
        <w:rPr>
          <w:b/>
          <w:sz w:val="24"/>
          <w:szCs w:val="24"/>
        </w:rPr>
      </w:pPr>
      <w:r>
        <w:rPr>
          <w:b/>
          <w:sz w:val="24"/>
          <w:szCs w:val="24"/>
        </w:rPr>
        <w:t>за освітньо-професійною програмою «Промисловий маркетинг» спеціальності                  075 «Маркетинг»</w:t>
      </w:r>
    </w:p>
    <w:p w:rsidR="001E0A2A" w:rsidRDefault="00E079B6">
      <w:pPr>
        <w:widowControl w:val="0"/>
        <w:spacing w:before="120" w:line="240" w:lineRule="auto"/>
        <w:ind w:firstLine="0"/>
        <w:jc w:val="center"/>
        <w:rPr>
          <w:b/>
          <w:sz w:val="24"/>
          <w:szCs w:val="24"/>
        </w:rPr>
      </w:pPr>
      <w:r>
        <w:rPr>
          <w:b/>
          <w:sz w:val="24"/>
          <w:szCs w:val="24"/>
        </w:rPr>
        <w:t>на тему: «Розвиток комунікаційної політики медичного центру на основі впровадження  ІТ продуктів»</w:t>
      </w:r>
    </w:p>
    <w:p w:rsidR="001E0A2A" w:rsidRDefault="001E0A2A">
      <w:pPr>
        <w:widowControl w:val="0"/>
        <w:spacing w:before="120" w:line="240" w:lineRule="auto"/>
        <w:ind w:firstLine="0"/>
        <w:jc w:val="center"/>
        <w:rPr>
          <w:b/>
          <w:sz w:val="24"/>
          <w:szCs w:val="24"/>
        </w:rPr>
      </w:pPr>
    </w:p>
    <w:p w:rsidR="001E0A2A" w:rsidRDefault="001E0A2A">
      <w:pPr>
        <w:widowControl w:val="0"/>
        <w:spacing w:before="120" w:line="240" w:lineRule="auto"/>
        <w:ind w:firstLine="0"/>
        <w:jc w:val="center"/>
        <w:rPr>
          <w:b/>
          <w:sz w:val="24"/>
          <w:szCs w:val="24"/>
        </w:rPr>
      </w:pPr>
    </w:p>
    <w:p w:rsidR="001E0A2A" w:rsidRDefault="00E079B6">
      <w:pPr>
        <w:widowControl w:val="0"/>
        <w:pBdr>
          <w:top w:val="nil"/>
          <w:left w:val="nil"/>
          <w:bottom w:val="nil"/>
          <w:right w:val="nil"/>
          <w:between w:val="nil"/>
        </w:pBdr>
        <w:spacing w:line="240" w:lineRule="auto"/>
        <w:ind w:firstLine="0"/>
        <w:rPr>
          <w:color w:val="000000"/>
          <w:sz w:val="18"/>
          <w:szCs w:val="18"/>
        </w:rPr>
      </w:pPr>
      <w:r>
        <w:rPr>
          <w:noProof/>
          <w:lang w:val="en-US"/>
        </w:rPr>
        <w:drawing>
          <wp:anchor distT="0" distB="0" distL="114300" distR="114300" simplePos="0" relativeHeight="251658240" behindDoc="0" locked="0" layoutInCell="1" hidden="0" allowOverlap="1">
            <wp:simplePos x="0" y="0"/>
            <wp:positionH relativeFrom="column">
              <wp:posOffset>4346484</wp:posOffset>
            </wp:positionH>
            <wp:positionV relativeFrom="paragraph">
              <wp:posOffset>63590</wp:posOffset>
            </wp:positionV>
            <wp:extent cx="1795145" cy="1028065"/>
            <wp:effectExtent l="0" t="0" r="0" b="0"/>
            <wp:wrapNone/>
            <wp:docPr id="18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1795145" cy="1028065"/>
                    </a:xfrm>
                    <a:prstGeom prst="rect">
                      <a:avLst/>
                    </a:prstGeom>
                    <a:ln/>
                  </pic:spPr>
                </pic:pic>
              </a:graphicData>
            </a:graphic>
          </wp:anchor>
        </w:drawing>
      </w:r>
    </w:p>
    <w:p w:rsidR="001E0A2A" w:rsidRDefault="001E0A2A">
      <w:pPr>
        <w:widowControl w:val="0"/>
        <w:pBdr>
          <w:top w:val="nil"/>
          <w:left w:val="nil"/>
          <w:bottom w:val="nil"/>
          <w:right w:val="nil"/>
          <w:between w:val="nil"/>
        </w:pBdr>
        <w:spacing w:line="240" w:lineRule="auto"/>
        <w:ind w:firstLine="0"/>
        <w:rPr>
          <w:color w:val="000000"/>
          <w:sz w:val="18"/>
          <w:szCs w:val="18"/>
        </w:rPr>
        <w:sectPr w:rsidR="001E0A2A">
          <w:type w:val="continuous"/>
          <w:pgSz w:w="11906" w:h="16838"/>
          <w:pgMar w:top="1134" w:right="567" w:bottom="1134" w:left="1418" w:header="709" w:footer="709" w:gutter="0"/>
          <w:cols w:space="720"/>
        </w:sect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lastRenderedPageBreak/>
        <w:t>Виконала:</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студентка IV курсу, групи УМ-02</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Рублюк Аліна Олегівна</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Керівник:</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Професор кафедри промислового маркетингу, д. е. н., професор</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Жигалкевич Жанна Михайлівна</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Рецензент:</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Професор кафедри економіки і підприємництва, д. е. н., професор</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Шашина Марина Володимирівн</w:t>
      </w:r>
      <w:r>
        <w:rPr>
          <w:color w:val="000000"/>
          <w:sz w:val="24"/>
          <w:szCs w:val="24"/>
        </w:rPr>
        <w:t>а</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____________</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____________</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____________</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sectPr w:rsidR="001E0A2A">
          <w:type w:val="continuous"/>
          <w:pgSz w:w="11906" w:h="16838"/>
          <w:pgMar w:top="1134" w:right="567" w:bottom="1134" w:left="1418" w:header="709" w:footer="709" w:gutter="0"/>
          <w:cols w:num="2" w:space="720" w:equalWidth="0">
            <w:col w:w="4600" w:space="720"/>
            <w:col w:w="4600" w:space="0"/>
          </w:cols>
        </w:sectPr>
      </w:pPr>
    </w:p>
    <w:p w:rsidR="001E0A2A" w:rsidRDefault="001E0A2A">
      <w:pPr>
        <w:widowControl w:val="0"/>
        <w:pBdr>
          <w:top w:val="nil"/>
          <w:left w:val="nil"/>
          <w:bottom w:val="nil"/>
          <w:right w:val="nil"/>
          <w:between w:val="nil"/>
        </w:pBdr>
        <w:spacing w:line="240" w:lineRule="auto"/>
        <w:ind w:firstLine="0"/>
        <w:jc w:val="left"/>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1E0A2A">
      <w:pPr>
        <w:widowControl w:val="0"/>
        <w:pBdr>
          <w:top w:val="nil"/>
          <w:left w:val="nil"/>
          <w:bottom w:val="nil"/>
          <w:right w:val="nil"/>
          <w:between w:val="nil"/>
        </w:pBdr>
        <w:spacing w:before="8" w:line="240" w:lineRule="auto"/>
        <w:ind w:firstLine="0"/>
        <w:rPr>
          <w:color w:val="000000"/>
          <w:sz w:val="17"/>
          <w:szCs w:val="17"/>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lastRenderedPageBreak/>
        <w:t>Засвідчую, що у цій дипломній роботі немає запозичень з праць інших авторів без відповідних посилань.</w:t>
      </w:r>
      <w:r>
        <w:rPr>
          <w:noProof/>
          <w:lang w:val="en-US"/>
        </w:rPr>
        <w:drawing>
          <wp:anchor distT="0" distB="0" distL="114300" distR="114300" simplePos="0" relativeHeight="251659264" behindDoc="0" locked="0" layoutInCell="1" hidden="0" allowOverlap="1">
            <wp:simplePos x="0" y="0"/>
            <wp:positionH relativeFrom="column">
              <wp:posOffset>819694</wp:posOffset>
            </wp:positionH>
            <wp:positionV relativeFrom="paragraph">
              <wp:posOffset>393972</wp:posOffset>
            </wp:positionV>
            <wp:extent cx="1795145" cy="940980"/>
            <wp:effectExtent l="0" t="0" r="0" b="0"/>
            <wp:wrapNone/>
            <wp:docPr id="19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1795145" cy="940980"/>
                    </a:xfrm>
                    <a:prstGeom prst="rect">
                      <a:avLst/>
                    </a:prstGeom>
                    <a:ln/>
                  </pic:spPr>
                </pic:pic>
              </a:graphicData>
            </a:graphic>
          </wp:anchor>
        </w:drawing>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u w:val="single"/>
        </w:rPr>
      </w:pPr>
      <w:r>
        <w:rPr>
          <w:color w:val="000000"/>
          <w:sz w:val="24"/>
          <w:szCs w:val="24"/>
        </w:rPr>
        <w:t xml:space="preserve">Студентка      </w:t>
      </w:r>
      <w:r>
        <w:rPr>
          <w:color w:val="000000"/>
          <w:sz w:val="24"/>
          <w:szCs w:val="24"/>
          <w:u w:val="single"/>
        </w:rPr>
        <w:t xml:space="preserve"> </w:t>
      </w:r>
      <w:r>
        <w:rPr>
          <w:color w:val="000000"/>
          <w:sz w:val="24"/>
          <w:szCs w:val="24"/>
        </w:rPr>
        <w:t>____________</w:t>
      </w:r>
      <w:r>
        <w:rPr>
          <w:color w:val="000000"/>
          <w:sz w:val="24"/>
          <w:szCs w:val="24"/>
          <w:u w:val="single"/>
        </w:rPr>
        <w:t xml:space="preserve"> </w:t>
      </w:r>
    </w:p>
    <w:p w:rsidR="001E0A2A" w:rsidRDefault="001E0A2A">
      <w:pPr>
        <w:widowControl w:val="0"/>
        <w:pBdr>
          <w:top w:val="nil"/>
          <w:left w:val="nil"/>
          <w:bottom w:val="nil"/>
          <w:right w:val="nil"/>
          <w:between w:val="nil"/>
        </w:pBdr>
        <w:spacing w:line="240" w:lineRule="auto"/>
        <w:ind w:firstLine="0"/>
        <w:jc w:val="left"/>
        <w:rPr>
          <w:color w:val="000000"/>
          <w:sz w:val="24"/>
          <w:szCs w:val="24"/>
          <w:u w:val="single"/>
        </w:rPr>
        <w:sectPr w:rsidR="001E0A2A">
          <w:type w:val="continuous"/>
          <w:pgSz w:w="11906" w:h="16838"/>
          <w:pgMar w:top="1134" w:right="567" w:bottom="1134" w:left="1418" w:header="709" w:footer="709" w:gutter="0"/>
          <w:cols w:num="2" w:space="720" w:equalWidth="0">
            <w:col w:w="4606" w:space="708"/>
            <w:col w:w="4606" w:space="0"/>
          </w:cols>
        </w:sect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tabs>
          <w:tab w:val="left" w:pos="5904"/>
        </w:tabs>
        <w:ind w:firstLine="0"/>
        <w:jc w:val="center"/>
        <w:rPr>
          <w:b/>
        </w:rPr>
      </w:pPr>
      <w:r>
        <w:t>Київ – 2024 року</w:t>
      </w:r>
      <w:r>
        <w:br w:type="page"/>
      </w:r>
    </w:p>
    <w:p w:rsidR="001E0A2A" w:rsidRDefault="00E079B6">
      <w:pPr>
        <w:widowControl w:val="0"/>
        <w:pBdr>
          <w:top w:val="nil"/>
          <w:left w:val="nil"/>
          <w:bottom w:val="nil"/>
          <w:right w:val="nil"/>
          <w:between w:val="nil"/>
        </w:pBdr>
        <w:spacing w:line="276" w:lineRule="auto"/>
        <w:ind w:firstLine="0"/>
        <w:jc w:val="center"/>
        <w:rPr>
          <w:b/>
          <w:color w:val="000000"/>
          <w:sz w:val="24"/>
          <w:szCs w:val="24"/>
        </w:rPr>
      </w:pPr>
      <w:r>
        <w:rPr>
          <w:b/>
          <w:color w:val="000000"/>
          <w:sz w:val="24"/>
          <w:szCs w:val="24"/>
        </w:rPr>
        <w:lastRenderedPageBreak/>
        <w:t>Національний технічний університет України</w:t>
      </w:r>
    </w:p>
    <w:p w:rsidR="001E0A2A" w:rsidRDefault="00E079B6">
      <w:pPr>
        <w:widowControl w:val="0"/>
        <w:pBdr>
          <w:top w:val="nil"/>
          <w:left w:val="nil"/>
          <w:bottom w:val="nil"/>
          <w:right w:val="nil"/>
          <w:between w:val="nil"/>
        </w:pBdr>
        <w:spacing w:line="276" w:lineRule="auto"/>
        <w:ind w:firstLine="0"/>
        <w:jc w:val="center"/>
        <w:rPr>
          <w:b/>
          <w:color w:val="000000"/>
          <w:sz w:val="24"/>
          <w:szCs w:val="24"/>
        </w:rPr>
      </w:pPr>
      <w:r>
        <w:rPr>
          <w:b/>
          <w:color w:val="000000"/>
          <w:sz w:val="24"/>
          <w:szCs w:val="24"/>
        </w:rPr>
        <w:t>«Київський політехнічний інститут імені Ігоря Сікорського»</w:t>
      </w:r>
    </w:p>
    <w:p w:rsidR="001E0A2A" w:rsidRDefault="00E079B6">
      <w:pPr>
        <w:widowControl w:val="0"/>
        <w:pBdr>
          <w:top w:val="nil"/>
          <w:left w:val="nil"/>
          <w:bottom w:val="nil"/>
          <w:right w:val="nil"/>
          <w:between w:val="nil"/>
        </w:pBdr>
        <w:spacing w:before="120"/>
        <w:ind w:firstLine="0"/>
        <w:jc w:val="center"/>
        <w:rPr>
          <w:b/>
          <w:color w:val="000000"/>
          <w:sz w:val="24"/>
          <w:szCs w:val="24"/>
        </w:rPr>
      </w:pPr>
      <w:r>
        <w:rPr>
          <w:b/>
          <w:color w:val="000000"/>
          <w:sz w:val="24"/>
          <w:szCs w:val="24"/>
        </w:rPr>
        <w:t>Факультет менеджменту та маркетингу</w:t>
      </w:r>
    </w:p>
    <w:p w:rsidR="001E0A2A" w:rsidRDefault="00E079B6">
      <w:pPr>
        <w:widowControl w:val="0"/>
        <w:pBdr>
          <w:top w:val="nil"/>
          <w:left w:val="nil"/>
          <w:bottom w:val="nil"/>
          <w:right w:val="nil"/>
          <w:between w:val="nil"/>
        </w:pBdr>
        <w:ind w:firstLine="0"/>
        <w:jc w:val="center"/>
        <w:rPr>
          <w:b/>
          <w:color w:val="000000"/>
          <w:sz w:val="24"/>
          <w:szCs w:val="24"/>
        </w:rPr>
        <w:sectPr w:rsidR="001E0A2A">
          <w:headerReference w:type="default" r:id="rId11"/>
          <w:type w:val="continuous"/>
          <w:pgSz w:w="11906" w:h="16838"/>
          <w:pgMar w:top="1134" w:right="567" w:bottom="1134" w:left="1418" w:header="709" w:footer="709" w:gutter="0"/>
          <w:cols w:space="720"/>
        </w:sectPr>
      </w:pPr>
      <w:r>
        <w:rPr>
          <w:b/>
          <w:color w:val="000000"/>
          <w:sz w:val="24"/>
          <w:szCs w:val="24"/>
        </w:rPr>
        <w:t>Кафедра промислового маркетингу</w:t>
      </w: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Рівень вищої освіти – перший (бакалаврський)</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Спеціальність – 075 «Маркетинг»</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Освітньо-професійна програма «Промисловий маркетинг»</w:t>
      </w:r>
    </w:p>
    <w:p w:rsidR="001E0A2A" w:rsidRDefault="001E0A2A">
      <w:pPr>
        <w:widowControl w:val="0"/>
        <w:pBdr>
          <w:top w:val="nil"/>
          <w:left w:val="nil"/>
          <w:bottom w:val="nil"/>
          <w:right w:val="nil"/>
          <w:between w:val="nil"/>
        </w:pBdr>
        <w:spacing w:line="240" w:lineRule="auto"/>
        <w:ind w:firstLine="0"/>
        <w:jc w:val="left"/>
        <w:rPr>
          <w:color w:val="000000"/>
          <w:sz w:val="24"/>
          <w:szCs w:val="24"/>
        </w:rPr>
        <w:sectPr w:rsidR="001E0A2A">
          <w:type w:val="continuous"/>
          <w:pgSz w:w="11906" w:h="16838"/>
          <w:pgMar w:top="1134" w:right="567" w:bottom="1134" w:left="1418" w:header="709" w:footer="709" w:gutter="0"/>
          <w:cols w:space="720"/>
        </w:sect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1E0A2A">
      <w:pPr>
        <w:widowControl w:val="0"/>
        <w:pBdr>
          <w:top w:val="nil"/>
          <w:left w:val="nil"/>
          <w:bottom w:val="nil"/>
          <w:right w:val="nil"/>
          <w:between w:val="nil"/>
        </w:pBdr>
        <w:spacing w:line="240" w:lineRule="auto"/>
        <w:ind w:firstLine="0"/>
        <w:jc w:val="left"/>
        <w:rPr>
          <w:color w:val="000000"/>
          <w:sz w:val="24"/>
          <w:szCs w:val="24"/>
        </w:rPr>
      </w:pP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ЗАТВЕРДЖУЮ</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Завідувач кафедри</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_______ Сергій СОЛНЦЕВ</w:t>
      </w:r>
    </w:p>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w:t>
      </w:r>
      <w:r>
        <w:rPr>
          <w:color w:val="000000"/>
          <w:sz w:val="24"/>
          <w:szCs w:val="24"/>
          <w:u w:val="single"/>
        </w:rPr>
        <w:t xml:space="preserve"> 14 </w:t>
      </w:r>
      <w:r>
        <w:rPr>
          <w:color w:val="000000"/>
          <w:sz w:val="24"/>
          <w:szCs w:val="24"/>
        </w:rPr>
        <w:t xml:space="preserve">» </w:t>
      </w:r>
      <w:r>
        <w:rPr>
          <w:color w:val="000000"/>
          <w:sz w:val="24"/>
          <w:szCs w:val="24"/>
          <w:u w:val="single"/>
        </w:rPr>
        <w:t xml:space="preserve">червня </w:t>
      </w:r>
      <w:r>
        <w:rPr>
          <w:color w:val="000000"/>
          <w:sz w:val="24"/>
          <w:szCs w:val="24"/>
        </w:rPr>
        <w:t>20</w:t>
      </w:r>
      <w:r>
        <w:rPr>
          <w:color w:val="000000"/>
          <w:sz w:val="24"/>
          <w:szCs w:val="24"/>
          <w:u w:val="single"/>
        </w:rPr>
        <w:t>24</w:t>
      </w:r>
      <w:r>
        <w:rPr>
          <w:color w:val="000000"/>
          <w:sz w:val="24"/>
          <w:szCs w:val="24"/>
        </w:rPr>
        <w:t xml:space="preserve"> р.</w:t>
      </w:r>
    </w:p>
    <w:p w:rsidR="001E0A2A" w:rsidRDefault="001E0A2A">
      <w:pPr>
        <w:widowControl w:val="0"/>
        <w:pBdr>
          <w:top w:val="nil"/>
          <w:left w:val="nil"/>
          <w:bottom w:val="nil"/>
          <w:right w:val="nil"/>
          <w:between w:val="nil"/>
        </w:pBdr>
        <w:spacing w:line="240" w:lineRule="auto"/>
        <w:ind w:firstLine="0"/>
        <w:jc w:val="left"/>
        <w:rPr>
          <w:color w:val="000000"/>
          <w:sz w:val="24"/>
          <w:szCs w:val="24"/>
        </w:rPr>
        <w:sectPr w:rsidR="001E0A2A">
          <w:type w:val="continuous"/>
          <w:pgSz w:w="11906" w:h="16838"/>
          <w:pgMar w:top="1134" w:right="567" w:bottom="1134" w:left="1418" w:header="709" w:footer="709" w:gutter="0"/>
          <w:cols w:num="3" w:space="720" w:equalWidth="0">
            <w:col w:w="2834" w:space="708"/>
            <w:col w:w="2834" w:space="708"/>
            <w:col w:w="2834" w:space="0"/>
          </w:cols>
        </w:sectPr>
      </w:pPr>
    </w:p>
    <w:p w:rsidR="001E0A2A" w:rsidRDefault="00E079B6">
      <w:pPr>
        <w:widowControl w:val="0"/>
        <w:spacing w:before="259" w:line="240" w:lineRule="auto"/>
        <w:ind w:firstLine="0"/>
        <w:jc w:val="center"/>
        <w:rPr>
          <w:b/>
          <w:sz w:val="36"/>
          <w:szCs w:val="36"/>
        </w:rPr>
      </w:pPr>
      <w:r>
        <w:rPr>
          <w:b/>
          <w:sz w:val="36"/>
          <w:szCs w:val="36"/>
        </w:rPr>
        <w:lastRenderedPageBreak/>
        <w:t>ЗАВДАННЯ</w:t>
      </w:r>
    </w:p>
    <w:p w:rsidR="001E0A2A" w:rsidRDefault="00E079B6">
      <w:pPr>
        <w:widowControl w:val="0"/>
        <w:spacing w:before="120" w:line="240" w:lineRule="auto"/>
        <w:ind w:firstLine="0"/>
        <w:jc w:val="center"/>
        <w:rPr>
          <w:b/>
          <w:sz w:val="24"/>
          <w:szCs w:val="24"/>
        </w:rPr>
      </w:pPr>
      <w:r>
        <w:rPr>
          <w:b/>
          <w:sz w:val="24"/>
          <w:szCs w:val="24"/>
        </w:rPr>
        <w:t>на дипломну роботу студентці</w:t>
      </w:r>
    </w:p>
    <w:p w:rsidR="001E0A2A" w:rsidRDefault="00E079B6">
      <w:pPr>
        <w:widowControl w:val="0"/>
        <w:spacing w:before="120" w:after="120" w:line="240" w:lineRule="auto"/>
        <w:ind w:firstLine="0"/>
        <w:jc w:val="center"/>
        <w:rPr>
          <w:b/>
          <w:sz w:val="24"/>
          <w:szCs w:val="24"/>
        </w:rPr>
      </w:pPr>
      <w:r>
        <w:rPr>
          <w:b/>
          <w:sz w:val="24"/>
          <w:szCs w:val="24"/>
        </w:rPr>
        <w:t>Рублюк Аліні Олегівні</w:t>
      </w:r>
    </w:p>
    <w:p w:rsidR="001E0A2A" w:rsidRDefault="00E079B6">
      <w:pPr>
        <w:widowControl w:val="0"/>
        <w:numPr>
          <w:ilvl w:val="0"/>
          <w:numId w:val="12"/>
        </w:numPr>
        <w:pBdr>
          <w:top w:val="nil"/>
          <w:left w:val="nil"/>
          <w:bottom w:val="nil"/>
          <w:right w:val="nil"/>
          <w:between w:val="nil"/>
        </w:pBdr>
        <w:ind w:left="0" w:firstLine="0"/>
        <w:jc w:val="left"/>
        <w:rPr>
          <w:b/>
          <w:smallCaps/>
          <w:color w:val="000000"/>
          <w:sz w:val="32"/>
          <w:szCs w:val="32"/>
        </w:rPr>
      </w:pPr>
      <w:r>
        <w:rPr>
          <w:color w:val="000000"/>
        </w:rPr>
        <w:t>Тема роботи «Розвиток комунікаційної політики медичного центру на основі впровадження  ІТ продуктів», керівник роботи професор кафедри промислового маркетингу, д. е. н., професор Жигалкевич Жанна Михайлівна затверджені наказом по університету від «30» трав</w:t>
      </w:r>
      <w:r>
        <w:rPr>
          <w:color w:val="000000"/>
        </w:rPr>
        <w:t xml:space="preserve">ня 2024 р. № 2222–с. </w:t>
      </w:r>
    </w:p>
    <w:p w:rsidR="001E0A2A" w:rsidRDefault="00E079B6">
      <w:pPr>
        <w:widowControl w:val="0"/>
        <w:numPr>
          <w:ilvl w:val="0"/>
          <w:numId w:val="12"/>
        </w:numPr>
        <w:pBdr>
          <w:top w:val="nil"/>
          <w:left w:val="nil"/>
          <w:bottom w:val="nil"/>
          <w:right w:val="nil"/>
          <w:between w:val="nil"/>
        </w:pBdr>
        <w:ind w:left="0" w:firstLine="0"/>
        <w:jc w:val="left"/>
        <w:rPr>
          <w:color w:val="000000"/>
        </w:rPr>
      </w:pPr>
      <w:r>
        <w:rPr>
          <w:color w:val="000000"/>
        </w:rPr>
        <w:t>Термін подання студентом роботи</w:t>
      </w:r>
      <w:r>
        <w:rPr>
          <w:color w:val="000000"/>
        </w:rPr>
        <w:tab/>
        <w:t>10.06.2024 р.</w:t>
      </w:r>
    </w:p>
    <w:p w:rsidR="001E0A2A" w:rsidRDefault="00E079B6">
      <w:pPr>
        <w:widowControl w:val="0"/>
        <w:numPr>
          <w:ilvl w:val="0"/>
          <w:numId w:val="12"/>
        </w:numPr>
        <w:pBdr>
          <w:top w:val="nil"/>
          <w:left w:val="nil"/>
          <w:bottom w:val="nil"/>
          <w:right w:val="nil"/>
          <w:between w:val="nil"/>
        </w:pBdr>
        <w:ind w:left="0" w:firstLine="0"/>
        <w:rPr>
          <w:color w:val="000000"/>
        </w:rPr>
      </w:pPr>
      <w:r>
        <w:rPr>
          <w:color w:val="000000"/>
        </w:rPr>
        <w:t>Вихідні дані до роботи: внутрішня інформація ПП «СИГМА», законодавчі та нормативні документи, офіційні джерела статистичних даних, наукові статті, монографії, підручники за темою досліджен</w:t>
      </w:r>
      <w:r>
        <w:rPr>
          <w:color w:val="000000"/>
        </w:rPr>
        <w:t>ня, соціальні мережі центрів з естетичної медицини, блоги, аналітична онлайн система YouControl.</w:t>
      </w:r>
    </w:p>
    <w:p w:rsidR="001E0A2A" w:rsidRDefault="00E079B6">
      <w:pPr>
        <w:widowControl w:val="0"/>
        <w:numPr>
          <w:ilvl w:val="0"/>
          <w:numId w:val="12"/>
        </w:numPr>
        <w:pBdr>
          <w:top w:val="nil"/>
          <w:left w:val="nil"/>
          <w:bottom w:val="nil"/>
          <w:right w:val="nil"/>
          <w:between w:val="nil"/>
        </w:pBdr>
        <w:ind w:left="0" w:firstLine="0"/>
        <w:jc w:val="left"/>
        <w:rPr>
          <w:color w:val="000000"/>
        </w:rPr>
      </w:pPr>
      <w:r>
        <w:rPr>
          <w:color w:val="000000"/>
        </w:rPr>
        <w:t>Зміст роботи: відповідно до змісту</w:t>
      </w:r>
    </w:p>
    <w:p w:rsidR="001E0A2A" w:rsidRDefault="00E079B6">
      <w:pPr>
        <w:widowControl w:val="0"/>
        <w:numPr>
          <w:ilvl w:val="0"/>
          <w:numId w:val="15"/>
        </w:numPr>
        <w:pBdr>
          <w:top w:val="nil"/>
          <w:left w:val="nil"/>
          <w:bottom w:val="nil"/>
          <w:right w:val="nil"/>
          <w:between w:val="nil"/>
        </w:pBdr>
        <w:spacing w:after="120"/>
        <w:ind w:left="0" w:firstLine="0"/>
        <w:rPr>
          <w:color w:val="000000"/>
        </w:rPr>
      </w:pPr>
      <w:r>
        <w:rPr>
          <w:color w:val="000000"/>
        </w:rPr>
        <w:t>ситуаційний аналіз – аналіз діяльності ПП «СИГМА» (медичного центру «Mediland») на ринку, аналіз маркетингового середовища т</w:t>
      </w:r>
      <w:r>
        <w:rPr>
          <w:color w:val="000000"/>
        </w:rPr>
        <w:t>а визначення маркетингової управлінської проблеми;</w:t>
      </w:r>
    </w:p>
    <w:p w:rsidR="001E0A2A" w:rsidRDefault="00E079B6">
      <w:pPr>
        <w:widowControl w:val="0"/>
        <w:numPr>
          <w:ilvl w:val="0"/>
          <w:numId w:val="15"/>
        </w:numPr>
        <w:pBdr>
          <w:top w:val="nil"/>
          <w:left w:val="nil"/>
          <w:bottom w:val="nil"/>
          <w:right w:val="nil"/>
          <w:between w:val="nil"/>
        </w:pBdr>
        <w:spacing w:after="120"/>
        <w:ind w:left="0" w:firstLine="0"/>
        <w:rPr>
          <w:color w:val="000000"/>
        </w:rPr>
      </w:pPr>
      <w:r>
        <w:rPr>
          <w:color w:val="000000"/>
        </w:rPr>
        <w:t>планування маркетингового дослідження – вибір підходу до вирішення маркетингової управлінської проблеми, визначення цілі та завдань дослідження, планування та організація збору даних;</w:t>
      </w:r>
    </w:p>
    <w:p w:rsidR="001E0A2A" w:rsidRDefault="00E079B6">
      <w:pPr>
        <w:widowControl w:val="0"/>
        <w:numPr>
          <w:ilvl w:val="0"/>
          <w:numId w:val="15"/>
        </w:numPr>
        <w:pBdr>
          <w:top w:val="nil"/>
          <w:left w:val="nil"/>
          <w:bottom w:val="nil"/>
          <w:right w:val="nil"/>
          <w:between w:val="nil"/>
        </w:pBdr>
        <w:spacing w:after="120"/>
        <w:ind w:left="0" w:firstLine="0"/>
        <w:rPr>
          <w:color w:val="000000"/>
        </w:rPr>
      </w:pPr>
      <w:r>
        <w:rPr>
          <w:color w:val="000000"/>
        </w:rPr>
        <w:t>реалізація дослідженн</w:t>
      </w:r>
      <w:r>
        <w:rPr>
          <w:color w:val="000000"/>
        </w:rPr>
        <w:t xml:space="preserve">я та верифікація результатів – збір та аналіз даних, </w:t>
      </w:r>
      <w:r>
        <w:rPr>
          <w:color w:val="000000"/>
        </w:rPr>
        <w:lastRenderedPageBreak/>
        <w:t>формування пропозицій щодо розвитку комунікацій підприємства та здійснення економічного обґрунтування ефективності запропонованих маркетингових заходів.</w:t>
      </w:r>
    </w:p>
    <w:p w:rsidR="001E0A2A" w:rsidRDefault="00E079B6">
      <w:pPr>
        <w:widowControl w:val="0"/>
        <w:numPr>
          <w:ilvl w:val="0"/>
          <w:numId w:val="12"/>
        </w:numPr>
        <w:pBdr>
          <w:top w:val="nil"/>
          <w:left w:val="nil"/>
          <w:bottom w:val="nil"/>
          <w:right w:val="nil"/>
          <w:between w:val="nil"/>
        </w:pBdr>
        <w:ind w:left="0" w:firstLine="0"/>
        <w:jc w:val="left"/>
        <w:rPr>
          <w:color w:val="000000"/>
        </w:rPr>
      </w:pPr>
      <w:r>
        <w:rPr>
          <w:color w:val="000000"/>
        </w:rPr>
        <w:t>Перелік ілюстративного матеріалу: 21 таблиця, 20 р</w:t>
      </w:r>
      <w:r>
        <w:rPr>
          <w:color w:val="000000"/>
        </w:rPr>
        <w:t>исунків та презентація.</w:t>
      </w:r>
    </w:p>
    <w:p w:rsidR="001E0A2A" w:rsidRDefault="00E079B6">
      <w:pPr>
        <w:widowControl w:val="0"/>
        <w:numPr>
          <w:ilvl w:val="0"/>
          <w:numId w:val="12"/>
        </w:numPr>
        <w:pBdr>
          <w:top w:val="nil"/>
          <w:left w:val="nil"/>
          <w:bottom w:val="nil"/>
          <w:right w:val="nil"/>
          <w:between w:val="nil"/>
        </w:pBdr>
        <w:ind w:left="0" w:firstLine="0"/>
        <w:jc w:val="left"/>
        <w:rPr>
          <w:color w:val="000000"/>
        </w:rPr>
      </w:pPr>
      <w:r>
        <w:rPr>
          <w:color w:val="000000"/>
        </w:rPr>
        <w:t>Дата видачі завдання</w:t>
      </w:r>
      <w:r>
        <w:rPr>
          <w:color w:val="000000"/>
        </w:rPr>
        <w:tab/>
        <w:t>05.02.2024 р.</w:t>
      </w:r>
    </w:p>
    <w:p w:rsidR="001E0A2A" w:rsidRDefault="00E079B6">
      <w:pPr>
        <w:widowControl w:val="0"/>
        <w:pBdr>
          <w:top w:val="nil"/>
          <w:left w:val="nil"/>
          <w:bottom w:val="nil"/>
          <w:right w:val="nil"/>
          <w:between w:val="nil"/>
        </w:pBdr>
        <w:spacing w:before="120" w:after="120"/>
        <w:ind w:firstLine="0"/>
        <w:jc w:val="center"/>
        <w:rPr>
          <w:color w:val="000000"/>
        </w:rPr>
      </w:pPr>
      <w:r>
        <w:rPr>
          <w:color w:val="000000"/>
        </w:rPr>
        <w:t>Календарний план</w:t>
      </w:r>
      <w:r>
        <w:rPr>
          <w:noProof/>
          <w:lang w:val="en-US"/>
        </w:rPr>
        <w:drawing>
          <wp:anchor distT="0" distB="0" distL="114300" distR="114300" simplePos="0" relativeHeight="251660288" behindDoc="0" locked="0" layoutInCell="1" hidden="0" allowOverlap="1">
            <wp:simplePos x="0" y="0"/>
            <wp:positionH relativeFrom="column">
              <wp:posOffset>2461260</wp:posOffset>
            </wp:positionH>
            <wp:positionV relativeFrom="paragraph">
              <wp:posOffset>5643970</wp:posOffset>
            </wp:positionV>
            <wp:extent cx="1795145" cy="1028065"/>
            <wp:effectExtent l="0" t="0" r="0" b="0"/>
            <wp:wrapNone/>
            <wp:docPr id="20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1795145" cy="1028065"/>
                    </a:xfrm>
                    <a:prstGeom prst="rect">
                      <a:avLst/>
                    </a:prstGeom>
                    <a:ln/>
                  </pic:spPr>
                </pic:pic>
              </a:graphicData>
            </a:graphic>
          </wp:anchor>
        </w:drawing>
      </w:r>
    </w:p>
    <w:tbl>
      <w:tblPr>
        <w:tblStyle w:val="af4"/>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3"/>
        <w:gridCol w:w="5245"/>
        <w:gridCol w:w="2567"/>
        <w:gridCol w:w="1536"/>
      </w:tblGrid>
      <w:tr w:rsidR="001E0A2A">
        <w:tc>
          <w:tcPr>
            <w:tcW w:w="563" w:type="dxa"/>
            <w:vAlign w:val="center"/>
          </w:tcPr>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 xml:space="preserve">№ </w:t>
            </w:r>
          </w:p>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з/п</w:t>
            </w:r>
          </w:p>
        </w:tc>
        <w:tc>
          <w:tcPr>
            <w:tcW w:w="5245" w:type="dxa"/>
            <w:vAlign w:val="center"/>
          </w:tcPr>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 xml:space="preserve">Назва етапів виконання </w:t>
            </w:r>
          </w:p>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дипломної роботи</w:t>
            </w:r>
          </w:p>
        </w:tc>
        <w:tc>
          <w:tcPr>
            <w:tcW w:w="2567" w:type="dxa"/>
            <w:vAlign w:val="center"/>
          </w:tcPr>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Термін виконання</w:t>
            </w:r>
          </w:p>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етапів роботи</w:t>
            </w:r>
          </w:p>
        </w:tc>
        <w:tc>
          <w:tcPr>
            <w:tcW w:w="1536" w:type="dxa"/>
            <w:vAlign w:val="center"/>
          </w:tcPr>
          <w:p w:rsidR="001E0A2A" w:rsidRDefault="00E079B6">
            <w:pPr>
              <w:widowControl w:val="0"/>
              <w:pBdr>
                <w:top w:val="nil"/>
                <w:left w:val="nil"/>
                <w:bottom w:val="nil"/>
                <w:right w:val="nil"/>
                <w:between w:val="nil"/>
              </w:pBdr>
              <w:spacing w:line="276" w:lineRule="auto"/>
              <w:ind w:firstLine="0"/>
              <w:jc w:val="center"/>
              <w:rPr>
                <w:color w:val="000000"/>
              </w:rPr>
            </w:pPr>
            <w:r>
              <w:rPr>
                <w:color w:val="000000"/>
              </w:rPr>
              <w:t>Примітка</w:t>
            </w: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1</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Узгодження теми і плану дипломної роботи</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05.02.24 – 13.02.24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2</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Аналіз внутрішнього середовища МЦ «Mediland»</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14.02.24 – 29.02.24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3</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Аналіз зовнішнього середовища МЦ «Mediland»</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01.03.24 – 17.03.24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4</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Проведення SWOT-аналізу та визначення маркетингової управлінської проблеми</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18.03.24 – 31.03.24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5</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Аналіз теоретичних підходів вирішення маркетингової управлінської проблеми</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01.04.24 – 14.04.24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6</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Планування дослідження, розроблення пошукових питань</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15.04.24 – 21.04.24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7</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Збір та аналіз даних</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22.04.24 – 20.05.24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8</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 xml:space="preserve">Розроблення пропозицій щодо розвитку комунікаційної політики МЦ «Mediland» на ринку естетичної медицини </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20.05.24 – 24.05.24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9</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Економічна оцінка запропонованих заходів</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25.05.24 – 30.05.24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r w:rsidR="001E0A2A">
        <w:tc>
          <w:tcPr>
            <w:tcW w:w="563"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10</w:t>
            </w:r>
          </w:p>
        </w:tc>
        <w:tc>
          <w:tcPr>
            <w:tcW w:w="5245"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Оформлення роботи, розроблення презентації</w:t>
            </w:r>
          </w:p>
        </w:tc>
        <w:tc>
          <w:tcPr>
            <w:tcW w:w="2567" w:type="dxa"/>
          </w:tcPr>
          <w:p w:rsidR="001E0A2A" w:rsidRDefault="00E079B6">
            <w:pPr>
              <w:widowControl w:val="0"/>
              <w:pBdr>
                <w:top w:val="nil"/>
                <w:left w:val="nil"/>
                <w:bottom w:val="nil"/>
                <w:right w:val="nil"/>
                <w:between w:val="nil"/>
              </w:pBdr>
              <w:spacing w:line="276" w:lineRule="auto"/>
              <w:ind w:firstLine="0"/>
              <w:jc w:val="left"/>
              <w:rPr>
                <w:color w:val="000000"/>
              </w:rPr>
            </w:pPr>
            <w:r>
              <w:rPr>
                <w:color w:val="000000"/>
              </w:rPr>
              <w:t>31.05.24 – 07.06.24</w:t>
            </w:r>
          </w:p>
        </w:tc>
        <w:tc>
          <w:tcPr>
            <w:tcW w:w="1536" w:type="dxa"/>
          </w:tcPr>
          <w:p w:rsidR="001E0A2A" w:rsidRDefault="001E0A2A">
            <w:pPr>
              <w:widowControl w:val="0"/>
              <w:pBdr>
                <w:top w:val="nil"/>
                <w:left w:val="nil"/>
                <w:bottom w:val="nil"/>
                <w:right w:val="nil"/>
                <w:between w:val="nil"/>
              </w:pBdr>
              <w:spacing w:line="276" w:lineRule="auto"/>
              <w:ind w:firstLine="0"/>
              <w:jc w:val="left"/>
              <w:rPr>
                <w:color w:val="000000"/>
              </w:rPr>
            </w:pPr>
          </w:p>
        </w:tc>
      </w:tr>
    </w:tbl>
    <w:p w:rsidR="001E0A2A" w:rsidRDefault="001E0A2A">
      <w:pPr>
        <w:widowControl w:val="0"/>
        <w:pBdr>
          <w:top w:val="nil"/>
          <w:left w:val="nil"/>
          <w:bottom w:val="nil"/>
          <w:right w:val="nil"/>
          <w:between w:val="nil"/>
        </w:pBdr>
        <w:spacing w:before="120" w:after="120"/>
        <w:ind w:firstLine="0"/>
        <w:jc w:val="center"/>
        <w:rPr>
          <w:color w:val="000000"/>
        </w:rPr>
        <w:sectPr w:rsidR="001E0A2A">
          <w:type w:val="continuous"/>
          <w:pgSz w:w="11906" w:h="16838"/>
          <w:pgMar w:top="1134" w:right="567" w:bottom="1134" w:left="1418" w:header="709" w:footer="709" w:gutter="0"/>
          <w:cols w:space="720"/>
        </w:sectPr>
      </w:pPr>
    </w:p>
    <w:p w:rsidR="001E0A2A" w:rsidRDefault="00E079B6">
      <w:pPr>
        <w:widowControl w:val="0"/>
        <w:pBdr>
          <w:top w:val="nil"/>
          <w:left w:val="nil"/>
          <w:bottom w:val="nil"/>
          <w:right w:val="nil"/>
          <w:between w:val="nil"/>
        </w:pBdr>
        <w:ind w:firstLine="0"/>
        <w:jc w:val="left"/>
        <w:rPr>
          <w:color w:val="000000"/>
        </w:rPr>
      </w:pPr>
      <w:r>
        <w:rPr>
          <w:color w:val="000000"/>
        </w:rPr>
        <w:lastRenderedPageBreak/>
        <w:t>Студентка</w:t>
      </w:r>
    </w:p>
    <w:p w:rsidR="001E0A2A" w:rsidRDefault="001E0A2A">
      <w:pPr>
        <w:widowControl w:val="0"/>
        <w:pBdr>
          <w:top w:val="nil"/>
          <w:left w:val="nil"/>
          <w:bottom w:val="nil"/>
          <w:right w:val="nil"/>
          <w:between w:val="nil"/>
        </w:pBdr>
        <w:ind w:firstLine="0"/>
        <w:jc w:val="left"/>
        <w:rPr>
          <w:color w:val="000000"/>
        </w:rPr>
      </w:pPr>
    </w:p>
    <w:p w:rsidR="001E0A2A" w:rsidRDefault="001E0A2A">
      <w:pPr>
        <w:widowControl w:val="0"/>
        <w:pBdr>
          <w:top w:val="nil"/>
          <w:left w:val="nil"/>
          <w:bottom w:val="nil"/>
          <w:right w:val="nil"/>
          <w:between w:val="nil"/>
        </w:pBdr>
        <w:ind w:firstLine="0"/>
        <w:jc w:val="left"/>
        <w:rPr>
          <w:color w:val="000000"/>
        </w:rPr>
      </w:pPr>
    </w:p>
    <w:p w:rsidR="001E0A2A" w:rsidRDefault="00E079B6">
      <w:pPr>
        <w:widowControl w:val="0"/>
        <w:pBdr>
          <w:top w:val="nil"/>
          <w:left w:val="nil"/>
          <w:bottom w:val="nil"/>
          <w:right w:val="nil"/>
          <w:between w:val="nil"/>
        </w:pBdr>
        <w:ind w:firstLine="0"/>
        <w:jc w:val="left"/>
        <w:rPr>
          <w:color w:val="000000"/>
        </w:rPr>
      </w:pPr>
      <w:r>
        <w:rPr>
          <w:color w:val="000000"/>
        </w:rPr>
        <w:t>Керівник</w:t>
      </w:r>
    </w:p>
    <w:p w:rsidR="001E0A2A" w:rsidRDefault="00E079B6">
      <w:pPr>
        <w:widowControl w:val="0"/>
        <w:pBdr>
          <w:top w:val="nil"/>
          <w:left w:val="nil"/>
          <w:bottom w:val="nil"/>
          <w:right w:val="nil"/>
          <w:between w:val="nil"/>
        </w:pBdr>
        <w:ind w:firstLine="0"/>
        <w:jc w:val="center"/>
        <w:rPr>
          <w:color w:val="000000"/>
        </w:rPr>
      </w:pPr>
      <w:r>
        <w:rPr>
          <w:color w:val="000000"/>
        </w:rPr>
        <w:t>____________</w:t>
      </w:r>
    </w:p>
    <w:p w:rsidR="001E0A2A" w:rsidRDefault="001E0A2A">
      <w:pPr>
        <w:widowControl w:val="0"/>
        <w:pBdr>
          <w:top w:val="nil"/>
          <w:left w:val="nil"/>
          <w:bottom w:val="nil"/>
          <w:right w:val="nil"/>
          <w:between w:val="nil"/>
        </w:pBdr>
        <w:ind w:firstLine="0"/>
        <w:jc w:val="center"/>
        <w:rPr>
          <w:color w:val="000000"/>
        </w:rPr>
      </w:pPr>
    </w:p>
    <w:p w:rsidR="001E0A2A" w:rsidRDefault="001E0A2A">
      <w:pPr>
        <w:widowControl w:val="0"/>
        <w:pBdr>
          <w:top w:val="nil"/>
          <w:left w:val="nil"/>
          <w:bottom w:val="nil"/>
          <w:right w:val="nil"/>
          <w:between w:val="nil"/>
        </w:pBdr>
        <w:ind w:firstLine="0"/>
        <w:jc w:val="center"/>
        <w:rPr>
          <w:color w:val="000000"/>
        </w:rPr>
      </w:pPr>
    </w:p>
    <w:p w:rsidR="001E0A2A" w:rsidRDefault="00E079B6">
      <w:pPr>
        <w:widowControl w:val="0"/>
        <w:pBdr>
          <w:top w:val="nil"/>
          <w:left w:val="nil"/>
          <w:bottom w:val="nil"/>
          <w:right w:val="nil"/>
          <w:between w:val="nil"/>
        </w:pBdr>
        <w:ind w:firstLine="0"/>
        <w:jc w:val="center"/>
        <w:rPr>
          <w:color w:val="000000"/>
        </w:rPr>
      </w:pPr>
      <w:r>
        <w:rPr>
          <w:color w:val="000000"/>
        </w:rPr>
        <w:t>____________</w:t>
      </w:r>
    </w:p>
    <w:p w:rsidR="001E0A2A" w:rsidRDefault="00E079B6">
      <w:pPr>
        <w:widowControl w:val="0"/>
        <w:pBdr>
          <w:top w:val="nil"/>
          <w:left w:val="nil"/>
          <w:bottom w:val="nil"/>
          <w:right w:val="nil"/>
          <w:between w:val="nil"/>
        </w:pBdr>
        <w:ind w:firstLine="0"/>
        <w:jc w:val="right"/>
        <w:rPr>
          <w:color w:val="000000"/>
        </w:rPr>
      </w:pPr>
      <w:r>
        <w:rPr>
          <w:color w:val="000000"/>
        </w:rPr>
        <w:t>Аліна РУБЛЮК</w:t>
      </w:r>
    </w:p>
    <w:p w:rsidR="001E0A2A" w:rsidRDefault="001E0A2A">
      <w:pPr>
        <w:widowControl w:val="0"/>
        <w:pBdr>
          <w:top w:val="nil"/>
          <w:left w:val="nil"/>
          <w:bottom w:val="nil"/>
          <w:right w:val="nil"/>
          <w:between w:val="nil"/>
        </w:pBdr>
        <w:ind w:firstLine="0"/>
        <w:jc w:val="right"/>
        <w:rPr>
          <w:color w:val="000000"/>
        </w:rPr>
      </w:pPr>
    </w:p>
    <w:p w:rsidR="001E0A2A" w:rsidRDefault="001E0A2A">
      <w:pPr>
        <w:widowControl w:val="0"/>
        <w:pBdr>
          <w:top w:val="nil"/>
          <w:left w:val="nil"/>
          <w:bottom w:val="nil"/>
          <w:right w:val="nil"/>
          <w:between w:val="nil"/>
        </w:pBdr>
        <w:ind w:firstLine="0"/>
        <w:jc w:val="right"/>
        <w:rPr>
          <w:color w:val="000000"/>
        </w:rPr>
      </w:pPr>
    </w:p>
    <w:p w:rsidR="001E0A2A" w:rsidRDefault="00E079B6">
      <w:pPr>
        <w:widowControl w:val="0"/>
        <w:pBdr>
          <w:top w:val="nil"/>
          <w:left w:val="nil"/>
          <w:bottom w:val="nil"/>
          <w:right w:val="nil"/>
          <w:between w:val="nil"/>
        </w:pBdr>
        <w:ind w:firstLine="0"/>
        <w:jc w:val="right"/>
        <w:rPr>
          <w:color w:val="000000"/>
        </w:rPr>
        <w:sectPr w:rsidR="001E0A2A">
          <w:type w:val="continuous"/>
          <w:pgSz w:w="11906" w:h="16838"/>
          <w:pgMar w:top="1134" w:right="567" w:bottom="1134" w:left="1418" w:header="709" w:footer="709" w:gutter="0"/>
          <w:cols w:num="3" w:space="720" w:equalWidth="0">
            <w:col w:w="2739" w:space="851"/>
            <w:col w:w="2739" w:space="851"/>
            <w:col w:w="2739" w:space="0"/>
          </w:cols>
        </w:sectPr>
      </w:pPr>
      <w:r>
        <w:rPr>
          <w:color w:val="000000"/>
        </w:rPr>
        <w:t>Жанна ЖИГАЛКЕВИЧ</w:t>
      </w:r>
    </w:p>
    <w:p w:rsidR="001E0A2A" w:rsidRDefault="00E079B6">
      <w:pPr>
        <w:spacing w:after="160" w:line="259" w:lineRule="auto"/>
        <w:ind w:firstLine="0"/>
        <w:jc w:val="left"/>
        <w:rPr>
          <w:b/>
        </w:rPr>
      </w:pPr>
      <w:r>
        <w:lastRenderedPageBreak/>
        <w:br w:type="page"/>
      </w:r>
    </w:p>
    <w:p w:rsidR="001E0A2A" w:rsidRDefault="00E079B6">
      <w:pPr>
        <w:widowControl w:val="0"/>
        <w:spacing w:before="259" w:line="240" w:lineRule="auto"/>
        <w:ind w:firstLine="0"/>
        <w:jc w:val="center"/>
        <w:rPr>
          <w:b/>
        </w:rPr>
      </w:pPr>
      <w:r>
        <w:rPr>
          <w:b/>
        </w:rPr>
        <w:lastRenderedPageBreak/>
        <w:t>РЕФЕРАТ</w:t>
      </w:r>
    </w:p>
    <w:p w:rsidR="001E0A2A" w:rsidRDefault="001E0A2A">
      <w:pPr>
        <w:widowControl w:val="0"/>
        <w:pBdr>
          <w:top w:val="nil"/>
          <w:left w:val="nil"/>
          <w:bottom w:val="nil"/>
          <w:right w:val="nil"/>
          <w:between w:val="nil"/>
        </w:pBdr>
        <w:spacing w:after="160" w:line="259" w:lineRule="auto"/>
        <w:ind w:firstLine="709"/>
        <w:rPr>
          <w:color w:val="000000"/>
        </w:rPr>
      </w:pPr>
    </w:p>
    <w:p w:rsidR="001E0A2A" w:rsidRDefault="00E079B6">
      <w:pPr>
        <w:rPr>
          <w:color w:val="000000"/>
        </w:rPr>
      </w:pPr>
      <w:r>
        <w:t>Дипломна</w:t>
      </w:r>
      <w:r>
        <w:rPr>
          <w:color w:val="000000"/>
        </w:rPr>
        <w:t xml:space="preserve"> робота на тему «</w:t>
      </w:r>
      <w:r>
        <w:t>Розвиток комунікаційної політики медичного центру на основі впровадження  ІТ продуктів</w:t>
      </w:r>
      <w:r>
        <w:rPr>
          <w:color w:val="000000"/>
        </w:rPr>
        <w:t>» складається з 105 сторінок основного тексту, включає 21 таблицю, 20 рисунків та 5 додатків.</w:t>
      </w:r>
    </w:p>
    <w:p w:rsidR="001E0A2A" w:rsidRDefault="00E079B6">
      <w:pPr>
        <w:rPr>
          <w:color w:val="000000"/>
        </w:rPr>
      </w:pPr>
      <w:r>
        <w:rPr>
          <w:color w:val="000000"/>
        </w:rPr>
        <w:t>Метою дипломної роботи є вивчення теоретичних основ та розроблення практични</w:t>
      </w:r>
      <w:r>
        <w:rPr>
          <w:color w:val="000000"/>
        </w:rPr>
        <w:t>х рекомендацій щодо розвитку комунікаційної політики компанії на основі впровадження ІТ продуктів.</w:t>
      </w:r>
    </w:p>
    <w:p w:rsidR="001E0A2A" w:rsidRDefault="00E079B6">
      <w:pPr>
        <w:widowControl w:val="0"/>
        <w:pBdr>
          <w:top w:val="nil"/>
          <w:left w:val="nil"/>
          <w:bottom w:val="nil"/>
          <w:right w:val="nil"/>
          <w:between w:val="nil"/>
        </w:pBdr>
        <w:rPr>
          <w:color w:val="000000"/>
        </w:rPr>
      </w:pPr>
      <w:r>
        <w:rPr>
          <w:color w:val="000000"/>
        </w:rPr>
        <w:t>Об’єкт роботи –  комунікаційна політика.</w:t>
      </w:r>
    </w:p>
    <w:p w:rsidR="001E0A2A" w:rsidRDefault="00E079B6">
      <w:pPr>
        <w:widowControl w:val="0"/>
        <w:pBdr>
          <w:top w:val="nil"/>
          <w:left w:val="nil"/>
          <w:bottom w:val="nil"/>
          <w:right w:val="nil"/>
          <w:between w:val="nil"/>
        </w:pBdr>
        <w:rPr>
          <w:color w:val="000000"/>
        </w:rPr>
      </w:pPr>
      <w:r>
        <w:rPr>
          <w:color w:val="000000"/>
        </w:rPr>
        <w:t>Предмет роботи  – теоретичні та практичні підходи щодо розвитку комунікаційної політики на основі впровадження ІТ пр</w:t>
      </w:r>
      <w:r>
        <w:rPr>
          <w:color w:val="000000"/>
        </w:rPr>
        <w:t>одуктів.</w:t>
      </w:r>
    </w:p>
    <w:p w:rsidR="001E0A2A" w:rsidRDefault="00E079B6">
      <w:pPr>
        <w:widowControl w:val="0"/>
        <w:pBdr>
          <w:top w:val="nil"/>
          <w:left w:val="nil"/>
          <w:bottom w:val="nil"/>
          <w:right w:val="nil"/>
          <w:between w:val="nil"/>
        </w:pBdr>
        <w:rPr>
          <w:color w:val="000000"/>
        </w:rPr>
      </w:pPr>
      <w:r>
        <w:rPr>
          <w:color w:val="000000"/>
        </w:rPr>
        <w:t>База дослідження – медичний центр «Mediland».</w:t>
      </w:r>
    </w:p>
    <w:p w:rsidR="001E0A2A" w:rsidRDefault="00E079B6">
      <w:r>
        <w:t xml:space="preserve">Методи дослідження. У роботі використані наступні методи: структурно-логічний метод для формування методології здійснення маркетингових досліджень; метод синтезу та аналізу для проведення ситуаційного аналізу; економіко-статистичний метод для оцінки ринку </w:t>
      </w:r>
      <w:r>
        <w:t xml:space="preserve">естетичної медицини та оцінки позицій компанії серед конкурентів; статистичні методи дослідження числових даних для обробки результатів проведення кабінетних та польових досліджень.  </w:t>
      </w:r>
    </w:p>
    <w:p w:rsidR="001E0A2A" w:rsidRDefault="00E079B6">
      <w:pPr>
        <w:rPr>
          <w:color w:val="000000"/>
        </w:rPr>
      </w:pPr>
      <w:r>
        <w:t>Рекомендації</w:t>
      </w:r>
      <w:r>
        <w:rPr>
          <w:color w:val="000000"/>
        </w:rPr>
        <w:t xml:space="preserve"> щодо використання результатів роботи. Результати дослідженн</w:t>
      </w:r>
      <w:r>
        <w:rPr>
          <w:color w:val="000000"/>
        </w:rPr>
        <w:t>я мають як науковий, так і прикладний характер. Робота може бути використана МЦ «Mediland» для розвитку комунікацій.</w:t>
      </w:r>
    </w:p>
    <w:p w:rsidR="001E0A2A" w:rsidRDefault="00E079B6">
      <w:pPr>
        <w:rPr>
          <w:i/>
          <w:color w:val="000000"/>
        </w:rPr>
      </w:pPr>
      <w:r>
        <w:rPr>
          <w:i/>
          <w:color w:val="000000"/>
        </w:rPr>
        <w:t>За результатами дослідження опубліковано:</w:t>
      </w:r>
    </w:p>
    <w:p w:rsidR="001E0A2A" w:rsidRDefault="00E079B6">
      <w:pPr>
        <w:rPr>
          <w:color w:val="000000"/>
        </w:rPr>
      </w:pPr>
      <w:r>
        <w:rPr>
          <w:color w:val="000000"/>
        </w:rPr>
        <w:t xml:space="preserve">Рублюк А.О., Жигалкевич Ж. М. </w:t>
      </w:r>
      <w:r>
        <w:t>Актуальність впровадження ІТ продуктів у маркетингові комунікації</w:t>
      </w:r>
      <w:r>
        <w:rPr>
          <w:color w:val="000000"/>
        </w:rPr>
        <w:t xml:space="preserve">. </w:t>
      </w:r>
      <w:r>
        <w:rPr>
          <w:color w:val="000000"/>
        </w:rPr>
        <w:t>Бізнес, інновації, менеджмент: проблеми та перспективи: зб. тез доп. V Міжнар. наук.-практ. конф., м. Київ: КПІ ім. Ігоря Сікорського, 2024. 236 с. [50, с. 99].</w:t>
      </w:r>
    </w:p>
    <w:p w:rsidR="001E0A2A" w:rsidRDefault="00E079B6">
      <w:pPr>
        <w:widowControl w:val="0"/>
        <w:pBdr>
          <w:top w:val="nil"/>
          <w:left w:val="nil"/>
          <w:bottom w:val="nil"/>
          <w:right w:val="nil"/>
          <w:between w:val="nil"/>
        </w:pBdr>
        <w:spacing w:after="160"/>
        <w:ind w:firstLine="709"/>
        <w:jc w:val="left"/>
        <w:rPr>
          <w:i/>
          <w:color w:val="000000"/>
        </w:rPr>
      </w:pPr>
      <w:r>
        <w:rPr>
          <w:i/>
          <w:color w:val="000000"/>
        </w:rPr>
        <w:t>Ключові слова: комунікації, комунікаційна політика, розвиток, розширення, маркетингові дослідже</w:t>
      </w:r>
      <w:r>
        <w:rPr>
          <w:i/>
          <w:color w:val="000000"/>
        </w:rPr>
        <w:t>ння, ринок естетичної медицини.</w:t>
      </w:r>
    </w:p>
    <w:p w:rsidR="001E0A2A" w:rsidRDefault="00E079B6">
      <w:pPr>
        <w:spacing w:after="160" w:line="259" w:lineRule="auto"/>
        <w:ind w:firstLine="0"/>
        <w:jc w:val="left"/>
        <w:rPr>
          <w:color w:val="000000"/>
        </w:rPr>
      </w:pPr>
      <w:r>
        <w:br w:type="page"/>
      </w:r>
    </w:p>
    <w:p w:rsidR="001E0A2A" w:rsidRDefault="00E079B6">
      <w:pPr>
        <w:widowControl w:val="0"/>
        <w:spacing w:before="259" w:line="240" w:lineRule="auto"/>
        <w:ind w:firstLine="0"/>
        <w:jc w:val="center"/>
        <w:rPr>
          <w:color w:val="000000"/>
        </w:rPr>
      </w:pPr>
      <w:r>
        <w:rPr>
          <w:color w:val="000000"/>
        </w:rPr>
        <w:lastRenderedPageBreak/>
        <w:t>ABSTRACT</w:t>
      </w:r>
    </w:p>
    <w:p w:rsidR="001E0A2A" w:rsidRDefault="001E0A2A">
      <w:pPr>
        <w:widowControl w:val="0"/>
        <w:pBdr>
          <w:top w:val="nil"/>
          <w:left w:val="nil"/>
          <w:bottom w:val="nil"/>
          <w:right w:val="nil"/>
          <w:between w:val="nil"/>
        </w:pBdr>
        <w:spacing w:after="160" w:line="259" w:lineRule="auto"/>
        <w:ind w:firstLine="709"/>
        <w:jc w:val="left"/>
        <w:rPr>
          <w:color w:val="000000"/>
        </w:rPr>
      </w:pPr>
    </w:p>
    <w:p w:rsidR="001E0A2A" w:rsidRDefault="00E079B6">
      <w:r>
        <w:t>The thesis on the topic ‘Development of the communication policy of a medical centre based on the implementation of IT products’ consists of 105 pages of the main text, includes 21 tables, 20 figures and 5 appendices.</w:t>
      </w:r>
    </w:p>
    <w:p w:rsidR="001E0A2A" w:rsidRDefault="00E079B6">
      <w:r>
        <w:t xml:space="preserve">The purpose of the thesis is to study </w:t>
      </w:r>
      <w:r>
        <w:t xml:space="preserve">the theoretical foundations and develop practical recommendations for the development of the company's communication policy based on the implementation of IT products. </w:t>
      </w:r>
    </w:p>
    <w:p w:rsidR="001E0A2A" w:rsidRDefault="00E079B6">
      <w:r>
        <w:t>The object of the research is the communication policy.</w:t>
      </w:r>
    </w:p>
    <w:p w:rsidR="001E0A2A" w:rsidRDefault="00E079B6">
      <w:r>
        <w:t xml:space="preserve">The subject of the research is </w:t>
      </w:r>
      <w:r>
        <w:t>the theoretical and practical approaches to the development of communication policy based on the introduction of IT products.</w:t>
      </w:r>
    </w:p>
    <w:p w:rsidR="001E0A2A" w:rsidRDefault="00E079B6">
      <w:r>
        <w:t>The research base is the «Mediland» Medical Centre.</w:t>
      </w:r>
    </w:p>
    <w:p w:rsidR="001E0A2A" w:rsidRDefault="00E079B6">
      <w:r>
        <w:t xml:space="preserve">Research methods. The following methods were used in the work: structural and </w:t>
      </w:r>
      <w:r>
        <w:t>logical method for forming a methodology for conducting marketing research; method of synthesis and analysis for conducting situational analysis; economic and statistical method for assessing the aesthetic medicine market and evaluating the company's posit</w:t>
      </w:r>
      <w:r>
        <w:t>ion among competitors; statistical methods for researching numerical data for processing the results of desk and field research.</w:t>
      </w:r>
    </w:p>
    <w:p w:rsidR="001E0A2A" w:rsidRDefault="00E079B6">
      <w:r>
        <w:t>Recommendations for using the results of the work. The results of the study are both scientific and applied. The work can be us</w:t>
      </w:r>
      <w:r>
        <w:t>ed by Mediland IC for the development of communications.</w:t>
      </w:r>
    </w:p>
    <w:p w:rsidR="001E0A2A" w:rsidRDefault="00E079B6">
      <w:pPr>
        <w:rPr>
          <w:i/>
        </w:rPr>
      </w:pPr>
      <w:r>
        <w:rPr>
          <w:i/>
        </w:rPr>
        <w:t>Publications based on the research results:</w:t>
      </w:r>
    </w:p>
    <w:p w:rsidR="001E0A2A" w:rsidRDefault="00E079B6">
      <w:pPr>
        <w:rPr>
          <w:color w:val="000000"/>
        </w:rPr>
      </w:pPr>
      <w:r>
        <w:t>Rubliuk A.O., Zhigalkevich Zh.M. The relevance of implementing IT products in marketing communications. Business, Innovations, Management: Problems and Pro</w:t>
      </w:r>
      <w:r>
        <w:t>spects: Proceedings of the V International Scientific and Pract</w:t>
      </w:r>
      <w:r>
        <w:rPr>
          <w:color w:val="000000"/>
        </w:rPr>
        <w:t>ical Conference, Kyiv: Igor Sikorsky KPI, 2024. 236 p. [50, p. 99].</w:t>
      </w:r>
    </w:p>
    <w:p w:rsidR="001E0A2A" w:rsidRDefault="00E079B6">
      <w:pPr>
        <w:widowControl w:val="0"/>
        <w:pBdr>
          <w:top w:val="nil"/>
          <w:left w:val="nil"/>
          <w:bottom w:val="nil"/>
          <w:right w:val="nil"/>
          <w:between w:val="nil"/>
        </w:pBdr>
        <w:spacing w:after="160"/>
        <w:ind w:firstLine="709"/>
        <w:jc w:val="left"/>
        <w:rPr>
          <w:smallCaps/>
          <w:color w:val="000000"/>
          <w:sz w:val="24"/>
          <w:szCs w:val="24"/>
        </w:rPr>
      </w:pPr>
      <w:r>
        <w:rPr>
          <w:i/>
          <w:color w:val="000000"/>
        </w:rPr>
        <w:t>Keywords: communications, communication policy, development, expansion, market research, aesthetic medicine market</w:t>
      </w:r>
      <w:r>
        <w:rPr>
          <w:color w:val="000000"/>
        </w:rPr>
        <w:t>.</w:t>
      </w:r>
      <w:r>
        <w:br w:type="page"/>
      </w:r>
    </w:p>
    <w:p w:rsidR="001E0A2A" w:rsidRDefault="00E079B6">
      <w:pPr>
        <w:widowControl w:val="0"/>
        <w:spacing w:before="259" w:line="240" w:lineRule="auto"/>
        <w:ind w:firstLine="0"/>
        <w:jc w:val="center"/>
      </w:pPr>
      <w:r>
        <w:rPr>
          <w:b/>
        </w:rPr>
        <w:lastRenderedPageBreak/>
        <w:t>ЗМІСТ</w:t>
      </w:r>
    </w:p>
    <w:sdt>
      <w:sdtPr>
        <w:id w:val="-1383020073"/>
        <w:docPartObj>
          <w:docPartGallery w:val="Table of Contents"/>
          <w:docPartUnique/>
        </w:docPartObj>
      </w:sdtPr>
      <w:sdtEndPr/>
      <w:sdtContent>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r>
            <w:fldChar w:fldCharType="begin"/>
          </w:r>
          <w:r>
            <w:instrText xml:space="preserve"> TOC \h \u \z \t "Heading 1,1,Heading 2,2,Heading 3,3,"</w:instrText>
          </w:r>
          <w:r>
            <w:fldChar w:fldCharType="separate"/>
          </w:r>
          <w:hyperlink w:anchor="_heading=h.30j0zll">
            <w:r>
              <w:rPr>
                <w:color w:val="000000"/>
              </w:rPr>
              <w:t>ВСТУП</w:t>
            </w:r>
            <w:r>
              <w:rPr>
                <w:color w:val="000000"/>
              </w:rPr>
              <w:tab/>
              <w:t>8</w:t>
            </w:r>
          </w:hyperlink>
        </w:p>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hyperlink w:anchor="_heading=h.1fob9te">
            <w:r>
              <w:rPr>
                <w:color w:val="000000"/>
              </w:rPr>
              <w:t>Розділ 1 Ситуаційний аналіз</w:t>
            </w:r>
            <w:r>
              <w:rPr>
                <w:color w:val="000000"/>
              </w:rPr>
              <w:tab/>
              <w:t>10</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3znysh7">
            <w:r>
              <w:rPr>
                <w:color w:val="000000"/>
              </w:rPr>
              <w:t xml:space="preserve">1.1 Аналіз діяльності МЦ «Mediland» на </w:t>
            </w:r>
            <w:r>
              <w:rPr>
                <w:color w:val="000000"/>
              </w:rPr>
              <w:t>ринку медицини</w:t>
            </w:r>
            <w:r>
              <w:rPr>
                <w:color w:val="000000"/>
              </w:rPr>
              <w:tab/>
              <w:t>10</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2et92p0">
            <w:r>
              <w:rPr>
                <w:color w:val="000000"/>
              </w:rPr>
              <w:t>1.2 Аналіз маркетингового середовища МЦ «Mediland»</w:t>
            </w:r>
            <w:r>
              <w:rPr>
                <w:color w:val="000000"/>
              </w:rPr>
              <w:tab/>
              <w:t>18</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tyjcwt">
            <w:r>
              <w:rPr>
                <w:color w:val="000000"/>
              </w:rPr>
              <w:t>1.3 Визначення маркетингової управлінської проблеми</w:t>
            </w:r>
            <w:r>
              <w:rPr>
                <w:color w:val="000000"/>
              </w:rPr>
              <w:tab/>
              <w:t>41</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3dy6vkm">
            <w:r>
              <w:rPr>
                <w:color w:val="000000"/>
              </w:rPr>
              <w:t>Висновк</w:t>
            </w:r>
            <w:r>
              <w:rPr>
                <w:color w:val="000000"/>
              </w:rPr>
              <w:t>и до розділу 1</w:t>
            </w:r>
            <w:r>
              <w:rPr>
                <w:color w:val="000000"/>
              </w:rPr>
              <w:tab/>
              <w:t>49</w:t>
            </w:r>
          </w:hyperlink>
        </w:p>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hyperlink w:anchor="_heading=h.1t3h5sf">
            <w:r>
              <w:rPr>
                <w:color w:val="000000"/>
              </w:rPr>
              <w:t>Розділ 2 Планування маркетингового дослідження</w:t>
            </w:r>
            <w:r>
              <w:rPr>
                <w:color w:val="000000"/>
              </w:rPr>
              <w:tab/>
              <w:t>50</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4d34og8">
            <w:r>
              <w:rPr>
                <w:color w:val="000000"/>
              </w:rPr>
              <w:t>2.1 Вибір підходу до вирішення маркетингової управлінської проблеми</w:t>
            </w:r>
            <w:r>
              <w:rPr>
                <w:color w:val="000000"/>
              </w:rPr>
              <w:tab/>
              <w:t>50</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2s8eyo1">
            <w:r>
              <w:rPr>
                <w:color w:val="000000"/>
              </w:rPr>
              <w:t>2.2 Визначення цілей та завдань дослідження</w:t>
            </w:r>
            <w:r>
              <w:rPr>
                <w:color w:val="000000"/>
              </w:rPr>
              <w:tab/>
              <w:t>59</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17dp8vu">
            <w:r>
              <w:rPr>
                <w:color w:val="000000"/>
              </w:rPr>
              <w:t>2.3 Планування та організація збору даних</w:t>
            </w:r>
            <w:r>
              <w:rPr>
                <w:color w:val="000000"/>
              </w:rPr>
              <w:tab/>
              <w:t>69</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3rdcrjn">
            <w:r>
              <w:rPr>
                <w:color w:val="000000"/>
              </w:rPr>
              <w:t>Висновки до розділу 2</w:t>
            </w:r>
            <w:r>
              <w:rPr>
                <w:color w:val="000000"/>
              </w:rPr>
              <w:tab/>
              <w:t>78</w:t>
            </w:r>
          </w:hyperlink>
        </w:p>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hyperlink w:anchor="_heading=h.26in1rg">
            <w:r>
              <w:rPr>
                <w:color w:val="000000"/>
              </w:rPr>
              <w:t>Розділ 3 Реалізація дослідження та верифікація результатів</w:t>
            </w:r>
            <w:r>
              <w:rPr>
                <w:color w:val="000000"/>
              </w:rPr>
              <w:tab/>
              <w:t>79</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lnxbz9">
            <w:r>
              <w:rPr>
                <w:color w:val="000000"/>
              </w:rPr>
              <w:t>3.1 Збір та аналіз даних</w:t>
            </w:r>
            <w:r>
              <w:rPr>
                <w:color w:val="000000"/>
              </w:rPr>
              <w:tab/>
              <w:t>79</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35nkun2">
            <w:r>
              <w:rPr>
                <w:color w:val="000000"/>
              </w:rPr>
              <w:t>3.2 Пропозиції щодо розвитку комунікаційної політики підприємства</w:t>
            </w:r>
            <w:r>
              <w:rPr>
                <w:color w:val="000000"/>
              </w:rPr>
              <w:tab/>
              <w:t>95</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1ksv4uv">
            <w:r>
              <w:rPr>
                <w:color w:val="000000"/>
              </w:rPr>
              <w:t>3.3 Економічне обґрунтування ефективності маркетингових заходів</w:t>
            </w:r>
            <w:r>
              <w:rPr>
                <w:color w:val="000000"/>
              </w:rPr>
              <w:tab/>
              <w:t>102</w:t>
            </w:r>
          </w:hyperlink>
        </w:p>
        <w:p w:rsidR="001E0A2A" w:rsidRDefault="00E079B6">
          <w:pPr>
            <w:pBdr>
              <w:top w:val="nil"/>
              <w:left w:val="nil"/>
              <w:bottom w:val="nil"/>
              <w:right w:val="nil"/>
              <w:between w:val="nil"/>
            </w:pBdr>
            <w:tabs>
              <w:tab w:val="right" w:pos="9911"/>
            </w:tabs>
            <w:spacing w:after="100"/>
            <w:ind w:left="280" w:firstLine="440"/>
            <w:rPr>
              <w:rFonts w:ascii="Calibri" w:eastAsia="Calibri" w:hAnsi="Calibri" w:cs="Calibri"/>
              <w:color w:val="000000"/>
              <w:sz w:val="22"/>
              <w:szCs w:val="22"/>
            </w:rPr>
          </w:pPr>
          <w:hyperlink w:anchor="_heading=h.44sinio">
            <w:r>
              <w:rPr>
                <w:color w:val="000000"/>
              </w:rPr>
              <w:t>Висновки до розділу 3</w:t>
            </w:r>
            <w:r>
              <w:rPr>
                <w:color w:val="000000"/>
              </w:rPr>
              <w:tab/>
              <w:t>114</w:t>
            </w:r>
          </w:hyperlink>
        </w:p>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hyperlink w:anchor="_heading=h.2jxsxqh">
            <w:r>
              <w:rPr>
                <w:color w:val="000000"/>
              </w:rPr>
              <w:t>Висновки</w:t>
            </w:r>
            <w:r>
              <w:rPr>
                <w:color w:val="000000"/>
              </w:rPr>
              <w:tab/>
              <w:t>115</w:t>
            </w:r>
          </w:hyperlink>
        </w:p>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hyperlink w:anchor="_heading=h.z337ya">
            <w:r>
              <w:rPr>
                <w:color w:val="000000"/>
              </w:rPr>
              <w:t>Список використаних джерел</w:t>
            </w:r>
            <w:r>
              <w:rPr>
                <w:color w:val="000000"/>
              </w:rPr>
              <w:tab/>
              <w:t>117</w:t>
            </w:r>
          </w:hyperlink>
        </w:p>
        <w:p w:rsidR="001E0A2A" w:rsidRDefault="00E079B6">
          <w:pPr>
            <w:pBdr>
              <w:top w:val="nil"/>
              <w:left w:val="nil"/>
              <w:bottom w:val="nil"/>
              <w:right w:val="nil"/>
              <w:between w:val="nil"/>
            </w:pBdr>
            <w:tabs>
              <w:tab w:val="right" w:pos="10245"/>
            </w:tabs>
            <w:rPr>
              <w:rFonts w:ascii="Calibri" w:eastAsia="Calibri" w:hAnsi="Calibri" w:cs="Calibri"/>
              <w:color w:val="000000"/>
              <w:sz w:val="22"/>
              <w:szCs w:val="22"/>
            </w:rPr>
          </w:pPr>
          <w:hyperlink w:anchor="_heading=h.3j2qqm3">
            <w:r>
              <w:rPr>
                <w:color w:val="000000"/>
              </w:rPr>
              <w:t>Додатки</w:t>
            </w:r>
            <w:r>
              <w:rPr>
                <w:color w:val="000000"/>
              </w:rPr>
              <w:tab/>
              <w:t>123</w:t>
            </w:r>
          </w:hyperlink>
          <w:r>
            <w:fldChar w:fldCharType="end"/>
          </w:r>
        </w:p>
      </w:sdtContent>
    </w:sdt>
    <w:p w:rsidR="001E0A2A" w:rsidRDefault="00E079B6">
      <w:pPr>
        <w:jc w:val="center"/>
        <w:rPr>
          <w:b/>
          <w:sz w:val="36"/>
          <w:szCs w:val="36"/>
        </w:rPr>
      </w:pPr>
      <w:r>
        <w:rPr>
          <w:b/>
        </w:rPr>
        <w:t>ПЕРЕЛІК СКОРОЧЕНЬ</w:t>
      </w:r>
    </w:p>
    <w:p w:rsidR="001E0A2A" w:rsidRDefault="001E0A2A">
      <w:pPr>
        <w:ind w:firstLine="709"/>
      </w:pPr>
    </w:p>
    <w:p w:rsidR="001E0A2A" w:rsidRDefault="00E079B6">
      <w:pPr>
        <w:ind w:firstLine="709"/>
      </w:pPr>
      <w:r>
        <w:t>ПП – приватне підприємство</w:t>
      </w:r>
    </w:p>
    <w:p w:rsidR="001E0A2A" w:rsidRDefault="00E079B6">
      <w:pPr>
        <w:ind w:firstLine="709"/>
      </w:pPr>
      <w:r>
        <w:t>МЦ – медичний центр</w:t>
      </w:r>
    </w:p>
    <w:p w:rsidR="001E0A2A" w:rsidRDefault="00E079B6">
      <w:pPr>
        <w:ind w:firstLine="709"/>
      </w:pPr>
      <w:r>
        <w:t>ІТ – інформаційні технології</w:t>
      </w:r>
    </w:p>
    <w:p w:rsidR="001E0A2A" w:rsidRDefault="00E079B6">
      <w:pPr>
        <w:ind w:firstLine="709"/>
      </w:pPr>
      <w:r>
        <w:t>КМК – комплекс маркетингових комунікацій</w:t>
      </w:r>
    </w:p>
    <w:p w:rsidR="001E0A2A" w:rsidRDefault="00E079B6">
      <w:pPr>
        <w:ind w:firstLine="709"/>
      </w:pPr>
      <w:r>
        <w:t>LLC – limited liability company</w:t>
      </w:r>
      <w:r>
        <w:t>; специфічна для США форма приватного товариства з обмеженою відповідальністю</w:t>
      </w:r>
    </w:p>
    <w:p w:rsidR="001E0A2A" w:rsidRDefault="00E079B6">
      <w:pPr>
        <w:ind w:firstLine="709"/>
      </w:pPr>
      <w:r>
        <w:lastRenderedPageBreak/>
        <w:t>PPC – pay per click; рекламна модель, що працює в інтернеті, де рекламодавець розміщує рекламу на сайтах, і сплачує їхнім власникам за натискання користувачем на розміщений банер</w:t>
      </w:r>
    </w:p>
    <w:p w:rsidR="001E0A2A" w:rsidRDefault="00E079B6">
      <w:pPr>
        <w:ind w:firstLine="709"/>
      </w:pPr>
      <w:r>
        <w:t xml:space="preserve">SEO – search engine optimization; комплекс дій щодо внутрішньої та зовнішньої оптимізації, спрямованих на підвищення позицій сайту в пошуковій видачі </w:t>
      </w:r>
    </w:p>
    <w:p w:rsidR="001E0A2A" w:rsidRDefault="00E079B6">
      <w:pPr>
        <w:spacing w:after="160" w:line="259" w:lineRule="auto"/>
        <w:ind w:firstLine="0"/>
        <w:jc w:val="left"/>
        <w:rPr>
          <w:b/>
          <w:smallCaps/>
          <w:sz w:val="32"/>
          <w:szCs w:val="32"/>
        </w:rPr>
      </w:pPr>
      <w:r>
        <w:br w:type="page"/>
      </w:r>
    </w:p>
    <w:p w:rsidR="001E0A2A" w:rsidRDefault="00E079B6">
      <w:pPr>
        <w:pStyle w:val="1"/>
        <w:spacing w:before="0"/>
      </w:pPr>
      <w:bookmarkStart w:id="2" w:name="_heading=h.30j0zll" w:colFirst="0" w:colLast="0"/>
      <w:bookmarkEnd w:id="2"/>
      <w:r>
        <w:lastRenderedPageBreak/>
        <w:t>ВСТУП</w:t>
      </w:r>
    </w:p>
    <w:p w:rsidR="001E0A2A" w:rsidRDefault="001E0A2A">
      <w:pPr>
        <w:rPr>
          <w:b/>
        </w:rPr>
      </w:pPr>
    </w:p>
    <w:p w:rsidR="001E0A2A" w:rsidRDefault="00E079B6">
      <w:r>
        <w:rPr>
          <w:b/>
        </w:rPr>
        <w:t>Актуальність теми.</w:t>
      </w:r>
      <w:r>
        <w:t xml:space="preserve"> Сучасні медичні установи функціонують в умовах мінливого та невизначеного довкілля, що вимагає ефективного використання різних засобів комунікації. Стрімкий розвиток інформаційних технологій радикально змінює комунікації на ринку медичних послуг, роблячи </w:t>
      </w:r>
      <w:r>
        <w:t>електронні засоби ключовою умовою виживання в умовах жорсткої конкуренції. Інтернет-комунікації дозволяють швидко залучати пацієнтів, поширювати інформацію серед працівників і споживачів, а також створювати веб-сайти для медичних закладів, які стають важли</w:t>
      </w:r>
      <w:r>
        <w:t>вими засобами цифрової комунікації. Зважаючи на сучасний стан медичних підприємств, особливо важливо розвивати комунікаційну політику медичних центрів на ринку естетичної медицини. Це питання є актуальним і потребує негайного вирішення для забезпечення кон</w:t>
      </w:r>
      <w:r>
        <w:t>курентоспроможності та ефективного функціонування медичних установ.</w:t>
      </w:r>
    </w:p>
    <w:p w:rsidR="001E0A2A" w:rsidRDefault="00E079B6">
      <w:r>
        <w:t>Вивченням проблем розвитку комунікаційної політики займалися багато вчених-економістів та маркетологів-практиків. Серед таких: Россітер Дж., Котлер Ф., Гаркавенко С., Почепцов Г., Котис Н.</w:t>
      </w:r>
      <w:r>
        <w:t>В., Мацик В.О, Крутських В.О, Мозгова Г.В., Хомутова О.О..  Проте, питання щодо розвитку маркетингової комунікаційної політики на основі ІТ технологій залишаються мало вивченими та потребують додаткових досліджень.</w:t>
      </w:r>
    </w:p>
    <w:p w:rsidR="001E0A2A" w:rsidRDefault="00E079B6">
      <w:pPr>
        <w:rPr>
          <w:color w:val="000000"/>
        </w:rPr>
      </w:pPr>
      <w:r>
        <w:rPr>
          <w:b/>
        </w:rPr>
        <w:t>Мета і завдання дослідження.</w:t>
      </w:r>
      <w:r>
        <w:t xml:space="preserve"> </w:t>
      </w:r>
      <w:r>
        <w:rPr>
          <w:color w:val="000000"/>
        </w:rPr>
        <w:t>Метою диплом</w:t>
      </w:r>
      <w:r>
        <w:rPr>
          <w:color w:val="000000"/>
        </w:rPr>
        <w:t>ної роботи є вивчення теоретичних основ та розроблення практичних рекомендацій щодо розвитку комунікаційної політики компанії на основі впровадження ІТ продуктів.</w:t>
      </w:r>
    </w:p>
    <w:p w:rsidR="001E0A2A" w:rsidRDefault="00E079B6">
      <w:pPr>
        <w:widowControl w:val="0"/>
        <w:pBdr>
          <w:top w:val="nil"/>
          <w:left w:val="nil"/>
          <w:bottom w:val="nil"/>
          <w:right w:val="nil"/>
          <w:between w:val="nil"/>
        </w:pBdr>
        <w:rPr>
          <w:color w:val="000000"/>
        </w:rPr>
      </w:pPr>
      <w:r>
        <w:rPr>
          <w:color w:val="000000"/>
        </w:rPr>
        <w:t>Завдання роботи:</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провести діяльності підприємства;</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зробити аналіз маркетингового середовища підприємства;</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діагностувати маркетингову управлінську проблему медичного центру;</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сформувати методологію дослідження;</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визначити цілі та завдання дослідження;</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спланувати та організувати збір даних;</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lastRenderedPageBreak/>
        <w:t>узагальнити пропози</w:t>
      </w:r>
      <w:r>
        <w:rPr>
          <w:color w:val="000000"/>
        </w:rPr>
        <w:t>ції щодо вдосконалення маркетингової діяльності підприємства;</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 xml:space="preserve">навести економічне обґрунтування ефективності маркетингових заходів. </w:t>
      </w:r>
    </w:p>
    <w:p w:rsidR="001E0A2A" w:rsidRDefault="00E079B6">
      <w:pPr>
        <w:widowControl w:val="0"/>
        <w:pBdr>
          <w:top w:val="nil"/>
          <w:left w:val="nil"/>
          <w:bottom w:val="nil"/>
          <w:right w:val="nil"/>
          <w:between w:val="nil"/>
        </w:pBdr>
        <w:rPr>
          <w:color w:val="000000"/>
        </w:rPr>
      </w:pPr>
      <w:r>
        <w:rPr>
          <w:color w:val="000000"/>
        </w:rPr>
        <w:t>Об’єкт роботи –  комунікаційна політика.</w:t>
      </w:r>
    </w:p>
    <w:p w:rsidR="001E0A2A" w:rsidRDefault="00E079B6">
      <w:pPr>
        <w:widowControl w:val="0"/>
        <w:pBdr>
          <w:top w:val="nil"/>
          <w:left w:val="nil"/>
          <w:bottom w:val="nil"/>
          <w:right w:val="nil"/>
          <w:between w:val="nil"/>
        </w:pBdr>
        <w:rPr>
          <w:color w:val="000000"/>
        </w:rPr>
      </w:pPr>
      <w:r>
        <w:rPr>
          <w:color w:val="000000"/>
        </w:rPr>
        <w:t>Предмет роботи  – теоретичні та практичні підходи щодо розвитку комунікаційної полі</w:t>
      </w:r>
      <w:r>
        <w:rPr>
          <w:color w:val="000000"/>
        </w:rPr>
        <w:t>тики на основі впровадження ІТ продуктів.</w:t>
      </w:r>
    </w:p>
    <w:p w:rsidR="001E0A2A" w:rsidRDefault="00E079B6">
      <w:pPr>
        <w:widowControl w:val="0"/>
        <w:pBdr>
          <w:top w:val="nil"/>
          <w:left w:val="nil"/>
          <w:bottom w:val="nil"/>
          <w:right w:val="nil"/>
          <w:between w:val="nil"/>
        </w:pBdr>
        <w:rPr>
          <w:color w:val="000000"/>
        </w:rPr>
      </w:pPr>
      <w:r>
        <w:rPr>
          <w:color w:val="000000"/>
        </w:rPr>
        <w:t>База дослідження – медичний центр «Mediland».</w:t>
      </w:r>
    </w:p>
    <w:p w:rsidR="001E0A2A" w:rsidRDefault="00E079B6">
      <w:r>
        <w:rPr>
          <w:b/>
        </w:rPr>
        <w:t>Методи дослідження.</w:t>
      </w:r>
      <w:r>
        <w:t xml:space="preserve"> У роботі використані наступні методи: структурно-логічний метод для формування методології здійснення маркетингових досліджень; метод синтезу та ана</w:t>
      </w:r>
      <w:r>
        <w:t>лізу для проведення ситуаційного аналізу; економіко-статистичний метод для оцінки ринку естетичної медицини та оцінки позицій компанії серед конкурентів; статистичні методи дослідження числових даних для обробки результатів проведення кабінетних та польови</w:t>
      </w:r>
      <w:r>
        <w:t xml:space="preserve">х досліджень.  </w:t>
      </w:r>
    </w:p>
    <w:p w:rsidR="001E0A2A" w:rsidRDefault="00E079B6">
      <w:r>
        <w:rPr>
          <w:b/>
        </w:rPr>
        <w:t>Практичне значення одержаних результатів.</w:t>
      </w:r>
      <w:r>
        <w:t xml:space="preserve"> За результатами здійсненого дослідження можна зробити висновки, що зміни в контенті за розподіленням різних акцентів у різних соціальних мережах та залучення відомих осіб призведуть до збільшення за</w:t>
      </w:r>
      <w:r>
        <w:t>лучення користувачів, створення контенту за побажаннями клієнтів  та запуск таргетованої реклами в Instagram призведуть до зростання цільової аудиторії, розробка власного мобільного додатку призведе до підвищення лояльності клієнтів. Розроблені рекомендаці</w:t>
      </w:r>
      <w:r>
        <w:t xml:space="preserve">ї економічно обґрунтовані та можуть бути використані медичним центром «Mediland» у своїй діяльності. </w:t>
      </w:r>
    </w:p>
    <w:p w:rsidR="001E0A2A" w:rsidRDefault="00E079B6">
      <w:pPr>
        <w:spacing w:line="348" w:lineRule="auto"/>
      </w:pPr>
      <w:r>
        <w:rPr>
          <w:b/>
        </w:rPr>
        <w:t xml:space="preserve">Публікації. </w:t>
      </w:r>
      <w:r>
        <w:t>За темою дослідження автором дипломної роботи, Рублюк А.О. під керівництвом з Жигалкевич Ж.М. були опубліковані тези доповіді «Актуальність вп</w:t>
      </w:r>
      <w:r>
        <w:t>ровадження ІТ продуктів у маркетингові комунікації» з виступом на V міжнародній науково-практичній конференції «БІЗНЕС, ІННОВАЦІЇ, МЕНЕДЖМЕНТ: ПРОБЛЕМИ ТА ПЕРСПЕКТИВИ».</w:t>
      </w:r>
      <w:r>
        <w:br w:type="page"/>
      </w:r>
    </w:p>
    <w:p w:rsidR="001E0A2A" w:rsidRDefault="00E079B6">
      <w:pPr>
        <w:pStyle w:val="1"/>
        <w:spacing w:before="0"/>
      </w:pPr>
      <w:bookmarkStart w:id="3" w:name="_heading=h.1fob9te" w:colFirst="0" w:colLast="0"/>
      <w:bookmarkEnd w:id="3"/>
      <w:r>
        <w:lastRenderedPageBreak/>
        <w:t>Розділ 1 Ситуаційний аналіз</w:t>
      </w:r>
    </w:p>
    <w:p w:rsidR="001E0A2A" w:rsidRDefault="001E0A2A"/>
    <w:p w:rsidR="001E0A2A" w:rsidRDefault="00E079B6">
      <w:pPr>
        <w:pStyle w:val="2"/>
        <w:numPr>
          <w:ilvl w:val="1"/>
          <w:numId w:val="37"/>
        </w:numPr>
      </w:pPr>
      <w:bookmarkStart w:id="4" w:name="_heading=h.3znysh7" w:colFirst="0" w:colLast="0"/>
      <w:bookmarkEnd w:id="4"/>
      <w:r>
        <w:t xml:space="preserve">Аналіз діяльності МЦ </w:t>
      </w:r>
      <w:r>
        <w:rPr>
          <w:color w:val="000000"/>
        </w:rPr>
        <w:t>«Mediland»</w:t>
      </w:r>
      <w:r>
        <w:t xml:space="preserve"> на ринку медицини</w:t>
      </w:r>
    </w:p>
    <w:p w:rsidR="001E0A2A" w:rsidRDefault="001E0A2A"/>
    <w:p w:rsidR="001E0A2A" w:rsidRDefault="00E079B6">
      <w:pPr>
        <w:rPr>
          <w:color w:val="000000"/>
        </w:rPr>
      </w:pPr>
      <w:r>
        <w:rPr>
          <w:color w:val="000000"/>
        </w:rPr>
        <w:t>Медичний центр «Mediland» представляє собою установу з інноваційним підходом до надання медичних послуг у серці Києва. Центр був заснований у 2000 році як медичний центр у формі приватного підприємства «Сигма», що спеціалізувався на застосуванні лазерних т</w:t>
      </w:r>
      <w:r>
        <w:rPr>
          <w:color w:val="000000"/>
        </w:rPr>
        <w:t>а ендоскопічних методів лікування.</w:t>
      </w:r>
    </w:p>
    <w:p w:rsidR="001E0A2A" w:rsidRDefault="00E079B6">
      <w:pPr>
        <w:rPr>
          <w:color w:val="000000"/>
        </w:rPr>
      </w:pPr>
      <w:r>
        <w:rPr>
          <w:color w:val="000000"/>
        </w:rPr>
        <w:t xml:space="preserve">На сьогодні «Mediland» перетворився на багатопрофільний медичний центр у самому центрі столиці. У цьому закладі пропонується оперативне лікування, хірургічні втручання будь-якої складності, консультації фахівців високого </w:t>
      </w:r>
      <w:r>
        <w:rPr>
          <w:color w:val="000000"/>
        </w:rPr>
        <w:t xml:space="preserve">рівня, а також забезпечено комфортний стаціонар для дорослих і дітей. Крім того, «Mediland» має сучасне обладнання для лабораторних досліджень та діагностики </w:t>
      </w:r>
      <w:r>
        <w:rPr>
          <w:highlight w:val="white"/>
        </w:rPr>
        <w:t>[1].</w:t>
      </w:r>
    </w:p>
    <w:p w:rsidR="001E0A2A" w:rsidRDefault="00E079B6">
      <w:pPr>
        <w:rPr>
          <w:highlight w:val="white"/>
        </w:rPr>
      </w:pPr>
      <w:r>
        <w:rPr>
          <w:highlight w:val="white"/>
        </w:rPr>
        <w:t>Підприємство надає послуги у сфері здоров’я [2]. У медичному центрі  можна спостерігати як го</w:t>
      </w:r>
      <w:r>
        <w:rPr>
          <w:highlight w:val="white"/>
        </w:rPr>
        <w:t>ризонтальну, так і вертикальну диверсифікацію медичних послуг. Горизонтальна диверсифікація означає, що клініка надає різноманітні медичні послуги на одному рівні. Наприклад, клініка пропонує послуги з різних медичних спеціальностей, таких як педіатрія, гі</w:t>
      </w:r>
      <w:r>
        <w:rPr>
          <w:highlight w:val="white"/>
        </w:rPr>
        <w:t>некологія, кардіологія, дерматологія тощо. Вертикальна диверсифікація означає розширення або додавання нових послуг, пов'язаних з існуючими медичними послугами, але на різних рівнях. Наприклад, клініка може розширити свої послуги, додаючи лабораторні дослі</w:t>
      </w:r>
      <w:r>
        <w:rPr>
          <w:highlight w:val="white"/>
        </w:rPr>
        <w:t>дження, обладнання для діагностики, фізіотерапію, реабілітацію тощо. Це все наявне у МЦ «Mediland», тому він має як горизонтальну, так і вертикальну диверсифікацію послуг.</w:t>
      </w:r>
    </w:p>
    <w:p w:rsidR="001E0A2A" w:rsidRDefault="00E079B6">
      <w:pPr>
        <w:rPr>
          <w:color w:val="000000"/>
        </w:rPr>
      </w:pPr>
      <w:r>
        <w:rPr>
          <w:highlight w:val="white"/>
        </w:rPr>
        <w:t xml:space="preserve">Географічно МЦ «Mediland» працює лише на ринку України, а точніше в              м. </w:t>
      </w:r>
      <w:r>
        <w:rPr>
          <w:highlight w:val="white"/>
        </w:rPr>
        <w:t xml:space="preserve">Київ, так як це не мережа клінік, а єдиний медичний центр. За направленням він охоплює ринки </w:t>
      </w:r>
      <w:r>
        <w:rPr>
          <w:color w:val="000000"/>
        </w:rPr>
        <w:t xml:space="preserve">В2В та В2С. В2С </w:t>
      </w:r>
      <w:r>
        <w:rPr>
          <w:highlight w:val="white"/>
        </w:rPr>
        <w:t>– це звичайні пацієнти, а на ринку В2В підприємство заснувало міжнародний навчальний центр післядипломної освіти «MedilandProfi» з метою надання су</w:t>
      </w:r>
      <w:r>
        <w:rPr>
          <w:highlight w:val="white"/>
        </w:rPr>
        <w:t xml:space="preserve">часних медичних знань та підготовки і </w:t>
      </w:r>
      <w:r>
        <w:rPr>
          <w:highlight w:val="white"/>
        </w:rPr>
        <w:lastRenderedPageBreak/>
        <w:t>розвитку високопрофесійних фахівців у галузі охорони здоров'я. Навчання проводиться за спеціально розробленими робочими програмами, що розраховані не тільки на студентів-медиків, але й на немедичний контингент, які вир</w:t>
      </w:r>
      <w:r>
        <w:rPr>
          <w:highlight w:val="white"/>
        </w:rPr>
        <w:t>ішили змінити сферу своєї діяльності та отримати нові знання в області медицини чи естетики [3]</w:t>
      </w:r>
      <w:r>
        <w:rPr>
          <w:color w:val="000000"/>
        </w:rPr>
        <w:t>.</w:t>
      </w:r>
    </w:p>
    <w:p w:rsidR="001E0A2A" w:rsidRDefault="00E079B6">
      <w:pPr>
        <w:widowControl w:val="0"/>
        <w:pBdr>
          <w:top w:val="nil"/>
          <w:left w:val="nil"/>
          <w:bottom w:val="nil"/>
          <w:right w:val="nil"/>
          <w:between w:val="nil"/>
        </w:pBdr>
        <w:rPr>
          <w:color w:val="000000"/>
        </w:rPr>
      </w:pPr>
      <w:r>
        <w:rPr>
          <w:color w:val="000000"/>
        </w:rPr>
        <w:t>Основний вид діяльності МЦ «Mediland» за КВЕД:</w:t>
      </w:r>
    </w:p>
    <w:p w:rsidR="001E0A2A" w:rsidRDefault="00E079B6">
      <w:pPr>
        <w:widowControl w:val="0"/>
        <w:pBdr>
          <w:top w:val="nil"/>
          <w:left w:val="nil"/>
          <w:bottom w:val="nil"/>
          <w:right w:val="nil"/>
          <w:between w:val="nil"/>
        </w:pBdr>
        <w:ind w:firstLine="0"/>
        <w:rPr>
          <w:color w:val="000000"/>
          <w:shd w:val="clear" w:color="auto" w:fill="EFF1F6"/>
        </w:rPr>
      </w:pPr>
      <w:r>
        <w:rPr>
          <w:color w:val="000000"/>
        </w:rPr>
        <w:t>86.22 Спеціалізована медична практика</w:t>
      </w:r>
      <w:r>
        <w:fldChar w:fldCharType="begin"/>
      </w:r>
      <w:r>
        <w:instrText xml:space="preserve"> HYPERLINK "https://catalog.youcontrol.market/medychni-zaklady/86.22" </w:instrText>
      </w:r>
      <w:r>
        <w:fldChar w:fldCharType="separate"/>
      </w:r>
    </w:p>
    <w:p w:rsidR="001E0A2A" w:rsidRDefault="00E079B6">
      <w:pPr>
        <w:widowControl w:val="0"/>
        <w:pBdr>
          <w:top w:val="nil"/>
          <w:left w:val="nil"/>
          <w:bottom w:val="nil"/>
          <w:right w:val="nil"/>
          <w:between w:val="nil"/>
        </w:pBdr>
        <w:rPr>
          <w:color w:val="000000"/>
        </w:rPr>
      </w:pPr>
      <w:r>
        <w:fldChar w:fldCharType="end"/>
      </w:r>
      <w:r>
        <w:rPr>
          <w:color w:val="000000"/>
        </w:rPr>
        <w:t>Інші види діяльності:</w:t>
      </w:r>
    </w:p>
    <w:p w:rsidR="001E0A2A" w:rsidRDefault="00E079B6">
      <w:pPr>
        <w:widowControl w:val="0"/>
        <w:pBdr>
          <w:top w:val="nil"/>
          <w:left w:val="nil"/>
          <w:bottom w:val="nil"/>
          <w:right w:val="nil"/>
          <w:between w:val="nil"/>
        </w:pBdr>
        <w:ind w:firstLine="0"/>
        <w:rPr>
          <w:color w:val="000000"/>
        </w:rPr>
      </w:pPr>
      <w:r>
        <w:rPr>
          <w:color w:val="000000"/>
        </w:rPr>
        <w:t>86.10 Діяльність лікарняних закладів.</w:t>
      </w:r>
    </w:p>
    <w:p w:rsidR="001E0A2A" w:rsidRDefault="00E079B6">
      <w:pPr>
        <w:widowControl w:val="0"/>
        <w:pBdr>
          <w:top w:val="nil"/>
          <w:left w:val="nil"/>
          <w:bottom w:val="nil"/>
          <w:right w:val="nil"/>
          <w:between w:val="nil"/>
        </w:pBdr>
        <w:ind w:firstLine="0"/>
        <w:rPr>
          <w:color w:val="000000"/>
        </w:rPr>
      </w:pPr>
      <w:r>
        <w:rPr>
          <w:color w:val="000000"/>
        </w:rPr>
        <w:t>86.21 Загальна медична практика [4].</w:t>
      </w:r>
    </w:p>
    <w:p w:rsidR="001E0A2A" w:rsidRDefault="00E079B6">
      <w:pPr>
        <w:widowControl w:val="0"/>
        <w:pBdr>
          <w:top w:val="nil"/>
          <w:left w:val="nil"/>
          <w:bottom w:val="nil"/>
          <w:right w:val="nil"/>
          <w:between w:val="nil"/>
        </w:pBdr>
        <w:rPr>
          <w:color w:val="000000"/>
        </w:rPr>
      </w:pPr>
      <w:r>
        <w:rPr>
          <w:color w:val="000000"/>
        </w:rPr>
        <w:t>Послуги медичного центру можуть надаватися у вигляді:</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платних медичних послуг на підставі укладених договорів із фізичними особами з оплатою з власних коштів громадян, договорів з підприємствами та організаціями на медичне обслуговування працівників та членів їх сімей;</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медичних послуг на підставі договорів зі</w:t>
      </w:r>
      <w:r>
        <w:rPr>
          <w:color w:val="000000"/>
        </w:rPr>
        <w:t xml:space="preserve"> страховими компаніями у рамках страхування;</w:t>
      </w:r>
    </w:p>
    <w:p w:rsidR="001E0A2A" w:rsidRDefault="00E079B6">
      <w:pPr>
        <w:widowControl w:val="0"/>
        <w:numPr>
          <w:ilvl w:val="0"/>
          <w:numId w:val="24"/>
        </w:numPr>
        <w:pBdr>
          <w:top w:val="nil"/>
          <w:left w:val="nil"/>
          <w:bottom w:val="nil"/>
          <w:right w:val="nil"/>
          <w:between w:val="nil"/>
        </w:pBdr>
        <w:tabs>
          <w:tab w:val="left" w:pos="993"/>
        </w:tabs>
        <w:ind w:left="709" w:hanging="709"/>
        <w:rPr>
          <w:color w:val="000000"/>
        </w:rPr>
      </w:pPr>
      <w:r>
        <w:rPr>
          <w:color w:val="000000"/>
        </w:rPr>
        <w:t>на підставі звернення громадян.</w:t>
      </w:r>
    </w:p>
    <w:p w:rsidR="001E0A2A" w:rsidRDefault="00E079B6">
      <w:pPr>
        <w:widowControl w:val="0"/>
        <w:pBdr>
          <w:top w:val="nil"/>
          <w:left w:val="nil"/>
          <w:bottom w:val="nil"/>
          <w:right w:val="nil"/>
          <w:between w:val="nil"/>
        </w:pBdr>
        <w:rPr>
          <w:color w:val="000000"/>
        </w:rPr>
      </w:pPr>
      <w:r>
        <w:rPr>
          <w:color w:val="000000"/>
        </w:rPr>
        <w:t>Компанія має типові корпоративні стандарти в галузі медицини щодо відносин з клієнтами (пацієнтами), які застосовує у медичній практиці. МЦ «Mediland»  – багатопрофільний заклад з</w:t>
      </w:r>
      <w:r>
        <w:rPr>
          <w:color w:val="000000"/>
        </w:rPr>
        <w:t xml:space="preserve"> багатою матеріальною базою та великим штатом кваліфікованих співробітників, який включає:</w:t>
      </w:r>
    </w:p>
    <w:p w:rsidR="001E0A2A" w:rsidRDefault="00E079B6">
      <w:pPr>
        <w:widowControl w:val="0"/>
        <w:numPr>
          <w:ilvl w:val="0"/>
          <w:numId w:val="24"/>
        </w:numPr>
        <w:pBdr>
          <w:top w:val="nil"/>
          <w:left w:val="nil"/>
          <w:bottom w:val="nil"/>
          <w:right w:val="nil"/>
          <w:between w:val="nil"/>
        </w:pBdr>
        <w:tabs>
          <w:tab w:val="left" w:pos="709"/>
        </w:tabs>
        <w:ind w:left="709" w:hanging="709"/>
        <w:rPr>
          <w:color w:val="000000"/>
        </w:rPr>
      </w:pPr>
      <w:r>
        <w:rPr>
          <w:color w:val="000000"/>
        </w:rPr>
        <w:t>клініко-консультативне відділення;</w:t>
      </w:r>
    </w:p>
    <w:p w:rsidR="001E0A2A" w:rsidRDefault="00E079B6">
      <w:pPr>
        <w:widowControl w:val="0"/>
        <w:numPr>
          <w:ilvl w:val="0"/>
          <w:numId w:val="24"/>
        </w:numPr>
        <w:pBdr>
          <w:top w:val="nil"/>
          <w:left w:val="nil"/>
          <w:bottom w:val="nil"/>
          <w:right w:val="nil"/>
          <w:between w:val="nil"/>
        </w:pBdr>
        <w:tabs>
          <w:tab w:val="left" w:pos="709"/>
        </w:tabs>
        <w:ind w:left="709" w:hanging="709"/>
        <w:rPr>
          <w:color w:val="000000"/>
        </w:rPr>
      </w:pPr>
      <w:r>
        <w:rPr>
          <w:color w:val="000000"/>
        </w:rPr>
        <w:t>стаціонар;</w:t>
      </w:r>
    </w:p>
    <w:p w:rsidR="001E0A2A" w:rsidRDefault="00E079B6">
      <w:pPr>
        <w:widowControl w:val="0"/>
        <w:numPr>
          <w:ilvl w:val="0"/>
          <w:numId w:val="24"/>
        </w:numPr>
        <w:pBdr>
          <w:top w:val="nil"/>
          <w:left w:val="nil"/>
          <w:bottom w:val="nil"/>
          <w:right w:val="nil"/>
          <w:between w:val="nil"/>
        </w:pBdr>
        <w:tabs>
          <w:tab w:val="left" w:pos="709"/>
        </w:tabs>
        <w:ind w:left="709" w:hanging="709"/>
        <w:rPr>
          <w:color w:val="000000"/>
        </w:rPr>
      </w:pPr>
      <w:r>
        <w:rPr>
          <w:color w:val="000000"/>
        </w:rPr>
        <w:t>відділення невідкладних станів та ургентної хірургічної допомоги;</w:t>
      </w:r>
    </w:p>
    <w:p w:rsidR="001E0A2A" w:rsidRDefault="00E079B6">
      <w:pPr>
        <w:widowControl w:val="0"/>
        <w:numPr>
          <w:ilvl w:val="0"/>
          <w:numId w:val="24"/>
        </w:numPr>
        <w:pBdr>
          <w:top w:val="nil"/>
          <w:left w:val="nil"/>
          <w:bottom w:val="nil"/>
          <w:right w:val="nil"/>
          <w:between w:val="nil"/>
        </w:pBdr>
        <w:tabs>
          <w:tab w:val="left" w:pos="709"/>
        </w:tabs>
        <w:ind w:left="709" w:hanging="709"/>
        <w:rPr>
          <w:color w:val="000000"/>
        </w:rPr>
      </w:pPr>
      <w:r>
        <w:rPr>
          <w:color w:val="000000"/>
        </w:rPr>
        <w:t>діагностичне відділення;</w:t>
      </w:r>
    </w:p>
    <w:p w:rsidR="001E0A2A" w:rsidRDefault="00E079B6">
      <w:pPr>
        <w:widowControl w:val="0"/>
        <w:numPr>
          <w:ilvl w:val="0"/>
          <w:numId w:val="24"/>
        </w:numPr>
        <w:pBdr>
          <w:top w:val="nil"/>
          <w:left w:val="nil"/>
          <w:bottom w:val="nil"/>
          <w:right w:val="nil"/>
          <w:between w:val="nil"/>
        </w:pBdr>
        <w:tabs>
          <w:tab w:val="left" w:pos="709"/>
        </w:tabs>
        <w:ind w:left="709" w:hanging="709"/>
        <w:rPr>
          <w:color w:val="000000"/>
        </w:rPr>
      </w:pPr>
      <w:r>
        <w:rPr>
          <w:color w:val="000000"/>
        </w:rPr>
        <w:t>власну лабораторію;</w:t>
      </w:r>
    </w:p>
    <w:p w:rsidR="001E0A2A" w:rsidRDefault="00E079B6">
      <w:pPr>
        <w:widowControl w:val="0"/>
        <w:numPr>
          <w:ilvl w:val="0"/>
          <w:numId w:val="24"/>
        </w:numPr>
        <w:pBdr>
          <w:top w:val="nil"/>
          <w:left w:val="nil"/>
          <w:bottom w:val="nil"/>
          <w:right w:val="nil"/>
          <w:between w:val="nil"/>
        </w:pBdr>
        <w:tabs>
          <w:tab w:val="left" w:pos="709"/>
        </w:tabs>
        <w:ind w:left="709" w:hanging="709"/>
        <w:rPr>
          <w:color w:val="000000"/>
        </w:rPr>
      </w:pPr>
      <w:r>
        <w:rPr>
          <w:color w:val="000000"/>
        </w:rPr>
        <w:t>центр ко</w:t>
      </w:r>
      <w:r>
        <w:rPr>
          <w:color w:val="000000"/>
        </w:rPr>
        <w:t>сметології та пластичної хірургії [1].</w:t>
      </w:r>
    </w:p>
    <w:p w:rsidR="001E0A2A" w:rsidRDefault="00E079B6">
      <w:pPr>
        <w:widowControl w:val="0"/>
        <w:rPr>
          <w:color w:val="000000"/>
        </w:rPr>
      </w:pPr>
      <w:r>
        <w:rPr>
          <w:color w:val="000000"/>
        </w:rPr>
        <w:t xml:space="preserve">У МЦ «Меділенд» надаються послуги лікарів затребуваних медичних спеціальностей: терапевти, педіатри, хірурги,  неврологи, ендокринологи, гінекологи, урологи, флебологи, онкологи, кардіологи і тощо  [1]. Стосовно </w:t>
      </w:r>
      <w:r>
        <w:rPr>
          <w:color w:val="000000"/>
        </w:rPr>
        <w:lastRenderedPageBreak/>
        <w:t>системи менеджменту</w:t>
      </w:r>
      <w:r>
        <w:rPr>
          <w:i/>
          <w:color w:val="000000"/>
        </w:rPr>
        <w:t xml:space="preserve"> </w:t>
      </w:r>
      <w:r>
        <w:rPr>
          <w:color w:val="000000"/>
        </w:rPr>
        <w:t>МЦ «Mediland» відзначимо</w:t>
      </w:r>
      <w:r>
        <w:rPr>
          <w:color w:val="000000"/>
        </w:rPr>
        <w:t xml:space="preserve">, що в компанії працюють більше 50 лікарів вищої категорії при чисельності персоналу за 2023 р. від сотні осіб (без урахування сумісників) – табл. 1.1. </w:t>
      </w:r>
    </w:p>
    <w:p w:rsidR="001E0A2A" w:rsidRDefault="001E0A2A">
      <w:pPr>
        <w:widowControl w:val="0"/>
        <w:rPr>
          <w:color w:val="000000"/>
        </w:rPr>
      </w:pPr>
    </w:p>
    <w:p w:rsidR="001E0A2A" w:rsidRDefault="00E079B6">
      <w:pPr>
        <w:widowControl w:val="0"/>
        <w:rPr>
          <w:color w:val="000000"/>
        </w:rPr>
      </w:pPr>
      <w:r>
        <w:rPr>
          <w:color w:val="000000"/>
        </w:rPr>
        <w:t>Таблиця 1.1 – Економічні показники діяльності МЦ «Mediland» в 2021-2023 рр.</w:t>
      </w:r>
    </w:p>
    <w:tbl>
      <w:tblPr>
        <w:tblStyle w:val="af5"/>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36"/>
        <w:gridCol w:w="899"/>
        <w:gridCol w:w="900"/>
        <w:gridCol w:w="900"/>
        <w:gridCol w:w="900"/>
        <w:gridCol w:w="940"/>
        <w:gridCol w:w="861"/>
        <w:gridCol w:w="1309"/>
      </w:tblGrid>
      <w:tr w:rsidR="001E0A2A">
        <w:trPr>
          <w:trHeight w:val="264"/>
        </w:trPr>
        <w:tc>
          <w:tcPr>
            <w:tcW w:w="3536" w:type="dxa"/>
            <w:vMerge w:val="restart"/>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Показники</w:t>
            </w:r>
          </w:p>
          <w:p w:rsidR="001E0A2A" w:rsidRDefault="001E0A2A">
            <w:pPr>
              <w:spacing w:line="240" w:lineRule="auto"/>
              <w:jc w:val="center"/>
              <w:rPr>
                <w:color w:val="000000"/>
                <w:sz w:val="24"/>
                <w:szCs w:val="24"/>
              </w:rPr>
            </w:pPr>
          </w:p>
        </w:tc>
        <w:tc>
          <w:tcPr>
            <w:tcW w:w="2699" w:type="dxa"/>
            <w:gridSpan w:val="3"/>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Рік</w:t>
            </w:r>
          </w:p>
        </w:tc>
        <w:tc>
          <w:tcPr>
            <w:tcW w:w="2701" w:type="dxa"/>
            <w:gridSpan w:val="3"/>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xml:space="preserve">Відхилення </w:t>
            </w:r>
            <w:r>
              <w:rPr>
                <w:color w:val="000000"/>
                <w:sz w:val="24"/>
                <w:szCs w:val="24"/>
              </w:rPr>
              <w:br/>
              <w:t>абсолютне, +/–</w:t>
            </w:r>
          </w:p>
        </w:tc>
        <w:tc>
          <w:tcPr>
            <w:tcW w:w="1309" w:type="dxa"/>
            <w:vMerge w:val="restart"/>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xml:space="preserve">Відносне, </w:t>
            </w:r>
            <w:r>
              <w:rPr>
                <w:color w:val="000000"/>
                <w:sz w:val="24"/>
                <w:szCs w:val="24"/>
              </w:rPr>
              <w:br/>
              <w:t>2023 / 2021, %</w:t>
            </w:r>
          </w:p>
        </w:tc>
      </w:tr>
      <w:tr w:rsidR="001E0A2A">
        <w:trPr>
          <w:trHeight w:val="528"/>
        </w:trPr>
        <w:tc>
          <w:tcPr>
            <w:tcW w:w="3536"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899"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2021</w:t>
            </w:r>
          </w:p>
        </w:tc>
        <w:tc>
          <w:tcPr>
            <w:tcW w:w="900"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2022</w:t>
            </w:r>
          </w:p>
        </w:tc>
        <w:tc>
          <w:tcPr>
            <w:tcW w:w="900"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2023</w:t>
            </w:r>
          </w:p>
        </w:tc>
        <w:tc>
          <w:tcPr>
            <w:tcW w:w="900"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2022 / 2021</w:t>
            </w:r>
          </w:p>
        </w:tc>
        <w:tc>
          <w:tcPr>
            <w:tcW w:w="940"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xml:space="preserve">2023 / </w:t>
            </w:r>
            <w:r>
              <w:rPr>
                <w:color w:val="000000"/>
                <w:sz w:val="24"/>
                <w:szCs w:val="24"/>
              </w:rPr>
              <w:br/>
              <w:t>2022</w:t>
            </w:r>
          </w:p>
        </w:tc>
        <w:tc>
          <w:tcPr>
            <w:tcW w:w="861"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2023 /</w:t>
            </w:r>
          </w:p>
          <w:p w:rsidR="001E0A2A" w:rsidRDefault="00E079B6">
            <w:pPr>
              <w:spacing w:line="240" w:lineRule="auto"/>
              <w:ind w:right="64" w:firstLine="0"/>
              <w:jc w:val="center"/>
              <w:rPr>
                <w:color w:val="000000"/>
                <w:sz w:val="24"/>
                <w:szCs w:val="24"/>
              </w:rPr>
            </w:pPr>
            <w:r>
              <w:rPr>
                <w:color w:val="000000"/>
                <w:sz w:val="24"/>
                <w:szCs w:val="24"/>
              </w:rPr>
              <w:t>2021</w:t>
            </w:r>
          </w:p>
        </w:tc>
        <w:tc>
          <w:tcPr>
            <w:tcW w:w="1309" w:type="dxa"/>
            <w:vMerge/>
            <w:shd w:val="clear" w:color="auto" w:fill="auto"/>
            <w:vAlign w:val="bottom"/>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Виручка,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59577</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20328</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49891</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–39250</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+29563</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–9686</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–16,3</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Чистий прибуток,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2538</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372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2754</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–2166</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+2382</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+216</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8,5</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Активи,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19431</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21654</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24873</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+2223</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+3219</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+5442</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28,0</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Основні засоби,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6237</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7189</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8865</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+952</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+1676</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+2628</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42,1</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Фондовіддача</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2,8</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–6,7</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+2,8</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–3,9</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–41,1</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Чисельність працівників, чол.</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84</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106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–8</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+22</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+14</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15,2</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Витрати на оплату праці,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17002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16330</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22260</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–672</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+5930</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+5258</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30,9</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Середня заробітна плата,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15,4</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16,2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17,5</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+0,8</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+1,3</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+2,1</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13,6</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Фондоозброєність, тис. грн./чол.</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68</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86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84</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+18</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+16</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23,4</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Виручка на працівника,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648</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242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471</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–406</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+229</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–177</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–27,3</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Чистий прибуток на працівника, тис. грн.</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28</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–23</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+22</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–5,8</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Рентабельність активів, %</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13,06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1,72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11,07</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–11,34</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+9,35</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–1,99</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–15,2</w:t>
            </w:r>
          </w:p>
        </w:tc>
      </w:tr>
      <w:tr w:rsidR="001E0A2A">
        <w:trPr>
          <w:trHeight w:val="264"/>
        </w:trPr>
        <w:tc>
          <w:tcPr>
            <w:tcW w:w="3536"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Рентабельність діяльності, %</w:t>
            </w:r>
          </w:p>
        </w:tc>
        <w:tc>
          <w:tcPr>
            <w:tcW w:w="89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4,26</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1,83</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5,52</w:t>
            </w:r>
          </w:p>
        </w:tc>
        <w:tc>
          <w:tcPr>
            <w:tcW w:w="90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–2,43</w:t>
            </w:r>
          </w:p>
        </w:tc>
        <w:tc>
          <w:tcPr>
            <w:tcW w:w="940"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+3,69</w:t>
            </w:r>
          </w:p>
        </w:tc>
        <w:tc>
          <w:tcPr>
            <w:tcW w:w="861"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+1,26</w:t>
            </w:r>
          </w:p>
        </w:tc>
        <w:tc>
          <w:tcPr>
            <w:tcW w:w="1309"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29,6</w:t>
            </w:r>
          </w:p>
        </w:tc>
      </w:tr>
    </w:tbl>
    <w:p w:rsidR="001E0A2A" w:rsidRDefault="00E079B6">
      <w:pPr>
        <w:widowControl w:val="0"/>
        <w:jc w:val="left"/>
        <w:rPr>
          <w:color w:val="000000"/>
        </w:rPr>
      </w:pPr>
      <w:r>
        <w:rPr>
          <w:color w:val="000000"/>
        </w:rPr>
        <w:t>Джерело: розраховано автором на основі [4]</w:t>
      </w:r>
    </w:p>
    <w:p w:rsidR="001E0A2A" w:rsidRDefault="001E0A2A">
      <w:pPr>
        <w:widowControl w:val="0"/>
        <w:jc w:val="left"/>
        <w:rPr>
          <w:color w:val="000000"/>
        </w:rPr>
      </w:pPr>
    </w:p>
    <w:p w:rsidR="001E0A2A" w:rsidRDefault="00E079B6">
      <w:pPr>
        <w:widowControl w:val="0"/>
        <w:pBdr>
          <w:top w:val="nil"/>
          <w:left w:val="nil"/>
          <w:bottom w:val="nil"/>
          <w:right w:val="nil"/>
          <w:between w:val="nil"/>
        </w:pBdr>
        <w:rPr>
          <w:color w:val="000000"/>
        </w:rPr>
      </w:pPr>
      <w:r>
        <w:rPr>
          <w:color w:val="000000"/>
        </w:rPr>
        <w:t>МЦ «Mediland» в 2021-2023 рр. зменшила виручку від реалізації послуг на 9,6 млн. грн. (на 16%), тоді як чистий прибуток зріс на 0,2 млн. грн. (на 8,5%), що дозволило підвищити рентабельність діяльності на 1,26% (до 5,52% за 2023 р.). За розширення штату пр</w:t>
      </w:r>
      <w:r>
        <w:rPr>
          <w:color w:val="000000"/>
        </w:rPr>
        <w:t>ацівників на 14 осіб в 2023 р. сума чистого прибутку на працівника впала на 2 тис. грн. від 2021 р., а виручки – на 177 тис. грн. Сума інвестицій в основні засоби за 2021-2023 рр. зросла  на 2,6 млн. грн. (на 42 %), що, в свою чергу збільшило рівень фондоо</w:t>
      </w:r>
      <w:r>
        <w:rPr>
          <w:color w:val="000000"/>
        </w:rPr>
        <w:t xml:space="preserve">зброєності на 16 тис. грн. (на 23%). Фінансування діяльності клініки на 80-90% здійснюється за рахунок власних ресурсів, без запозичення банківських кредитів. Інформаційне забезпечення </w:t>
      </w:r>
      <w:r>
        <w:rPr>
          <w:color w:val="000000"/>
        </w:rPr>
        <w:lastRenderedPageBreak/>
        <w:t>клініки на суму вартістю від 2 млн. становлять спеціалізовані медичні п</w:t>
      </w:r>
      <w:r>
        <w:rPr>
          <w:color w:val="000000"/>
        </w:rPr>
        <w:t>рограми та системи.</w:t>
      </w:r>
    </w:p>
    <w:p w:rsidR="001E0A2A" w:rsidRDefault="00E079B6">
      <w:pPr>
        <w:widowControl w:val="0"/>
        <w:pBdr>
          <w:top w:val="nil"/>
          <w:left w:val="nil"/>
          <w:bottom w:val="nil"/>
          <w:right w:val="nil"/>
          <w:between w:val="nil"/>
        </w:pBdr>
        <w:rPr>
          <w:color w:val="FF0000"/>
        </w:rPr>
      </w:pPr>
      <w:r>
        <w:rPr>
          <w:color w:val="000000"/>
        </w:rPr>
        <w:t>В медичній сфері існує медична статистика. В ній ведеться облік кількості пацієнтів, ліжкомісць, захворювань, але не грошей. Тобто, не існує єдиного ресурсу, який оцифровує ринок медицини за ємністю ринку. Єдина оцінка ринку в грошах бу</w:t>
      </w:r>
      <w:r>
        <w:rPr>
          <w:color w:val="000000"/>
        </w:rPr>
        <w:t>ла проведена у вересні 2020 році інвестиційною компанією Concorde Capital. За приблизним розрахунком за коефіцієнтом ринкової інфляції 1,3 частка ринку МЦ «Mediland» становила 6-7% для м. Києва [29].</w:t>
      </w:r>
    </w:p>
    <w:p w:rsidR="001E0A2A" w:rsidRDefault="00E079B6">
      <w:pPr>
        <w:widowControl w:val="0"/>
        <w:pBdr>
          <w:top w:val="nil"/>
          <w:left w:val="nil"/>
          <w:bottom w:val="nil"/>
          <w:right w:val="nil"/>
          <w:between w:val="nil"/>
        </w:pBdr>
        <w:rPr>
          <w:color w:val="000000"/>
        </w:rPr>
      </w:pPr>
      <w:r>
        <w:rPr>
          <w:color w:val="000000"/>
        </w:rPr>
        <w:t>В інтернеті можна знайти чималу кількість позитивних від</w:t>
      </w:r>
      <w:r>
        <w:rPr>
          <w:color w:val="000000"/>
        </w:rPr>
        <w:t>гуків вдячних пацієнтів та їх близьких за результатами відвідування та лікування МЦ «Mediland». Це свідчить про хорошу репутацію та лояльність споживачів.</w:t>
      </w:r>
    </w:p>
    <w:p w:rsidR="001E0A2A" w:rsidRDefault="00E079B6">
      <w:pPr>
        <w:rPr>
          <w:color w:val="000000"/>
        </w:rPr>
      </w:pPr>
      <w:r>
        <w:rPr>
          <w:color w:val="000000"/>
        </w:rPr>
        <w:t>Цінова політика медичного центру застосовує переважно методи, орієнтовані на попит (ринок) та «витрат</w:t>
      </w:r>
      <w:r>
        <w:rPr>
          <w:color w:val="000000"/>
        </w:rPr>
        <w:t>и +» щодо окупності основних груп послуг з діагностики та лікування. Підходи до ціноутворення, які засновані на аналізі попиту та «витрати +», є результатом багаторічних досліджень та розвідок у галузях економіки, менеджменту та маркетингу.</w:t>
      </w:r>
    </w:p>
    <w:p w:rsidR="001E0A2A" w:rsidRDefault="00E079B6">
      <w:pPr>
        <w:widowControl w:val="0"/>
        <w:pBdr>
          <w:top w:val="nil"/>
          <w:left w:val="nil"/>
          <w:bottom w:val="nil"/>
          <w:right w:val="nil"/>
          <w:between w:val="nil"/>
        </w:pBdr>
        <w:rPr>
          <w:color w:val="000000"/>
        </w:rPr>
      </w:pPr>
      <w:r>
        <w:rPr>
          <w:color w:val="000000"/>
        </w:rPr>
        <w:t>Підхід, орієнто</w:t>
      </w:r>
      <w:r>
        <w:rPr>
          <w:color w:val="000000"/>
        </w:rPr>
        <w:t>ваний на попит, був удосконалений таким вченим, як Альфред Маршалл, який вперше сформулював закон попиту і пропозиції у своїй праці «Принципи економіки» [24]. Цей метод ціноутворення активно використовується в економічних та менеджментових дослідженнях, де</w:t>
      </w:r>
      <w:r>
        <w:rPr>
          <w:color w:val="000000"/>
        </w:rPr>
        <w:t xml:space="preserve"> ціни змінюються відповідно до змін в попиті. Наприклад, при зростанні попиту на певну медичну послугу, центр може підвищити ціну для збалансування попиту та пропозиції, або знизити ціну, якщо попит зменшується, для привертання більшої кількості клієнтів.</w:t>
      </w:r>
    </w:p>
    <w:p w:rsidR="001E0A2A" w:rsidRDefault="00E079B6">
      <w:pPr>
        <w:widowControl w:val="0"/>
        <w:pBdr>
          <w:top w:val="nil"/>
          <w:left w:val="nil"/>
          <w:bottom w:val="nil"/>
          <w:right w:val="nil"/>
          <w:between w:val="nil"/>
        </w:pBdr>
        <w:rPr>
          <w:color w:val="000000"/>
        </w:rPr>
      </w:pPr>
      <w:r>
        <w:rPr>
          <w:color w:val="000000"/>
        </w:rPr>
        <w:t>Метод «витрати +» ґрунтується на теорії витрат та прибутку. Хоча не існує конкретного визначеного автора цього методу, його принципи були розглянуті та розвинуті різними економістами, такими як Джон Бейтс Кларк та Альфред Слоун. Цей метод визначає ціни, як</w:t>
      </w:r>
      <w:r>
        <w:rPr>
          <w:color w:val="000000"/>
        </w:rPr>
        <w:t>і включають в себе витрати на надання послуги та прибуток, який бажає отримати центр. Таким чином, ціна формується так, щоб покрити всі витрати і забезпечити прибуток.</w:t>
      </w:r>
    </w:p>
    <w:p w:rsidR="001E0A2A" w:rsidRDefault="00E079B6">
      <w:pPr>
        <w:widowControl w:val="0"/>
        <w:pBdr>
          <w:top w:val="nil"/>
          <w:left w:val="nil"/>
          <w:bottom w:val="nil"/>
          <w:right w:val="nil"/>
          <w:between w:val="nil"/>
        </w:pBdr>
        <w:rPr>
          <w:color w:val="000000"/>
        </w:rPr>
      </w:pPr>
      <w:r>
        <w:rPr>
          <w:color w:val="000000"/>
        </w:rPr>
        <w:t xml:space="preserve">Обидва ці підходи є результатом вивчення та досліджень в галузях економіки </w:t>
      </w:r>
      <w:r>
        <w:rPr>
          <w:color w:val="000000"/>
        </w:rPr>
        <w:lastRenderedPageBreak/>
        <w:t>та бізнесу, і</w:t>
      </w:r>
      <w:r>
        <w:rPr>
          <w:color w:val="000000"/>
        </w:rPr>
        <w:t xml:space="preserve"> вони широко застосовуються в практичному бізнесі, включаючи медичну сферу. Вони дозволяють максимізувати прибуток підприємства, враховуючи зміни в попиті та витратах.</w:t>
      </w:r>
    </w:p>
    <w:p w:rsidR="001E0A2A" w:rsidRDefault="00E079B6">
      <w:pPr>
        <w:widowControl w:val="0"/>
        <w:pBdr>
          <w:top w:val="nil"/>
          <w:left w:val="nil"/>
          <w:bottom w:val="nil"/>
          <w:right w:val="nil"/>
          <w:between w:val="nil"/>
        </w:pBdr>
        <w:rPr>
          <w:color w:val="000000"/>
        </w:rPr>
      </w:pPr>
      <w:r>
        <w:rPr>
          <w:color w:val="000000"/>
        </w:rPr>
        <w:t>Збутова діяльність щодо організації каналів розподілу та товароруху  МЦ «Mediland»  базу</w:t>
      </w:r>
      <w:r>
        <w:rPr>
          <w:color w:val="000000"/>
        </w:rPr>
        <w:t>ється як на SMM, так і на класичних засобах реклами, таких як поширення інформації у ЗМІ, графічна реклама, співпраця з іншими медичними установами, організаціями, партнерами, тощо.</w:t>
      </w:r>
    </w:p>
    <w:p w:rsidR="001E0A2A" w:rsidRDefault="00E079B6">
      <w:pPr>
        <w:widowControl w:val="0"/>
        <w:pBdr>
          <w:top w:val="nil"/>
          <w:left w:val="nil"/>
          <w:bottom w:val="nil"/>
          <w:right w:val="nil"/>
          <w:between w:val="nil"/>
        </w:pBdr>
        <w:rPr>
          <w:color w:val="000000"/>
        </w:rPr>
      </w:pPr>
      <w:r>
        <w:rPr>
          <w:color w:val="000000"/>
        </w:rPr>
        <w:t>Забезпечуючи гідний рівень обслуговування, компанія прагне одночасно зроби</w:t>
      </w:r>
      <w:r>
        <w:rPr>
          <w:color w:val="000000"/>
        </w:rPr>
        <w:t>ти його доступним для широкого кола пацієнтів. Для економії часу та коштів пропонуються пакети послуг, а також надаються бонуси у вигляді знижок.</w:t>
      </w:r>
    </w:p>
    <w:p w:rsidR="001E0A2A" w:rsidRDefault="00E079B6">
      <w:pPr>
        <w:widowControl w:val="0"/>
        <w:pBdr>
          <w:top w:val="nil"/>
          <w:left w:val="nil"/>
          <w:bottom w:val="nil"/>
          <w:right w:val="nil"/>
          <w:between w:val="nil"/>
        </w:pBdr>
        <w:rPr>
          <w:color w:val="000000"/>
        </w:rPr>
      </w:pPr>
      <w:r>
        <w:rPr>
          <w:color w:val="000000"/>
        </w:rPr>
        <w:t>Так,  комплексні медичні програми містять:</w:t>
      </w:r>
    </w:p>
    <w:p w:rsidR="001E0A2A" w:rsidRDefault="00E079B6">
      <w:pPr>
        <w:widowControl w:val="0"/>
        <w:pBdr>
          <w:top w:val="nil"/>
          <w:left w:val="nil"/>
          <w:bottom w:val="nil"/>
          <w:right w:val="nil"/>
          <w:between w:val="nil"/>
        </w:pBdr>
        <w:rPr>
          <w:color w:val="000000"/>
        </w:rPr>
      </w:pPr>
      <w:r>
        <w:rPr>
          <w:color w:val="000000"/>
        </w:rPr>
        <w:t>1. Планування вагітності і лікування безпліддя, що включає не лише комплексне обстеження організму пари, а й в разі потреби, проведення лікування (від 23 тис. грн.).</w:t>
      </w:r>
    </w:p>
    <w:p w:rsidR="001E0A2A" w:rsidRDefault="00E079B6">
      <w:pPr>
        <w:widowControl w:val="0"/>
        <w:pBdr>
          <w:top w:val="nil"/>
          <w:left w:val="nil"/>
          <w:bottom w:val="nil"/>
          <w:right w:val="nil"/>
          <w:between w:val="nil"/>
        </w:pBdr>
        <w:rPr>
          <w:color w:val="000000"/>
        </w:rPr>
      </w:pPr>
      <w:r>
        <w:rPr>
          <w:color w:val="000000"/>
        </w:rPr>
        <w:t>2. Контроль здоров'я майбутньої мами і дитини під час вагітності.</w:t>
      </w:r>
    </w:p>
    <w:p w:rsidR="001E0A2A" w:rsidRDefault="00E079B6">
      <w:pPr>
        <w:widowControl w:val="0"/>
        <w:pBdr>
          <w:top w:val="nil"/>
          <w:left w:val="nil"/>
          <w:bottom w:val="nil"/>
          <w:right w:val="nil"/>
          <w:between w:val="nil"/>
        </w:pBdr>
        <w:rPr>
          <w:color w:val="000000"/>
        </w:rPr>
      </w:pPr>
      <w:r>
        <w:rPr>
          <w:color w:val="000000"/>
        </w:rPr>
        <w:t>3. Діагностичні Check-up</w:t>
      </w:r>
      <w:r>
        <w:rPr>
          <w:color w:val="000000"/>
        </w:rPr>
        <w:t xml:space="preserve"> включають профілактичні огляди з різних напрямків. </w:t>
      </w:r>
    </w:p>
    <w:p w:rsidR="001E0A2A" w:rsidRDefault="00E079B6">
      <w:pPr>
        <w:widowControl w:val="0"/>
        <w:pBdr>
          <w:top w:val="nil"/>
          <w:left w:val="nil"/>
          <w:bottom w:val="nil"/>
          <w:right w:val="nil"/>
          <w:between w:val="nil"/>
        </w:pBdr>
        <w:rPr>
          <w:color w:val="000000"/>
        </w:rPr>
      </w:pPr>
      <w:r>
        <w:rPr>
          <w:color w:val="000000"/>
        </w:rPr>
        <w:t>Позитивними рисами цих програм є їх комплексність і системний підхід до здоров'я пацієнтів, що забезпечує всебічний догляд та підтримку. Важливим аспектом є економічна вигода для пацієнтів, адже програми</w:t>
      </w:r>
      <w:r>
        <w:rPr>
          <w:color w:val="000000"/>
        </w:rPr>
        <w:t xml:space="preserve"> не лише допомагають заощаджувати кошти, але й пропонують безкоштовні бонуси та подарунки, що підвищує їхню привабливість [1].</w:t>
      </w:r>
    </w:p>
    <w:p w:rsidR="001E0A2A" w:rsidRDefault="00E079B6">
      <w:pPr>
        <w:widowControl w:val="0"/>
        <w:pBdr>
          <w:top w:val="nil"/>
          <w:left w:val="nil"/>
          <w:bottom w:val="nil"/>
          <w:right w:val="nil"/>
          <w:between w:val="nil"/>
        </w:pBdr>
        <w:rPr>
          <w:color w:val="000000"/>
        </w:rPr>
      </w:pPr>
      <w:r>
        <w:rPr>
          <w:color w:val="000000"/>
        </w:rPr>
        <w:t>Також варто зазначити, що ці програми орієнтовані на профілактику та своєчасне виявлення можливих проблем зі здоров'ям, що дозвол</w:t>
      </w:r>
      <w:r>
        <w:rPr>
          <w:color w:val="000000"/>
        </w:rPr>
        <w:t>яє попередити розвиток серйозних захворювань. Профілактичні огляди та регулярний контроль здоров'я сприяють формуванню відповідального ставлення до власного здоров'я у пацієнтів. Завдяки таким комплексним підходам медичний центр підвищує рівень довіри і за</w:t>
      </w:r>
      <w:r>
        <w:rPr>
          <w:color w:val="000000"/>
        </w:rPr>
        <w:t>доволеності своїх клієнтів, що позитивно впливає на його репутацію і конкурентоспроможність на ринку.</w:t>
      </w:r>
    </w:p>
    <w:p w:rsidR="001E0A2A" w:rsidRDefault="00E079B6">
      <w:pPr>
        <w:widowControl w:val="0"/>
        <w:pBdr>
          <w:top w:val="nil"/>
          <w:left w:val="nil"/>
          <w:bottom w:val="nil"/>
          <w:right w:val="nil"/>
          <w:between w:val="nil"/>
        </w:pBdr>
        <w:rPr>
          <w:color w:val="000000"/>
        </w:rPr>
      </w:pPr>
      <w:r>
        <w:rPr>
          <w:color w:val="000000"/>
        </w:rPr>
        <w:t xml:space="preserve">Комунікаційна діяльність МЦ «Mediland»  частково заснована на соціальній </w:t>
      </w:r>
      <w:r>
        <w:rPr>
          <w:color w:val="000000"/>
        </w:rPr>
        <w:lastRenderedPageBreak/>
        <w:t>підтримці незахищених верств населення (пільгове лікування та консультування), сп</w:t>
      </w:r>
      <w:r>
        <w:rPr>
          <w:color w:val="000000"/>
        </w:rPr>
        <w:t>онсорство. Стимулювання збуту та особистих продаж  проводиться в розрізі груп послуг клініки та реалізації за сегментами для спеціалістів відділу маркетингу та реклами.</w:t>
      </w:r>
    </w:p>
    <w:p w:rsidR="001E0A2A" w:rsidRDefault="00E079B6">
      <w:pPr>
        <w:widowControl w:val="0"/>
        <w:pBdr>
          <w:top w:val="nil"/>
          <w:left w:val="nil"/>
          <w:bottom w:val="nil"/>
          <w:right w:val="nil"/>
          <w:between w:val="nil"/>
        </w:pBdr>
        <w:rPr>
          <w:color w:val="000000"/>
        </w:rPr>
      </w:pPr>
      <w:r>
        <w:rPr>
          <w:color w:val="000000"/>
        </w:rPr>
        <w:t>Відомість підприємство має невелику, приблизно 30% з підказкою. Проте «Mediland» характ</w:t>
      </w:r>
      <w:r>
        <w:rPr>
          <w:color w:val="000000"/>
        </w:rPr>
        <w:t>еризується великим відсотком щирої лояльності, приблизно 85%, як зовнішньої – пацієнти, так і внутрішньої – персонал.</w:t>
      </w:r>
    </w:p>
    <w:p w:rsidR="001E0A2A" w:rsidRDefault="00E079B6">
      <w:pPr>
        <w:widowControl w:val="0"/>
        <w:pBdr>
          <w:top w:val="nil"/>
          <w:left w:val="nil"/>
          <w:bottom w:val="nil"/>
          <w:right w:val="nil"/>
          <w:between w:val="nil"/>
        </w:pBdr>
        <w:rPr>
          <w:color w:val="000000"/>
        </w:rPr>
      </w:pPr>
      <w:r>
        <w:rPr>
          <w:color w:val="000000"/>
        </w:rPr>
        <w:t>Підприємство визначає свою місію як покращення якості життя суспільства та розвитку охорони здоров’я в Україні шляхом залучення до колекти</w:t>
      </w:r>
      <w:r>
        <w:rPr>
          <w:color w:val="000000"/>
        </w:rPr>
        <w:t>ву лікарів високого професійного рівня, застосування сучасних методів діагностики та лікування на принципах доказової медицини, надання пацієнтам можливості отримати медичні послуги експертного рівня що побудовані на тлі відносин довіри, порозуміння та емп</w:t>
      </w:r>
      <w:r>
        <w:rPr>
          <w:color w:val="000000"/>
        </w:rPr>
        <w:t>атії.</w:t>
      </w:r>
    </w:p>
    <w:p w:rsidR="001E0A2A" w:rsidRDefault="00E079B6">
      <w:pPr>
        <w:widowControl w:val="0"/>
        <w:pBdr>
          <w:top w:val="nil"/>
          <w:left w:val="nil"/>
          <w:bottom w:val="nil"/>
          <w:right w:val="nil"/>
          <w:between w:val="nil"/>
        </w:pBdr>
        <w:rPr>
          <w:color w:val="000000"/>
        </w:rPr>
      </w:pPr>
      <w:r>
        <w:rPr>
          <w:color w:val="000000"/>
        </w:rPr>
        <w:t>МЦ «Mediland» поважає соціальну відповідальність, тому він підтримує та впроваджує заходи щодо реалізації цілей ООН задля сталого розвитку, надає ургентну консультативну допомогу військовим та створює умови для соціального захисту співробітників підп</w:t>
      </w:r>
      <w:r>
        <w:rPr>
          <w:color w:val="000000"/>
        </w:rPr>
        <w:t>риємства. Найважливішими для себе підприємство виділяє такі цілі ООН як: гарне здоров’я та добробут, якісна освіта, гендерна рівність, гідна праця та економічне зростання, відповідальне виробництво та споживання.</w:t>
      </w:r>
    </w:p>
    <w:p w:rsidR="001E0A2A" w:rsidRDefault="00E079B6">
      <w:pPr>
        <w:widowControl w:val="0"/>
        <w:pBdr>
          <w:top w:val="nil"/>
          <w:left w:val="nil"/>
          <w:bottom w:val="nil"/>
          <w:right w:val="nil"/>
          <w:between w:val="nil"/>
        </w:pBdr>
        <w:rPr>
          <w:color w:val="000000"/>
        </w:rPr>
      </w:pPr>
      <w:r>
        <w:rPr>
          <w:color w:val="000000"/>
        </w:rPr>
        <w:t xml:space="preserve"> Приватні медичні центри, працюючи в умовах</w:t>
      </w:r>
      <w:r>
        <w:rPr>
          <w:color w:val="000000"/>
        </w:rPr>
        <w:t xml:space="preserve"> воєнного часу, повинні бути готові до швидкого реагування на зміни на ринку та забезпечення безперервності надання медичних послуг у складних умовах. Ось деякі ринкові складності та виклики, з якими стикаються приватні медичні центри під час війни:</w:t>
      </w:r>
    </w:p>
    <w:p w:rsidR="001E0A2A" w:rsidRDefault="00E079B6">
      <w:pPr>
        <w:numPr>
          <w:ilvl w:val="0"/>
          <w:numId w:val="20"/>
        </w:numPr>
        <w:pBdr>
          <w:top w:val="nil"/>
          <w:left w:val="nil"/>
          <w:bottom w:val="nil"/>
          <w:right w:val="nil"/>
          <w:between w:val="nil"/>
        </w:pBdr>
        <w:spacing w:line="348" w:lineRule="auto"/>
        <w:ind w:left="1077" w:hanging="357"/>
        <w:rPr>
          <w:color w:val="000000"/>
          <w:highlight w:val="white"/>
        </w:rPr>
      </w:pPr>
      <w:r>
        <w:rPr>
          <w:color w:val="000000"/>
          <w:highlight w:val="white"/>
        </w:rPr>
        <w:t>Збільшення попиту на медичні послуги.</w:t>
      </w:r>
    </w:p>
    <w:p w:rsidR="001E0A2A" w:rsidRDefault="00E079B6">
      <w:pPr>
        <w:numPr>
          <w:ilvl w:val="0"/>
          <w:numId w:val="20"/>
        </w:numPr>
        <w:pBdr>
          <w:top w:val="nil"/>
          <w:left w:val="nil"/>
          <w:bottom w:val="nil"/>
          <w:right w:val="nil"/>
          <w:between w:val="nil"/>
        </w:pBdr>
        <w:spacing w:line="348" w:lineRule="auto"/>
        <w:ind w:left="1077" w:hanging="357"/>
      </w:pPr>
      <w:r>
        <w:rPr>
          <w:color w:val="000000"/>
          <w:highlight w:val="white"/>
        </w:rPr>
        <w:t>Недостатність медичного персоналу.</w:t>
      </w:r>
    </w:p>
    <w:p w:rsidR="001E0A2A" w:rsidRDefault="00E079B6">
      <w:pPr>
        <w:numPr>
          <w:ilvl w:val="0"/>
          <w:numId w:val="20"/>
        </w:numPr>
        <w:pBdr>
          <w:top w:val="nil"/>
          <w:left w:val="nil"/>
          <w:bottom w:val="nil"/>
          <w:right w:val="nil"/>
          <w:between w:val="nil"/>
        </w:pBdr>
        <w:spacing w:line="348" w:lineRule="auto"/>
        <w:ind w:left="1077" w:hanging="357"/>
      </w:pPr>
      <w:r>
        <w:rPr>
          <w:color w:val="000000"/>
          <w:highlight w:val="white"/>
        </w:rPr>
        <w:t>Фінансові труднощі.</w:t>
      </w:r>
    </w:p>
    <w:p w:rsidR="001E0A2A" w:rsidRDefault="00E079B6">
      <w:pPr>
        <w:numPr>
          <w:ilvl w:val="0"/>
          <w:numId w:val="20"/>
        </w:numPr>
        <w:pBdr>
          <w:top w:val="nil"/>
          <w:left w:val="nil"/>
          <w:bottom w:val="nil"/>
          <w:right w:val="nil"/>
          <w:between w:val="nil"/>
        </w:pBdr>
        <w:spacing w:line="348" w:lineRule="auto"/>
        <w:ind w:left="1077" w:hanging="357"/>
      </w:pPr>
      <w:r>
        <w:rPr>
          <w:color w:val="000000"/>
          <w:highlight w:val="white"/>
        </w:rPr>
        <w:t>Безпека працівників і пацієнтів.</w:t>
      </w:r>
    </w:p>
    <w:p w:rsidR="001E0A2A" w:rsidRDefault="00E079B6">
      <w:pPr>
        <w:numPr>
          <w:ilvl w:val="0"/>
          <w:numId w:val="20"/>
        </w:numPr>
        <w:pBdr>
          <w:top w:val="nil"/>
          <w:left w:val="nil"/>
          <w:bottom w:val="nil"/>
          <w:right w:val="nil"/>
          <w:between w:val="nil"/>
        </w:pBdr>
        <w:spacing w:line="348" w:lineRule="auto"/>
        <w:ind w:left="1077" w:hanging="357"/>
      </w:pPr>
      <w:r>
        <w:rPr>
          <w:color w:val="000000"/>
          <w:highlight w:val="white"/>
        </w:rPr>
        <w:t>Обмеження доступу до ресурсів.</w:t>
      </w:r>
    </w:p>
    <w:p w:rsidR="001E0A2A" w:rsidRDefault="00E079B6">
      <w:pPr>
        <w:widowControl w:val="0"/>
        <w:pBdr>
          <w:top w:val="nil"/>
          <w:left w:val="nil"/>
          <w:bottom w:val="nil"/>
          <w:right w:val="nil"/>
          <w:between w:val="nil"/>
        </w:pBdr>
        <w:rPr>
          <w:color w:val="000000"/>
        </w:rPr>
      </w:pPr>
      <w:r>
        <w:rPr>
          <w:color w:val="000000"/>
        </w:rPr>
        <w:t xml:space="preserve">Виокремимо та підсумуємо сильні та слабкі сторони підприємства і зведемо </w:t>
      </w:r>
      <w:r>
        <w:rPr>
          <w:color w:val="000000"/>
        </w:rPr>
        <w:lastRenderedPageBreak/>
        <w:t>їх у табл. 1.2.</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Таблиця 1</w:t>
      </w:r>
      <w:r>
        <w:rPr>
          <w:color w:val="000000"/>
        </w:rPr>
        <w:t>.2 – Сильні та слабкі сторони МЦ «Mediland»</w:t>
      </w:r>
    </w:p>
    <w:tbl>
      <w:tblPr>
        <w:tblStyle w:val="af6"/>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3"/>
        <w:gridCol w:w="5608"/>
        <w:gridCol w:w="1957"/>
        <w:gridCol w:w="1957"/>
      </w:tblGrid>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 з/п</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Фактор</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Сильна сторона</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Слабка сторона</w:t>
            </w:r>
          </w:p>
        </w:tc>
      </w:tr>
      <w:tr w:rsidR="001E0A2A">
        <w:trPr>
          <w:trHeight w:val="346"/>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1.</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Збалансований портфель товарів</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2.</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Висока щира лояльність</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3. </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Наявне високотехнологічне сучасне обладнання </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4.</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Висококваліфікований персонал </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5.</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Широкий спектр медичних послуг </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6.</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Зручне розташування у центрі міста</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7.</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Партнерства зі страховими компаніями та іншими діагностичними центрами</w:t>
            </w: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8.</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Відсутність широкої мережі філій</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r>
      <w:tr w:rsidR="001E0A2A">
        <w:trPr>
          <w:trHeight w:val="343"/>
        </w:trPr>
        <w:tc>
          <w:tcPr>
            <w:tcW w:w="723"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9. </w:t>
            </w:r>
          </w:p>
        </w:tc>
        <w:tc>
          <w:tcPr>
            <w:tcW w:w="5608"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Цінова політика </w:t>
            </w:r>
          </w:p>
        </w:tc>
        <w:tc>
          <w:tcPr>
            <w:tcW w:w="1957" w:type="dxa"/>
            <w:shd w:val="clear" w:color="auto" w:fill="FFFFFF"/>
          </w:tcPr>
          <w:p w:rsidR="001E0A2A" w:rsidRDefault="001E0A2A">
            <w:pPr>
              <w:widowControl w:val="0"/>
              <w:pBdr>
                <w:top w:val="nil"/>
                <w:left w:val="nil"/>
                <w:bottom w:val="nil"/>
                <w:right w:val="nil"/>
                <w:between w:val="nil"/>
              </w:pBdr>
              <w:spacing w:line="240" w:lineRule="auto"/>
              <w:ind w:firstLine="0"/>
              <w:jc w:val="center"/>
              <w:rPr>
                <w:color w:val="000000"/>
                <w:sz w:val="24"/>
                <w:szCs w:val="24"/>
              </w:rPr>
            </w:pPr>
          </w:p>
        </w:tc>
        <w:tc>
          <w:tcPr>
            <w:tcW w:w="1957"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w:t>
            </w:r>
          </w:p>
        </w:tc>
      </w:tr>
    </w:tbl>
    <w:p w:rsidR="001E0A2A" w:rsidRDefault="00E079B6">
      <w:pPr>
        <w:widowControl w:val="0"/>
        <w:pBdr>
          <w:top w:val="nil"/>
          <w:left w:val="nil"/>
          <w:bottom w:val="nil"/>
          <w:right w:val="nil"/>
          <w:between w:val="nil"/>
        </w:pBdr>
        <w:jc w:val="left"/>
        <w:rPr>
          <w:color w:val="000000"/>
        </w:rPr>
      </w:pPr>
      <w:r>
        <w:rPr>
          <w:color w:val="000000"/>
        </w:rPr>
        <w:t>Джерело: складено автором</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Процес накопичення внутрішньої інформації та моніторинг зовнішнього середовища здійснюють маркетологи МЦ «Mediland». Доступ до цих результатів є закритим.</w:t>
      </w:r>
    </w:p>
    <w:p w:rsidR="001E0A2A" w:rsidRDefault="00E079B6">
      <w:pPr>
        <w:widowControl w:val="0"/>
        <w:pBdr>
          <w:top w:val="nil"/>
          <w:left w:val="nil"/>
          <w:bottom w:val="nil"/>
          <w:right w:val="nil"/>
          <w:between w:val="nil"/>
        </w:pBdr>
        <w:rPr>
          <w:color w:val="000000"/>
        </w:rPr>
      </w:pPr>
      <w:r>
        <w:rPr>
          <w:color w:val="000000"/>
        </w:rPr>
        <w:t xml:space="preserve">Отже, заклад є потужним гравцем у своєму сегментів з колосальним досвідом та медичною практикою, але </w:t>
      </w:r>
      <w:r>
        <w:rPr>
          <w:color w:val="000000"/>
        </w:rPr>
        <w:t>мінусом в діяльності є відсутність широкої мережі філій та високі ціни на послуги відносно конкурентів. У медичному центрі забезпечено всі необхідні умови, такі як професійний досвід та високі знання фахівців, наявність сучасного обладнання для діагностики</w:t>
      </w:r>
      <w:r>
        <w:rPr>
          <w:color w:val="000000"/>
        </w:rPr>
        <w:t>, лікування та проведення косметологічних процедур, а також комфортне стаціонарне відділення. МЦ «Mediland» здійснює діяльність з розробки пакетів медичних послуг і комплексних програм обстеження для організму, спостереження і лікування.</w:t>
      </w:r>
    </w:p>
    <w:p w:rsidR="001E0A2A" w:rsidRDefault="00E079B6">
      <w:pPr>
        <w:rPr>
          <w:color w:val="000000"/>
        </w:rPr>
      </w:pPr>
      <w:r>
        <w:rPr>
          <w:color w:val="000000"/>
        </w:rPr>
        <w:t xml:space="preserve">Модель McKinsey / </w:t>
      </w:r>
      <w:r>
        <w:rPr>
          <w:color w:val="000000"/>
        </w:rPr>
        <w:t>GE являє собою матрицю «екран бізнесу», що складається з 9 квадрантів для відображення й порівняльного аналізу стратегічних позицій напрямків господарської діяльності підприємства [5, с. 83] (рис. 1.1). За матрицею McKinsey компанії відповідає стратегія ро</w:t>
      </w:r>
      <w:r>
        <w:rPr>
          <w:color w:val="000000"/>
        </w:rPr>
        <w:t>звитку продукту (Product Development).</w:t>
      </w:r>
    </w:p>
    <w:p w:rsidR="001E0A2A" w:rsidRDefault="001E0A2A">
      <w:pPr>
        <w:rPr>
          <w:color w:val="000000"/>
        </w:rPr>
      </w:pPr>
    </w:p>
    <w:p w:rsidR="001E0A2A" w:rsidRDefault="00E079B6">
      <w:pPr>
        <w:ind w:firstLine="0"/>
        <w:jc w:val="center"/>
        <w:rPr>
          <w:color w:val="000000"/>
        </w:rPr>
      </w:pPr>
      <w:r>
        <w:pict>
          <v:group id="Полотно 128" o:spid="_x0000_s1026" editas="canvas" style="width:365.15pt;height:272.15pt;mso-position-horizontal-relative:char;mso-position-vertical-relative:line" coordsize="46374,345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6374;height:34556;visibility:visible;mso-wrap-style:square">
              <v:fill o:detectmouseclick="t"/>
              <v:path o:connecttype="none"/>
            </v:shape>
            <v:shape id="Рисунок 129" o:spid="_x0000_s1028" type="#_x0000_t75" style="position:absolute;left:3;width:46058;height:34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">
              <v:imagedata r:id="rId12" o:title="" cropright="4244f"/>
              <v:path arrowok="t"/>
            </v:shape>
            <w10:wrap type="none" anchorx="margin"/>
            <w10:anchorlock/>
          </v:group>
        </w:pict>
      </w:r>
    </w:p>
    <w:p w:rsidR="001E0A2A" w:rsidRDefault="00E079B6">
      <w:pPr>
        <w:ind w:firstLine="0"/>
        <w:jc w:val="center"/>
        <w:rPr>
          <w:color w:val="000000"/>
        </w:rPr>
      </w:pPr>
      <w:r>
        <w:rPr>
          <w:color w:val="000000"/>
        </w:rPr>
        <w:t>Рисунок 1.1 – Матриця McKinsey / GE для МЦ «Mediland»</w:t>
      </w:r>
    </w:p>
    <w:p w:rsidR="001E0A2A" w:rsidRDefault="00E079B6">
      <w:pPr>
        <w:widowControl w:val="0"/>
        <w:jc w:val="center"/>
        <w:rPr>
          <w:color w:val="000000"/>
        </w:rPr>
      </w:pPr>
      <w:r>
        <w:rPr>
          <w:color w:val="000000"/>
        </w:rPr>
        <w:t>Джерело: сформовано автором</w:t>
      </w:r>
    </w:p>
    <w:p w:rsidR="001E0A2A" w:rsidRDefault="001E0A2A">
      <w:pPr>
        <w:ind w:firstLine="0"/>
        <w:rPr>
          <w:color w:val="000000"/>
        </w:rPr>
      </w:pPr>
    </w:p>
    <w:p w:rsidR="001E0A2A" w:rsidRDefault="00E079B6">
      <w:pPr>
        <w:rPr>
          <w:color w:val="000000"/>
        </w:rPr>
      </w:pPr>
      <w:r>
        <w:rPr>
          <w:color w:val="000000"/>
        </w:rPr>
        <w:t xml:space="preserve">Організація може вирішити розвивати нові або вдосконалені продукти </w:t>
      </w:r>
      <w:r>
        <w:rPr>
          <w:color w:val="000000"/>
        </w:rPr>
        <w:t xml:space="preserve">або послуги, щоб збільшити свою конкурентоспроможність та привабливість для клієнтів на середньому ринку. Це може включати запуск нових продуктів або послуг, які відповідають потребам цільової аудиторії, або вдосконалення існуючих продуктів для поліпшення </w:t>
      </w:r>
      <w:r>
        <w:rPr>
          <w:color w:val="000000"/>
        </w:rPr>
        <w:t xml:space="preserve">їхніх характеристик та конкурентних переваг. Розвиток продукту може допомогти організації підтримати або покращити свою позицію на ринку та залучити більше клієнтів, що відповідає середнім рівням конкурентоспроможності та привабливості ринку. Таким чином, </w:t>
      </w:r>
      <w:r>
        <w:rPr>
          <w:color w:val="000000"/>
        </w:rPr>
        <w:t>основна стратегічна бізнес-одиниця МЦ «Mediland» – утримання ринкової частки з середнім ступенем привабливості і переходом на високий рівень конкурентоспроможності.</w:t>
      </w:r>
    </w:p>
    <w:p w:rsidR="001E0A2A" w:rsidRDefault="00E079B6">
      <w:pPr>
        <w:widowControl w:val="0"/>
        <w:rPr>
          <w:color w:val="000000"/>
        </w:rPr>
      </w:pPr>
      <w:r>
        <w:rPr>
          <w:color w:val="000000"/>
        </w:rPr>
        <w:t>В сучасних умовах складно прогнозувати ринок, однак однозначно можна припустити його потенц</w:t>
      </w:r>
      <w:r>
        <w:rPr>
          <w:color w:val="000000"/>
        </w:rPr>
        <w:t xml:space="preserve">ійний ріст у медичній сфері, зважаючи на попит після 2020 р. та 2022 рр., його розвиток, ймовірно, буде спрямовано на сегментацію щодо надання послуг та суттєве покращення їх якості із наданням супутніх </w:t>
      </w:r>
      <w:r>
        <w:rPr>
          <w:color w:val="000000"/>
        </w:rPr>
        <w:lastRenderedPageBreak/>
        <w:t>«компліментів» або виділенням наявністю ключових комп</w:t>
      </w:r>
      <w:r>
        <w:rPr>
          <w:color w:val="000000"/>
        </w:rPr>
        <w:t xml:space="preserve">етенцій на фоні конкурентів. </w:t>
      </w:r>
    </w:p>
    <w:p w:rsidR="001E0A2A" w:rsidRDefault="00E079B6">
      <w:pPr>
        <w:widowControl w:val="0"/>
        <w:rPr>
          <w:color w:val="000000"/>
        </w:rPr>
      </w:pPr>
      <w:r>
        <w:rPr>
          <w:color w:val="000000"/>
        </w:rPr>
        <w:t xml:space="preserve">Отже, МЦ «Mediland» – це якісний сучасний осередок з оперативного лікування, хірургічного втручання, консультацій фахівців, комфортабельного стаціонару для дорослих та дітей, профільного обладнання для лабораторних досліджень </w:t>
      </w:r>
      <w:r>
        <w:rPr>
          <w:color w:val="000000"/>
        </w:rPr>
        <w:t>та діагностики. Але, зважаючи на високу конкуренцію на ринку медичних послуг, є потреба постійного удосконалення та розвитку маркетингової діяльності  компанії з метою утримання та збільшення кількості своїх клієнтів</w:t>
      </w:r>
    </w:p>
    <w:p w:rsidR="001E0A2A" w:rsidRDefault="001E0A2A">
      <w:pPr>
        <w:widowControl w:val="0"/>
        <w:rPr>
          <w:color w:val="000000"/>
        </w:rPr>
      </w:pPr>
    </w:p>
    <w:p w:rsidR="001E0A2A" w:rsidRDefault="00E079B6">
      <w:pPr>
        <w:pStyle w:val="2"/>
        <w:numPr>
          <w:ilvl w:val="1"/>
          <w:numId w:val="37"/>
        </w:numPr>
        <w:rPr>
          <w:color w:val="000000"/>
        </w:rPr>
      </w:pPr>
      <w:bookmarkStart w:id="5" w:name="_heading=h.2et92p0" w:colFirst="0" w:colLast="0"/>
      <w:bookmarkEnd w:id="5"/>
      <w:r>
        <w:t xml:space="preserve">Аналіз маркетингового середовища </w:t>
      </w:r>
      <w:r>
        <w:rPr>
          <w:color w:val="000000"/>
        </w:rPr>
        <w:t>МЦ «Mediland»</w:t>
      </w:r>
    </w:p>
    <w:p w:rsidR="001E0A2A" w:rsidRDefault="001E0A2A">
      <w:pPr>
        <w:pBdr>
          <w:top w:val="nil"/>
          <w:left w:val="nil"/>
          <w:bottom w:val="nil"/>
          <w:right w:val="nil"/>
          <w:between w:val="nil"/>
        </w:pBdr>
        <w:ind w:left="1129" w:firstLine="0"/>
        <w:rPr>
          <w:color w:val="000000"/>
        </w:rPr>
      </w:pPr>
    </w:p>
    <w:p w:rsidR="001E0A2A" w:rsidRDefault="00E079B6">
      <w:pPr>
        <w:widowControl w:val="0"/>
        <w:pBdr>
          <w:top w:val="nil"/>
          <w:left w:val="nil"/>
          <w:bottom w:val="nil"/>
          <w:right w:val="nil"/>
          <w:between w:val="nil"/>
        </w:pBdr>
        <w:rPr>
          <w:color w:val="000000"/>
        </w:rPr>
      </w:pPr>
      <w:r>
        <w:rPr>
          <w:color w:val="000000"/>
        </w:rPr>
        <w:t>Щоб визначити становище підприємства на ринку нам необхідно розглянути зовнішнє середовище, яке включає макро- , мезо- та мікросередовище медичного центру. Спочатку розглянемо фактори макросередовища. До них відносяться політико-правові, еко</w:t>
      </w:r>
      <w:r>
        <w:rPr>
          <w:color w:val="000000"/>
        </w:rPr>
        <w:t>номічні, соціокультурні, демографічні, науково-технічні та природно-кліматичні.</w:t>
      </w:r>
    </w:p>
    <w:p w:rsidR="001E0A2A" w:rsidRDefault="00E079B6">
      <w:pPr>
        <w:widowControl w:val="0"/>
        <w:pBdr>
          <w:top w:val="nil"/>
          <w:left w:val="nil"/>
          <w:bottom w:val="nil"/>
          <w:right w:val="nil"/>
          <w:between w:val="nil"/>
        </w:pBdr>
        <w:rPr>
          <w:color w:val="000000"/>
        </w:rPr>
      </w:pPr>
      <w:r>
        <w:rPr>
          <w:color w:val="000000"/>
        </w:rPr>
        <w:t>Сучасні фактори макросередовища щодо впливу на діяльність МЦ «Mediland» зумовлені вже не тільки наслідками пандемії 2020 р., але й зростанням звернень населення, яке потребує л</w:t>
      </w:r>
      <w:r>
        <w:rPr>
          <w:color w:val="000000"/>
        </w:rPr>
        <w:t>ікування в зв’язку  з подіями війни, яка триває з 2022 рр. Розглянемо детальніше різні фактори макросередовища. Почнемо з політико-правових факторів для медичного центру «Mediland». Вони можуть включати такі аспекти:</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Ліцензування та регулювання діяльності:</w:t>
      </w:r>
      <w:r>
        <w:rPr>
          <w:color w:val="000000"/>
        </w:rPr>
        <w:t xml:space="preserve"> Законодавство, що визначає вимоги до отримання ліцензії для медичного центру, включаючи вимоги до обладнання, персоналу та стандартів надання медичних послуг [9].</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 xml:space="preserve">Здійснення медичної практики: Вимоги щодо кваліфікації та ліцензування медичного персоналу, </w:t>
      </w:r>
      <w:r>
        <w:rPr>
          <w:color w:val="000000"/>
        </w:rPr>
        <w:t>включаючи лікарів, медичних сестер та інших спеціалістів.</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 xml:space="preserve">Збереження конфіденційності та захисту даних пацієнтів: Відповідність положенням щодо збереження особистих даних та конфіденційності </w:t>
      </w:r>
      <w:r>
        <w:rPr>
          <w:color w:val="000000"/>
        </w:rPr>
        <w:lastRenderedPageBreak/>
        <w:t>медичної інформації пацієнтів.</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Фінансові аспекти: Податкове закон</w:t>
      </w:r>
      <w:r>
        <w:rPr>
          <w:color w:val="000000"/>
        </w:rPr>
        <w:t>одавство, ставки податків та інші фінансові вимоги, що можуть впливати на фінансовий стан медичного центру та вартість медичних послуг для пацієнтів.</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Медичне страхування: Відповідність вимогам медичного страхування та регулювання в цій сфері, включаючи укл</w:t>
      </w:r>
      <w:r>
        <w:rPr>
          <w:color w:val="000000"/>
        </w:rPr>
        <w:t>адення договорів зі страховими компаніями та відшкодування витрат за медичні послуги.</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Юридична відповідальність: Відповідність юридичним нормам та вимогам у разі виникнення ситуацій юридичної відповідальності, таких як позови пацієнтів або претензії щодо н</w:t>
      </w:r>
      <w:r>
        <w:rPr>
          <w:color w:val="000000"/>
        </w:rPr>
        <w:t>адання медичних послуг.</w:t>
      </w:r>
    </w:p>
    <w:p w:rsidR="001E0A2A" w:rsidRDefault="00E079B6">
      <w:pPr>
        <w:widowControl w:val="0"/>
        <w:numPr>
          <w:ilvl w:val="0"/>
          <w:numId w:val="4"/>
        </w:numPr>
        <w:pBdr>
          <w:top w:val="nil"/>
          <w:left w:val="nil"/>
          <w:bottom w:val="nil"/>
          <w:right w:val="nil"/>
          <w:between w:val="nil"/>
        </w:pBdr>
        <w:spacing w:line="348" w:lineRule="auto"/>
        <w:ind w:left="0" w:firstLine="720"/>
        <w:rPr>
          <w:color w:val="000000"/>
        </w:rPr>
      </w:pPr>
      <w:r>
        <w:rPr>
          <w:color w:val="000000"/>
        </w:rPr>
        <w:t>Політична нестабільність та воєнний конфлікт: Військові дії та політична нестабільність у країні можуть призвести до порушення правового порядку, включаючи зміни у законодавстві, що регулює діяльність медичних установ. Це може вплинути на умови ліцензуванн</w:t>
      </w:r>
      <w:r>
        <w:rPr>
          <w:color w:val="000000"/>
        </w:rPr>
        <w:t>я, здійснення медичної практики та інші аспекти функціонування медичного центру.</w:t>
      </w:r>
    </w:p>
    <w:p w:rsidR="001E0A2A" w:rsidRDefault="00E079B6">
      <w:pPr>
        <w:widowControl w:val="0"/>
        <w:numPr>
          <w:ilvl w:val="0"/>
          <w:numId w:val="4"/>
        </w:numPr>
        <w:pBdr>
          <w:top w:val="nil"/>
          <w:left w:val="nil"/>
          <w:bottom w:val="nil"/>
          <w:right w:val="nil"/>
          <w:between w:val="nil"/>
        </w:pBdr>
        <w:ind w:left="0" w:firstLine="720"/>
        <w:rPr>
          <w:color w:val="000000"/>
        </w:rPr>
      </w:pPr>
      <w:r>
        <w:rPr>
          <w:color w:val="000000"/>
        </w:rPr>
        <w:t>Загроза безпеці: Воєнний конфлікт може створювати загрозу безпеці для медичного персоналу та пацієнтів, а також може вплинути на безпеку медичних закладів та обладнання. Це мо</w:t>
      </w:r>
      <w:r>
        <w:rPr>
          <w:color w:val="000000"/>
        </w:rPr>
        <w:t>же вимагати введення додаткових заходів безпеки та забезпечення медичного центру відповідними ресурсами для захисту персоналу та пацієнтів.</w:t>
      </w:r>
    </w:p>
    <w:p w:rsidR="001E0A2A" w:rsidRDefault="00E079B6">
      <w:pPr>
        <w:widowControl w:val="0"/>
        <w:pBdr>
          <w:top w:val="nil"/>
          <w:left w:val="nil"/>
          <w:bottom w:val="nil"/>
          <w:right w:val="nil"/>
          <w:between w:val="nil"/>
        </w:pBdr>
        <w:rPr>
          <w:color w:val="000000"/>
        </w:rPr>
      </w:pPr>
      <w:r>
        <w:rPr>
          <w:color w:val="000000"/>
        </w:rPr>
        <w:t xml:space="preserve">МЦ «Mediland» не має ніяких проблем з ліцензуванням та дотриманням інших політико-правових факторів. Копії ліцензії </w:t>
      </w:r>
      <w:r>
        <w:rPr>
          <w:color w:val="000000"/>
        </w:rPr>
        <w:t xml:space="preserve">та акредитаційного сертифікату компанії наведені у Додатку А. Без дотримання політико–правових факторів просто неможливо функціонувати на ринку тому більшість з них не раціонально відносити до ринкових загроз та можливостей. Фактор медичного страхування є </w:t>
      </w:r>
      <w:r>
        <w:rPr>
          <w:color w:val="000000"/>
        </w:rPr>
        <w:t>ринковою можливістю, яку компанія успішно використовує. Політична нестабільність та воєнний конфлікт поки не порушили правового порядку у медичній сфері, проте разом з фактором загрози безпеки являються ринковими загрозами.</w:t>
      </w:r>
    </w:p>
    <w:p w:rsidR="001E0A2A" w:rsidRDefault="00E079B6">
      <w:pPr>
        <w:widowControl w:val="0"/>
        <w:pBdr>
          <w:top w:val="nil"/>
          <w:left w:val="nil"/>
          <w:bottom w:val="nil"/>
          <w:right w:val="nil"/>
          <w:between w:val="nil"/>
        </w:pBdr>
        <w:rPr>
          <w:color w:val="000000"/>
        </w:rPr>
      </w:pPr>
      <w:r>
        <w:rPr>
          <w:color w:val="000000"/>
        </w:rPr>
        <w:t>Наступними розглянемо економічні</w:t>
      </w:r>
      <w:r>
        <w:rPr>
          <w:color w:val="000000"/>
        </w:rPr>
        <w:t xml:space="preserve"> фактори, які можуть впливати на </w:t>
      </w:r>
      <w:r>
        <w:rPr>
          <w:color w:val="000000"/>
        </w:rPr>
        <w:lastRenderedPageBreak/>
        <w:t>діяльність медичного центру Mediland:</w:t>
      </w:r>
    </w:p>
    <w:p w:rsidR="001E0A2A" w:rsidRDefault="00E079B6">
      <w:pPr>
        <w:widowControl w:val="0"/>
        <w:numPr>
          <w:ilvl w:val="0"/>
          <w:numId w:val="6"/>
        </w:numPr>
        <w:pBdr>
          <w:top w:val="nil"/>
          <w:left w:val="nil"/>
          <w:bottom w:val="nil"/>
          <w:right w:val="nil"/>
          <w:between w:val="nil"/>
        </w:pBdr>
        <w:ind w:left="0" w:firstLine="720"/>
        <w:rPr>
          <w:color w:val="000000"/>
        </w:rPr>
      </w:pPr>
      <w:r>
        <w:rPr>
          <w:color w:val="000000"/>
        </w:rPr>
        <w:t>Доходи населення: Рівень доходів клієнтів може впливати на їхню спроможність оплачувати медичні послуги. Зміни в економічному статусі можуть впливати на попит на послуги медичного центру.</w:t>
      </w:r>
    </w:p>
    <w:p w:rsidR="001E0A2A" w:rsidRDefault="00E079B6">
      <w:pPr>
        <w:widowControl w:val="0"/>
        <w:numPr>
          <w:ilvl w:val="0"/>
          <w:numId w:val="6"/>
        </w:numPr>
        <w:pBdr>
          <w:top w:val="nil"/>
          <w:left w:val="nil"/>
          <w:bottom w:val="nil"/>
          <w:right w:val="nil"/>
          <w:between w:val="nil"/>
        </w:pBdr>
        <w:ind w:left="0" w:firstLine="720"/>
        <w:rPr>
          <w:color w:val="000000"/>
        </w:rPr>
      </w:pPr>
      <w:r>
        <w:rPr>
          <w:color w:val="000000"/>
        </w:rPr>
        <w:t xml:space="preserve">Витрати на охорону здоров'я: Зміни у витратах держави або приватних </w:t>
      </w:r>
      <w:r>
        <w:rPr>
          <w:color w:val="000000"/>
        </w:rPr>
        <w:t>страхових компаній на охорону здоров'я можуть впливати на фінансову стійкість медичного центру.</w:t>
      </w:r>
    </w:p>
    <w:p w:rsidR="001E0A2A" w:rsidRDefault="00E079B6">
      <w:pPr>
        <w:widowControl w:val="0"/>
        <w:numPr>
          <w:ilvl w:val="0"/>
          <w:numId w:val="6"/>
        </w:numPr>
        <w:pBdr>
          <w:top w:val="nil"/>
          <w:left w:val="nil"/>
          <w:bottom w:val="nil"/>
          <w:right w:val="nil"/>
          <w:between w:val="nil"/>
        </w:pBdr>
        <w:ind w:left="0" w:firstLine="720"/>
        <w:rPr>
          <w:color w:val="000000"/>
        </w:rPr>
      </w:pPr>
      <w:r>
        <w:rPr>
          <w:color w:val="000000"/>
        </w:rPr>
        <w:t>Конкуренція: Наявність інших медичних закладів у регіоні може впливати на ціни, які встановлює “Mediland”, а також на його здатність залучати та утримувати кліє</w:t>
      </w:r>
      <w:r>
        <w:rPr>
          <w:color w:val="000000"/>
        </w:rPr>
        <w:t>нтів.</w:t>
      </w:r>
    </w:p>
    <w:p w:rsidR="001E0A2A" w:rsidRDefault="00E079B6">
      <w:pPr>
        <w:widowControl w:val="0"/>
        <w:numPr>
          <w:ilvl w:val="0"/>
          <w:numId w:val="6"/>
        </w:numPr>
        <w:pBdr>
          <w:top w:val="nil"/>
          <w:left w:val="nil"/>
          <w:bottom w:val="nil"/>
          <w:right w:val="nil"/>
          <w:between w:val="nil"/>
        </w:pBdr>
        <w:ind w:left="0" w:firstLine="720"/>
        <w:rPr>
          <w:color w:val="000000"/>
        </w:rPr>
      </w:pPr>
      <w:r>
        <w:rPr>
          <w:color w:val="000000"/>
        </w:rPr>
        <w:t>Фінансові умови: Зміни в ставках процентів, доступність кредитів та інші фінансові фактори можуть впливати на можливості розширення, модернізації або інвестицій в медичний центр.</w:t>
      </w:r>
    </w:p>
    <w:p w:rsidR="001E0A2A" w:rsidRDefault="00E079B6">
      <w:pPr>
        <w:widowControl w:val="0"/>
        <w:numPr>
          <w:ilvl w:val="0"/>
          <w:numId w:val="6"/>
        </w:numPr>
        <w:pBdr>
          <w:top w:val="nil"/>
          <w:left w:val="nil"/>
          <w:bottom w:val="nil"/>
          <w:right w:val="nil"/>
          <w:between w:val="nil"/>
        </w:pBdr>
        <w:ind w:left="0" w:firstLine="720"/>
        <w:rPr>
          <w:color w:val="000000"/>
        </w:rPr>
      </w:pPr>
      <w:r>
        <w:rPr>
          <w:color w:val="000000"/>
        </w:rPr>
        <w:t>Інфляція: Зростання рівня інфляції може призвести до зростання вартості</w:t>
      </w:r>
      <w:r>
        <w:rPr>
          <w:color w:val="000000"/>
        </w:rPr>
        <w:t xml:space="preserve"> обладнання, медичних матеріалів та інших витрат, що може вплинути на витрати медичного центру.</w:t>
      </w:r>
    </w:p>
    <w:p w:rsidR="001E0A2A" w:rsidRDefault="00E079B6">
      <w:pPr>
        <w:widowControl w:val="0"/>
        <w:numPr>
          <w:ilvl w:val="0"/>
          <w:numId w:val="6"/>
        </w:numPr>
        <w:pBdr>
          <w:top w:val="nil"/>
          <w:left w:val="nil"/>
          <w:bottom w:val="nil"/>
          <w:right w:val="nil"/>
          <w:between w:val="nil"/>
        </w:pBdr>
        <w:ind w:left="0" w:firstLine="720"/>
        <w:rPr>
          <w:color w:val="000000"/>
        </w:rPr>
      </w:pPr>
      <w:r>
        <w:rPr>
          <w:color w:val="000000"/>
        </w:rPr>
        <w:t>Законодавство про охорону здоров'я: Зміни в законодавстві щодо медичного страхування, регулювання медичної практики та інші правові аспекти можуть мати фінансов</w:t>
      </w:r>
      <w:r>
        <w:rPr>
          <w:color w:val="000000"/>
        </w:rPr>
        <w:t>і наслідки для медичного центру.</w:t>
      </w:r>
    </w:p>
    <w:p w:rsidR="001E0A2A" w:rsidRDefault="00E079B6">
      <w:pPr>
        <w:widowControl w:val="0"/>
        <w:pBdr>
          <w:top w:val="nil"/>
          <w:left w:val="nil"/>
          <w:bottom w:val="nil"/>
          <w:right w:val="nil"/>
          <w:between w:val="nil"/>
        </w:pBdr>
        <w:spacing w:line="348" w:lineRule="auto"/>
        <w:rPr>
          <w:color w:val="000000"/>
        </w:rPr>
      </w:pPr>
      <w:r>
        <w:rPr>
          <w:color w:val="000000"/>
        </w:rPr>
        <w:t xml:space="preserve">У Києві, столиці України, заробітні плати продовжують залишатися найвищими по всій країні. Протягом першого місяця 2024 року спостерігався невелике зростання заробітних плат, що становить 22 000 гривень. Ця цифра є медіаною зарплат за даними, отриманими з </w:t>
      </w:r>
      <w:r>
        <w:rPr>
          <w:color w:val="000000"/>
        </w:rPr>
        <w:t xml:space="preserve">більш ніж 62 тисяч вакансій, розміщених на популярному сайті з пошуку роботи Work.ua протягом останніх трьох місяців 2023 року [10]. </w:t>
      </w:r>
    </w:p>
    <w:p w:rsidR="001E0A2A" w:rsidRDefault="00E079B6">
      <w:pPr>
        <w:widowControl w:val="0"/>
        <w:pBdr>
          <w:top w:val="nil"/>
          <w:left w:val="nil"/>
          <w:bottom w:val="nil"/>
          <w:right w:val="nil"/>
          <w:between w:val="nil"/>
        </w:pBdr>
        <w:rPr>
          <w:color w:val="000000"/>
        </w:rPr>
      </w:pPr>
      <w:r>
        <w:rPr>
          <w:color w:val="000000"/>
        </w:rPr>
        <w:t>Київська міська рада прийняла рішення щодо бюджету столиці на 2024 рік, де передбачено видатки практично на рівні 6 мільяр</w:t>
      </w:r>
      <w:r>
        <w:rPr>
          <w:color w:val="000000"/>
        </w:rPr>
        <w:t xml:space="preserve">дів гривень для сектору медицини. Це майже відповідає видаткам 2023 року [11]. У березні 2024 року інфляція на ринку споживчих товарів зросла на 0,5% порівняно з лютим 2024 року та на 1,2% з початку року [12]. Виходячи з цих факторів, платоспроможність </w:t>
      </w:r>
      <w:r>
        <w:rPr>
          <w:color w:val="000000"/>
        </w:rPr>
        <w:lastRenderedPageBreak/>
        <w:t>нас</w:t>
      </w:r>
      <w:r>
        <w:rPr>
          <w:color w:val="000000"/>
        </w:rPr>
        <w:t>елення знижується і це є ринковою загрозою для нас. Проте в умовах війни зафіксовано збільшення звернень до лікарень. Це може бути пов’язано з ушкодженнями отриманими в наслідок воєнних дій, а також з тим, що люди перестали відкладати питання здоров’я на п</w:t>
      </w:r>
      <w:r>
        <w:rPr>
          <w:color w:val="000000"/>
        </w:rPr>
        <w:t>отім, бо почали більше цінувати своє життя. Тож виникає ринкова можливість збільшення попиту на приватні медичні послуги у зв'язку зі зростанням свідомості про здоров'я</w:t>
      </w:r>
    </w:p>
    <w:p w:rsidR="001E0A2A" w:rsidRDefault="00E079B6">
      <w:pPr>
        <w:widowControl w:val="0"/>
        <w:pBdr>
          <w:top w:val="nil"/>
          <w:left w:val="nil"/>
          <w:bottom w:val="nil"/>
          <w:right w:val="nil"/>
          <w:between w:val="nil"/>
        </w:pBdr>
        <w:rPr>
          <w:color w:val="000000"/>
        </w:rPr>
      </w:pPr>
      <w:r>
        <w:rPr>
          <w:color w:val="000000"/>
        </w:rPr>
        <w:t>Фактор конкуренції є ринковою загрозою, бо конкуренція на ринку медичних послуг весь ча</w:t>
      </w:r>
      <w:r>
        <w:rPr>
          <w:color w:val="000000"/>
        </w:rPr>
        <w:t>с зростає. А фактор законодавства ми вже розглянули в політико–правових факторах.</w:t>
      </w:r>
    </w:p>
    <w:p w:rsidR="001E0A2A" w:rsidRDefault="00E079B6">
      <w:pPr>
        <w:widowControl w:val="0"/>
        <w:pBdr>
          <w:top w:val="nil"/>
          <w:left w:val="nil"/>
          <w:bottom w:val="nil"/>
          <w:right w:val="nil"/>
          <w:between w:val="nil"/>
        </w:pBdr>
        <w:rPr>
          <w:color w:val="000000"/>
        </w:rPr>
      </w:pPr>
      <w:r>
        <w:rPr>
          <w:color w:val="000000"/>
        </w:rPr>
        <w:t>Соціокультурні фактори для медичного центру «Mediland» можуть включати наступне:</w:t>
      </w:r>
    </w:p>
    <w:p w:rsidR="001E0A2A" w:rsidRDefault="00E079B6">
      <w:pPr>
        <w:widowControl w:val="0"/>
        <w:numPr>
          <w:ilvl w:val="0"/>
          <w:numId w:val="9"/>
        </w:numPr>
        <w:pBdr>
          <w:top w:val="nil"/>
          <w:left w:val="nil"/>
          <w:bottom w:val="nil"/>
          <w:right w:val="nil"/>
          <w:between w:val="nil"/>
        </w:pBdr>
        <w:ind w:left="0" w:firstLine="720"/>
        <w:rPr>
          <w:color w:val="000000"/>
        </w:rPr>
      </w:pPr>
      <w:r>
        <w:rPr>
          <w:color w:val="000000"/>
        </w:rPr>
        <w:t>Культурні переконання та погляди на медицину: Деякі культури можуть мати свої унікальні уявлення про здоров'я, хвороби та методи лікування. «Mediland» повинен знати про них та враховувати їх у своїй практиці, забезпечуючи культурно-чутливу медичну допомогу</w:t>
      </w:r>
      <w:r>
        <w:rPr>
          <w:color w:val="000000"/>
        </w:rPr>
        <w:t>.</w:t>
      </w:r>
    </w:p>
    <w:p w:rsidR="001E0A2A" w:rsidRDefault="00E079B6">
      <w:pPr>
        <w:widowControl w:val="0"/>
        <w:numPr>
          <w:ilvl w:val="0"/>
          <w:numId w:val="9"/>
        </w:numPr>
        <w:pBdr>
          <w:top w:val="nil"/>
          <w:left w:val="nil"/>
          <w:bottom w:val="nil"/>
          <w:right w:val="nil"/>
          <w:between w:val="nil"/>
        </w:pBdr>
        <w:ind w:left="0" w:firstLine="720"/>
        <w:rPr>
          <w:color w:val="000000"/>
        </w:rPr>
      </w:pPr>
      <w:r>
        <w:rPr>
          <w:color w:val="000000"/>
        </w:rPr>
        <w:t>Доступність медичної інформації: Ступінь освіченості та доступ до інформації можуть впливати на рівень знань пацієнтів про їхнє здоров'я та можливості лікування. «Mediland» може сприяти освіті пацієнтів та надавати інформаційну підтримку.</w:t>
      </w:r>
    </w:p>
    <w:p w:rsidR="001E0A2A" w:rsidRDefault="00E079B6">
      <w:pPr>
        <w:widowControl w:val="0"/>
        <w:numPr>
          <w:ilvl w:val="0"/>
          <w:numId w:val="9"/>
        </w:numPr>
        <w:pBdr>
          <w:top w:val="nil"/>
          <w:left w:val="nil"/>
          <w:bottom w:val="nil"/>
          <w:right w:val="nil"/>
          <w:between w:val="nil"/>
        </w:pBdr>
        <w:ind w:left="0" w:firstLine="720"/>
        <w:rPr>
          <w:color w:val="000000"/>
        </w:rPr>
      </w:pPr>
      <w:r>
        <w:rPr>
          <w:color w:val="000000"/>
        </w:rPr>
        <w:t>Ставлення до пр</w:t>
      </w:r>
      <w:r>
        <w:rPr>
          <w:color w:val="000000"/>
        </w:rPr>
        <w:t>офесійної медичної допомоги: Деякі групи населення можуть мати свої упередження або довіри до медичних закладів. «Mediland» може займатися побудовою довіри та створенням позитивного враження про свою діяльність.</w:t>
      </w:r>
    </w:p>
    <w:p w:rsidR="001E0A2A" w:rsidRDefault="00E079B6">
      <w:pPr>
        <w:widowControl w:val="0"/>
        <w:numPr>
          <w:ilvl w:val="0"/>
          <w:numId w:val="9"/>
        </w:numPr>
        <w:pBdr>
          <w:top w:val="nil"/>
          <w:left w:val="nil"/>
          <w:bottom w:val="nil"/>
          <w:right w:val="nil"/>
          <w:between w:val="nil"/>
        </w:pBdr>
        <w:ind w:left="0" w:firstLine="720"/>
        <w:rPr>
          <w:color w:val="000000"/>
        </w:rPr>
      </w:pPr>
      <w:r>
        <w:rPr>
          <w:color w:val="000000"/>
        </w:rPr>
        <w:t>Ставлення до здорового способу життя: Культу</w:t>
      </w:r>
      <w:r>
        <w:rPr>
          <w:color w:val="000000"/>
        </w:rPr>
        <w:t>рні та соціальні тенденції можуть впливати на підходи до здорового способу життя та профілактичних заходів. «Mediland» може займати активну позицію у просвітницькій діяльності щодо здорового способу життя.</w:t>
      </w:r>
    </w:p>
    <w:p w:rsidR="001E0A2A" w:rsidRDefault="00E079B6">
      <w:pPr>
        <w:widowControl w:val="0"/>
        <w:numPr>
          <w:ilvl w:val="0"/>
          <w:numId w:val="9"/>
        </w:numPr>
        <w:pBdr>
          <w:top w:val="nil"/>
          <w:left w:val="nil"/>
          <w:bottom w:val="nil"/>
          <w:right w:val="nil"/>
          <w:between w:val="nil"/>
        </w:pBdr>
        <w:ind w:left="0" w:firstLine="720"/>
        <w:rPr>
          <w:color w:val="000000"/>
        </w:rPr>
      </w:pPr>
      <w:r>
        <w:rPr>
          <w:color w:val="000000"/>
        </w:rPr>
        <w:t xml:space="preserve">Етнічна різноманітність: Медичний центр може мати </w:t>
      </w:r>
      <w:r>
        <w:rPr>
          <w:color w:val="000000"/>
        </w:rPr>
        <w:t xml:space="preserve">справу з різними етнічними групами, кожна з яких може мати свої унікальні медичні потреби та традиції. «Mediland» може працювати над розумінням та врахуванням цих </w:t>
      </w:r>
      <w:r>
        <w:rPr>
          <w:color w:val="000000"/>
        </w:rPr>
        <w:lastRenderedPageBreak/>
        <w:t>різноманітностей у наданні медичних послуг.</w:t>
      </w:r>
    </w:p>
    <w:p w:rsidR="001E0A2A" w:rsidRDefault="00E079B6">
      <w:pPr>
        <w:widowControl w:val="0"/>
        <w:pBdr>
          <w:top w:val="nil"/>
          <w:left w:val="nil"/>
          <w:bottom w:val="nil"/>
          <w:right w:val="nil"/>
          <w:between w:val="nil"/>
        </w:pBdr>
        <w:rPr>
          <w:color w:val="000000"/>
        </w:rPr>
      </w:pPr>
      <w:r>
        <w:rPr>
          <w:color w:val="000000"/>
        </w:rPr>
        <w:t xml:space="preserve">Урахування соціокультурних факторів допомагає МЦ </w:t>
      </w:r>
      <w:r>
        <w:rPr>
          <w:color w:val="000000"/>
        </w:rPr>
        <w:t>«Mediland» забезпечити індивідуальну та культурно-чутливу медичну допомогу своїм пацієнтам. А адаптація медичних послуг та комунікації до потреб різних соціокультурних груп може дати можливість підвищення задоволення пацієнтів та рівня взаєморозуміння.</w:t>
      </w:r>
    </w:p>
    <w:p w:rsidR="001E0A2A" w:rsidRDefault="00E079B6">
      <w:pPr>
        <w:widowControl w:val="0"/>
        <w:pBdr>
          <w:top w:val="nil"/>
          <w:left w:val="nil"/>
          <w:bottom w:val="nil"/>
          <w:right w:val="nil"/>
          <w:between w:val="nil"/>
        </w:pBdr>
        <w:rPr>
          <w:color w:val="000000"/>
        </w:rPr>
      </w:pPr>
      <w:r>
        <w:rPr>
          <w:color w:val="000000"/>
        </w:rPr>
        <w:t>Дем</w:t>
      </w:r>
      <w:r>
        <w:rPr>
          <w:color w:val="000000"/>
        </w:rPr>
        <w:t>ографічні фактори для медичного центру «Mediland» включають розмір та структуру населення в районі обслуговування, а також динаміку демографічних процесів. Ось кілька аспектів, які можуть впливати на «Mediland»:</w:t>
      </w:r>
    </w:p>
    <w:p w:rsidR="001E0A2A" w:rsidRDefault="00E079B6">
      <w:pPr>
        <w:widowControl w:val="0"/>
        <w:numPr>
          <w:ilvl w:val="0"/>
          <w:numId w:val="13"/>
        </w:numPr>
        <w:pBdr>
          <w:top w:val="nil"/>
          <w:left w:val="nil"/>
          <w:bottom w:val="nil"/>
          <w:right w:val="nil"/>
          <w:between w:val="nil"/>
        </w:pBdr>
        <w:spacing w:line="348" w:lineRule="auto"/>
        <w:ind w:left="0" w:firstLine="720"/>
        <w:rPr>
          <w:color w:val="000000"/>
        </w:rPr>
      </w:pPr>
      <w:r>
        <w:rPr>
          <w:color w:val="000000"/>
        </w:rPr>
        <w:t>Розмір населення: Обсяг популяції в районі о</w:t>
      </w:r>
      <w:r>
        <w:rPr>
          <w:color w:val="000000"/>
        </w:rPr>
        <w:t>бслуговування може впливати на попит на медичні послуги. Наприклад, у великих міських районах попит на медичні послуги може бути вищим, ніж у менших сільських районах.</w:t>
      </w:r>
    </w:p>
    <w:p w:rsidR="001E0A2A" w:rsidRDefault="00E079B6">
      <w:pPr>
        <w:widowControl w:val="0"/>
        <w:numPr>
          <w:ilvl w:val="0"/>
          <w:numId w:val="13"/>
        </w:numPr>
        <w:pBdr>
          <w:top w:val="nil"/>
          <w:left w:val="nil"/>
          <w:bottom w:val="nil"/>
          <w:right w:val="nil"/>
          <w:between w:val="nil"/>
        </w:pBdr>
        <w:ind w:left="0" w:firstLine="720"/>
        <w:rPr>
          <w:color w:val="000000"/>
        </w:rPr>
      </w:pPr>
      <w:r>
        <w:rPr>
          <w:color w:val="000000"/>
        </w:rPr>
        <w:t>Структура населення за віком: Розподіл населення за віковими групами може вказувати на специфічні потреби в медичному обслуговуванні. Наприклад, район з великою кількістю людей похилого віку може вимагати більше уваги до послуг геріатрії та паліативної доп</w:t>
      </w:r>
      <w:r>
        <w:rPr>
          <w:color w:val="000000"/>
        </w:rPr>
        <w:t>омоги.</w:t>
      </w:r>
    </w:p>
    <w:p w:rsidR="001E0A2A" w:rsidRDefault="00E079B6">
      <w:pPr>
        <w:widowControl w:val="0"/>
        <w:numPr>
          <w:ilvl w:val="0"/>
          <w:numId w:val="13"/>
        </w:numPr>
        <w:pBdr>
          <w:top w:val="nil"/>
          <w:left w:val="nil"/>
          <w:bottom w:val="nil"/>
          <w:right w:val="nil"/>
          <w:between w:val="nil"/>
        </w:pBdr>
        <w:ind w:left="0" w:firstLine="720"/>
        <w:rPr>
          <w:color w:val="000000"/>
        </w:rPr>
      </w:pPr>
      <w:r>
        <w:rPr>
          <w:color w:val="000000"/>
        </w:rPr>
        <w:t>Динаміка народжуваності та смертності: Тенденції у народжуваності та смертності можуть впливати на загальний попит на медичні послуги та типи послуг, які найбільше потрібні.</w:t>
      </w:r>
    </w:p>
    <w:p w:rsidR="001E0A2A" w:rsidRDefault="00E079B6">
      <w:pPr>
        <w:widowControl w:val="0"/>
        <w:numPr>
          <w:ilvl w:val="0"/>
          <w:numId w:val="13"/>
        </w:numPr>
        <w:pBdr>
          <w:top w:val="nil"/>
          <w:left w:val="nil"/>
          <w:bottom w:val="nil"/>
          <w:right w:val="nil"/>
          <w:between w:val="nil"/>
        </w:pBdr>
        <w:ind w:left="0" w:firstLine="720"/>
        <w:rPr>
          <w:color w:val="000000"/>
        </w:rPr>
      </w:pPr>
      <w:r>
        <w:rPr>
          <w:color w:val="000000"/>
        </w:rPr>
        <w:t xml:space="preserve">Етнічний склад: Культурні та етнічні особливості населення можуть впливати </w:t>
      </w:r>
      <w:r>
        <w:rPr>
          <w:color w:val="000000"/>
        </w:rPr>
        <w:t>на вибір медичних послуг та підходів до лікування.</w:t>
      </w:r>
    </w:p>
    <w:p w:rsidR="001E0A2A" w:rsidRDefault="00E079B6">
      <w:pPr>
        <w:widowControl w:val="0"/>
        <w:numPr>
          <w:ilvl w:val="0"/>
          <w:numId w:val="13"/>
        </w:numPr>
        <w:pBdr>
          <w:top w:val="nil"/>
          <w:left w:val="nil"/>
          <w:bottom w:val="nil"/>
          <w:right w:val="nil"/>
          <w:between w:val="nil"/>
        </w:pBdr>
        <w:ind w:left="0" w:firstLine="720"/>
        <w:rPr>
          <w:color w:val="000000"/>
        </w:rPr>
      </w:pPr>
      <w:r>
        <w:rPr>
          <w:color w:val="000000"/>
        </w:rPr>
        <w:t>Міграційні процеси: Приплив нових мешканців або міграція між регіонами може вплинути на зміну розміру та складу населення, що, в свою чергу, може змінити попит на медичні послуги.</w:t>
      </w:r>
    </w:p>
    <w:p w:rsidR="001E0A2A" w:rsidRDefault="00E079B6">
      <w:pPr>
        <w:widowControl w:val="0"/>
        <w:pBdr>
          <w:top w:val="nil"/>
          <w:left w:val="nil"/>
          <w:bottom w:val="nil"/>
          <w:right w:val="nil"/>
          <w:between w:val="nil"/>
        </w:pBdr>
        <w:rPr>
          <w:color w:val="000000"/>
        </w:rPr>
      </w:pPr>
      <w:r>
        <w:rPr>
          <w:color w:val="000000"/>
        </w:rPr>
        <w:t>У серпні 2023 року у Києв</w:t>
      </w:r>
      <w:r>
        <w:rPr>
          <w:color w:val="000000"/>
        </w:rPr>
        <w:t xml:space="preserve">і мешкало 3,1 мільйона осіб [13]. За даними 2020 року у столиці України, Києві, жінки складали 53,9% населення, тоді як чоловіки становили 46,1%. Найбільша частка населення, а саме 29,5%, належала до вікової категорії від 20 до 39 років. Порівну, тобто по </w:t>
      </w:r>
      <w:r>
        <w:rPr>
          <w:color w:val="000000"/>
        </w:rPr>
        <w:t xml:space="preserve">21,4%, розподілялися діти віком від нуля до 19 років і мешканці старше 60 років. У віковій категорії від 40 до 59 років знаходилися 27,7% киян [14] (рис. 1.2). В столиці України відбулося скорочення </w:t>
      </w:r>
      <w:r>
        <w:rPr>
          <w:color w:val="000000"/>
        </w:rPr>
        <w:lastRenderedPageBreak/>
        <w:t>кількості народжених дітей, тоді як кількість смертей в м</w:t>
      </w:r>
      <w:r>
        <w:rPr>
          <w:color w:val="000000"/>
        </w:rPr>
        <w:t>істі протягом минулого року зросла [15].</w:t>
      </w:r>
    </w:p>
    <w:p w:rsidR="001E0A2A" w:rsidRDefault="00E079B6">
      <w:pPr>
        <w:widowControl w:val="0"/>
        <w:pBdr>
          <w:top w:val="nil"/>
          <w:left w:val="nil"/>
          <w:bottom w:val="nil"/>
          <w:right w:val="nil"/>
          <w:between w:val="nil"/>
        </w:pBdr>
        <w:spacing w:line="336" w:lineRule="auto"/>
        <w:rPr>
          <w:color w:val="000000"/>
        </w:rPr>
      </w:pPr>
      <w:r>
        <w:rPr>
          <w:color w:val="000000"/>
        </w:rPr>
        <w:t>Розуміння демографічних особливостей району обслуговування дозволяє медичному центру «Mediland» адаптувати свої послуги та ресурси до потреб і характеристик своєї аудиторії. Але за рахунок підвищення смертності та м</w:t>
      </w:r>
      <w:r>
        <w:rPr>
          <w:color w:val="000000"/>
        </w:rPr>
        <w:t>іграційних процесів, виникає загрози змін у споживчих вподобаннях та попиті на медичні послуги.</w:t>
      </w:r>
    </w:p>
    <w:p w:rsidR="001E0A2A" w:rsidRDefault="00E079B6">
      <w:pPr>
        <w:widowControl w:val="0"/>
        <w:pBdr>
          <w:top w:val="nil"/>
          <w:left w:val="nil"/>
          <w:bottom w:val="nil"/>
          <w:right w:val="nil"/>
          <w:between w:val="nil"/>
        </w:pBdr>
        <w:spacing w:line="336" w:lineRule="auto"/>
        <w:ind w:firstLine="0"/>
        <w:jc w:val="center"/>
        <w:rPr>
          <w:color w:val="000000"/>
        </w:rPr>
      </w:pPr>
      <w:r>
        <w:rPr>
          <w:noProof/>
          <w:color w:val="000000"/>
          <w:lang w:val="en-US"/>
        </w:rPr>
        <w:drawing>
          <wp:inline distT="0" distB="0" distL="0" distR="0">
            <wp:extent cx="4840605" cy="2810933"/>
            <wp:effectExtent l="0" t="0" r="0" b="0"/>
            <wp:docPr id="20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t="11323" b="3320"/>
                    <a:stretch>
                      <a:fillRect/>
                    </a:stretch>
                  </pic:blipFill>
                  <pic:spPr>
                    <a:xfrm>
                      <a:off x="0" y="0"/>
                      <a:ext cx="4840605" cy="2810933"/>
                    </a:xfrm>
                    <a:prstGeom prst="rect">
                      <a:avLst/>
                    </a:prstGeom>
                    <a:ln/>
                  </pic:spPr>
                </pic:pic>
              </a:graphicData>
            </a:graphic>
          </wp:inline>
        </w:drawing>
      </w:r>
    </w:p>
    <w:p w:rsidR="001E0A2A" w:rsidRDefault="00E079B6">
      <w:pPr>
        <w:spacing w:line="336" w:lineRule="auto"/>
        <w:ind w:firstLine="0"/>
        <w:jc w:val="center"/>
        <w:rPr>
          <w:color w:val="000000"/>
        </w:rPr>
      </w:pPr>
      <w:r>
        <w:rPr>
          <w:color w:val="000000"/>
        </w:rPr>
        <w:t>Рисунок 1.2 – Вікова структура населення м. Києва у 2020 році</w:t>
      </w:r>
    </w:p>
    <w:p w:rsidR="001E0A2A" w:rsidRDefault="00E079B6">
      <w:pPr>
        <w:widowControl w:val="0"/>
        <w:pBdr>
          <w:top w:val="nil"/>
          <w:left w:val="nil"/>
          <w:bottom w:val="nil"/>
          <w:right w:val="nil"/>
          <w:between w:val="nil"/>
        </w:pBdr>
        <w:spacing w:line="336" w:lineRule="auto"/>
        <w:ind w:firstLine="0"/>
        <w:jc w:val="center"/>
        <w:rPr>
          <w:color w:val="000000"/>
        </w:rPr>
      </w:pPr>
      <w:r>
        <w:rPr>
          <w:color w:val="000000"/>
        </w:rPr>
        <w:t>Побудовано автором на основі: [14]</w:t>
      </w:r>
    </w:p>
    <w:p w:rsidR="001E0A2A" w:rsidRDefault="001E0A2A">
      <w:pPr>
        <w:widowControl w:val="0"/>
        <w:pBdr>
          <w:top w:val="nil"/>
          <w:left w:val="nil"/>
          <w:bottom w:val="nil"/>
          <w:right w:val="nil"/>
          <w:between w:val="nil"/>
        </w:pBdr>
        <w:spacing w:line="336" w:lineRule="auto"/>
        <w:ind w:firstLine="0"/>
        <w:jc w:val="center"/>
        <w:rPr>
          <w:color w:val="000000"/>
        </w:rPr>
      </w:pPr>
    </w:p>
    <w:p w:rsidR="001E0A2A" w:rsidRDefault="00E079B6">
      <w:pPr>
        <w:widowControl w:val="0"/>
        <w:pBdr>
          <w:top w:val="nil"/>
          <w:left w:val="nil"/>
          <w:bottom w:val="nil"/>
          <w:right w:val="nil"/>
          <w:between w:val="nil"/>
        </w:pBdr>
        <w:rPr>
          <w:color w:val="000000"/>
        </w:rPr>
      </w:pPr>
      <w:r>
        <w:rPr>
          <w:color w:val="000000"/>
        </w:rPr>
        <w:t>.Науково-технічні фактори для медичного центру «Mediland» можуть включати:</w:t>
      </w:r>
    </w:p>
    <w:p w:rsidR="001E0A2A" w:rsidRDefault="00E079B6">
      <w:pPr>
        <w:widowControl w:val="0"/>
        <w:numPr>
          <w:ilvl w:val="0"/>
          <w:numId w:val="7"/>
        </w:numPr>
        <w:pBdr>
          <w:top w:val="nil"/>
          <w:left w:val="nil"/>
          <w:bottom w:val="nil"/>
          <w:right w:val="nil"/>
          <w:between w:val="nil"/>
        </w:pBdr>
        <w:ind w:left="0" w:firstLine="720"/>
        <w:rPr>
          <w:color w:val="000000"/>
        </w:rPr>
      </w:pPr>
      <w:r>
        <w:rPr>
          <w:color w:val="000000"/>
        </w:rPr>
        <w:t>Сучасне медичне обладнання: Наявність та використання передового медичного обладнання, такого як магнітно-резонансна томографія (МРТ), комп'ютерна томографія (КТ), електрокардіограф</w:t>
      </w:r>
      <w:r>
        <w:rPr>
          <w:color w:val="000000"/>
        </w:rPr>
        <w:t>ія (ЕКГ) та інше, що дозволяє точно діагностувати та лікувати пацієнтів.</w:t>
      </w:r>
    </w:p>
    <w:p w:rsidR="001E0A2A" w:rsidRDefault="00E079B6">
      <w:pPr>
        <w:widowControl w:val="0"/>
        <w:numPr>
          <w:ilvl w:val="0"/>
          <w:numId w:val="7"/>
        </w:numPr>
        <w:pBdr>
          <w:top w:val="nil"/>
          <w:left w:val="nil"/>
          <w:bottom w:val="nil"/>
          <w:right w:val="nil"/>
          <w:between w:val="nil"/>
        </w:pBdr>
        <w:ind w:left="0" w:firstLine="720"/>
        <w:rPr>
          <w:color w:val="000000"/>
        </w:rPr>
      </w:pPr>
      <w:r>
        <w:rPr>
          <w:color w:val="000000"/>
        </w:rPr>
        <w:t>Медичні інформаційні системи: Використання сучасних програмних засобів для управління медичною інформацією, електронних медичних карток пацієнтів, системи телемедицини тощо, що полегш</w:t>
      </w:r>
      <w:r>
        <w:rPr>
          <w:color w:val="000000"/>
        </w:rPr>
        <w:t>ує обмін інформацією та підвищує ефективність роботи медичного персоналу.</w:t>
      </w:r>
    </w:p>
    <w:p w:rsidR="001E0A2A" w:rsidRDefault="00E079B6">
      <w:pPr>
        <w:widowControl w:val="0"/>
        <w:numPr>
          <w:ilvl w:val="0"/>
          <w:numId w:val="7"/>
        </w:numPr>
        <w:pBdr>
          <w:top w:val="nil"/>
          <w:left w:val="nil"/>
          <w:bottom w:val="nil"/>
          <w:right w:val="nil"/>
          <w:between w:val="nil"/>
        </w:pBdr>
        <w:ind w:left="0" w:firstLine="720"/>
        <w:rPr>
          <w:color w:val="000000"/>
        </w:rPr>
      </w:pPr>
      <w:r>
        <w:rPr>
          <w:color w:val="000000"/>
        </w:rPr>
        <w:t xml:space="preserve">Інноваційні методи діагностики та лікування: Впровадження новітніх </w:t>
      </w:r>
      <w:r>
        <w:rPr>
          <w:color w:val="000000"/>
        </w:rPr>
        <w:lastRenderedPageBreak/>
        <w:t>технологій та методів діагностики, таких як генетичне тестування, молекулярна діагностика, імунотерапія, хірургічні</w:t>
      </w:r>
      <w:r>
        <w:rPr>
          <w:color w:val="000000"/>
        </w:rPr>
        <w:t xml:space="preserve"> роботи тощо, що дозволяє ефективно лікувати різноманітні захворювання.</w:t>
      </w:r>
    </w:p>
    <w:p w:rsidR="001E0A2A" w:rsidRDefault="00E079B6">
      <w:pPr>
        <w:widowControl w:val="0"/>
        <w:numPr>
          <w:ilvl w:val="0"/>
          <w:numId w:val="7"/>
        </w:numPr>
        <w:pBdr>
          <w:top w:val="nil"/>
          <w:left w:val="nil"/>
          <w:bottom w:val="nil"/>
          <w:right w:val="nil"/>
          <w:between w:val="nil"/>
        </w:pBdr>
        <w:ind w:left="0" w:firstLine="720"/>
        <w:rPr>
          <w:color w:val="000000"/>
        </w:rPr>
      </w:pPr>
      <w:r>
        <w:rPr>
          <w:color w:val="000000"/>
        </w:rPr>
        <w:t>Дослідницька діяльність: Проведення наукових досліджень та участь у клінічних випробуваннях нових лікарських препаратів та методів лікування, що дозволяє застосовувати передові підходи</w:t>
      </w:r>
      <w:r>
        <w:rPr>
          <w:color w:val="000000"/>
        </w:rPr>
        <w:t xml:space="preserve"> у медичній практиці.</w:t>
      </w:r>
    </w:p>
    <w:p w:rsidR="001E0A2A" w:rsidRDefault="00E079B6">
      <w:pPr>
        <w:widowControl w:val="0"/>
        <w:numPr>
          <w:ilvl w:val="0"/>
          <w:numId w:val="7"/>
        </w:numPr>
        <w:pBdr>
          <w:top w:val="nil"/>
          <w:left w:val="nil"/>
          <w:bottom w:val="nil"/>
          <w:right w:val="nil"/>
          <w:between w:val="nil"/>
        </w:pBdr>
        <w:ind w:left="0" w:firstLine="720"/>
        <w:rPr>
          <w:color w:val="000000"/>
        </w:rPr>
      </w:pPr>
      <w:r>
        <w:rPr>
          <w:color w:val="000000"/>
        </w:rPr>
        <w:t>Технології телемедицини: Використання відеозв'язку та інших засобів зв'язку для забезпечення консультацій та надання медичної допомоги на відстані, що робить медичні послуги більш доступними для пацієнтів, особливо тих, які знаходяться віддалено від медичн</w:t>
      </w:r>
      <w:r>
        <w:rPr>
          <w:color w:val="000000"/>
        </w:rPr>
        <w:t>ого центру.</w:t>
      </w:r>
    </w:p>
    <w:p w:rsidR="001E0A2A" w:rsidRDefault="00E079B6">
      <w:pPr>
        <w:widowControl w:val="0"/>
        <w:numPr>
          <w:ilvl w:val="0"/>
          <w:numId w:val="7"/>
        </w:numPr>
        <w:pBdr>
          <w:top w:val="nil"/>
          <w:left w:val="nil"/>
          <w:bottom w:val="nil"/>
          <w:right w:val="nil"/>
          <w:between w:val="nil"/>
        </w:pBdr>
        <w:ind w:left="0" w:firstLine="720"/>
        <w:rPr>
          <w:color w:val="000000"/>
        </w:rPr>
      </w:pPr>
      <w:r>
        <w:rPr>
          <w:color w:val="000000"/>
        </w:rPr>
        <w:t>Комп'ютерна обробка медичних зображень: Використання програмного забезпечення для обробки та аналізу медичних зображень, таких як рентгенограми, УЗД, МРТ, що допомагає в ранньому виявленні захворювань та плануванні лікування.</w:t>
      </w:r>
    </w:p>
    <w:p w:rsidR="001E0A2A" w:rsidRDefault="00E079B6">
      <w:pPr>
        <w:widowControl w:val="0"/>
        <w:pBdr>
          <w:top w:val="nil"/>
          <w:left w:val="nil"/>
          <w:bottom w:val="nil"/>
          <w:right w:val="nil"/>
          <w:between w:val="nil"/>
        </w:pBdr>
        <w:rPr>
          <w:color w:val="000000"/>
        </w:rPr>
      </w:pPr>
      <w:r>
        <w:rPr>
          <w:color w:val="000000"/>
        </w:rPr>
        <w:t>Ці фактори дозволя</w:t>
      </w:r>
      <w:r>
        <w:rPr>
          <w:color w:val="000000"/>
        </w:rPr>
        <w:t>ють медичному центру «Mediland» залишатися на передовій медичної науки та надавати високоякісні та ефективні медичні послуги своїм пацієнтам. Також вони створюють ринкову можливість використання цифрових технологій та телемедицини для розширення обсягу пос</w:t>
      </w:r>
      <w:r>
        <w:rPr>
          <w:color w:val="000000"/>
        </w:rPr>
        <w:t>луг.</w:t>
      </w:r>
    </w:p>
    <w:p w:rsidR="001E0A2A" w:rsidRDefault="00E079B6">
      <w:pPr>
        <w:widowControl w:val="0"/>
        <w:pBdr>
          <w:top w:val="nil"/>
          <w:left w:val="nil"/>
          <w:bottom w:val="nil"/>
          <w:right w:val="nil"/>
          <w:between w:val="nil"/>
        </w:pBdr>
        <w:rPr>
          <w:color w:val="000000"/>
        </w:rPr>
      </w:pPr>
      <w:r>
        <w:rPr>
          <w:color w:val="000000"/>
        </w:rPr>
        <w:t>Для медичного центру «Mediland» в місті Києві природно-кліматичні фактори можуть включати наступні аспекти:</w:t>
      </w:r>
    </w:p>
    <w:p w:rsidR="001E0A2A" w:rsidRDefault="00E079B6">
      <w:pPr>
        <w:widowControl w:val="0"/>
        <w:numPr>
          <w:ilvl w:val="0"/>
          <w:numId w:val="10"/>
        </w:numPr>
        <w:pBdr>
          <w:top w:val="nil"/>
          <w:left w:val="nil"/>
          <w:bottom w:val="nil"/>
          <w:right w:val="nil"/>
          <w:between w:val="nil"/>
        </w:pBdr>
        <w:ind w:left="0" w:firstLine="720"/>
        <w:rPr>
          <w:color w:val="000000"/>
        </w:rPr>
      </w:pPr>
      <w:r>
        <w:rPr>
          <w:color w:val="000000"/>
        </w:rPr>
        <w:t xml:space="preserve">Кліматичні умови: Київ має континентальний клімат з помірною вологістю. Зміни в погоді, такі як температурні коливання, опади та вітри, можуть </w:t>
      </w:r>
      <w:r>
        <w:rPr>
          <w:color w:val="000000"/>
        </w:rPr>
        <w:t>впливати на стан здоров'я пацієнтів і вимагати адаптації медичного центру до змін у погодних умовах.</w:t>
      </w:r>
    </w:p>
    <w:p w:rsidR="001E0A2A" w:rsidRDefault="00E079B6">
      <w:pPr>
        <w:widowControl w:val="0"/>
        <w:numPr>
          <w:ilvl w:val="0"/>
          <w:numId w:val="10"/>
        </w:numPr>
        <w:pBdr>
          <w:top w:val="nil"/>
          <w:left w:val="nil"/>
          <w:bottom w:val="nil"/>
          <w:right w:val="nil"/>
          <w:between w:val="nil"/>
        </w:pBdr>
        <w:ind w:left="0" w:firstLine="720"/>
        <w:rPr>
          <w:color w:val="000000"/>
        </w:rPr>
      </w:pPr>
      <w:r>
        <w:rPr>
          <w:color w:val="000000"/>
        </w:rPr>
        <w:t xml:space="preserve">Екологічна ситуація: Забрудненість повітря, води та ґрунту, а також наявність промислових зон або джерел забруднення можуть впливати на здоров'я мешканців </w:t>
      </w:r>
      <w:r>
        <w:rPr>
          <w:color w:val="000000"/>
        </w:rPr>
        <w:t>Києва та зумовлювати певні захворювання.</w:t>
      </w:r>
    </w:p>
    <w:p w:rsidR="001E0A2A" w:rsidRDefault="00E079B6">
      <w:pPr>
        <w:widowControl w:val="0"/>
        <w:numPr>
          <w:ilvl w:val="0"/>
          <w:numId w:val="10"/>
        </w:numPr>
        <w:pBdr>
          <w:top w:val="nil"/>
          <w:left w:val="nil"/>
          <w:bottom w:val="nil"/>
          <w:right w:val="nil"/>
          <w:between w:val="nil"/>
        </w:pBdr>
        <w:ind w:left="0" w:firstLine="720"/>
        <w:rPr>
          <w:color w:val="000000"/>
        </w:rPr>
      </w:pPr>
      <w:r>
        <w:rPr>
          <w:color w:val="000000"/>
        </w:rPr>
        <w:t>Природні катастрофи: Київ знаходиться в зоні можливого виникнення природних катастроф, таких як повені, землетруси або стихійні лиха. Медичний центр повинен мати плани надання допомоги в разі надзвичайних ситуацій т</w:t>
      </w:r>
      <w:r>
        <w:rPr>
          <w:color w:val="000000"/>
        </w:rPr>
        <w:t xml:space="preserve">а бути </w:t>
      </w:r>
      <w:r>
        <w:rPr>
          <w:color w:val="000000"/>
        </w:rPr>
        <w:lastRenderedPageBreak/>
        <w:t>готовим до надання невідкладної медичної допомоги.</w:t>
      </w:r>
    </w:p>
    <w:p w:rsidR="001E0A2A" w:rsidRDefault="00E079B6">
      <w:pPr>
        <w:widowControl w:val="0"/>
        <w:numPr>
          <w:ilvl w:val="0"/>
          <w:numId w:val="10"/>
        </w:numPr>
        <w:pBdr>
          <w:top w:val="nil"/>
          <w:left w:val="nil"/>
          <w:bottom w:val="nil"/>
          <w:right w:val="nil"/>
          <w:between w:val="nil"/>
        </w:pBdr>
        <w:ind w:left="0" w:firstLine="720"/>
        <w:rPr>
          <w:color w:val="000000"/>
        </w:rPr>
      </w:pPr>
      <w:r>
        <w:rPr>
          <w:color w:val="000000"/>
        </w:rPr>
        <w:t>Сезонні захворювання: Зміни у сезонному кліматі можуть призводити до поширення захворювань, таких як грип, ГРВІ, алергії та інші. Медичний центр повинен мати засоби для ефективного лікування та проф</w:t>
      </w:r>
      <w:r>
        <w:rPr>
          <w:color w:val="000000"/>
        </w:rPr>
        <w:t>ілактики таких захворювань у пацієнтів.</w:t>
      </w:r>
    </w:p>
    <w:p w:rsidR="001E0A2A" w:rsidRDefault="00E079B6">
      <w:pPr>
        <w:widowControl w:val="0"/>
        <w:pBdr>
          <w:top w:val="nil"/>
          <w:left w:val="nil"/>
          <w:bottom w:val="nil"/>
          <w:right w:val="nil"/>
          <w:between w:val="nil"/>
        </w:pBdr>
        <w:spacing w:line="336" w:lineRule="auto"/>
        <w:rPr>
          <w:color w:val="000000"/>
        </w:rPr>
      </w:pPr>
      <w:r>
        <w:rPr>
          <w:color w:val="000000"/>
        </w:rPr>
        <w:t>Медичний центр відстежує значні та впливові кліматичні та екологічні зміни і намагається адаптувати свою роботу під них. Також він має все необхідне для профілактики та лікування сезонних захворювань. Але різні катастрофи лишаються ринковою загрозою для «M</w:t>
      </w:r>
      <w:r>
        <w:rPr>
          <w:color w:val="000000"/>
        </w:rPr>
        <w:t>ediland».</w:t>
      </w:r>
    </w:p>
    <w:p w:rsidR="001E0A2A" w:rsidRDefault="00E079B6">
      <w:pPr>
        <w:widowControl w:val="0"/>
        <w:pBdr>
          <w:top w:val="nil"/>
          <w:left w:val="nil"/>
          <w:bottom w:val="nil"/>
          <w:right w:val="nil"/>
          <w:between w:val="nil"/>
        </w:pBdr>
        <w:spacing w:line="336" w:lineRule="auto"/>
        <w:rPr>
          <w:color w:val="000000"/>
        </w:rPr>
      </w:pPr>
      <w:r>
        <w:rPr>
          <w:color w:val="000000"/>
        </w:rPr>
        <w:t>На основі здійсненого аналізу маркосередовища визначено вплив кожного фактора. Результати наведено в табл.1.3, із зазначенням того, чи є вони факторами ринкових загроз або/та можливостей та у чому полягає загроза чи можливість розвитку.</w:t>
      </w:r>
    </w:p>
    <w:p w:rsidR="001E0A2A" w:rsidRDefault="001E0A2A">
      <w:pPr>
        <w:widowControl w:val="0"/>
        <w:pBdr>
          <w:top w:val="nil"/>
          <w:left w:val="nil"/>
          <w:bottom w:val="nil"/>
          <w:right w:val="nil"/>
          <w:between w:val="nil"/>
        </w:pBdr>
        <w:spacing w:line="336" w:lineRule="auto"/>
        <w:rPr>
          <w:color w:val="000000"/>
        </w:rPr>
      </w:pPr>
    </w:p>
    <w:p w:rsidR="001E0A2A" w:rsidRDefault="00E079B6">
      <w:pPr>
        <w:widowControl w:val="0"/>
        <w:pBdr>
          <w:top w:val="nil"/>
          <w:left w:val="nil"/>
          <w:bottom w:val="nil"/>
          <w:right w:val="nil"/>
          <w:between w:val="nil"/>
        </w:pBdr>
        <w:spacing w:line="336" w:lineRule="auto"/>
        <w:rPr>
          <w:color w:val="000000"/>
        </w:rPr>
      </w:pPr>
      <w:r>
        <w:rPr>
          <w:color w:val="000000"/>
        </w:rPr>
        <w:t xml:space="preserve">Таблиця </w:t>
      </w:r>
      <w:r>
        <w:rPr>
          <w:color w:val="000000"/>
        </w:rPr>
        <w:t>1.3 – Таблиця факторів макросередовища МЦ «Mediland»</w:t>
      </w:r>
    </w:p>
    <w:tbl>
      <w:tblPr>
        <w:tblStyle w:val="af7"/>
        <w:tblW w:w="102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4"/>
        <w:gridCol w:w="2852"/>
        <w:gridCol w:w="2995"/>
        <w:gridCol w:w="3974"/>
      </w:tblGrid>
      <w:tr w:rsidR="001E0A2A">
        <w:trPr>
          <w:trHeight w:val="314"/>
          <w:jc w:val="center"/>
        </w:trPr>
        <w:tc>
          <w:tcPr>
            <w:tcW w:w="424" w:type="dxa"/>
            <w:shd w:val="clear" w:color="auto" w:fill="FFFFFF"/>
          </w:tcPr>
          <w:p w:rsidR="001E0A2A" w:rsidRDefault="00E079B6">
            <w:pPr>
              <w:spacing w:line="240" w:lineRule="auto"/>
              <w:ind w:firstLine="0"/>
              <w:jc w:val="center"/>
              <w:rPr>
                <w:color w:val="000000"/>
                <w:sz w:val="24"/>
                <w:szCs w:val="24"/>
              </w:rPr>
            </w:pPr>
            <w:r>
              <w:rPr>
                <w:color w:val="000000"/>
                <w:sz w:val="24"/>
                <w:szCs w:val="24"/>
              </w:rPr>
              <w:t>№ з/п</w:t>
            </w:r>
          </w:p>
        </w:tc>
        <w:tc>
          <w:tcPr>
            <w:tcW w:w="2852" w:type="dxa"/>
            <w:shd w:val="clear" w:color="auto" w:fill="FFFFFF"/>
          </w:tcPr>
          <w:p w:rsidR="001E0A2A" w:rsidRDefault="00E079B6">
            <w:pPr>
              <w:spacing w:line="240" w:lineRule="auto"/>
              <w:ind w:firstLine="0"/>
              <w:jc w:val="center"/>
              <w:rPr>
                <w:color w:val="000000"/>
                <w:sz w:val="24"/>
                <w:szCs w:val="24"/>
              </w:rPr>
            </w:pPr>
            <w:r>
              <w:rPr>
                <w:color w:val="000000"/>
                <w:sz w:val="24"/>
                <w:szCs w:val="24"/>
              </w:rPr>
              <w:t>Фактор</w:t>
            </w:r>
          </w:p>
        </w:tc>
        <w:tc>
          <w:tcPr>
            <w:tcW w:w="2995" w:type="dxa"/>
            <w:shd w:val="clear" w:color="auto" w:fill="FFFFFF"/>
          </w:tcPr>
          <w:p w:rsidR="001E0A2A" w:rsidRDefault="00E079B6">
            <w:pPr>
              <w:spacing w:line="240" w:lineRule="auto"/>
              <w:ind w:firstLine="0"/>
              <w:jc w:val="center"/>
              <w:rPr>
                <w:color w:val="000000"/>
                <w:sz w:val="24"/>
                <w:szCs w:val="24"/>
              </w:rPr>
            </w:pPr>
            <w:r>
              <w:rPr>
                <w:color w:val="000000"/>
                <w:sz w:val="24"/>
                <w:szCs w:val="24"/>
              </w:rPr>
              <w:t>Загроза</w:t>
            </w:r>
          </w:p>
        </w:tc>
        <w:tc>
          <w:tcPr>
            <w:tcW w:w="3974" w:type="dxa"/>
            <w:shd w:val="clear" w:color="auto" w:fill="FFFFFF"/>
          </w:tcPr>
          <w:p w:rsidR="001E0A2A" w:rsidRDefault="00E079B6">
            <w:pPr>
              <w:spacing w:line="240" w:lineRule="auto"/>
              <w:ind w:firstLine="0"/>
              <w:jc w:val="center"/>
              <w:rPr>
                <w:color w:val="000000"/>
                <w:sz w:val="24"/>
                <w:szCs w:val="24"/>
              </w:rPr>
            </w:pPr>
            <w:r>
              <w:rPr>
                <w:color w:val="000000"/>
                <w:sz w:val="24"/>
                <w:szCs w:val="24"/>
              </w:rPr>
              <w:t>Можливість</w:t>
            </w: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1.</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Політико–правовий: медичне страхування</w:t>
            </w:r>
          </w:p>
        </w:tc>
        <w:tc>
          <w:tcPr>
            <w:tcW w:w="2995"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 </w:t>
            </w:r>
          </w:p>
        </w:tc>
        <w:tc>
          <w:tcPr>
            <w:tcW w:w="397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Партнерство з медичними страховими компаніями для розширення бази клієнтів та забезпечення фінансової стабільності</w:t>
            </w: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2.</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Політико–правовий: політична нестабільність, воєнний конфлікт</w:t>
            </w:r>
          </w:p>
        </w:tc>
        <w:tc>
          <w:tcPr>
            <w:tcW w:w="2995"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Нестабільна економічна ситуація</w:t>
            </w:r>
          </w:p>
        </w:tc>
        <w:tc>
          <w:tcPr>
            <w:tcW w:w="397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Збільшення попиту на приватні медичні послуги у зв'язку зі зростанням свідомості про здоров'я</w:t>
            </w: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3.</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Економічні</w:t>
            </w:r>
          </w:p>
        </w:tc>
        <w:tc>
          <w:tcPr>
            <w:tcW w:w="2995"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Зміни у законодавстві щодо медичного страхування та реімбурсації (виплата компенсацій)</w:t>
            </w:r>
          </w:p>
        </w:tc>
        <w:tc>
          <w:tcPr>
            <w:tcW w:w="3974"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4.</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Економічні: конкуренція</w:t>
            </w:r>
          </w:p>
        </w:tc>
        <w:tc>
          <w:tcPr>
            <w:tcW w:w="2995"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Зростаюча конкуренція на ринку медичних послуг</w:t>
            </w:r>
          </w:p>
        </w:tc>
        <w:tc>
          <w:tcPr>
            <w:tcW w:w="3974"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5.</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Соціокультурні</w:t>
            </w:r>
          </w:p>
        </w:tc>
        <w:tc>
          <w:tcPr>
            <w:tcW w:w="2995"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c>
          <w:tcPr>
            <w:tcW w:w="397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Підвищення задоволення пацієнтів та рівня взаєморозуміння з різними соці</w:t>
            </w:r>
            <w:r>
              <w:rPr>
                <w:color w:val="000000"/>
                <w:sz w:val="24"/>
                <w:szCs w:val="24"/>
              </w:rPr>
              <w:t>окультурними групами</w:t>
            </w: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6.</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Демографічні: динаміка народжуваності та смертності, міграційні процеси</w:t>
            </w:r>
          </w:p>
        </w:tc>
        <w:tc>
          <w:tcPr>
            <w:tcW w:w="2995"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Зміни у споживчих уподобаннях та попиті на медичні послуги</w:t>
            </w:r>
          </w:p>
        </w:tc>
        <w:tc>
          <w:tcPr>
            <w:tcW w:w="3974"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7.</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Науково–технічні</w:t>
            </w:r>
          </w:p>
        </w:tc>
        <w:tc>
          <w:tcPr>
            <w:tcW w:w="2995"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c>
          <w:tcPr>
            <w:tcW w:w="397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Використання цифрових технологій та телемедицини для розширення обсягу послуг</w:t>
            </w:r>
          </w:p>
        </w:tc>
      </w:tr>
      <w:tr w:rsidR="001E0A2A">
        <w:trPr>
          <w:trHeight w:val="314"/>
          <w:jc w:val="center"/>
        </w:trPr>
        <w:tc>
          <w:tcPr>
            <w:tcW w:w="424"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8.</w:t>
            </w:r>
          </w:p>
        </w:tc>
        <w:tc>
          <w:tcPr>
            <w:tcW w:w="2852"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Природно–кліматичні</w:t>
            </w:r>
          </w:p>
        </w:tc>
        <w:tc>
          <w:tcPr>
            <w:tcW w:w="2995"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Виникнення природних або екологічних катастроф</w:t>
            </w:r>
          </w:p>
        </w:tc>
        <w:tc>
          <w:tcPr>
            <w:tcW w:w="3974"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bl>
    <w:p w:rsidR="001E0A2A" w:rsidRDefault="00E079B6">
      <w:pPr>
        <w:widowControl w:val="0"/>
        <w:pBdr>
          <w:top w:val="nil"/>
          <w:left w:val="nil"/>
          <w:bottom w:val="nil"/>
          <w:right w:val="nil"/>
          <w:between w:val="nil"/>
        </w:pBdr>
        <w:jc w:val="left"/>
        <w:rPr>
          <w:color w:val="000000"/>
        </w:rPr>
      </w:pPr>
      <w:r>
        <w:rPr>
          <w:color w:val="000000"/>
        </w:rPr>
        <w:lastRenderedPageBreak/>
        <w:t>Джерело: складено автором</w:t>
      </w:r>
    </w:p>
    <w:p w:rsidR="001E0A2A" w:rsidRDefault="00E079B6">
      <w:pPr>
        <w:widowControl w:val="0"/>
        <w:pBdr>
          <w:top w:val="nil"/>
          <w:left w:val="nil"/>
          <w:bottom w:val="nil"/>
          <w:right w:val="nil"/>
          <w:between w:val="nil"/>
        </w:pBdr>
        <w:ind w:firstLine="0"/>
        <w:rPr>
          <w:color w:val="000000"/>
        </w:rPr>
      </w:pPr>
      <w:r>
        <w:rPr>
          <w:color w:val="000000"/>
        </w:rPr>
        <w:t>Фактори макросередовища, що впливають на медичний центр, мають як загрози, так і можливості. Розглядаючи таблицю факторів макросередовища, можна відстежити, що кількість загроз перевищує кількість можливостей на одну. Політико–правові аспекти, такі як меди</w:t>
      </w:r>
      <w:r>
        <w:rPr>
          <w:color w:val="000000"/>
        </w:rPr>
        <w:t>чне страхування та політична нестабільність, можуть створювати економічні та соціокультурні виклики. Зміни в економіці та конкурентний тиск можуть вимагати адаптації стратегій бізнесу. Демографічні зміни в населенні можуть відображатися на попиті на медичн</w:t>
      </w:r>
      <w:r>
        <w:rPr>
          <w:color w:val="000000"/>
        </w:rPr>
        <w:t>і послуги. Науково–технічні тенденції можуть впливати на обсяг та якість наданих послуг, а природно–кліматичні фактори, такі як природні катастрофи, можуть становити загрозу для діяльності центру.</w:t>
      </w:r>
    </w:p>
    <w:p w:rsidR="001E0A2A" w:rsidRDefault="00E079B6">
      <w:pPr>
        <w:widowControl w:val="0"/>
        <w:pBdr>
          <w:top w:val="nil"/>
          <w:left w:val="nil"/>
          <w:bottom w:val="nil"/>
          <w:right w:val="nil"/>
          <w:between w:val="nil"/>
        </w:pBdr>
        <w:rPr>
          <w:color w:val="000000"/>
        </w:rPr>
      </w:pPr>
      <w:r>
        <w:rPr>
          <w:color w:val="000000"/>
        </w:rPr>
        <w:t>Проте, серед цих викликів також існують можливості для розв</w:t>
      </w:r>
      <w:r>
        <w:rPr>
          <w:color w:val="000000"/>
        </w:rPr>
        <w:t>итку. Наприклад, партнерство з медичними страховими компаніями може розширити базу клієнтів та забезпечити фінансову стабільність. Зростання попиту на приватні медичні послуги у зв'язку з покращенням свідомості про здоров'я може стимулювати розвиток бізнес</w:t>
      </w:r>
      <w:r>
        <w:rPr>
          <w:color w:val="000000"/>
        </w:rPr>
        <w:t>у. Використання цифрових технологій та телемедицини може допомогти розширити обсяг наданих послуг і підвищити їх доступність. Також можливість підвищення задоволення пацієнтів та підтримання рівня взаєморозуміння з різними соціокультурними групами відкрива</w:t>
      </w:r>
      <w:r>
        <w:rPr>
          <w:color w:val="000000"/>
        </w:rPr>
        <w:t>є нові шляхи для покращення взаємодії з клієнтами.</w:t>
      </w:r>
    </w:p>
    <w:p w:rsidR="001E0A2A" w:rsidRDefault="00E079B6">
      <w:pPr>
        <w:widowControl w:val="0"/>
        <w:pBdr>
          <w:top w:val="nil"/>
          <w:left w:val="nil"/>
          <w:bottom w:val="nil"/>
          <w:right w:val="nil"/>
          <w:between w:val="nil"/>
        </w:pBdr>
        <w:rPr>
          <w:color w:val="000000"/>
        </w:rPr>
      </w:pPr>
      <w:r>
        <w:rPr>
          <w:color w:val="000000"/>
        </w:rPr>
        <w:t>Далі проаналізуємо мезосередовище підприємства, що включає аналіз медичної галузі.</w:t>
      </w:r>
      <w:r>
        <w:rPr>
          <w:i/>
          <w:color w:val="000000"/>
        </w:rPr>
        <w:t xml:space="preserve"> </w:t>
      </w:r>
      <w:r>
        <w:rPr>
          <w:color w:val="000000"/>
        </w:rPr>
        <w:t>Впровадження ІТ додатку як третього рівня до послуг естетичної медицини пов'язане з кількома галузями:</w:t>
      </w:r>
    </w:p>
    <w:p w:rsidR="001E0A2A" w:rsidRDefault="00E079B6">
      <w:pPr>
        <w:widowControl w:val="0"/>
        <w:numPr>
          <w:ilvl w:val="0"/>
          <w:numId w:val="14"/>
        </w:numPr>
        <w:pBdr>
          <w:top w:val="nil"/>
          <w:left w:val="nil"/>
          <w:bottom w:val="nil"/>
          <w:right w:val="nil"/>
          <w:between w:val="nil"/>
        </w:pBdr>
        <w:ind w:left="0" w:firstLine="720"/>
        <w:rPr>
          <w:color w:val="000000"/>
        </w:rPr>
      </w:pPr>
      <w:r>
        <w:rPr>
          <w:color w:val="000000"/>
        </w:rPr>
        <w:t xml:space="preserve">Медична галузь: Це </w:t>
      </w:r>
      <w:r>
        <w:rPr>
          <w:color w:val="000000"/>
        </w:rPr>
        <w:t>включає в себе самі послуги естетичної медицини, такі як косметологічні процедури, дерматологічні консультації, хірургічні втручання та інші процедури для покращення зовнішнього вигляду та самопочуття пацієнтів.</w:t>
      </w:r>
    </w:p>
    <w:p w:rsidR="001E0A2A" w:rsidRDefault="00E079B6">
      <w:pPr>
        <w:widowControl w:val="0"/>
        <w:numPr>
          <w:ilvl w:val="0"/>
          <w:numId w:val="14"/>
        </w:numPr>
        <w:pBdr>
          <w:top w:val="nil"/>
          <w:left w:val="nil"/>
          <w:bottom w:val="nil"/>
          <w:right w:val="nil"/>
          <w:between w:val="nil"/>
        </w:pBdr>
        <w:spacing w:line="348" w:lineRule="auto"/>
        <w:ind w:left="0" w:firstLine="720"/>
        <w:rPr>
          <w:color w:val="000000"/>
        </w:rPr>
      </w:pPr>
      <w:r>
        <w:rPr>
          <w:color w:val="000000"/>
        </w:rPr>
        <w:t xml:space="preserve">Інформаційні технології: Це технології, що дозволяють розробляти та впроваджувати мобільні додатки, онлайн-платформи та інші цифрові інструменти для зручного доступу до послуг естетичної медицини, запису на прийоми, </w:t>
      </w:r>
      <w:r>
        <w:rPr>
          <w:color w:val="000000"/>
        </w:rPr>
        <w:lastRenderedPageBreak/>
        <w:t>консультації з лікарем, обміну інформаці</w:t>
      </w:r>
      <w:r>
        <w:rPr>
          <w:color w:val="000000"/>
        </w:rPr>
        <w:t>єю про процедури тощо.</w:t>
      </w:r>
    </w:p>
    <w:p w:rsidR="001E0A2A" w:rsidRDefault="00E079B6">
      <w:r>
        <w:t>Динаміка розвитку медичної галузі останніх років визначається кількома ключовими тенденціями:</w:t>
      </w:r>
    </w:p>
    <w:p w:rsidR="001E0A2A" w:rsidRDefault="00E079B6">
      <w:pPr>
        <w:widowControl w:val="0"/>
        <w:numPr>
          <w:ilvl w:val="0"/>
          <w:numId w:val="16"/>
        </w:numPr>
        <w:pBdr>
          <w:top w:val="nil"/>
          <w:left w:val="nil"/>
          <w:bottom w:val="nil"/>
          <w:right w:val="nil"/>
          <w:between w:val="nil"/>
        </w:pBdr>
        <w:ind w:left="0" w:firstLine="720"/>
        <w:rPr>
          <w:color w:val="000000"/>
        </w:rPr>
      </w:pPr>
      <w:r>
        <w:rPr>
          <w:color w:val="000000"/>
        </w:rPr>
        <w:t>Зростання обсягу виробництва: збільшення кількості медичних закладів та лікарень, розширення спектру медичних послуг, розвиток нових медичн</w:t>
      </w:r>
      <w:r>
        <w:rPr>
          <w:color w:val="000000"/>
        </w:rPr>
        <w:t>их технологій та продуктів.</w:t>
      </w:r>
    </w:p>
    <w:p w:rsidR="001E0A2A" w:rsidRDefault="00E079B6">
      <w:pPr>
        <w:widowControl w:val="0"/>
        <w:numPr>
          <w:ilvl w:val="0"/>
          <w:numId w:val="16"/>
        </w:numPr>
        <w:pBdr>
          <w:top w:val="nil"/>
          <w:left w:val="nil"/>
          <w:bottom w:val="nil"/>
          <w:right w:val="nil"/>
          <w:between w:val="nil"/>
        </w:pBdr>
        <w:ind w:left="0" w:firstLine="720"/>
        <w:rPr>
          <w:color w:val="000000"/>
        </w:rPr>
      </w:pPr>
      <w:r>
        <w:rPr>
          <w:color w:val="000000"/>
        </w:rPr>
        <w:t>Рівень інвестицій: інвестиції у дослідження та розробку нових лікарських препаратів, впровадження новітніх медичних технологій (наприклад, роботизовані системи для хірургічних втручань), модернізація медичного обладнання тощо.</w:t>
      </w:r>
    </w:p>
    <w:p w:rsidR="001E0A2A" w:rsidRDefault="00E079B6">
      <w:pPr>
        <w:widowControl w:val="0"/>
        <w:numPr>
          <w:ilvl w:val="0"/>
          <w:numId w:val="16"/>
        </w:numPr>
        <w:pBdr>
          <w:top w:val="nil"/>
          <w:left w:val="nil"/>
          <w:bottom w:val="nil"/>
          <w:right w:val="nil"/>
          <w:between w:val="nil"/>
        </w:pBdr>
        <w:ind w:left="0" w:firstLine="720"/>
        <w:rPr>
          <w:color w:val="000000"/>
        </w:rPr>
      </w:pPr>
      <w:r>
        <w:rPr>
          <w:color w:val="000000"/>
        </w:rPr>
        <w:t>З</w:t>
      </w:r>
      <w:r>
        <w:rPr>
          <w:color w:val="000000"/>
        </w:rPr>
        <w:t xml:space="preserve">міни в технологіях виробництва та використання ресурсів: використання електронних медичних записів, розвиток телемедицини для здійснення консультацій та діагностики віддалених пацієнтів, впровадження медичного обладнання з використанням штучного інтелекту </w:t>
      </w:r>
      <w:r>
        <w:rPr>
          <w:color w:val="000000"/>
        </w:rPr>
        <w:t>для покращення діагностики та лікування.</w:t>
      </w:r>
    </w:p>
    <w:p w:rsidR="001E0A2A" w:rsidRDefault="00E079B6">
      <w:pPr>
        <w:widowControl w:val="0"/>
        <w:numPr>
          <w:ilvl w:val="0"/>
          <w:numId w:val="16"/>
        </w:numPr>
        <w:pBdr>
          <w:top w:val="nil"/>
          <w:left w:val="nil"/>
          <w:bottom w:val="nil"/>
          <w:right w:val="nil"/>
          <w:between w:val="nil"/>
        </w:pBdr>
        <w:ind w:left="0" w:firstLine="720"/>
        <w:rPr>
          <w:color w:val="000000"/>
        </w:rPr>
      </w:pPr>
      <w:r>
        <w:rPr>
          <w:color w:val="000000"/>
        </w:rPr>
        <w:t>Зміни в споживчому попиті: зростання попиту на естетичні медичні процедури, зміни в попиті на конкретні види медичних послуг у зв'язку з демографічними змінами або трендами у способі життя населення.</w:t>
      </w:r>
    </w:p>
    <w:p w:rsidR="001E0A2A" w:rsidRDefault="00E079B6">
      <w:pPr>
        <w:widowControl w:val="0"/>
        <w:numPr>
          <w:ilvl w:val="0"/>
          <w:numId w:val="16"/>
        </w:numPr>
        <w:pBdr>
          <w:top w:val="nil"/>
          <w:left w:val="nil"/>
          <w:bottom w:val="nil"/>
          <w:right w:val="nil"/>
          <w:between w:val="nil"/>
        </w:pBdr>
        <w:ind w:left="0" w:firstLine="720"/>
        <w:rPr>
          <w:color w:val="000000"/>
        </w:rPr>
      </w:pPr>
      <w:r>
        <w:rPr>
          <w:color w:val="000000"/>
        </w:rPr>
        <w:t>Відносини з інш</w:t>
      </w:r>
      <w:r>
        <w:rPr>
          <w:color w:val="000000"/>
        </w:rPr>
        <w:t>ими галузями: співпраця з фармацевтичними компаніями для розробки нових лікарських препаратів, з інформаційними технологіями для розвитку медичних програмних продуктів, з страховими компаніями для розробки медичних страхових полісів та інші види співпраці.</w:t>
      </w:r>
    </w:p>
    <w:p w:rsidR="001E0A2A" w:rsidRDefault="00E079B6">
      <w:pPr>
        <w:widowControl w:val="0"/>
        <w:pBdr>
          <w:top w:val="nil"/>
          <w:left w:val="nil"/>
          <w:bottom w:val="nil"/>
          <w:right w:val="nil"/>
          <w:between w:val="nil"/>
        </w:pBdr>
        <w:rPr>
          <w:color w:val="000000"/>
        </w:rPr>
      </w:pPr>
      <w:r>
        <w:rPr>
          <w:color w:val="000000"/>
        </w:rPr>
        <w:t>Що ж стосується галузі інформаційних технологій, то можна відмітити:</w:t>
      </w:r>
    </w:p>
    <w:p w:rsidR="001E0A2A" w:rsidRDefault="00E079B6">
      <w:pPr>
        <w:widowControl w:val="0"/>
        <w:numPr>
          <w:ilvl w:val="0"/>
          <w:numId w:val="17"/>
        </w:numPr>
        <w:pBdr>
          <w:top w:val="nil"/>
          <w:left w:val="nil"/>
          <w:bottom w:val="nil"/>
          <w:right w:val="nil"/>
          <w:between w:val="nil"/>
        </w:pBdr>
        <w:ind w:left="0" w:firstLine="720"/>
        <w:rPr>
          <w:color w:val="000000"/>
        </w:rPr>
      </w:pPr>
      <w:r>
        <w:rPr>
          <w:color w:val="000000"/>
        </w:rPr>
        <w:t>Зростання обсягу виробництва: Розширення виробництва та розвиток нових продуктів і послуг в галузі інформаційних технологій, таких як розробка програмного забезпечення, створення веб–сайтів та мобільних додатків, впровадження хмарних технологій.</w:t>
      </w:r>
    </w:p>
    <w:p w:rsidR="001E0A2A" w:rsidRDefault="00E079B6">
      <w:pPr>
        <w:widowControl w:val="0"/>
        <w:numPr>
          <w:ilvl w:val="0"/>
          <w:numId w:val="17"/>
        </w:numPr>
        <w:pBdr>
          <w:top w:val="nil"/>
          <w:left w:val="nil"/>
          <w:bottom w:val="nil"/>
          <w:right w:val="nil"/>
          <w:between w:val="nil"/>
        </w:pBdr>
        <w:ind w:left="0" w:firstLine="720"/>
        <w:rPr>
          <w:color w:val="000000"/>
        </w:rPr>
      </w:pPr>
      <w:r>
        <w:rPr>
          <w:color w:val="000000"/>
        </w:rPr>
        <w:t>Рівень інв</w:t>
      </w:r>
      <w:r>
        <w:rPr>
          <w:color w:val="000000"/>
        </w:rPr>
        <w:t>естицій: Інвестиції у дослідження та розробку нових технологій, фінансування стартапів в галузі інформаційних технологій, впровадження інноваційних проектів та платформ.</w:t>
      </w:r>
    </w:p>
    <w:p w:rsidR="001E0A2A" w:rsidRDefault="00E079B6">
      <w:pPr>
        <w:widowControl w:val="0"/>
        <w:numPr>
          <w:ilvl w:val="0"/>
          <w:numId w:val="17"/>
        </w:numPr>
        <w:pBdr>
          <w:top w:val="nil"/>
          <w:left w:val="nil"/>
          <w:bottom w:val="nil"/>
          <w:right w:val="nil"/>
          <w:between w:val="nil"/>
        </w:pBdr>
        <w:ind w:left="0" w:firstLine="720"/>
        <w:rPr>
          <w:color w:val="000000"/>
        </w:rPr>
      </w:pPr>
      <w:r>
        <w:rPr>
          <w:color w:val="000000"/>
        </w:rPr>
        <w:lastRenderedPageBreak/>
        <w:t>Зміни в ринковій концентрації: Фузії та поглинання компаній у галузі ІТ, зміни в лідер</w:t>
      </w:r>
      <w:r>
        <w:rPr>
          <w:color w:val="000000"/>
        </w:rPr>
        <w:t>стві та конкуренція між гравцями ринку, розвиток глобальних інформаційних корпорацій та платформ.</w:t>
      </w:r>
    </w:p>
    <w:p w:rsidR="001E0A2A" w:rsidRDefault="00E079B6">
      <w:pPr>
        <w:widowControl w:val="0"/>
        <w:numPr>
          <w:ilvl w:val="0"/>
          <w:numId w:val="17"/>
        </w:numPr>
        <w:pBdr>
          <w:top w:val="nil"/>
          <w:left w:val="nil"/>
          <w:bottom w:val="nil"/>
          <w:right w:val="nil"/>
          <w:between w:val="nil"/>
        </w:pBdr>
        <w:ind w:left="0" w:firstLine="720"/>
        <w:rPr>
          <w:color w:val="000000"/>
        </w:rPr>
      </w:pPr>
      <w:r>
        <w:rPr>
          <w:color w:val="000000"/>
        </w:rPr>
        <w:t xml:space="preserve">Зміни в технологіях виробництва та використання ресурсів: Використання новітніх технологій розробки програмного забезпечення, автоматизація процесів розробки </w:t>
      </w:r>
      <w:r>
        <w:rPr>
          <w:color w:val="000000"/>
        </w:rPr>
        <w:t>та тестування програм, використання штучного інтелекту та машинного навчання для оптимізації роботи систем.</w:t>
      </w:r>
    </w:p>
    <w:p w:rsidR="001E0A2A" w:rsidRDefault="00E079B6">
      <w:pPr>
        <w:widowControl w:val="0"/>
        <w:numPr>
          <w:ilvl w:val="0"/>
          <w:numId w:val="17"/>
        </w:numPr>
        <w:pBdr>
          <w:top w:val="nil"/>
          <w:left w:val="nil"/>
          <w:bottom w:val="nil"/>
          <w:right w:val="nil"/>
          <w:between w:val="nil"/>
        </w:pBdr>
        <w:ind w:left="0" w:firstLine="720"/>
        <w:rPr>
          <w:color w:val="000000"/>
        </w:rPr>
      </w:pPr>
      <w:r>
        <w:rPr>
          <w:color w:val="000000"/>
        </w:rPr>
        <w:t>Зміни в споживчому попиті: Зміни в попиті на нові технології та послуги, зростання популярності цифрового контенту та онлайн–платформ, збільшення по</w:t>
      </w:r>
      <w:r>
        <w:rPr>
          <w:color w:val="000000"/>
        </w:rPr>
        <w:t>питу на кібербезпеку та захист особистих даних.</w:t>
      </w:r>
    </w:p>
    <w:p w:rsidR="001E0A2A" w:rsidRDefault="00E079B6">
      <w:pPr>
        <w:widowControl w:val="0"/>
        <w:numPr>
          <w:ilvl w:val="0"/>
          <w:numId w:val="17"/>
        </w:numPr>
        <w:pBdr>
          <w:top w:val="nil"/>
          <w:left w:val="nil"/>
          <w:bottom w:val="nil"/>
          <w:right w:val="nil"/>
          <w:between w:val="nil"/>
        </w:pBdr>
        <w:ind w:left="0" w:firstLine="720"/>
        <w:rPr>
          <w:color w:val="000000"/>
        </w:rPr>
      </w:pPr>
      <w:r>
        <w:rPr>
          <w:color w:val="000000"/>
        </w:rPr>
        <w:t>Відносини з іншими галузями: Співпраця з іншими галузями для розробки технологічних рішень та інфраструктури, впровадження інформаційних систем у сфері охорони здоров'я, фінансів, освіти, виробництва тощо.</w:t>
      </w:r>
    </w:p>
    <w:p w:rsidR="001E0A2A" w:rsidRDefault="00E079B6">
      <w:pPr>
        <w:widowControl w:val="0"/>
        <w:pBdr>
          <w:top w:val="nil"/>
          <w:left w:val="nil"/>
          <w:bottom w:val="nil"/>
          <w:right w:val="nil"/>
          <w:between w:val="nil"/>
        </w:pBdr>
        <w:rPr>
          <w:color w:val="000000"/>
        </w:rPr>
      </w:pPr>
      <w:r>
        <w:rPr>
          <w:color w:val="000000"/>
        </w:rPr>
        <w:t>Ос</w:t>
      </w:r>
      <w:r>
        <w:rPr>
          <w:color w:val="000000"/>
        </w:rPr>
        <w:t>новними операторами є різні ІТ-компанії. Головними гравцями в ІТ-галузі є такі компанії, як Microsoft, Apple, Google, Amazon, Facebook, IBM та інші, що надають різноманітні ІТ продукти та послуги. У сегменті програмного забезпечення також діють багато стар</w:t>
      </w:r>
      <w:r>
        <w:rPr>
          <w:color w:val="000000"/>
        </w:rPr>
        <w:t>тапів та малих та середніх підприємств, які пропонують інноваційні рішення у різних галузях.</w:t>
      </w:r>
    </w:p>
    <w:p w:rsidR="001E0A2A" w:rsidRDefault="00E079B6">
      <w:pPr>
        <w:widowControl w:val="0"/>
        <w:pBdr>
          <w:top w:val="nil"/>
          <w:left w:val="nil"/>
          <w:bottom w:val="nil"/>
          <w:right w:val="nil"/>
          <w:between w:val="nil"/>
        </w:pBdr>
        <w:rPr>
          <w:color w:val="000000"/>
        </w:rPr>
      </w:pPr>
      <w:r>
        <w:rPr>
          <w:color w:val="000000"/>
        </w:rPr>
        <w:t>Вхідні бар'єри включають високі витрати на дослідження та розробку, потребу у висококваліфікованих спеціалістах, інтенсивну конкуренцію та високий рівень ризику. В</w:t>
      </w:r>
      <w:r>
        <w:rPr>
          <w:color w:val="000000"/>
        </w:rPr>
        <w:t>ихідні бар'єри включають зв'язки з клієнтами, великий обсяг даних, які важко перемістити до іншого постачальника, а також інтелектуальну власність та патенти.</w:t>
      </w:r>
    </w:p>
    <w:p w:rsidR="001E0A2A" w:rsidRDefault="00E079B6">
      <w:pPr>
        <w:widowControl w:val="0"/>
        <w:pBdr>
          <w:top w:val="nil"/>
          <w:left w:val="nil"/>
          <w:bottom w:val="nil"/>
          <w:right w:val="nil"/>
          <w:between w:val="nil"/>
        </w:pBdr>
        <w:rPr>
          <w:color w:val="000000"/>
        </w:rPr>
      </w:pPr>
      <w:r>
        <w:rPr>
          <w:color w:val="000000"/>
        </w:rPr>
        <w:t>Із загальних тенденцій можна виділити: перехід до хмарних технологій, розвиток штучного інтелекту</w:t>
      </w:r>
      <w:r>
        <w:rPr>
          <w:color w:val="000000"/>
        </w:rPr>
        <w:t xml:space="preserve"> та машинного навчання, зростання кількості підключених пристроїв та Інтернету речей, постійна необхідність у заходах кібербезпеки та захисту даних. Особливості ринку ІТ полягають у його динамічності та швидкозмінності, у впливовому значенні інновацій та ш</w:t>
      </w:r>
      <w:r>
        <w:rPr>
          <w:color w:val="000000"/>
        </w:rPr>
        <w:t xml:space="preserve">видкості виконання. Також особливістю ринку є дуже висока конкуренція через широку наявність гравців та постійні технологічні зміни. Конкуренція є великою як серед </w:t>
      </w:r>
      <w:r>
        <w:rPr>
          <w:color w:val="000000"/>
        </w:rPr>
        <w:lastRenderedPageBreak/>
        <w:t>великих корпорацій, так і серед менших гравців та стартапів. Сам ринок ІТ є глобальним та ма</w:t>
      </w:r>
      <w:r>
        <w:rPr>
          <w:color w:val="000000"/>
        </w:rPr>
        <w:t xml:space="preserve">є великий потенціал для росту. Його розмір досягає мільярдів доларів і продовжує зростати. </w:t>
      </w:r>
    </w:p>
    <w:p w:rsidR="001E0A2A" w:rsidRDefault="00E079B6">
      <w:pPr>
        <w:widowControl w:val="0"/>
        <w:pBdr>
          <w:top w:val="nil"/>
          <w:left w:val="nil"/>
          <w:bottom w:val="nil"/>
          <w:right w:val="nil"/>
          <w:between w:val="nil"/>
        </w:pBdr>
        <w:rPr>
          <w:color w:val="000000"/>
        </w:rPr>
      </w:pPr>
      <w:r>
        <w:rPr>
          <w:color w:val="000000"/>
        </w:rPr>
        <w:t>Експертами, які можуть дати прогнози щодо розвитку галузі інформаційних технологій, можуть бути:</w:t>
      </w:r>
    </w:p>
    <w:p w:rsidR="001E0A2A" w:rsidRDefault="00E079B6">
      <w:pPr>
        <w:widowControl w:val="0"/>
        <w:numPr>
          <w:ilvl w:val="0"/>
          <w:numId w:val="25"/>
        </w:numPr>
        <w:pBdr>
          <w:top w:val="nil"/>
          <w:left w:val="nil"/>
          <w:bottom w:val="nil"/>
          <w:right w:val="nil"/>
          <w:between w:val="nil"/>
        </w:pBdr>
        <w:ind w:left="0" w:firstLine="720"/>
        <w:rPr>
          <w:color w:val="000000"/>
        </w:rPr>
      </w:pPr>
      <w:r>
        <w:rPr>
          <w:color w:val="000000"/>
        </w:rPr>
        <w:t>Аналітики та консультанти з інформаційних технологій: Такі компанії, як Gartner, Forrester, IDC та Deloitte, здійснюють аналіз ринку та роблять прогнози щодо тенденцій у сфері ІТ.</w:t>
      </w:r>
    </w:p>
    <w:p w:rsidR="001E0A2A" w:rsidRDefault="00E079B6">
      <w:pPr>
        <w:widowControl w:val="0"/>
        <w:numPr>
          <w:ilvl w:val="0"/>
          <w:numId w:val="25"/>
        </w:numPr>
        <w:pBdr>
          <w:top w:val="nil"/>
          <w:left w:val="nil"/>
          <w:bottom w:val="nil"/>
          <w:right w:val="nil"/>
          <w:between w:val="nil"/>
        </w:pBdr>
        <w:ind w:left="0" w:firstLine="720"/>
        <w:rPr>
          <w:color w:val="000000"/>
        </w:rPr>
      </w:pPr>
      <w:r>
        <w:rPr>
          <w:color w:val="000000"/>
        </w:rPr>
        <w:t>Експерти з дослідження ринку: Різні дослідницькі організації, такі як Market</w:t>
      </w:r>
      <w:r>
        <w:rPr>
          <w:color w:val="000000"/>
        </w:rPr>
        <w:t>Research.com та Statista, проводять дослідження ринку та публікують прогнози щодо зростання певних сегментів ІТ-галузі.</w:t>
      </w:r>
    </w:p>
    <w:p w:rsidR="001E0A2A" w:rsidRDefault="00E079B6">
      <w:pPr>
        <w:widowControl w:val="0"/>
        <w:numPr>
          <w:ilvl w:val="0"/>
          <w:numId w:val="25"/>
        </w:numPr>
        <w:pBdr>
          <w:top w:val="nil"/>
          <w:left w:val="nil"/>
          <w:bottom w:val="nil"/>
          <w:right w:val="nil"/>
          <w:between w:val="nil"/>
        </w:pBdr>
        <w:ind w:left="0" w:firstLine="720"/>
        <w:rPr>
          <w:color w:val="000000"/>
        </w:rPr>
      </w:pPr>
      <w:r>
        <w:rPr>
          <w:color w:val="000000"/>
        </w:rPr>
        <w:t>Технологічні журналісти: Журналісти, що спеціалізуються на технологіях, наприклад, засновники видань про ІТ, блогери та аналітики, можут</w:t>
      </w:r>
      <w:r>
        <w:rPr>
          <w:color w:val="000000"/>
        </w:rPr>
        <w:t>ь поділитися своїми думками та прогнозами щодо майбутнього розвитку галузі.</w:t>
      </w:r>
    </w:p>
    <w:p w:rsidR="001E0A2A" w:rsidRDefault="00E079B6">
      <w:pPr>
        <w:widowControl w:val="0"/>
        <w:numPr>
          <w:ilvl w:val="0"/>
          <w:numId w:val="25"/>
        </w:numPr>
        <w:pBdr>
          <w:top w:val="nil"/>
          <w:left w:val="nil"/>
          <w:bottom w:val="nil"/>
          <w:right w:val="nil"/>
          <w:between w:val="nil"/>
        </w:pBdr>
        <w:ind w:left="0" w:firstLine="720"/>
        <w:rPr>
          <w:color w:val="000000"/>
        </w:rPr>
      </w:pPr>
      <w:r>
        <w:rPr>
          <w:color w:val="000000"/>
        </w:rPr>
        <w:t>Індустріальні аналітики: Люди, які мають експертні знання в конкретних сегментах ІТ-галузі, наприклад, у сферах хмарних технологій, штучного інтелекту, кібербезпеки тощо, можуть да</w:t>
      </w:r>
      <w:r>
        <w:rPr>
          <w:color w:val="000000"/>
        </w:rPr>
        <w:t>вати прогнози щодо розвитку цих конкретних напрямків.</w:t>
      </w:r>
    </w:p>
    <w:p w:rsidR="001E0A2A" w:rsidRDefault="00E079B6">
      <w:pPr>
        <w:widowControl w:val="0"/>
        <w:pBdr>
          <w:top w:val="nil"/>
          <w:left w:val="nil"/>
          <w:bottom w:val="nil"/>
          <w:right w:val="nil"/>
          <w:between w:val="nil"/>
        </w:pBdr>
        <w:rPr>
          <w:color w:val="000000"/>
        </w:rPr>
      </w:pPr>
      <w:r>
        <w:rPr>
          <w:color w:val="000000"/>
        </w:rPr>
        <w:t>Ці експерти прогнозують продовження швидкого росту галузі, особливо в сегментах штучного інтелекту, хмарних технологій та кібербезпеки. Можливі також збільшення інтеграції ІТ-рішень у різних секторах ек</w:t>
      </w:r>
      <w:r>
        <w:rPr>
          <w:color w:val="000000"/>
        </w:rPr>
        <w:t>ономіки, значний розвиток в галузі медичних інформаційних технологій та телемедицини, зростання важливості етичних питань, пов'язаних з використанням новітніх технологій.</w:t>
      </w:r>
    </w:p>
    <w:p w:rsidR="001E0A2A" w:rsidRDefault="00E079B6">
      <w:pPr>
        <w:widowControl w:val="0"/>
        <w:pBdr>
          <w:top w:val="nil"/>
          <w:left w:val="nil"/>
          <w:bottom w:val="nil"/>
          <w:right w:val="nil"/>
          <w:between w:val="nil"/>
        </w:pBdr>
        <w:rPr>
          <w:color w:val="000000"/>
        </w:rPr>
      </w:pPr>
      <w:r>
        <w:rPr>
          <w:color w:val="000000"/>
        </w:rPr>
        <w:t>Тепер, розглянемо основні аспекти операторів, бар'єри, тенденції, ринкові особливості</w:t>
      </w:r>
      <w:r>
        <w:rPr>
          <w:color w:val="000000"/>
        </w:rPr>
        <w:t xml:space="preserve"> та прогнози розвитку медичної галузі. Основними гравцями в медичній галузі є медичні установи (лікарні, клініки, поліклініки), фармацевтичні компанії, медичні технологічні компанії та страхові компанії.</w:t>
      </w:r>
    </w:p>
    <w:p w:rsidR="001E0A2A" w:rsidRDefault="00E079B6">
      <w:pPr>
        <w:widowControl w:val="0"/>
        <w:pBdr>
          <w:top w:val="nil"/>
          <w:left w:val="nil"/>
          <w:bottom w:val="nil"/>
          <w:right w:val="nil"/>
          <w:between w:val="nil"/>
        </w:pBdr>
        <w:rPr>
          <w:color w:val="000000"/>
        </w:rPr>
      </w:pPr>
      <w:r>
        <w:rPr>
          <w:color w:val="000000"/>
        </w:rPr>
        <w:t xml:space="preserve">Вхідні бар'єри включають високі витрати на розробку </w:t>
      </w:r>
      <w:r>
        <w:rPr>
          <w:color w:val="000000"/>
        </w:rPr>
        <w:t xml:space="preserve">та випробування медичних продуктів та послуг, вимоги до ліцензування та регулятивні обмеження. Вихідні бар'єри полягають у високій вартості збору даних про пацієнтів, великому </w:t>
      </w:r>
      <w:r>
        <w:rPr>
          <w:color w:val="000000"/>
        </w:rPr>
        <w:lastRenderedPageBreak/>
        <w:t>обсязі патентів та інтелектуальної власності.</w:t>
      </w:r>
    </w:p>
    <w:p w:rsidR="001E0A2A" w:rsidRDefault="00E079B6">
      <w:pPr>
        <w:widowControl w:val="0"/>
        <w:pBdr>
          <w:top w:val="nil"/>
          <w:left w:val="nil"/>
          <w:bottom w:val="nil"/>
          <w:right w:val="nil"/>
          <w:between w:val="nil"/>
        </w:pBdr>
        <w:rPr>
          <w:color w:val="000000"/>
        </w:rPr>
      </w:pPr>
      <w:r>
        <w:rPr>
          <w:color w:val="000000"/>
        </w:rPr>
        <w:t>Загальними тенденціями медичної га</w:t>
      </w:r>
      <w:r>
        <w:rPr>
          <w:color w:val="000000"/>
        </w:rPr>
        <w:t>лузі є перехід до електронних медичних записів та цифровізація медичних процесів, збільшення використання телемедицини та дистанційних медичних консультацій, розвиток медичних технологій, таких як робототехніка в хірургії та медичні пристрої зі штучним інт</w:t>
      </w:r>
      <w:r>
        <w:rPr>
          <w:color w:val="000000"/>
        </w:rPr>
        <w:t>електом. Такі зміни сприяють підвищенню ефективності та точності медичних послуг, поліпшенню доступу до медичної допомоги, особливо для пацієнтів у віддалених регіонах. Такі тенденції підкреслюють важливість інновацій та впровадження нових технологій у мед</w:t>
      </w:r>
      <w:r>
        <w:rPr>
          <w:color w:val="000000"/>
        </w:rPr>
        <w:t>ичній галузі для підвищення якості надання медичної допомоги та оптимізації медичних процесів.</w:t>
      </w:r>
    </w:p>
    <w:p w:rsidR="001E0A2A" w:rsidRDefault="00E079B6">
      <w:pPr>
        <w:widowControl w:val="0"/>
        <w:pBdr>
          <w:top w:val="nil"/>
          <w:left w:val="nil"/>
          <w:bottom w:val="nil"/>
          <w:right w:val="nil"/>
          <w:between w:val="nil"/>
        </w:pBdr>
        <w:rPr>
          <w:color w:val="000000"/>
        </w:rPr>
      </w:pPr>
      <w:r>
        <w:rPr>
          <w:color w:val="000000"/>
        </w:rPr>
        <w:t xml:space="preserve">Особливостями медичного ринку є високий рівень регуляції та великою важливістю дотримання медичних стандартів та нормативів. Ще одна особливість полягає в тому, </w:t>
      </w:r>
      <w:r>
        <w:rPr>
          <w:color w:val="000000"/>
        </w:rPr>
        <w:t>що конкуренція в галузі медицини зосереджена на якості медичних послуг, репутації та досвіді лікарів та медичних установ. Конкуренція в медичній галузі різноманітна, від конкуренції між лікарнями та клініками до конкуренції між фармацевтичними компаніями т</w:t>
      </w:r>
      <w:r>
        <w:rPr>
          <w:color w:val="000000"/>
        </w:rPr>
        <w:t>а медичними технологічними компаніями. Загалом, медичний ринок має великий розмір та великий потенціал для росту, особливо з урахуванням демографічних та технологічних тенденцій.</w:t>
      </w:r>
    </w:p>
    <w:p w:rsidR="001E0A2A" w:rsidRDefault="00E079B6">
      <w:pPr>
        <w:widowControl w:val="0"/>
        <w:pBdr>
          <w:top w:val="nil"/>
          <w:left w:val="nil"/>
          <w:bottom w:val="nil"/>
          <w:right w:val="nil"/>
          <w:between w:val="nil"/>
        </w:pBdr>
        <w:rPr>
          <w:color w:val="000000"/>
        </w:rPr>
      </w:pPr>
      <w:r>
        <w:rPr>
          <w:color w:val="000000"/>
        </w:rPr>
        <w:t>Експерти прогнозують подальше зростання використання технологій у медичній га</w:t>
      </w:r>
      <w:r>
        <w:rPr>
          <w:color w:val="000000"/>
        </w:rPr>
        <w:t>лузі, що сприятиме покращенню якості медичної допомоги та доступності послуг. Очікується подальший розвиток телемедицини та дистанційних медичних консультацій, особливо в контексті зростання потреб у віддалених регіонах. Також прогнозується збільшення інве</w:t>
      </w:r>
      <w:r>
        <w:rPr>
          <w:color w:val="000000"/>
        </w:rPr>
        <w:t>стицій у дослідження та розробку нових медичних технологій, які забезпечать інноваційні рішення для медичної галузі.</w:t>
      </w:r>
    </w:p>
    <w:p w:rsidR="001E0A2A" w:rsidRDefault="00E079B6">
      <w:pPr>
        <w:widowControl w:val="0"/>
        <w:pBdr>
          <w:top w:val="nil"/>
          <w:left w:val="nil"/>
          <w:bottom w:val="nil"/>
          <w:right w:val="nil"/>
          <w:between w:val="nil"/>
        </w:pBdr>
        <w:rPr>
          <w:color w:val="000000"/>
        </w:rPr>
      </w:pPr>
      <w:r>
        <w:rPr>
          <w:color w:val="000000"/>
        </w:rPr>
        <w:t>Медицину та ІТ також об’єднує сучасна тенденція до здорового способу життя. Сьогодні все більше людей переходять на здоровий спосіб життя, звертаючи увагу на правильне харчування та активність [15]. Щоб підтримувати своє здоров'я, багато людей використовую</w:t>
      </w:r>
      <w:r>
        <w:rPr>
          <w:color w:val="000000"/>
        </w:rPr>
        <w:t xml:space="preserve">ть послуги дієтолога та користуються програмами харчування, які, звісно, коштують певних грошей. Але також зараз існує чимало </w:t>
      </w:r>
      <w:r>
        <w:rPr>
          <w:color w:val="000000"/>
        </w:rPr>
        <w:lastRenderedPageBreak/>
        <w:t>додатків, які допомагають автоматично підбирати плани харчування на основі біометричних даних (вага, зріст, бажаний результат в пл</w:t>
      </w:r>
      <w:r>
        <w:rPr>
          <w:color w:val="000000"/>
        </w:rPr>
        <w:t xml:space="preserve">ані набору або схуднення і тощо), записувати їжу, тренування та спожиту воду. Прикладами можуть бути додатки Lifesum, EasyFit, FatSecret, Cara та багато інших [16]. Ці додатки також нагадують про прийоми їжі, але варто зазначити, що вони поки що не можуть </w:t>
      </w:r>
      <w:r>
        <w:rPr>
          <w:color w:val="000000"/>
        </w:rPr>
        <w:t>повністю замінити професійного дієтолога.</w:t>
      </w:r>
    </w:p>
    <w:p w:rsidR="001E0A2A" w:rsidRDefault="00E079B6">
      <w:pPr>
        <w:widowControl w:val="0"/>
        <w:pBdr>
          <w:top w:val="nil"/>
          <w:left w:val="nil"/>
          <w:bottom w:val="nil"/>
          <w:right w:val="nil"/>
          <w:between w:val="nil"/>
        </w:pBdr>
        <w:rPr>
          <w:color w:val="000000"/>
        </w:rPr>
      </w:pPr>
      <w:r>
        <w:rPr>
          <w:color w:val="000000"/>
        </w:rPr>
        <w:t xml:space="preserve">Серед усіх факторів мезосередовища впливовими є висока конкуренція та розвиток в галузі медичних інформаційних технологій. Їх можна розглянути як фактор загрози зростаючої конкуренції на ринку та фактор можливості </w:t>
      </w:r>
      <w:r>
        <w:rPr>
          <w:color w:val="000000"/>
        </w:rPr>
        <w:t>використання цифрових технологій та телемедицини. На основі здійсненого аналізу мезосередовища визначено вплив кожного фактора, результати наведено в табл.1.4. Ці фактори вже розглянуті в аналізі макросередовища.</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Таблиця 1.4 – Таблиця факторів мезосередов</w:t>
      </w:r>
      <w:r>
        <w:rPr>
          <w:color w:val="000000"/>
        </w:rPr>
        <w:t>ища МЦ «Mediland»</w:t>
      </w:r>
    </w:p>
    <w:tbl>
      <w:tblPr>
        <w:tblStyle w:val="af8"/>
        <w:tblW w:w="102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8"/>
        <w:gridCol w:w="3260"/>
        <w:gridCol w:w="3118"/>
        <w:gridCol w:w="3449"/>
      </w:tblGrid>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 з/п</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Фактор</w:t>
            </w:r>
          </w:p>
        </w:tc>
        <w:tc>
          <w:tcPr>
            <w:tcW w:w="31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Загроза</w:t>
            </w:r>
          </w:p>
        </w:tc>
        <w:tc>
          <w:tcPr>
            <w:tcW w:w="3449"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Можливість</w:t>
            </w:r>
          </w:p>
        </w:tc>
      </w:tr>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1.</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Висока конкуренція на ринках естетичної медицини та ІТ</w:t>
            </w:r>
          </w:p>
        </w:tc>
        <w:tc>
          <w:tcPr>
            <w:tcW w:w="31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 Зростаюча конкуренція на ринку медичних послуг</w:t>
            </w:r>
          </w:p>
        </w:tc>
        <w:tc>
          <w:tcPr>
            <w:tcW w:w="3449"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2.</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Розвиток в галузі медичних інформаційних технологій</w:t>
            </w:r>
          </w:p>
        </w:tc>
        <w:tc>
          <w:tcPr>
            <w:tcW w:w="3118"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c>
          <w:tcPr>
            <w:tcW w:w="3449"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Використання цифрових технологій та телемедицини для розширення обсягу послуг</w:t>
            </w:r>
          </w:p>
        </w:tc>
      </w:tr>
    </w:tbl>
    <w:p w:rsidR="001E0A2A" w:rsidRDefault="00E079B6">
      <w:pPr>
        <w:widowControl w:val="0"/>
        <w:pBdr>
          <w:top w:val="nil"/>
          <w:left w:val="nil"/>
          <w:bottom w:val="nil"/>
          <w:right w:val="nil"/>
          <w:between w:val="nil"/>
        </w:pBdr>
        <w:jc w:val="left"/>
        <w:rPr>
          <w:color w:val="000000"/>
        </w:rPr>
      </w:pPr>
      <w:r>
        <w:rPr>
          <w:color w:val="000000"/>
        </w:rPr>
        <w:t>Джерело: складено автором</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Аналізуючи мезосередовище медичної галузі, виділяється два ключових фактори: висока конкуренція і розвиток медичних інформаційних технологій. Конкуренція викликає необхідність для компаній постійно зміцнювати свої позиції, вдосконалювати продукти та послуг</w:t>
      </w:r>
      <w:r>
        <w:rPr>
          <w:color w:val="000000"/>
        </w:rPr>
        <w:t>и та шукати нові способи вирішення потреб клієнтів. У той же час, розвиток цифрових технологій і телемедицини відкриває нові можливості для поліпшення якості медичної допомоги та зменшення витрат. Ці технології дозволяють забезпечити більш ефективне обслуг</w:t>
      </w:r>
      <w:r>
        <w:rPr>
          <w:color w:val="000000"/>
        </w:rPr>
        <w:t xml:space="preserve">овування пацієнтів і зробити медичну допомогу доступнішою, що робить їх ключовими для успішності в галузі. Таким чином, розуміння цих факторів допомагає компаніям адаптуватися до змін та використовувати можливості для </w:t>
      </w:r>
      <w:r>
        <w:rPr>
          <w:color w:val="000000"/>
        </w:rPr>
        <w:lastRenderedPageBreak/>
        <w:t>розвитку свого бізнесу.</w:t>
      </w:r>
    </w:p>
    <w:p w:rsidR="001E0A2A" w:rsidRDefault="00E079B6">
      <w:pPr>
        <w:widowControl w:val="0"/>
        <w:pBdr>
          <w:top w:val="nil"/>
          <w:left w:val="nil"/>
          <w:bottom w:val="nil"/>
          <w:right w:val="nil"/>
          <w:between w:val="nil"/>
        </w:pBdr>
        <w:rPr>
          <w:color w:val="000000"/>
        </w:rPr>
      </w:pPr>
      <w:r>
        <w:rPr>
          <w:color w:val="000000"/>
        </w:rPr>
        <w:t>На останок про</w:t>
      </w:r>
      <w:r>
        <w:rPr>
          <w:color w:val="000000"/>
        </w:rPr>
        <w:t>аналізуємо фактори мікросередовища підприємства. Дослідження можна спрямувати на пошук відповідей щодо потреби та корисності встановлення додатків стосовно правильного харчування та способу життя в поєднанні з послугами закладів (клінік), які працюють у сф</w:t>
      </w:r>
      <w:r>
        <w:rPr>
          <w:color w:val="000000"/>
        </w:rPr>
        <w:t>ері медицини, тобто мають місію підтримки краси і здоров’я  населення країни.</w:t>
      </w:r>
    </w:p>
    <w:p w:rsidR="001E0A2A" w:rsidRDefault="00E079B6">
      <w:pPr>
        <w:widowControl w:val="0"/>
        <w:pBdr>
          <w:top w:val="nil"/>
          <w:left w:val="nil"/>
          <w:bottom w:val="nil"/>
          <w:right w:val="nil"/>
          <w:between w:val="nil"/>
        </w:pBdr>
        <w:rPr>
          <w:color w:val="000000"/>
        </w:rPr>
      </w:pPr>
      <w:r>
        <w:rPr>
          <w:color w:val="000000"/>
        </w:rPr>
        <w:t>Почнемо з аналізу споживачів МЦ «Mediland». Цільова аудиторія медичного центру Mediland може включати в себе широкий спектр груп населення, які шукають якісну та професійну медич</w:t>
      </w:r>
      <w:r>
        <w:rPr>
          <w:color w:val="000000"/>
        </w:rPr>
        <w:t>ну допомогу: пацієнти з різноманітними медичними потребами; сімейна аудиторія; люди, які прагнуть до здорового способу життя; пацієнти, які шукають естетичні процедури. Цільова аудиторія Mediland може бути різноманітною за віком, соціальним статусом, медич</w:t>
      </w:r>
      <w:r>
        <w:rPr>
          <w:color w:val="000000"/>
        </w:rPr>
        <w:t>ними потребами та іншими параметрами, тому центр пропонує різноманітні послуги, що задовольняють потреби різних клієнтів. Але історично склалося, що найчастіше типовим споживачем МЦ «Mediland» є чоловіки/жінки віком 30 – 50 років з середнім або вище середн</w:t>
      </w:r>
      <w:r>
        <w:rPr>
          <w:color w:val="000000"/>
        </w:rPr>
        <w:t xml:space="preserve">ього рівнем доходу, які піклуються про своє здоров’я. </w:t>
      </w:r>
    </w:p>
    <w:p w:rsidR="001E0A2A" w:rsidRDefault="00E079B6">
      <w:pPr>
        <w:widowControl w:val="0"/>
        <w:pBdr>
          <w:top w:val="nil"/>
          <w:left w:val="nil"/>
          <w:bottom w:val="nil"/>
          <w:right w:val="nil"/>
          <w:between w:val="nil"/>
        </w:pBdr>
        <w:rPr>
          <w:color w:val="000000"/>
        </w:rPr>
      </w:pPr>
      <w:r>
        <w:rPr>
          <w:color w:val="000000"/>
        </w:rPr>
        <w:t>Але оскільки ми розглядаємо саме ринок естетичної медицини, то там ситуація трохи змінюється. Загалом, типовий споживач послуг естетичної медицини може бути представлений як активна, свідома про свій з</w:t>
      </w:r>
      <w:r>
        <w:rPr>
          <w:color w:val="000000"/>
        </w:rPr>
        <w:t>овнішній вигляд особа, яка прагне покращити або зберегти свою привабливість та молодість. Зазвичай це люди від 25 до 60 років, які прагнуть до ідеального вигляду та впевненості в собі. Ці особи можуть бути як жінками, так і чоловіками, які бажають виглядат</w:t>
      </w:r>
      <w:r>
        <w:rPr>
          <w:color w:val="000000"/>
        </w:rPr>
        <w:t>и краще та молодше, зберігати впевненість у собі або підготуватися до особливих подій. Вони можуть мати різні соціальні статуси, від студентів до бізнесменів, і різний рівень доходу, але їх спільним бажанням є бажання звернутися до професіоналів, щоб отрим</w:t>
      </w:r>
      <w:r>
        <w:rPr>
          <w:color w:val="000000"/>
        </w:rPr>
        <w:t>ати високоякісні та безпечні процедури. Найчастіше це все ж таки жінки віком 25 – 45 років з середнім або високим достатком. Вони готові вкладати час, енергію та фінанси у своє здоров'я та зовнішній вигляд, переконані у важливості догляду за собою для підт</w:t>
      </w:r>
      <w:r>
        <w:rPr>
          <w:color w:val="000000"/>
        </w:rPr>
        <w:t>римання позитивного самопочуття та самовпевненості.</w:t>
      </w:r>
    </w:p>
    <w:p w:rsidR="001E0A2A" w:rsidRDefault="00E079B6">
      <w:pPr>
        <w:widowControl w:val="0"/>
        <w:pBdr>
          <w:top w:val="nil"/>
          <w:left w:val="nil"/>
          <w:bottom w:val="nil"/>
          <w:right w:val="nil"/>
          <w:between w:val="nil"/>
        </w:pBdr>
        <w:rPr>
          <w:color w:val="000000"/>
        </w:rPr>
      </w:pPr>
      <w:r>
        <w:rPr>
          <w:color w:val="000000"/>
        </w:rPr>
        <w:lastRenderedPageBreak/>
        <w:t>Прийняття рішення про купівлю послуг естетичної медицини може бути складним процесом, який включає різні моделі та фактори. В раціональній моделі споживач ретельно аналізує свої потреби та мету процедури,</w:t>
      </w:r>
      <w:r>
        <w:rPr>
          <w:color w:val="000000"/>
        </w:rPr>
        <w:t xml:space="preserve"> збирає інформацію про різні клініки та послуги, порівнює їх, аналізує вартість та якість послуг, і приймає рішення на основі об'єктивних факторів. Деякі споживачі можуть приймати рішення про купівлю послуг естетичної медицини на основі емоцій та особистих</w:t>
      </w:r>
      <w:r>
        <w:rPr>
          <w:color w:val="000000"/>
        </w:rPr>
        <w:t xml:space="preserve"> переконань, використовуючи емоційна модель. Вони можуть бути під впливом реклами, соціальних мереж, рекомендацій друзів або власного бажання виглядати краще та відчувати себе більш впевнено. У соціальній моделі рішення про купівлю послуг естетичної медици</w:t>
      </w:r>
      <w:r>
        <w:rPr>
          <w:color w:val="000000"/>
        </w:rPr>
        <w:t>ни може бути вплив соціальних чинників, таких як тенденції в красі та моді, статусність, приналежність до певної групи або оточення. Деякі споживачі можуть приймати рішення про купівлю послуг естетичної медицини на основі своєї особистої інтуїції або внутр</w:t>
      </w:r>
      <w:r>
        <w:rPr>
          <w:color w:val="000000"/>
        </w:rPr>
        <w:t>ішнього переконання щодо того, яка процедура або клініка є найкращою для них. Це – інтуїтивна модель. У моделі впливу експертів споживачі можуть приймати рішення на основі рекомендацій та думок від експертів, таких як лікарі, косметологи або впливові особи</w:t>
      </w:r>
      <w:r>
        <w:rPr>
          <w:color w:val="000000"/>
        </w:rPr>
        <w:t>стості в галузі естетичної медицини. Ці моделі можуть застосовуватися окремо або разом в залежності від індивідуальних потреб, переконань та ситуації споживача.</w:t>
      </w:r>
    </w:p>
    <w:p w:rsidR="001E0A2A" w:rsidRDefault="00E079B6">
      <w:pPr>
        <w:widowControl w:val="0"/>
        <w:pBdr>
          <w:top w:val="nil"/>
          <w:left w:val="nil"/>
          <w:bottom w:val="nil"/>
          <w:right w:val="nil"/>
          <w:between w:val="nil"/>
        </w:pBdr>
        <w:rPr>
          <w:color w:val="000000"/>
        </w:rPr>
      </w:pPr>
      <w:r>
        <w:rPr>
          <w:color w:val="000000"/>
        </w:rPr>
        <w:t>Розглянемо детальніше сам процес прийняття рішення про купівлю послуг естетичної медицини. Ситу</w:t>
      </w:r>
      <w:r>
        <w:rPr>
          <w:color w:val="000000"/>
        </w:rPr>
        <w:t xml:space="preserve">ація здійснення закупок може бути будь–яка. При повторній ситуації без змін, споживач уже користувався послугами естетичної медицини раніше і повертається за такими ж або схожими процедурами без внесення змін. При повторній модифікованій – споживач раніше </w:t>
      </w:r>
      <w:r>
        <w:rPr>
          <w:color w:val="000000"/>
        </w:rPr>
        <w:t>користувався послугами естетичної медицини, але цього разу бажає змінити або доповнити процедури. І якщо споживач вперше розглядає можливість скористатися послугами естетичної медицини, то це ситуація нової закупки.</w:t>
      </w:r>
    </w:p>
    <w:p w:rsidR="001E0A2A" w:rsidRDefault="00E079B6">
      <w:pPr>
        <w:widowControl w:val="0"/>
        <w:pBdr>
          <w:top w:val="nil"/>
          <w:left w:val="nil"/>
          <w:bottom w:val="nil"/>
          <w:right w:val="nil"/>
          <w:between w:val="nil"/>
        </w:pBdr>
        <w:rPr>
          <w:color w:val="000000"/>
        </w:rPr>
      </w:pPr>
      <w:r>
        <w:rPr>
          <w:color w:val="000000"/>
        </w:rPr>
        <w:t>Закупівельний центр та ролі розподіляють</w:t>
      </w:r>
      <w:r>
        <w:rPr>
          <w:color w:val="000000"/>
        </w:rPr>
        <w:t>ся таким чином:</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 xml:space="preserve">Ініціатор: Особа або група, яка починає процес прийняття рішення про купівлю послуг естетичної медицини. Це може бути сам споживач або його родичі, </w:t>
      </w:r>
      <w:r>
        <w:rPr>
          <w:color w:val="000000"/>
        </w:rPr>
        <w:lastRenderedPageBreak/>
        <w:t>друзі, колеги тощо.</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“Воротар”: Особа або група, яка контролює потік інформації та рішень, мо</w:t>
      </w:r>
      <w:r>
        <w:rPr>
          <w:color w:val="000000"/>
        </w:rPr>
        <w:t>же бути лікарем, косметологом або іншим фахівцем, який консультує клієнта щодо вибору процедур.</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Агент впливу: Людина або організація, яка має великий вплив на рішення споживача, такі як впливові особистості, соціальні мережі, блогери тощо.</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Консультант: Фах</w:t>
      </w:r>
      <w:r>
        <w:rPr>
          <w:color w:val="000000"/>
        </w:rPr>
        <w:t>івець з естетичної медицини, який надає клієнту консультацію та рекомендації стосовно процедур.</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Покупець: Особа, яка безпосередньо здійснює покупку послуг естетичної медицини.</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Особа, яка приймає рішення: Особа, яка остаточно приймає рішення щодо купівлі, м</w:t>
      </w:r>
      <w:r>
        <w:rPr>
          <w:color w:val="000000"/>
        </w:rPr>
        <w:t>оже бути сам споживач або особа, яка представляє його інтереси (наприклад, батьки або дружина/чоловік).</w:t>
      </w:r>
    </w:p>
    <w:p w:rsidR="001E0A2A" w:rsidRDefault="00E079B6">
      <w:pPr>
        <w:widowControl w:val="0"/>
        <w:numPr>
          <w:ilvl w:val="0"/>
          <w:numId w:val="26"/>
        </w:numPr>
        <w:pBdr>
          <w:top w:val="nil"/>
          <w:left w:val="nil"/>
          <w:bottom w:val="nil"/>
          <w:right w:val="nil"/>
          <w:between w:val="nil"/>
        </w:pBdr>
        <w:ind w:left="0" w:firstLine="720"/>
        <w:rPr>
          <w:color w:val="000000"/>
        </w:rPr>
      </w:pPr>
      <w:r>
        <w:rPr>
          <w:color w:val="000000"/>
        </w:rPr>
        <w:t>Споживач: Кінцевий користувач послуг естетичної медицини, який приймає рішення щодо вибору та отримання процедур.</w:t>
      </w:r>
    </w:p>
    <w:p w:rsidR="001E0A2A" w:rsidRDefault="00E079B6">
      <w:pPr>
        <w:widowControl w:val="0"/>
        <w:pBdr>
          <w:top w:val="nil"/>
          <w:left w:val="nil"/>
          <w:bottom w:val="nil"/>
          <w:right w:val="nil"/>
          <w:between w:val="nil"/>
        </w:pBdr>
        <w:rPr>
          <w:color w:val="000000"/>
        </w:rPr>
      </w:pPr>
      <w:r>
        <w:rPr>
          <w:color w:val="000000"/>
        </w:rPr>
        <w:t>Ці учасники взаємодіють та впливають о</w:t>
      </w:r>
      <w:r>
        <w:rPr>
          <w:color w:val="000000"/>
        </w:rPr>
        <w:t xml:space="preserve">дин на одного протягом всього процесу прийняття рішення, що може включати пошук інформації, консультації, обговорення варіантів та остаточне прийняття рішення про купівлю послуг естетичної медицини. Вони формують комплексну структуру, в якій кожен елемент </w:t>
      </w:r>
      <w:r>
        <w:rPr>
          <w:color w:val="000000"/>
        </w:rPr>
        <w:t xml:space="preserve">відіграє важливу роль, забезпечуючи споживачу необхідну інформацію, підтримку та рекомендації на різних етапах процесу. Це забезпечує максимально інформоване і зважене рішення, що відповідає потребам та очікуванням кінцевого споживача, сприяючи підвищенню </w:t>
      </w:r>
      <w:r>
        <w:rPr>
          <w:color w:val="000000"/>
        </w:rPr>
        <w:t>його задоволеності та лояльності до медичного центру.</w:t>
      </w:r>
    </w:p>
    <w:p w:rsidR="001E0A2A" w:rsidRDefault="00E079B6">
      <w:pPr>
        <w:widowControl w:val="0"/>
        <w:pBdr>
          <w:top w:val="nil"/>
          <w:left w:val="nil"/>
          <w:bottom w:val="nil"/>
          <w:right w:val="nil"/>
          <w:between w:val="nil"/>
        </w:pBdr>
        <w:rPr>
          <w:color w:val="000000"/>
          <w:highlight w:val="white"/>
        </w:rPr>
      </w:pPr>
      <w:r>
        <w:rPr>
          <w:color w:val="000000"/>
          <w:highlight w:val="white"/>
        </w:rPr>
        <w:t xml:space="preserve">Далі проаналізуємо конкурентів. Ринок медичних послуг в Києві  наразі має високий рівень конкуренції, на якому діють більше 10 крупних учасників, у тому числі й мережевих. </w:t>
      </w:r>
      <w:r>
        <w:rPr>
          <w:color w:val="000000"/>
        </w:rPr>
        <w:t xml:space="preserve">Виберемо чотирьох найближчих конкурентів на ринку: «Оксфорд Медікал», </w:t>
      </w:r>
      <w:r>
        <w:rPr>
          <w:color w:val="000000"/>
          <w:highlight w:val="white"/>
        </w:rPr>
        <w:t>«Healthy &amp; Happy», мережа клінік «Viva» і</w:t>
      </w:r>
      <w:r>
        <w:rPr>
          <w:color w:val="000000"/>
        </w:rPr>
        <w:t xml:space="preserve"> медичний центр «Добробут».</w:t>
      </w:r>
    </w:p>
    <w:p w:rsidR="001E0A2A" w:rsidRDefault="00E079B6">
      <w:pPr>
        <w:widowControl w:val="0"/>
        <w:pBdr>
          <w:top w:val="nil"/>
          <w:left w:val="nil"/>
          <w:bottom w:val="nil"/>
          <w:right w:val="nil"/>
          <w:between w:val="nil"/>
        </w:pBdr>
        <w:rPr>
          <w:color w:val="000000"/>
        </w:rPr>
      </w:pPr>
      <w:r>
        <w:rPr>
          <w:color w:val="000000"/>
        </w:rPr>
        <w:t xml:space="preserve">“Оксфорд Медікал” – це мережа медичних закладів, яка діє на національному рівні та спеціалізується на наданні медичних послуг для дітей та дорослих. Мережа </w:t>
      </w:r>
      <w:r>
        <w:rPr>
          <w:color w:val="000000"/>
        </w:rPr>
        <w:lastRenderedPageBreak/>
        <w:t>налічує 43 клініки, розташованих у 22 містах України. Клініки відомі своїм сучасним обладнанням та в</w:t>
      </w:r>
      <w:r>
        <w:rPr>
          <w:color w:val="000000"/>
        </w:rPr>
        <w:t xml:space="preserve">исококваліфікованим персоналом, що складається з лікарів, які працюють за світовими стандартами, та забезпечують якісну медичну допомогу [18]. </w:t>
      </w:r>
    </w:p>
    <w:p w:rsidR="001E0A2A" w:rsidRDefault="00E079B6">
      <w:pPr>
        <w:widowControl w:val="0"/>
        <w:pBdr>
          <w:top w:val="nil"/>
          <w:left w:val="nil"/>
          <w:bottom w:val="nil"/>
          <w:right w:val="nil"/>
          <w:between w:val="nil"/>
        </w:pBdr>
        <w:rPr>
          <w:color w:val="000000"/>
        </w:rPr>
      </w:pPr>
      <w:r>
        <w:rPr>
          <w:color w:val="000000"/>
        </w:rPr>
        <w:t>«Healthy &amp; Happy» – це універсальний мережевий медичний центр, розташований у Києві. Вони пропонують широкий спе</w:t>
      </w:r>
      <w:r>
        <w:rPr>
          <w:color w:val="000000"/>
        </w:rPr>
        <w:t>ктр послуг як дорослим, так і дітям у 20 медичних напрямках, включаючи консультативні прийоми від кваліфікованих фахівців, діагностичні та лабораторні дослідження, можливість отримання візиту лікаря додому або в офіс пацієнта [19]. Щодня до центру звертаєт</w:t>
      </w:r>
      <w:r>
        <w:rPr>
          <w:color w:val="000000"/>
        </w:rPr>
        <w:t>ься приблизно 1000 пацієнтів. Однією з переваг є можливість підписання декларації з сімейним лікарем та педіатром для кожного пацієнта. Програма передбачає партнерство між пацієнтом і медичним закладом, а також гнучкий підхід до надання додаткових медичних</w:t>
      </w:r>
      <w:r>
        <w:rPr>
          <w:color w:val="000000"/>
        </w:rPr>
        <w:t xml:space="preserve"> послуг.</w:t>
      </w:r>
    </w:p>
    <w:p w:rsidR="001E0A2A" w:rsidRDefault="00E079B6">
      <w:pPr>
        <w:widowControl w:val="0"/>
        <w:pBdr>
          <w:top w:val="nil"/>
          <w:left w:val="nil"/>
          <w:bottom w:val="nil"/>
          <w:right w:val="nil"/>
          <w:between w:val="nil"/>
        </w:pBdr>
        <w:rPr>
          <w:color w:val="000000"/>
          <w:highlight w:val="white"/>
        </w:rPr>
      </w:pPr>
      <w:r>
        <w:rPr>
          <w:color w:val="000000"/>
          <w:highlight w:val="white"/>
        </w:rPr>
        <w:t>Мережа клінік Viva – це сучасні медичні центри, що пропонують широкий спектр послуг у різних галузях медицини. Вона включає 12 клінік і стаціонарів, а також зручний оздоровчо-реабілітаційний центр “Сосни” у Києві та Вишгороді. У клініках Viva можн</w:t>
      </w:r>
      <w:r>
        <w:rPr>
          <w:color w:val="000000"/>
          <w:highlight w:val="white"/>
        </w:rPr>
        <w:t>а звернутися за консультацією та лікуванням у гінекології, урології, імунології, дерматології, гастроентерології, кардіології, пластичній хірургії та іншим напрямкам. Крім цього, вони пропонують широкий спектр діагностичних процедур, починаючи від аналізів</w:t>
      </w:r>
      <w:r>
        <w:rPr>
          <w:color w:val="000000"/>
          <w:highlight w:val="white"/>
        </w:rPr>
        <w:t xml:space="preserve"> стану шкіри, зору та слуху, закінчуючи комп'ютерною томографією та ультразвуковими дослідженнями </w:t>
      </w:r>
      <w:r>
        <w:rPr>
          <w:color w:val="000000"/>
        </w:rPr>
        <w:t>[20]</w:t>
      </w:r>
      <w:r>
        <w:rPr>
          <w:color w:val="000000"/>
          <w:highlight w:val="white"/>
        </w:rPr>
        <w:t>. </w:t>
      </w:r>
    </w:p>
    <w:p w:rsidR="001E0A2A" w:rsidRDefault="00E079B6">
      <w:pPr>
        <w:widowControl w:val="0"/>
        <w:pBdr>
          <w:top w:val="nil"/>
          <w:left w:val="nil"/>
          <w:bottom w:val="nil"/>
          <w:right w:val="nil"/>
          <w:between w:val="nil"/>
        </w:pBdr>
        <w:rPr>
          <w:color w:val="000000"/>
          <w:highlight w:val="white"/>
        </w:rPr>
      </w:pPr>
      <w:r>
        <w:rPr>
          <w:color w:val="000000"/>
          <w:highlight w:val="white"/>
        </w:rPr>
        <w:t>У 2023 році у Києві стартував новий багатопрофільний медичний центр «Добробут», раніше відомий як клініка «Борис». Тут надають широкий спектр послуг ві</w:t>
      </w:r>
      <w:r>
        <w:rPr>
          <w:color w:val="000000"/>
          <w:highlight w:val="white"/>
        </w:rPr>
        <w:t>д діагностики до складних хірургічних втручань. Медичний заклад пропонує цілодобову медичну допомогу для дорослих та дітей, які звернулися самостійно або прибули у лікарню каретою невідкладної допомоги. Одні з найважливіших результатів аналізів можна отрим</w:t>
      </w:r>
      <w:r>
        <w:rPr>
          <w:color w:val="000000"/>
          <w:highlight w:val="white"/>
        </w:rPr>
        <w:t xml:space="preserve">ати вже через 2 години </w:t>
      </w:r>
      <w:r>
        <w:rPr>
          <w:color w:val="000000"/>
        </w:rPr>
        <w:t>[21]</w:t>
      </w:r>
      <w:r>
        <w:rPr>
          <w:color w:val="000000"/>
          <w:highlight w:val="white"/>
        </w:rPr>
        <w:t>.  Для пацієнтів у важкому стані надається невідкладна медична допомога у протишоковій палаті лікарями інтенсивної терапії, що є унікальним для медичних закладів Києва.</w:t>
      </w:r>
    </w:p>
    <w:p w:rsidR="001E0A2A" w:rsidRDefault="00E079B6">
      <w:pPr>
        <w:widowControl w:val="0"/>
        <w:pBdr>
          <w:top w:val="nil"/>
          <w:left w:val="nil"/>
          <w:bottom w:val="nil"/>
          <w:right w:val="nil"/>
          <w:between w:val="nil"/>
        </w:pBdr>
        <w:rPr>
          <w:color w:val="000000"/>
        </w:rPr>
      </w:pPr>
      <w:r>
        <w:rPr>
          <w:color w:val="000000"/>
        </w:rPr>
        <w:lastRenderedPageBreak/>
        <w:t>Порівняємо МЦ «Mediland» з конкурентами за показниками, що д</w:t>
      </w:r>
      <w:r>
        <w:rPr>
          <w:color w:val="000000"/>
        </w:rPr>
        <w:t>ійсно повинні відображати усі сильні та слабкі сторони підприємства порівняно з конкурентами. Підприємства в галузі естетичної медицини можуть порівнюватися за такими показниками:</w:t>
      </w:r>
    </w:p>
    <w:p w:rsidR="001E0A2A" w:rsidRDefault="00E079B6">
      <w:pPr>
        <w:widowControl w:val="0"/>
        <w:numPr>
          <w:ilvl w:val="0"/>
          <w:numId w:val="41"/>
        </w:numPr>
        <w:pBdr>
          <w:top w:val="nil"/>
          <w:left w:val="nil"/>
          <w:bottom w:val="nil"/>
          <w:right w:val="nil"/>
          <w:between w:val="nil"/>
        </w:pBdr>
        <w:ind w:left="0" w:firstLine="720"/>
        <w:rPr>
          <w:color w:val="000000"/>
        </w:rPr>
      </w:pPr>
      <w:r>
        <w:rPr>
          <w:color w:val="000000"/>
        </w:rPr>
        <w:t>Наявність мережі клінік: Цей показник вказує на кількість та розподіл клінік</w:t>
      </w:r>
      <w:r>
        <w:rPr>
          <w:color w:val="000000"/>
        </w:rPr>
        <w:t xml:space="preserve"> одного підприємства в різних місцях. Мережевість може свідчити про масштабність бізнесу та його здатність до розширення та впливу на різні ринки.</w:t>
      </w:r>
    </w:p>
    <w:p w:rsidR="001E0A2A" w:rsidRDefault="00E079B6">
      <w:pPr>
        <w:numPr>
          <w:ilvl w:val="0"/>
          <w:numId w:val="41"/>
        </w:numPr>
        <w:pBdr>
          <w:top w:val="nil"/>
          <w:left w:val="nil"/>
          <w:bottom w:val="nil"/>
          <w:right w:val="nil"/>
          <w:between w:val="nil"/>
        </w:pBdr>
        <w:ind w:left="0" w:firstLine="720"/>
        <w:rPr>
          <w:color w:val="000000"/>
        </w:rPr>
      </w:pPr>
      <w:r>
        <w:rPr>
          <w:color w:val="000000"/>
        </w:rPr>
        <w:t>Чистий прибуток: Цей показник вказує на ефективність управління підприємством та його фінансову стабільність.</w:t>
      </w:r>
      <w:r>
        <w:rPr>
          <w:color w:val="000000"/>
        </w:rPr>
        <w:t xml:space="preserve"> Він є важливим показником для оцінки успішності бізнесу в естетичній медицині.</w:t>
      </w:r>
    </w:p>
    <w:p w:rsidR="001E0A2A" w:rsidRDefault="00E079B6">
      <w:pPr>
        <w:widowControl w:val="0"/>
        <w:numPr>
          <w:ilvl w:val="0"/>
          <w:numId w:val="41"/>
        </w:numPr>
        <w:pBdr>
          <w:top w:val="nil"/>
          <w:left w:val="nil"/>
          <w:bottom w:val="nil"/>
          <w:right w:val="nil"/>
          <w:between w:val="nil"/>
        </w:pBdr>
        <w:ind w:left="0" w:firstLine="720"/>
        <w:rPr>
          <w:color w:val="000000"/>
        </w:rPr>
      </w:pPr>
      <w:r>
        <w:rPr>
          <w:color w:val="000000"/>
        </w:rPr>
        <w:t>Цінова політика: Цей показник оцінює вартість послуг у порівнянні з аналогічними підприємствами на ринку. Він важливий для споживачів, які обирають між різними клініками за цін</w:t>
      </w:r>
      <w:r>
        <w:rPr>
          <w:color w:val="000000"/>
        </w:rPr>
        <w:t>ою та якістю послуг.</w:t>
      </w:r>
    </w:p>
    <w:p w:rsidR="001E0A2A" w:rsidRDefault="00E079B6">
      <w:pPr>
        <w:numPr>
          <w:ilvl w:val="0"/>
          <w:numId w:val="41"/>
        </w:numPr>
        <w:pBdr>
          <w:top w:val="nil"/>
          <w:left w:val="nil"/>
          <w:bottom w:val="nil"/>
          <w:right w:val="nil"/>
          <w:between w:val="nil"/>
        </w:pBdr>
        <w:ind w:left="0" w:firstLine="720"/>
        <w:rPr>
          <w:color w:val="000000"/>
        </w:rPr>
      </w:pPr>
      <w:r>
        <w:rPr>
          <w:color w:val="000000"/>
        </w:rPr>
        <w:t>Середня кількість нових відвідувачів на місяць: Цей показник відображає привабливість підприємства для нових клієнтів та його здатність залучати нових пацієнтів через маркетингові стратегії та рекламні кампанії.</w:t>
      </w:r>
    </w:p>
    <w:p w:rsidR="001E0A2A" w:rsidRDefault="00E079B6">
      <w:pPr>
        <w:widowControl w:val="0"/>
        <w:numPr>
          <w:ilvl w:val="0"/>
          <w:numId w:val="41"/>
        </w:numPr>
        <w:pBdr>
          <w:top w:val="nil"/>
          <w:left w:val="nil"/>
          <w:bottom w:val="nil"/>
          <w:right w:val="nil"/>
          <w:between w:val="nil"/>
        </w:pBdr>
        <w:ind w:left="0" w:firstLine="720"/>
        <w:rPr>
          <w:color w:val="000000"/>
        </w:rPr>
      </w:pPr>
      <w:r>
        <w:rPr>
          <w:color w:val="000000"/>
        </w:rPr>
        <w:t>Репутація та відгуки кл</w:t>
      </w:r>
      <w:r>
        <w:rPr>
          <w:color w:val="000000"/>
        </w:rPr>
        <w:t>ієнтів: Репутація підприємства та відгуки клієнтів в соціальних мережах та відгуків на сайтах можуть вказувати на його сильні та слабкі сторони, а також на рівень задоволеності клієнтів послугами.</w:t>
      </w:r>
    </w:p>
    <w:p w:rsidR="001E0A2A" w:rsidRDefault="00E079B6">
      <w:pPr>
        <w:widowControl w:val="0"/>
        <w:numPr>
          <w:ilvl w:val="0"/>
          <w:numId w:val="41"/>
        </w:numPr>
        <w:pBdr>
          <w:top w:val="nil"/>
          <w:left w:val="nil"/>
          <w:bottom w:val="nil"/>
          <w:right w:val="nil"/>
          <w:between w:val="nil"/>
        </w:pBdr>
        <w:ind w:left="0" w:firstLine="720"/>
        <w:rPr>
          <w:color w:val="000000"/>
        </w:rPr>
      </w:pPr>
      <w:r>
        <w:rPr>
          <w:color w:val="000000"/>
        </w:rPr>
        <w:t>Широкий спектр послуг: Порівняння за наявністю та різномані</w:t>
      </w:r>
      <w:r>
        <w:rPr>
          <w:color w:val="000000"/>
        </w:rPr>
        <w:t>ттям послуг, що надаються, може вказати на конкурентоспроможність підприємства та його здатність задовольняти різноманітні потреби клієнтів.</w:t>
      </w:r>
    </w:p>
    <w:p w:rsidR="001E0A2A" w:rsidRDefault="00E079B6">
      <w:pPr>
        <w:widowControl w:val="0"/>
        <w:pBdr>
          <w:top w:val="nil"/>
          <w:left w:val="nil"/>
          <w:bottom w:val="nil"/>
          <w:right w:val="nil"/>
          <w:between w:val="nil"/>
        </w:pBdr>
        <w:rPr>
          <w:color w:val="000000"/>
        </w:rPr>
      </w:pPr>
      <w:r>
        <w:rPr>
          <w:color w:val="000000"/>
        </w:rPr>
        <w:t xml:space="preserve">Ці показники обрані через їх спроможність відобразити ключові аспекти діяльності підприємства в естетичній медицині та забезпечити повну картину його конкурентоспроможності на ринку. Порівняння за показниками, такими як чистий прибуток та цінова політика, </w:t>
      </w:r>
      <w:r>
        <w:rPr>
          <w:color w:val="000000"/>
        </w:rPr>
        <w:t>дозволяє оцінити ефективність управління та фінансову стабільність, що є критично важливими для довгострокового успіху. Водночас, аналіз репутації та відгуків клієнтів може вказати на рівень задоволеності послугами та допомогти ідентифікувати напрями для п</w:t>
      </w:r>
      <w:r>
        <w:rPr>
          <w:color w:val="000000"/>
        </w:rPr>
        <w:t xml:space="preserve">окращення якості обслуговування. Зрештою, широкий спектр послуг та наявність мережі </w:t>
      </w:r>
      <w:r>
        <w:rPr>
          <w:color w:val="000000"/>
        </w:rPr>
        <w:lastRenderedPageBreak/>
        <w:t>клінік можуть свідчити про здатність «Mediland» задовольняти різноманітні потреби клієнтів та масштабність його впливу на ринку. Використовуючи ці показники для порівняння,</w:t>
      </w:r>
      <w:r>
        <w:rPr>
          <w:color w:val="000000"/>
        </w:rPr>
        <w:t xml:space="preserve"> «Mediland» зможе визначити свої конкурентні переваги та розробити ефективні стратегії для посилення своїх позицій у галузі естетичної медицини.</w:t>
      </w:r>
    </w:p>
    <w:p w:rsidR="001E0A2A" w:rsidRDefault="00E079B6">
      <w:pPr>
        <w:widowControl w:val="0"/>
        <w:pBdr>
          <w:top w:val="nil"/>
          <w:left w:val="nil"/>
          <w:bottom w:val="nil"/>
          <w:right w:val="nil"/>
          <w:between w:val="nil"/>
        </w:pBdr>
        <w:rPr>
          <w:color w:val="000000"/>
        </w:rPr>
      </w:pPr>
      <w:r>
        <w:rPr>
          <w:color w:val="000000"/>
        </w:rPr>
        <w:t xml:space="preserve">Наявність мережі клінік відображено на сайтах клінік. Для визначення цінової політику візьмемо ціну за послугу </w:t>
      </w:r>
      <w:r>
        <w:rPr>
          <w:color w:val="000000"/>
        </w:rPr>
        <w:t>«Плазмоліфтинг». Дані взяті з офіційних сайтів клінік</w:t>
      </w:r>
      <w:r>
        <w:rPr>
          <w:color w:val="000000"/>
          <w:highlight w:val="white"/>
        </w:rPr>
        <w:t xml:space="preserve"> </w:t>
      </w:r>
      <w:r>
        <w:rPr>
          <w:color w:val="000000"/>
        </w:rPr>
        <w:t>[18-21]</w:t>
      </w:r>
      <w:r>
        <w:rPr>
          <w:color w:val="000000"/>
          <w:highlight w:val="white"/>
        </w:rPr>
        <w:t xml:space="preserve">. Чистий прибуток взятий як чистий дохід від реалізації продукції за 2023 рік </w:t>
      </w:r>
      <w:r>
        <w:rPr>
          <w:color w:val="000000"/>
        </w:rPr>
        <w:t>[22]</w:t>
      </w:r>
      <w:r>
        <w:rPr>
          <w:color w:val="000000"/>
          <w:highlight w:val="white"/>
        </w:rPr>
        <w:t>. </w:t>
      </w:r>
      <w:r>
        <w:rPr>
          <w:color w:val="000000"/>
        </w:rPr>
        <w:t>Результат порівняння конкурентів зведено в табл. 1.5.</w:t>
      </w:r>
    </w:p>
    <w:p w:rsidR="001E0A2A" w:rsidRDefault="00E079B6">
      <w:pPr>
        <w:widowControl w:val="0"/>
        <w:pBdr>
          <w:top w:val="nil"/>
          <w:left w:val="nil"/>
          <w:bottom w:val="nil"/>
          <w:right w:val="nil"/>
          <w:between w:val="nil"/>
        </w:pBdr>
        <w:rPr>
          <w:color w:val="000000"/>
        </w:rPr>
      </w:pPr>
      <w:r>
        <w:rPr>
          <w:color w:val="000000"/>
        </w:rPr>
        <w:t xml:space="preserve">Таблиця 1.5 – Порівняння МЦ «Mediland» з конкурентами за </w:t>
      </w:r>
      <w:r>
        <w:rPr>
          <w:color w:val="000000"/>
        </w:rPr>
        <w:t>кількісними характеристиками</w:t>
      </w:r>
    </w:p>
    <w:tbl>
      <w:tblPr>
        <w:tblStyle w:val="af9"/>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5"/>
        <w:gridCol w:w="1465"/>
        <w:gridCol w:w="1711"/>
        <w:gridCol w:w="1219"/>
        <w:gridCol w:w="1219"/>
        <w:gridCol w:w="1391"/>
        <w:gridCol w:w="1395"/>
      </w:tblGrid>
      <w:tr w:rsidR="001E0A2A">
        <w:trPr>
          <w:trHeight w:val="646"/>
        </w:trPr>
        <w:tc>
          <w:tcPr>
            <w:tcW w:w="1845" w:type="dxa"/>
            <w:vMerge w:val="restart"/>
            <w:shd w:val="clear" w:color="auto" w:fill="FFFFFF"/>
            <w:vAlign w:val="center"/>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Показник</w:t>
            </w:r>
          </w:p>
          <w:p w:rsidR="001E0A2A" w:rsidRDefault="001E0A2A">
            <w:pPr>
              <w:widowControl w:val="0"/>
              <w:pBdr>
                <w:top w:val="nil"/>
                <w:left w:val="nil"/>
                <w:bottom w:val="nil"/>
                <w:right w:val="nil"/>
                <w:between w:val="nil"/>
              </w:pBdr>
              <w:spacing w:line="240" w:lineRule="auto"/>
              <w:ind w:firstLine="0"/>
              <w:jc w:val="center"/>
              <w:rPr>
                <w:color w:val="000000"/>
                <w:sz w:val="24"/>
                <w:szCs w:val="24"/>
              </w:rPr>
            </w:pPr>
          </w:p>
          <w:p w:rsidR="001E0A2A" w:rsidRDefault="001E0A2A">
            <w:pPr>
              <w:widowControl w:val="0"/>
              <w:pBdr>
                <w:top w:val="nil"/>
                <w:left w:val="nil"/>
                <w:bottom w:val="nil"/>
                <w:right w:val="nil"/>
                <w:between w:val="nil"/>
              </w:pBdr>
              <w:spacing w:line="240" w:lineRule="auto"/>
              <w:jc w:val="center"/>
              <w:rPr>
                <w:color w:val="000000"/>
                <w:sz w:val="24"/>
                <w:szCs w:val="24"/>
              </w:rPr>
            </w:pPr>
          </w:p>
        </w:tc>
        <w:tc>
          <w:tcPr>
            <w:tcW w:w="1465" w:type="dxa"/>
            <w:vMerge w:val="restart"/>
            <w:shd w:val="clear" w:color="auto" w:fill="FFFFFF"/>
            <w:vAlign w:val="center"/>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Одиниці вимірювання</w:t>
            </w:r>
          </w:p>
          <w:p w:rsidR="001E0A2A" w:rsidRDefault="001E0A2A">
            <w:pPr>
              <w:widowControl w:val="0"/>
              <w:pBdr>
                <w:top w:val="nil"/>
                <w:left w:val="nil"/>
                <w:bottom w:val="nil"/>
                <w:right w:val="nil"/>
                <w:between w:val="nil"/>
              </w:pBdr>
              <w:spacing w:line="240" w:lineRule="auto"/>
              <w:ind w:firstLine="0"/>
              <w:jc w:val="center"/>
              <w:rPr>
                <w:color w:val="000000"/>
                <w:sz w:val="24"/>
                <w:szCs w:val="24"/>
              </w:rPr>
            </w:pPr>
          </w:p>
          <w:p w:rsidR="001E0A2A" w:rsidRDefault="001E0A2A">
            <w:pPr>
              <w:widowControl w:val="0"/>
              <w:pBdr>
                <w:top w:val="nil"/>
                <w:left w:val="nil"/>
                <w:bottom w:val="nil"/>
                <w:right w:val="nil"/>
                <w:between w:val="nil"/>
              </w:pBdr>
              <w:spacing w:line="240" w:lineRule="auto"/>
              <w:jc w:val="center"/>
              <w:rPr>
                <w:color w:val="000000"/>
                <w:sz w:val="24"/>
                <w:szCs w:val="24"/>
              </w:rPr>
            </w:pPr>
          </w:p>
        </w:tc>
        <w:tc>
          <w:tcPr>
            <w:tcW w:w="6935" w:type="dxa"/>
            <w:gridSpan w:val="5"/>
            <w:shd w:val="clear" w:color="auto" w:fill="FFFFFF"/>
            <w:vAlign w:val="center"/>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Значення показника</w:t>
            </w:r>
          </w:p>
        </w:tc>
      </w:tr>
      <w:tr w:rsidR="001E0A2A">
        <w:trPr>
          <w:trHeight w:val="646"/>
        </w:trPr>
        <w:tc>
          <w:tcPr>
            <w:tcW w:w="1845" w:type="dxa"/>
            <w:vMerge/>
            <w:shd w:val="clear" w:color="auto" w:fill="FFFFFF"/>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1465" w:type="dxa"/>
            <w:vMerge/>
            <w:shd w:val="clear" w:color="auto" w:fill="FFFFFF"/>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МЦ «Mediland»</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Конкурент 1</w:t>
            </w:r>
          </w:p>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Оксфорд медікал</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Конкурент 2</w:t>
            </w:r>
          </w:p>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Healthy and happy</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Конкурент 3</w:t>
            </w:r>
          </w:p>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VIVA</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 xml:space="preserve">Конкурент 4 </w:t>
            </w:r>
            <w:r>
              <w:rPr>
                <w:color w:val="000000"/>
                <w:sz w:val="24"/>
                <w:szCs w:val="24"/>
              </w:rPr>
              <w:br/>
              <w:t>Добробут</w:t>
            </w:r>
          </w:p>
        </w:tc>
      </w:tr>
      <w:tr w:rsidR="001E0A2A">
        <w:trPr>
          <w:trHeight w:val="337"/>
        </w:trPr>
        <w:tc>
          <w:tcPr>
            <w:tcW w:w="184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1.Наявність мережі клінік</w:t>
            </w:r>
          </w:p>
        </w:tc>
        <w:tc>
          <w:tcPr>
            <w:tcW w:w="146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 –</w:t>
            </w: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w:t>
            </w:r>
          </w:p>
        </w:tc>
      </w:tr>
      <w:tr w:rsidR="001E0A2A">
        <w:trPr>
          <w:trHeight w:val="323"/>
        </w:trPr>
        <w:tc>
          <w:tcPr>
            <w:tcW w:w="184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2.Чистий прибуток (середній за рік)</w:t>
            </w:r>
          </w:p>
        </w:tc>
        <w:tc>
          <w:tcPr>
            <w:tcW w:w="146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 Тис. грн.</w:t>
            </w: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 xml:space="preserve"> 153 851,3</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214 749,3</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75 038,5</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64 137,5</w:t>
            </w:r>
          </w:p>
          <w:p w:rsidR="001E0A2A" w:rsidRDefault="001E0A2A">
            <w:pPr>
              <w:widowControl w:val="0"/>
              <w:pBdr>
                <w:top w:val="nil"/>
                <w:left w:val="nil"/>
                <w:bottom w:val="nil"/>
                <w:right w:val="nil"/>
                <w:between w:val="nil"/>
              </w:pBdr>
              <w:spacing w:line="240" w:lineRule="auto"/>
              <w:ind w:firstLine="0"/>
              <w:rPr>
                <w:color w:val="000000"/>
                <w:sz w:val="24"/>
                <w:szCs w:val="24"/>
              </w:rPr>
            </w:pP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77 455,2</w:t>
            </w:r>
          </w:p>
        </w:tc>
      </w:tr>
      <w:tr w:rsidR="001E0A2A">
        <w:trPr>
          <w:trHeight w:val="323"/>
        </w:trPr>
        <w:tc>
          <w:tcPr>
            <w:tcW w:w="184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3.Цінова політика</w:t>
            </w:r>
          </w:p>
        </w:tc>
        <w:tc>
          <w:tcPr>
            <w:tcW w:w="146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Грн.</w:t>
            </w: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3500</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4500</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1200</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1890</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2400</w:t>
            </w:r>
          </w:p>
        </w:tc>
      </w:tr>
      <w:tr w:rsidR="001E0A2A">
        <w:trPr>
          <w:trHeight w:val="323"/>
        </w:trPr>
        <w:tc>
          <w:tcPr>
            <w:tcW w:w="184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4.Середня кількість  нових відвідувачів на міс.</w:t>
            </w:r>
          </w:p>
        </w:tc>
        <w:tc>
          <w:tcPr>
            <w:tcW w:w="146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Осіб (приблизно)</w:t>
            </w: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800</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900</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700</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1100</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750</w:t>
            </w:r>
          </w:p>
        </w:tc>
      </w:tr>
    </w:tbl>
    <w:p w:rsidR="001E0A2A" w:rsidRDefault="00E079B6">
      <w:pPr>
        <w:widowControl w:val="0"/>
        <w:pBdr>
          <w:top w:val="nil"/>
          <w:left w:val="nil"/>
          <w:bottom w:val="nil"/>
          <w:right w:val="nil"/>
          <w:between w:val="nil"/>
        </w:pBdr>
        <w:jc w:val="left"/>
        <w:rPr>
          <w:color w:val="000000"/>
          <w:highlight w:val="white"/>
        </w:rPr>
      </w:pPr>
      <w:r>
        <w:rPr>
          <w:color w:val="000000"/>
        </w:rPr>
        <w:t>Джерело: складено автором на основі [18-22]</w:t>
      </w:r>
      <w:r>
        <w:rPr>
          <w:color w:val="000000"/>
          <w:highlight w:val="white"/>
        </w:rPr>
        <w:t> </w:t>
      </w:r>
    </w:p>
    <w:p w:rsidR="001E0A2A" w:rsidRDefault="001E0A2A">
      <w:pPr>
        <w:widowControl w:val="0"/>
        <w:pBdr>
          <w:top w:val="nil"/>
          <w:left w:val="nil"/>
          <w:bottom w:val="nil"/>
          <w:right w:val="nil"/>
          <w:between w:val="nil"/>
        </w:pBdr>
        <w:jc w:val="left"/>
        <w:rPr>
          <w:color w:val="000000"/>
          <w:highlight w:val="white"/>
        </w:rPr>
      </w:pPr>
    </w:p>
    <w:p w:rsidR="001E0A2A" w:rsidRDefault="00E079B6">
      <w:pPr>
        <w:widowControl w:val="0"/>
        <w:pBdr>
          <w:top w:val="nil"/>
          <w:left w:val="nil"/>
          <w:bottom w:val="nil"/>
          <w:right w:val="nil"/>
          <w:between w:val="nil"/>
        </w:pBdr>
        <w:rPr>
          <w:color w:val="000000"/>
        </w:rPr>
      </w:pPr>
      <w:r>
        <w:rPr>
          <w:color w:val="000000"/>
          <w:highlight w:val="white"/>
        </w:rPr>
        <w:t>Також порівняємо конкурентів за їхньою репутацією та асортиментом. Репутацію оцінимо за оцінками з Google Maps [23]. Кожна з обраних клінік відображена на Google Maps, де люди можуть залишати свої відгуки. За в</w:t>
      </w:r>
      <w:r>
        <w:rPr>
          <w:color w:val="000000"/>
          <w:highlight w:val="white"/>
        </w:rPr>
        <w:t>ідгуками сервіс Google Maps визначає середній бал від 0,0 до 5,0 балів. У випадку мережевих клінік я вираховувала середній бал серед наявних в Києві клінік цієї мережі. Ширину асортименту визначала самостійно з переліку послуг естетичної медицини/косметоло</w:t>
      </w:r>
      <w:r>
        <w:rPr>
          <w:color w:val="000000"/>
          <w:highlight w:val="white"/>
        </w:rPr>
        <w:t xml:space="preserve">гії на офіційних сайтах клінік за 5-ти бальною шкалою </w:t>
      </w:r>
      <w:r>
        <w:rPr>
          <w:color w:val="000000"/>
        </w:rPr>
        <w:t>[18-</w:t>
      </w:r>
      <w:r>
        <w:rPr>
          <w:color w:val="000000"/>
        </w:rPr>
        <w:lastRenderedPageBreak/>
        <w:t>21]</w:t>
      </w:r>
      <w:r>
        <w:rPr>
          <w:color w:val="000000"/>
          <w:highlight w:val="white"/>
        </w:rPr>
        <w:t xml:space="preserve">. Я оцінювала кількість послуг з переліку естетичної медицини, відображених на сайтах. Бали виставляла відносно конкурентів – клініка з найбільшою кількістю послуг естетичної медицини отримала 5 </w:t>
      </w:r>
      <w:r>
        <w:rPr>
          <w:color w:val="000000"/>
          <w:highlight w:val="white"/>
        </w:rPr>
        <w:t xml:space="preserve">балів, а з найменшою – 1 бал, інші клініки оцінювались відносно цих двох. </w:t>
      </w:r>
      <w:r>
        <w:rPr>
          <w:color w:val="000000"/>
        </w:rPr>
        <w:t>Результат порівняння конкурентів зведено в табл. 1.6.</w:t>
      </w:r>
    </w:p>
    <w:p w:rsidR="001E0A2A" w:rsidRDefault="001E0A2A">
      <w:pPr>
        <w:widowControl w:val="0"/>
        <w:pBdr>
          <w:top w:val="nil"/>
          <w:left w:val="nil"/>
          <w:bottom w:val="nil"/>
          <w:right w:val="nil"/>
          <w:between w:val="nil"/>
        </w:pBdr>
        <w:rPr>
          <w:color w:val="000000"/>
        </w:rPr>
      </w:pP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Таблиця 1.6 – Порівняння МЦ «Mediland» з конкурентами за порядковими шкалами</w:t>
      </w:r>
    </w:p>
    <w:tbl>
      <w:tblPr>
        <w:tblStyle w:val="afa"/>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5"/>
        <w:gridCol w:w="1465"/>
        <w:gridCol w:w="1711"/>
        <w:gridCol w:w="1219"/>
        <w:gridCol w:w="1219"/>
        <w:gridCol w:w="1391"/>
        <w:gridCol w:w="1395"/>
      </w:tblGrid>
      <w:tr w:rsidR="001E0A2A">
        <w:trPr>
          <w:trHeight w:val="646"/>
        </w:trPr>
        <w:tc>
          <w:tcPr>
            <w:tcW w:w="1845" w:type="dxa"/>
            <w:vMerge w:val="restart"/>
            <w:shd w:val="clear" w:color="auto" w:fill="FFFFFF"/>
            <w:vAlign w:val="center"/>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Показник</w:t>
            </w:r>
          </w:p>
          <w:p w:rsidR="001E0A2A" w:rsidRDefault="001E0A2A">
            <w:pPr>
              <w:widowControl w:val="0"/>
              <w:pBdr>
                <w:top w:val="nil"/>
                <w:left w:val="nil"/>
                <w:bottom w:val="nil"/>
                <w:right w:val="nil"/>
                <w:between w:val="nil"/>
              </w:pBdr>
              <w:spacing w:line="240" w:lineRule="auto"/>
              <w:ind w:firstLine="0"/>
              <w:jc w:val="center"/>
              <w:rPr>
                <w:color w:val="000000"/>
                <w:sz w:val="24"/>
                <w:szCs w:val="24"/>
              </w:rPr>
            </w:pPr>
          </w:p>
          <w:p w:rsidR="001E0A2A" w:rsidRDefault="001E0A2A">
            <w:pPr>
              <w:widowControl w:val="0"/>
              <w:pBdr>
                <w:top w:val="nil"/>
                <w:left w:val="nil"/>
                <w:bottom w:val="nil"/>
                <w:right w:val="nil"/>
                <w:between w:val="nil"/>
              </w:pBdr>
              <w:spacing w:line="240" w:lineRule="auto"/>
              <w:jc w:val="center"/>
              <w:rPr>
                <w:color w:val="000000"/>
                <w:sz w:val="24"/>
                <w:szCs w:val="24"/>
              </w:rPr>
            </w:pPr>
          </w:p>
        </w:tc>
        <w:tc>
          <w:tcPr>
            <w:tcW w:w="1465" w:type="dxa"/>
            <w:vMerge w:val="restart"/>
            <w:shd w:val="clear" w:color="auto" w:fill="FFFFFF"/>
            <w:vAlign w:val="center"/>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Одиниці вимірювання</w:t>
            </w:r>
          </w:p>
          <w:p w:rsidR="001E0A2A" w:rsidRDefault="001E0A2A">
            <w:pPr>
              <w:widowControl w:val="0"/>
              <w:pBdr>
                <w:top w:val="nil"/>
                <w:left w:val="nil"/>
                <w:bottom w:val="nil"/>
                <w:right w:val="nil"/>
                <w:between w:val="nil"/>
              </w:pBdr>
              <w:spacing w:line="240" w:lineRule="auto"/>
              <w:ind w:firstLine="0"/>
              <w:jc w:val="center"/>
              <w:rPr>
                <w:color w:val="000000"/>
                <w:sz w:val="24"/>
                <w:szCs w:val="24"/>
              </w:rPr>
            </w:pPr>
          </w:p>
          <w:p w:rsidR="001E0A2A" w:rsidRDefault="001E0A2A">
            <w:pPr>
              <w:widowControl w:val="0"/>
              <w:pBdr>
                <w:top w:val="nil"/>
                <w:left w:val="nil"/>
                <w:bottom w:val="nil"/>
                <w:right w:val="nil"/>
                <w:between w:val="nil"/>
              </w:pBdr>
              <w:spacing w:line="240" w:lineRule="auto"/>
              <w:jc w:val="center"/>
              <w:rPr>
                <w:color w:val="000000"/>
                <w:sz w:val="24"/>
                <w:szCs w:val="24"/>
              </w:rPr>
            </w:pPr>
          </w:p>
        </w:tc>
        <w:tc>
          <w:tcPr>
            <w:tcW w:w="6935" w:type="dxa"/>
            <w:gridSpan w:val="5"/>
            <w:shd w:val="clear" w:color="auto" w:fill="FFFFFF"/>
            <w:vAlign w:val="center"/>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Значення показника</w:t>
            </w:r>
          </w:p>
        </w:tc>
      </w:tr>
      <w:tr w:rsidR="001E0A2A">
        <w:trPr>
          <w:trHeight w:val="646"/>
        </w:trPr>
        <w:tc>
          <w:tcPr>
            <w:tcW w:w="1845" w:type="dxa"/>
            <w:vMerge/>
            <w:shd w:val="clear" w:color="auto" w:fill="FFFFFF"/>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1465" w:type="dxa"/>
            <w:vMerge/>
            <w:shd w:val="clear" w:color="auto" w:fill="FFFFFF"/>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МЦ «Mediland»</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Конкурент 1</w:t>
            </w:r>
          </w:p>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Оксфорд медікал</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Конкурент 2</w:t>
            </w:r>
          </w:p>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Healthy and happy</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Конкурент 3</w:t>
            </w:r>
          </w:p>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VIVA</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jc w:val="center"/>
              <w:rPr>
                <w:color w:val="000000"/>
                <w:sz w:val="24"/>
                <w:szCs w:val="24"/>
              </w:rPr>
            </w:pPr>
            <w:r>
              <w:rPr>
                <w:color w:val="000000"/>
                <w:sz w:val="24"/>
                <w:szCs w:val="24"/>
              </w:rPr>
              <w:t xml:space="preserve">Конкурент 4 </w:t>
            </w:r>
            <w:r>
              <w:rPr>
                <w:color w:val="000000"/>
                <w:sz w:val="24"/>
                <w:szCs w:val="24"/>
              </w:rPr>
              <w:br/>
              <w:t>Добробут</w:t>
            </w:r>
          </w:p>
        </w:tc>
      </w:tr>
      <w:tr w:rsidR="001E0A2A">
        <w:trPr>
          <w:trHeight w:val="323"/>
        </w:trPr>
        <w:tc>
          <w:tcPr>
            <w:tcW w:w="184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5.Репутація та відгуки клієнтів</w:t>
            </w:r>
          </w:p>
        </w:tc>
        <w:tc>
          <w:tcPr>
            <w:tcW w:w="146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Бали 1–5</w:t>
            </w: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4.6</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3.9</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3.0</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2.8</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3.8</w:t>
            </w:r>
          </w:p>
        </w:tc>
      </w:tr>
      <w:tr w:rsidR="001E0A2A">
        <w:trPr>
          <w:trHeight w:val="323"/>
        </w:trPr>
        <w:tc>
          <w:tcPr>
            <w:tcW w:w="184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6.Ширина асортименту</w:t>
            </w:r>
          </w:p>
        </w:tc>
        <w:tc>
          <w:tcPr>
            <w:tcW w:w="146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Бали 1–5</w:t>
            </w:r>
          </w:p>
        </w:tc>
        <w:tc>
          <w:tcPr>
            <w:tcW w:w="171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4</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3</w:t>
            </w:r>
          </w:p>
        </w:tc>
        <w:tc>
          <w:tcPr>
            <w:tcW w:w="1219"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4</w:t>
            </w:r>
          </w:p>
        </w:tc>
        <w:tc>
          <w:tcPr>
            <w:tcW w:w="1391"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5</w:t>
            </w:r>
          </w:p>
        </w:tc>
        <w:tc>
          <w:tcPr>
            <w:tcW w:w="1395" w:type="dxa"/>
            <w:shd w:val="clear" w:color="auto" w:fill="FFFFFF"/>
          </w:tcPr>
          <w:p w:rsidR="001E0A2A" w:rsidRDefault="00E079B6">
            <w:pPr>
              <w:widowControl w:val="0"/>
              <w:pBdr>
                <w:top w:val="nil"/>
                <w:left w:val="nil"/>
                <w:bottom w:val="nil"/>
                <w:right w:val="nil"/>
                <w:between w:val="nil"/>
              </w:pBdr>
              <w:spacing w:line="240" w:lineRule="auto"/>
              <w:ind w:firstLine="0"/>
              <w:rPr>
                <w:color w:val="000000"/>
                <w:sz w:val="24"/>
                <w:szCs w:val="24"/>
              </w:rPr>
            </w:pPr>
            <w:r>
              <w:rPr>
                <w:color w:val="000000"/>
                <w:sz w:val="24"/>
                <w:szCs w:val="24"/>
              </w:rPr>
              <w:t>1</w:t>
            </w:r>
          </w:p>
        </w:tc>
      </w:tr>
    </w:tbl>
    <w:p w:rsidR="001E0A2A" w:rsidRDefault="00E079B6">
      <w:pPr>
        <w:widowControl w:val="0"/>
        <w:pBdr>
          <w:top w:val="nil"/>
          <w:left w:val="nil"/>
          <w:bottom w:val="nil"/>
          <w:right w:val="nil"/>
          <w:between w:val="nil"/>
        </w:pBdr>
        <w:jc w:val="left"/>
        <w:rPr>
          <w:color w:val="000000"/>
          <w:highlight w:val="white"/>
        </w:rPr>
      </w:pPr>
      <w:r>
        <w:rPr>
          <w:color w:val="000000"/>
        </w:rPr>
        <w:t>Джерело: складено автором на основі [18-21, 23]</w:t>
      </w:r>
      <w:r>
        <w:rPr>
          <w:color w:val="000000"/>
          <w:highlight w:val="white"/>
        </w:rPr>
        <w:t> </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Після порівняння МЦ «Mediland» з конкурентами, ми бачимо що медичний центр має свої переваги та недоліки. Частка ринку та відсутність мережі клінік є слабкими сторонами для клініки, а репутація – сильною ст</w:t>
      </w:r>
      <w:r>
        <w:rPr>
          <w:color w:val="000000"/>
        </w:rPr>
        <w:t xml:space="preserve">ороною, що показує високу щиру лояльність. Відносні переваги Mediland має за чистим прибутком та шириною асортименту. Цінова політика є відносним недоліком клініки. </w:t>
      </w:r>
    </w:p>
    <w:p w:rsidR="001E0A2A" w:rsidRDefault="00E079B6">
      <w:pPr>
        <w:widowControl w:val="0"/>
        <w:pBdr>
          <w:top w:val="nil"/>
          <w:left w:val="nil"/>
          <w:bottom w:val="nil"/>
          <w:right w:val="nil"/>
          <w:between w:val="nil"/>
        </w:pBdr>
        <w:rPr>
          <w:color w:val="000000"/>
        </w:rPr>
      </w:pPr>
      <w:r>
        <w:rPr>
          <w:color w:val="000000"/>
        </w:rPr>
        <w:t>Фактори мікросередовища занесено в зведену таблицю факторів (табл.1.7).</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ind w:left="420" w:firstLine="0"/>
        <w:rPr>
          <w:color w:val="000000"/>
        </w:rPr>
      </w:pPr>
      <w:r>
        <w:rPr>
          <w:color w:val="000000"/>
        </w:rPr>
        <w:t>Таблиця 1.7 – Таб</w:t>
      </w:r>
      <w:r>
        <w:rPr>
          <w:color w:val="000000"/>
        </w:rPr>
        <w:t>лиця факторів мікросередовища МЦ «Mediland»</w:t>
      </w:r>
    </w:p>
    <w:tbl>
      <w:tblPr>
        <w:tblStyle w:val="afb"/>
        <w:tblW w:w="102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8"/>
        <w:gridCol w:w="3260"/>
        <w:gridCol w:w="3118"/>
        <w:gridCol w:w="3449"/>
      </w:tblGrid>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 з/п</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Фактор</w:t>
            </w:r>
          </w:p>
        </w:tc>
        <w:tc>
          <w:tcPr>
            <w:tcW w:w="31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Слабка сторона</w:t>
            </w:r>
          </w:p>
        </w:tc>
        <w:tc>
          <w:tcPr>
            <w:tcW w:w="3449"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Сильна сторона</w:t>
            </w:r>
          </w:p>
        </w:tc>
      </w:tr>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1.</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Висока щира лояльність</w:t>
            </w:r>
          </w:p>
        </w:tc>
        <w:tc>
          <w:tcPr>
            <w:tcW w:w="3118"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c>
          <w:tcPr>
            <w:tcW w:w="3449"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w:t>
            </w:r>
          </w:p>
        </w:tc>
      </w:tr>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2.</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Відсутність мережі філій</w:t>
            </w:r>
          </w:p>
        </w:tc>
        <w:tc>
          <w:tcPr>
            <w:tcW w:w="31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w:t>
            </w:r>
          </w:p>
        </w:tc>
        <w:tc>
          <w:tcPr>
            <w:tcW w:w="3449"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3.</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Широкий спектр медичних послуг</w:t>
            </w:r>
          </w:p>
        </w:tc>
        <w:tc>
          <w:tcPr>
            <w:tcW w:w="3118"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c>
          <w:tcPr>
            <w:tcW w:w="3449"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w:t>
            </w:r>
          </w:p>
        </w:tc>
      </w:tr>
      <w:tr w:rsidR="001E0A2A">
        <w:trPr>
          <w:trHeight w:val="314"/>
          <w:jc w:val="center"/>
        </w:trPr>
        <w:tc>
          <w:tcPr>
            <w:tcW w:w="4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4.</w:t>
            </w:r>
          </w:p>
        </w:tc>
        <w:tc>
          <w:tcPr>
            <w:tcW w:w="3260"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Висока ціна</w:t>
            </w:r>
          </w:p>
        </w:tc>
        <w:tc>
          <w:tcPr>
            <w:tcW w:w="3118" w:type="dxa"/>
            <w:shd w:val="clear" w:color="auto" w:fill="FFFFFF"/>
          </w:tcPr>
          <w:p w:rsidR="001E0A2A" w:rsidRDefault="00E079B6">
            <w:pPr>
              <w:widowControl w:val="0"/>
              <w:pBdr>
                <w:top w:val="nil"/>
                <w:left w:val="nil"/>
                <w:bottom w:val="nil"/>
                <w:right w:val="nil"/>
                <w:between w:val="nil"/>
              </w:pBdr>
              <w:spacing w:line="240" w:lineRule="auto"/>
              <w:ind w:firstLine="0"/>
              <w:jc w:val="left"/>
              <w:rPr>
                <w:color w:val="000000"/>
                <w:sz w:val="24"/>
                <w:szCs w:val="24"/>
              </w:rPr>
            </w:pPr>
            <w:r>
              <w:rPr>
                <w:color w:val="000000"/>
                <w:sz w:val="24"/>
                <w:szCs w:val="24"/>
              </w:rPr>
              <w:t>–</w:t>
            </w:r>
          </w:p>
        </w:tc>
        <w:tc>
          <w:tcPr>
            <w:tcW w:w="3449" w:type="dxa"/>
            <w:shd w:val="clear" w:color="auto" w:fill="FFFFFF"/>
          </w:tcPr>
          <w:p w:rsidR="001E0A2A" w:rsidRDefault="001E0A2A">
            <w:pPr>
              <w:widowControl w:val="0"/>
              <w:pBdr>
                <w:top w:val="nil"/>
                <w:left w:val="nil"/>
                <w:bottom w:val="nil"/>
                <w:right w:val="nil"/>
                <w:between w:val="nil"/>
              </w:pBdr>
              <w:spacing w:line="240" w:lineRule="auto"/>
              <w:ind w:firstLine="0"/>
              <w:jc w:val="left"/>
              <w:rPr>
                <w:color w:val="000000"/>
                <w:sz w:val="24"/>
                <w:szCs w:val="24"/>
              </w:rPr>
            </w:pPr>
          </w:p>
        </w:tc>
      </w:tr>
    </w:tbl>
    <w:p w:rsidR="001E0A2A" w:rsidRDefault="00E079B6">
      <w:pPr>
        <w:widowControl w:val="0"/>
        <w:pBdr>
          <w:top w:val="nil"/>
          <w:left w:val="nil"/>
          <w:bottom w:val="nil"/>
          <w:right w:val="nil"/>
          <w:between w:val="nil"/>
        </w:pBdr>
        <w:jc w:val="left"/>
        <w:rPr>
          <w:color w:val="000000"/>
        </w:rPr>
      </w:pPr>
      <w:r>
        <w:rPr>
          <w:color w:val="000000"/>
        </w:rPr>
        <w:t>Джерело: складено автором.</w:t>
      </w: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rPr>
          <w:color w:val="000000"/>
        </w:rPr>
      </w:pPr>
      <w:r>
        <w:rPr>
          <w:color w:val="000000"/>
        </w:rPr>
        <w:t>З допомогою аналізу мікросередовища медичного центру виокремлено кілька ключових факторів, що впливають на його конкурентоспроможність. З одного боку, висока щира лояльність клієнтів вказує на успішне налагодження відносин із пацієнтами, що сприяє стабільн</w:t>
      </w:r>
      <w:r>
        <w:rPr>
          <w:color w:val="000000"/>
        </w:rPr>
        <w:t>ості та розвитку бізнесу. Широкий спектр медичних послуг також є важливим активом, що приваблює різноманітних клієнтів та може забезпечити додаткові джерела доходу.</w:t>
      </w:r>
    </w:p>
    <w:p w:rsidR="001E0A2A" w:rsidRDefault="00E079B6">
      <w:pPr>
        <w:widowControl w:val="0"/>
        <w:pBdr>
          <w:top w:val="nil"/>
          <w:left w:val="nil"/>
          <w:bottom w:val="nil"/>
          <w:right w:val="nil"/>
          <w:between w:val="nil"/>
        </w:pBdr>
        <w:rPr>
          <w:color w:val="000000"/>
        </w:rPr>
      </w:pPr>
      <w:r>
        <w:rPr>
          <w:color w:val="000000"/>
        </w:rPr>
        <w:t xml:space="preserve">З іншого боку, відсутність мережі філій здатна обмежити доступ до послуг МЦ для клієнтів у </w:t>
      </w:r>
      <w:r>
        <w:rPr>
          <w:color w:val="000000"/>
        </w:rPr>
        <w:t>різних локаціях, що може вплинути на потенційний обсяг клієнтської бази та конкурентоспроможність. Високі ціни також можуть стати перешкодою для приваблення нових клієнтів та збереження існуючих. За такої високої конкуренції, утримати клієнтів можна лише п</w:t>
      </w:r>
      <w:r>
        <w:rPr>
          <w:color w:val="000000"/>
        </w:rPr>
        <w:t>ропонуючи їм те, що не пропонують конкуренти. Для подальшого успіху МЦ варто звернути увагу на розвиток мережі філій та розглянути можливості для оптимізації комунікаційної політики з метою збільшення кількості лояльних клієнтів та конкурентоспроможності н</w:t>
      </w:r>
      <w:r>
        <w:rPr>
          <w:color w:val="000000"/>
        </w:rPr>
        <w:t>а ринку.</w:t>
      </w:r>
    </w:p>
    <w:p w:rsidR="001E0A2A" w:rsidRDefault="00E079B6">
      <w:pPr>
        <w:widowControl w:val="0"/>
        <w:pBdr>
          <w:top w:val="nil"/>
          <w:left w:val="nil"/>
          <w:bottom w:val="nil"/>
          <w:right w:val="nil"/>
          <w:between w:val="nil"/>
        </w:pBdr>
        <w:rPr>
          <w:color w:val="000000"/>
        </w:rPr>
      </w:pPr>
      <w:r>
        <w:rPr>
          <w:color w:val="000000"/>
        </w:rPr>
        <w:t>Отже в цьому підрозділі було проаналізовано зовнішнє середовище медичного центру та розглянуто його фактори. Ці фактори слугують основою для проведення SWOT-аналізу.</w:t>
      </w:r>
    </w:p>
    <w:p w:rsidR="001E0A2A" w:rsidRDefault="001E0A2A">
      <w:pPr>
        <w:widowControl w:val="0"/>
        <w:pBdr>
          <w:top w:val="nil"/>
          <w:left w:val="nil"/>
          <w:bottom w:val="nil"/>
          <w:right w:val="nil"/>
          <w:between w:val="nil"/>
        </w:pBdr>
        <w:rPr>
          <w:color w:val="000000"/>
        </w:rPr>
      </w:pPr>
    </w:p>
    <w:p w:rsidR="001E0A2A" w:rsidRDefault="00E079B6">
      <w:pPr>
        <w:pStyle w:val="2"/>
        <w:numPr>
          <w:ilvl w:val="1"/>
          <w:numId w:val="37"/>
        </w:numPr>
      </w:pPr>
      <w:bookmarkStart w:id="6" w:name="_heading=h.tyjcwt" w:colFirst="0" w:colLast="0"/>
      <w:bookmarkEnd w:id="6"/>
      <w:r>
        <w:t>Визначення маркетингової управлінської проблеми</w:t>
      </w:r>
    </w:p>
    <w:p w:rsidR="001E0A2A" w:rsidRDefault="001E0A2A">
      <w:pPr>
        <w:pBdr>
          <w:top w:val="nil"/>
          <w:left w:val="nil"/>
          <w:bottom w:val="nil"/>
          <w:right w:val="nil"/>
          <w:between w:val="nil"/>
        </w:pBdr>
        <w:ind w:left="1129" w:firstLine="0"/>
        <w:rPr>
          <w:color w:val="000000"/>
        </w:rPr>
      </w:pPr>
    </w:p>
    <w:p w:rsidR="001E0A2A" w:rsidRDefault="00E079B6">
      <w:pPr>
        <w:widowControl w:val="0"/>
        <w:pBdr>
          <w:top w:val="nil"/>
          <w:left w:val="nil"/>
          <w:bottom w:val="nil"/>
          <w:right w:val="nil"/>
          <w:between w:val="nil"/>
        </w:pBdr>
        <w:spacing w:line="372" w:lineRule="auto"/>
        <w:rPr>
          <w:color w:val="000000"/>
        </w:rPr>
      </w:pPr>
      <w:r>
        <w:rPr>
          <w:color w:val="000000"/>
        </w:rPr>
        <w:t xml:space="preserve">В цьому підрозділі проведемо SWOT-аналізу, визначимо симптоми маркетингової управлінської проблеми. На їх основі сформуємо саму проблему. </w:t>
      </w:r>
    </w:p>
    <w:p w:rsidR="001E0A2A" w:rsidRDefault="00E079B6">
      <w:pPr>
        <w:widowControl w:val="0"/>
        <w:pBdr>
          <w:top w:val="nil"/>
          <w:left w:val="nil"/>
          <w:bottom w:val="nil"/>
          <w:right w:val="nil"/>
          <w:between w:val="nil"/>
        </w:pBdr>
        <w:spacing w:line="372" w:lineRule="auto"/>
        <w:rPr>
          <w:color w:val="000000"/>
        </w:rPr>
      </w:pPr>
      <w:r>
        <w:rPr>
          <w:color w:val="000000"/>
        </w:rPr>
        <w:t>Визначити основні напрямки розвитку медичного центру, у тому числі в контексті формування маркетингової управлінської</w:t>
      </w:r>
      <w:r>
        <w:rPr>
          <w:color w:val="000000"/>
        </w:rPr>
        <w:t xml:space="preserve"> проблеми можна за допомогою SWOT-аналізу. Систематизуємо результати аналізу внутрішнього та зовнішнього середовища підприємства, виокремивши його переваги та недоліки, потенційні загрози та можливості у формі SWOT-аналізу (табл. 1.8).</w:t>
      </w:r>
    </w:p>
    <w:p w:rsidR="001E0A2A" w:rsidRDefault="001E0A2A">
      <w:pPr>
        <w:widowControl w:val="0"/>
        <w:pBdr>
          <w:top w:val="nil"/>
          <w:left w:val="nil"/>
          <w:bottom w:val="nil"/>
          <w:right w:val="nil"/>
          <w:between w:val="nil"/>
        </w:pBdr>
        <w:rPr>
          <w:color w:val="000000"/>
        </w:rPr>
      </w:pPr>
    </w:p>
    <w:p w:rsidR="001E0A2A" w:rsidRDefault="001E0A2A">
      <w:pPr>
        <w:widowControl w:val="0"/>
        <w:pBdr>
          <w:top w:val="nil"/>
          <w:left w:val="nil"/>
          <w:bottom w:val="nil"/>
          <w:right w:val="nil"/>
          <w:between w:val="nil"/>
        </w:pBdr>
        <w:rPr>
          <w:color w:val="000000"/>
        </w:rPr>
      </w:pPr>
    </w:p>
    <w:p w:rsidR="001E0A2A" w:rsidRDefault="001E0A2A">
      <w:pPr>
        <w:widowControl w:val="0"/>
        <w:pBdr>
          <w:top w:val="nil"/>
          <w:left w:val="nil"/>
          <w:bottom w:val="nil"/>
          <w:right w:val="nil"/>
          <w:between w:val="nil"/>
        </w:pBdr>
        <w:rPr>
          <w:color w:val="000000"/>
        </w:rPr>
      </w:pPr>
    </w:p>
    <w:p w:rsidR="001E0A2A" w:rsidRDefault="00E079B6">
      <w:pPr>
        <w:widowControl w:val="0"/>
        <w:pBdr>
          <w:top w:val="nil"/>
          <w:left w:val="nil"/>
          <w:bottom w:val="nil"/>
          <w:right w:val="nil"/>
          <w:between w:val="nil"/>
        </w:pBdr>
        <w:ind w:left="420" w:firstLine="0"/>
        <w:rPr>
          <w:color w:val="000000"/>
        </w:rPr>
      </w:pPr>
      <w:r>
        <w:rPr>
          <w:color w:val="000000"/>
        </w:rPr>
        <w:t>Таблиця 1.8 – SWOT-аналізу МЦ «Mediland»</w:t>
      </w:r>
    </w:p>
    <w:tbl>
      <w:tblPr>
        <w:tblStyle w:val="afc"/>
        <w:tblW w:w="102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
        <w:gridCol w:w="6169"/>
        <w:gridCol w:w="3976"/>
      </w:tblGrid>
      <w:tr w:rsidR="001E0A2A">
        <w:trPr>
          <w:trHeight w:val="314"/>
          <w:jc w:val="center"/>
        </w:trPr>
        <w:tc>
          <w:tcPr>
            <w:tcW w:w="6232" w:type="dxa"/>
            <w:gridSpan w:val="2"/>
            <w:shd w:val="clear" w:color="auto" w:fill="FFFFFF"/>
          </w:tcPr>
          <w:p w:rsidR="001E0A2A" w:rsidRDefault="00E079B6">
            <w:pPr>
              <w:widowControl w:val="0"/>
              <w:pBdr>
                <w:top w:val="nil"/>
                <w:left w:val="nil"/>
                <w:bottom w:val="nil"/>
                <w:right w:val="nil"/>
                <w:between w:val="nil"/>
              </w:pBdr>
              <w:spacing w:line="276" w:lineRule="auto"/>
              <w:ind w:firstLine="0"/>
              <w:jc w:val="center"/>
              <w:rPr>
                <w:color w:val="000000"/>
                <w:sz w:val="24"/>
                <w:szCs w:val="24"/>
              </w:rPr>
            </w:pPr>
            <w:r>
              <w:rPr>
                <w:color w:val="000000"/>
                <w:sz w:val="24"/>
                <w:szCs w:val="24"/>
              </w:rPr>
              <w:t>Сильні сторони</w:t>
            </w:r>
          </w:p>
        </w:tc>
        <w:tc>
          <w:tcPr>
            <w:tcW w:w="4013" w:type="dxa"/>
            <w:shd w:val="clear" w:color="auto" w:fill="FFFFFF"/>
          </w:tcPr>
          <w:p w:rsidR="001E0A2A" w:rsidRDefault="00E079B6">
            <w:pPr>
              <w:widowControl w:val="0"/>
              <w:pBdr>
                <w:top w:val="nil"/>
                <w:left w:val="nil"/>
                <w:bottom w:val="nil"/>
                <w:right w:val="nil"/>
                <w:between w:val="nil"/>
              </w:pBdr>
              <w:spacing w:line="276" w:lineRule="auto"/>
              <w:ind w:firstLine="0"/>
              <w:jc w:val="center"/>
              <w:rPr>
                <w:color w:val="000000"/>
                <w:sz w:val="24"/>
                <w:szCs w:val="24"/>
              </w:rPr>
            </w:pPr>
            <w:r>
              <w:rPr>
                <w:color w:val="000000"/>
                <w:sz w:val="24"/>
                <w:szCs w:val="24"/>
              </w:rPr>
              <w:t>Слабкі сторони</w:t>
            </w:r>
          </w:p>
        </w:tc>
      </w:tr>
      <w:tr w:rsidR="001E0A2A">
        <w:trPr>
          <w:trHeight w:val="314"/>
          <w:jc w:val="center"/>
        </w:trPr>
        <w:tc>
          <w:tcPr>
            <w:tcW w:w="6232" w:type="dxa"/>
            <w:gridSpan w:val="2"/>
            <w:shd w:val="clear" w:color="auto" w:fill="FFFFFF"/>
          </w:tcPr>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висока щира лояльність;</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збалансований портфель товарів;</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висока якість медичних послуг, за рахунок кваліфікованого медичного персоналу та сучасного обладнання;</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широкий спектр медичних послуг;</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ефективне управління клінікою та внутрішніми процесами;</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зручне розташування медичного центру у центрі міста;</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партнерства зі страховими компаніями та іншими клініками та діагностичними центрами.</w:t>
            </w:r>
          </w:p>
        </w:tc>
        <w:tc>
          <w:tcPr>
            <w:tcW w:w="4013" w:type="dxa"/>
            <w:shd w:val="clear" w:color="auto" w:fill="FFFFFF"/>
          </w:tcPr>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відсутність широкої мережі філій;</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висока ціна послуг порівняно з конкурентами;</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залежність від ключового персоналу;</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недостатня кількість реклами.</w:t>
            </w:r>
          </w:p>
        </w:tc>
      </w:tr>
      <w:tr w:rsidR="001E0A2A">
        <w:trPr>
          <w:trHeight w:val="314"/>
          <w:jc w:val="center"/>
        </w:trPr>
        <w:tc>
          <w:tcPr>
            <w:tcW w:w="6" w:type="dxa"/>
          </w:tcPr>
          <w:p w:rsidR="001E0A2A" w:rsidRDefault="001E0A2A">
            <w:pPr>
              <w:widowControl w:val="0"/>
              <w:pBdr>
                <w:top w:val="nil"/>
                <w:left w:val="nil"/>
                <w:bottom w:val="nil"/>
                <w:right w:val="nil"/>
                <w:between w:val="nil"/>
              </w:pBdr>
              <w:spacing w:line="276" w:lineRule="auto"/>
              <w:ind w:firstLine="0"/>
              <w:jc w:val="left"/>
              <w:rPr>
                <w:color w:val="000000"/>
                <w:sz w:val="24"/>
                <w:szCs w:val="24"/>
                <w:highlight w:val="white"/>
              </w:rPr>
            </w:pPr>
          </w:p>
        </w:tc>
        <w:tc>
          <w:tcPr>
            <w:tcW w:w="6226" w:type="dxa"/>
            <w:shd w:val="clear" w:color="auto" w:fill="FFFFFF"/>
          </w:tcPr>
          <w:p w:rsidR="001E0A2A" w:rsidRDefault="00E079B6">
            <w:pPr>
              <w:widowControl w:val="0"/>
              <w:pBdr>
                <w:top w:val="nil"/>
                <w:left w:val="nil"/>
                <w:bottom w:val="nil"/>
                <w:right w:val="nil"/>
                <w:between w:val="nil"/>
              </w:pBdr>
              <w:spacing w:line="276" w:lineRule="auto"/>
              <w:ind w:firstLine="0"/>
              <w:jc w:val="center"/>
              <w:rPr>
                <w:color w:val="000000"/>
                <w:sz w:val="24"/>
                <w:szCs w:val="24"/>
              </w:rPr>
            </w:pPr>
            <w:r>
              <w:rPr>
                <w:color w:val="000000"/>
                <w:sz w:val="24"/>
                <w:szCs w:val="24"/>
              </w:rPr>
              <w:t>Можливості</w:t>
            </w:r>
          </w:p>
        </w:tc>
        <w:tc>
          <w:tcPr>
            <w:tcW w:w="4013" w:type="dxa"/>
            <w:shd w:val="clear" w:color="auto" w:fill="FFFFFF"/>
          </w:tcPr>
          <w:p w:rsidR="001E0A2A" w:rsidRDefault="00E079B6">
            <w:pPr>
              <w:widowControl w:val="0"/>
              <w:pBdr>
                <w:top w:val="nil"/>
                <w:left w:val="nil"/>
                <w:bottom w:val="nil"/>
                <w:right w:val="nil"/>
                <w:between w:val="nil"/>
              </w:pBdr>
              <w:spacing w:line="276" w:lineRule="auto"/>
              <w:ind w:firstLine="0"/>
              <w:jc w:val="center"/>
              <w:rPr>
                <w:color w:val="000000"/>
                <w:sz w:val="24"/>
                <w:szCs w:val="24"/>
              </w:rPr>
            </w:pPr>
            <w:r>
              <w:rPr>
                <w:color w:val="000000"/>
                <w:sz w:val="24"/>
                <w:szCs w:val="24"/>
              </w:rPr>
              <w:t>Загрози</w:t>
            </w:r>
          </w:p>
        </w:tc>
      </w:tr>
      <w:tr w:rsidR="001E0A2A">
        <w:trPr>
          <w:trHeight w:val="314"/>
          <w:jc w:val="center"/>
        </w:trPr>
        <w:tc>
          <w:tcPr>
            <w:tcW w:w="6" w:type="dxa"/>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6226" w:type="dxa"/>
            <w:shd w:val="clear" w:color="auto" w:fill="FFFFFF"/>
          </w:tcPr>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збільшення попиту на приватні медичні послуги у зв'язку зі зростанням свідомості про здоров'я;</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використання цифрових технологій та телемедицини для розширення обсягу послуг;</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наявність недостатнього задоволення пацієнтів та рівня взаєморозуміння з різними с</w:t>
            </w:r>
            <w:r>
              <w:rPr>
                <w:color w:val="000000"/>
                <w:sz w:val="24"/>
                <w:szCs w:val="24"/>
                <w:highlight w:val="white"/>
              </w:rPr>
              <w:t>оціокультурними групами;</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поширення партнерств з медичними страховими компаніями для розширення бази клієнтів та забезпечення фінансової стабільності.</w:t>
            </w:r>
          </w:p>
        </w:tc>
        <w:tc>
          <w:tcPr>
            <w:tcW w:w="4013" w:type="dxa"/>
            <w:shd w:val="clear" w:color="auto" w:fill="FFFFFF"/>
          </w:tcPr>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зростаюча конкуренція на ринку медичних послуг;</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зміни у законодавстві щодо медичного страхування та реімбу</w:t>
            </w:r>
            <w:r>
              <w:rPr>
                <w:color w:val="000000"/>
                <w:sz w:val="24"/>
                <w:szCs w:val="24"/>
                <w:highlight w:val="white"/>
              </w:rPr>
              <w:t>рсації (виплата компенсацій);</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нестабільна економічна ситуація;</w:t>
            </w:r>
          </w:p>
          <w:p w:rsidR="001E0A2A" w:rsidRDefault="00E079B6">
            <w:pPr>
              <w:numPr>
                <w:ilvl w:val="0"/>
                <w:numId w:val="21"/>
              </w:numPr>
              <w:pBdr>
                <w:top w:val="nil"/>
                <w:left w:val="nil"/>
                <w:bottom w:val="nil"/>
                <w:right w:val="nil"/>
                <w:between w:val="nil"/>
              </w:pBdr>
              <w:spacing w:line="276" w:lineRule="auto"/>
              <w:rPr>
                <w:color w:val="000000"/>
                <w:sz w:val="24"/>
                <w:szCs w:val="24"/>
                <w:highlight w:val="white"/>
              </w:rPr>
            </w:pPr>
            <w:r>
              <w:rPr>
                <w:color w:val="000000"/>
                <w:sz w:val="24"/>
                <w:szCs w:val="24"/>
                <w:highlight w:val="white"/>
              </w:rPr>
              <w:t>зміни у споживчих уподобаннях та попиті на медичні послуги.</w:t>
            </w:r>
          </w:p>
        </w:tc>
      </w:tr>
    </w:tbl>
    <w:p w:rsidR="001E0A2A" w:rsidRDefault="00E079B6">
      <w:pPr>
        <w:widowControl w:val="0"/>
        <w:pBdr>
          <w:top w:val="nil"/>
          <w:left w:val="nil"/>
          <w:bottom w:val="nil"/>
          <w:right w:val="nil"/>
          <w:between w:val="nil"/>
        </w:pBdr>
        <w:jc w:val="left"/>
        <w:rPr>
          <w:color w:val="000000"/>
        </w:rPr>
      </w:pPr>
      <w:r>
        <w:rPr>
          <w:color w:val="000000"/>
        </w:rPr>
        <w:t>Джерело: складено автором.</w:t>
      </w:r>
    </w:p>
    <w:p w:rsidR="001E0A2A" w:rsidRDefault="001E0A2A">
      <w:pPr>
        <w:rPr>
          <w:highlight w:val="cyan"/>
        </w:rPr>
      </w:pPr>
    </w:p>
    <w:p w:rsidR="001E0A2A" w:rsidRDefault="00E079B6">
      <w:r>
        <w:t>Виділимо головні фактори зі SWOT-аналізу. Головними сильними сторонами є зручне розташування медичного центру, висока якість та широкий спектр медичних послуг. Зі слабких сторін виділимо відсутність широкої мережі філій та недостатня кількість реклами. Гол</w:t>
      </w:r>
      <w:r>
        <w:t>овною ринковою загрозою є зростання конкуренції на ринку, а ринковою можливістю – збільшення попиту на приватні медичні послуги.</w:t>
      </w:r>
    </w:p>
    <w:p w:rsidR="001E0A2A" w:rsidRDefault="00E079B6">
      <w:pPr>
        <w:rPr>
          <w:highlight w:val="white"/>
        </w:rPr>
      </w:pPr>
      <w:r>
        <w:t>На основі проведеного SWOT-аналізу було виявлено переваги та недоліки підприємства, які виникли внаслідок внутрішніх факторів господарювання. Також було оцінено потенційний вплив зовнішніх чинників, що представляють собою загрози та можливості для підприєм</w:t>
      </w:r>
      <w:r>
        <w:t xml:space="preserve">ства. З огляду на це, можна розробити </w:t>
      </w:r>
      <w:r>
        <w:lastRenderedPageBreak/>
        <w:t>конкретні стратегії для максимізації переваг і можливостей, враховуючи обмеження, пов'язані з недоліками та загрозами, що допоможе підприємству забезпечити собі конкурентні переваги. Для цього</w:t>
      </w:r>
      <w:r>
        <w:rPr>
          <w:highlight w:val="white"/>
        </w:rPr>
        <w:t xml:space="preserve"> виконаємо Крос-аналіз сил</w:t>
      </w:r>
      <w:r>
        <w:rPr>
          <w:highlight w:val="white"/>
        </w:rPr>
        <w:t xml:space="preserve">ьних та слабких сторін підприємства з ринковими можливостями та загрозами (табл. 1.9). </w:t>
      </w:r>
    </w:p>
    <w:p w:rsidR="001E0A2A" w:rsidRDefault="001E0A2A">
      <w:pPr>
        <w:rPr>
          <w:color w:val="000000"/>
        </w:rPr>
      </w:pPr>
    </w:p>
    <w:p w:rsidR="001E0A2A" w:rsidRDefault="00E079B6">
      <w:pPr>
        <w:rPr>
          <w:highlight w:val="white"/>
        </w:rPr>
      </w:pPr>
      <w:r>
        <w:rPr>
          <w:highlight w:val="white"/>
        </w:rPr>
        <w:t>Таблиця 1.9 – Крос-аналіз SWOT</w:t>
      </w:r>
    </w:p>
    <w:tbl>
      <w:tblPr>
        <w:tblStyle w:val="afd"/>
        <w:tblW w:w="9349" w:type="dxa"/>
        <w:tblInd w:w="0" w:type="dxa"/>
        <w:tblBorders>
          <w:top w:val="single" w:sz="12" w:space="0" w:color="A5A5A5"/>
          <w:left w:val="single" w:sz="12" w:space="0" w:color="A5A5A5"/>
          <w:bottom w:val="single" w:sz="12" w:space="0" w:color="A5A5A5"/>
          <w:right w:val="single" w:sz="12" w:space="0" w:color="A5A5A5"/>
          <w:insideH w:val="single" w:sz="4" w:space="0" w:color="A5A5A5"/>
          <w:insideV w:val="single" w:sz="4" w:space="0" w:color="A5A5A5"/>
        </w:tblBorders>
        <w:tblLayout w:type="fixed"/>
        <w:tblLook w:val="0400" w:firstRow="0" w:lastRow="0" w:firstColumn="0" w:lastColumn="0" w:noHBand="0" w:noVBand="1"/>
      </w:tblPr>
      <w:tblGrid>
        <w:gridCol w:w="1276"/>
        <w:gridCol w:w="4253"/>
        <w:gridCol w:w="3820"/>
      </w:tblGrid>
      <w:tr w:rsidR="001E0A2A">
        <w:tc>
          <w:tcPr>
            <w:tcW w:w="1276" w:type="dxa"/>
            <w:tcBorders>
              <w:top w:val="single" w:sz="4" w:space="0" w:color="000000"/>
              <w:left w:val="single" w:sz="4" w:space="0" w:color="000000"/>
              <w:bottom w:val="single" w:sz="4" w:space="0" w:color="FFFFFF"/>
              <w:right w:val="single" w:sz="4" w:space="0" w:color="FFFFFF"/>
            </w:tcBorders>
          </w:tcPr>
          <w:p w:rsidR="001E0A2A" w:rsidRDefault="001E0A2A">
            <w:pPr>
              <w:spacing w:line="240" w:lineRule="auto"/>
              <w:ind w:firstLine="0"/>
              <w:jc w:val="center"/>
              <w:rPr>
                <w:sz w:val="24"/>
                <w:szCs w:val="24"/>
                <w:highlight w:val="white"/>
              </w:rPr>
            </w:pPr>
          </w:p>
        </w:tc>
        <w:tc>
          <w:tcPr>
            <w:tcW w:w="4253" w:type="dxa"/>
            <w:tcBorders>
              <w:top w:val="single" w:sz="4" w:space="0" w:color="000000"/>
              <w:left w:val="single" w:sz="4" w:space="0" w:color="FFFFFF"/>
              <w:bottom w:val="single" w:sz="4" w:space="0" w:color="000000"/>
              <w:right w:val="single" w:sz="4" w:space="0" w:color="000000"/>
            </w:tcBorders>
          </w:tcPr>
          <w:p w:rsidR="001E0A2A" w:rsidRDefault="00E079B6">
            <w:pPr>
              <w:spacing w:line="240" w:lineRule="auto"/>
              <w:ind w:firstLine="0"/>
              <w:jc w:val="center"/>
              <w:rPr>
                <w:sz w:val="24"/>
                <w:szCs w:val="24"/>
                <w:highlight w:val="white"/>
              </w:rPr>
            </w:pPr>
            <w:r>
              <w:rPr>
                <w:sz w:val="24"/>
                <w:szCs w:val="24"/>
                <w:highlight w:val="white"/>
              </w:rPr>
              <w:t>Ринкові можливості</w:t>
            </w:r>
          </w:p>
        </w:tc>
        <w:tc>
          <w:tcPr>
            <w:tcW w:w="3820" w:type="dxa"/>
            <w:tcBorders>
              <w:top w:val="single" w:sz="4" w:space="0" w:color="000000"/>
              <w:left w:val="single" w:sz="4" w:space="0" w:color="000000"/>
              <w:bottom w:val="single" w:sz="4" w:space="0" w:color="000000"/>
              <w:right w:val="single" w:sz="4" w:space="0" w:color="000000"/>
            </w:tcBorders>
          </w:tcPr>
          <w:p w:rsidR="001E0A2A" w:rsidRDefault="00E079B6">
            <w:pPr>
              <w:spacing w:line="240" w:lineRule="auto"/>
              <w:ind w:firstLine="0"/>
              <w:jc w:val="center"/>
              <w:rPr>
                <w:sz w:val="24"/>
                <w:szCs w:val="24"/>
                <w:highlight w:val="white"/>
              </w:rPr>
            </w:pPr>
            <w:r>
              <w:rPr>
                <w:sz w:val="24"/>
                <w:szCs w:val="24"/>
                <w:highlight w:val="white"/>
              </w:rPr>
              <w:t>Ринкові загрози</w:t>
            </w:r>
          </w:p>
        </w:tc>
      </w:tr>
      <w:tr w:rsidR="001E0A2A">
        <w:tc>
          <w:tcPr>
            <w:tcW w:w="1276" w:type="dxa"/>
            <w:tcBorders>
              <w:top w:val="single" w:sz="4" w:space="0" w:color="FFFFFF"/>
              <w:left w:val="single" w:sz="4" w:space="0" w:color="000000"/>
              <w:bottom w:val="single" w:sz="4" w:space="0" w:color="000000"/>
              <w:right w:val="single" w:sz="4" w:space="0" w:color="000000"/>
            </w:tcBorders>
          </w:tcPr>
          <w:p w:rsidR="001E0A2A" w:rsidRDefault="00E079B6">
            <w:pPr>
              <w:spacing w:line="240" w:lineRule="auto"/>
              <w:ind w:firstLine="0"/>
              <w:jc w:val="center"/>
              <w:rPr>
                <w:sz w:val="24"/>
                <w:szCs w:val="24"/>
                <w:highlight w:val="white"/>
              </w:rPr>
            </w:pPr>
            <w:r>
              <w:rPr>
                <w:sz w:val="24"/>
                <w:szCs w:val="24"/>
                <w:highlight w:val="white"/>
              </w:rPr>
              <w:t>Сильні сторони</w:t>
            </w:r>
          </w:p>
        </w:tc>
        <w:tc>
          <w:tcPr>
            <w:tcW w:w="4253" w:type="dxa"/>
            <w:tcBorders>
              <w:top w:val="single" w:sz="4" w:space="0" w:color="000000"/>
              <w:left w:val="single" w:sz="4" w:space="0" w:color="000000"/>
              <w:bottom w:val="single" w:sz="4" w:space="0" w:color="000000"/>
              <w:right w:val="single" w:sz="4" w:space="0" w:color="000000"/>
            </w:tcBorders>
          </w:tcPr>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клієнтської бази;</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відомості бренду;</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розширення обсягу медичних послуг;</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розширення асортименту послуг;</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прибутковості підприємства.</w:t>
            </w:r>
          </w:p>
        </w:tc>
        <w:tc>
          <w:tcPr>
            <w:tcW w:w="3820" w:type="dxa"/>
            <w:tcBorders>
              <w:top w:val="single" w:sz="4" w:space="0" w:color="000000"/>
              <w:left w:val="single" w:sz="4" w:space="0" w:color="000000"/>
              <w:bottom w:val="single" w:sz="4" w:space="0" w:color="000000"/>
              <w:right w:val="single" w:sz="4" w:space="0" w:color="000000"/>
            </w:tcBorders>
          </w:tcPr>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втрата частки ринку;</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зменшення лояльності споживачів;</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зменшення прибутковості підприємства;</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втрата внутрішньої лояльності;</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втрата лояльних споживачів.</w:t>
            </w:r>
          </w:p>
        </w:tc>
      </w:tr>
      <w:tr w:rsidR="001E0A2A">
        <w:tc>
          <w:tcPr>
            <w:tcW w:w="1276" w:type="dxa"/>
            <w:tcBorders>
              <w:top w:val="single" w:sz="4" w:space="0" w:color="000000"/>
              <w:left w:val="single" w:sz="4" w:space="0" w:color="000000"/>
              <w:bottom w:val="single" w:sz="4" w:space="0" w:color="000000"/>
              <w:right w:val="single" w:sz="4" w:space="0" w:color="000000"/>
            </w:tcBorders>
          </w:tcPr>
          <w:p w:rsidR="001E0A2A" w:rsidRDefault="00E079B6">
            <w:pPr>
              <w:spacing w:line="240" w:lineRule="auto"/>
              <w:ind w:firstLine="0"/>
              <w:jc w:val="center"/>
              <w:rPr>
                <w:sz w:val="24"/>
                <w:szCs w:val="24"/>
                <w:highlight w:val="white"/>
              </w:rPr>
            </w:pPr>
            <w:r>
              <w:rPr>
                <w:sz w:val="24"/>
                <w:szCs w:val="24"/>
                <w:highlight w:val="white"/>
              </w:rPr>
              <w:t>Слабкі сторони</w:t>
            </w:r>
          </w:p>
        </w:tc>
        <w:tc>
          <w:tcPr>
            <w:tcW w:w="4253" w:type="dxa"/>
            <w:tcBorders>
              <w:top w:val="single" w:sz="4" w:space="0" w:color="000000"/>
              <w:left w:val="single" w:sz="4" w:space="0" w:color="000000"/>
              <w:bottom w:val="single" w:sz="4" w:space="0" w:color="000000"/>
              <w:right w:val="single" w:sz="4" w:space="0" w:color="000000"/>
            </w:tcBorders>
          </w:tcPr>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лояльності споживачів;</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стратегія ціноутворення орієнтована для сегменту споживачів з достатком вище середнього;</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економія ресурсів для залучення нових клієнтів;</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зменшення частки ринку.</w:t>
            </w:r>
          </w:p>
        </w:tc>
        <w:tc>
          <w:tcPr>
            <w:tcW w:w="3820" w:type="dxa"/>
            <w:tcBorders>
              <w:top w:val="single" w:sz="4" w:space="0" w:color="000000"/>
              <w:left w:val="single" w:sz="4" w:space="0" w:color="000000"/>
              <w:bottom w:val="single" w:sz="4" w:space="0" w:color="000000"/>
              <w:right w:val="single" w:sz="4" w:space="0" w:color="000000"/>
            </w:tcBorders>
          </w:tcPr>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втрата антикрихкості;</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криза у менеджменті;</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лояльності споживачів;</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частки ринку;</w:t>
            </w:r>
          </w:p>
          <w:p w:rsidR="001E0A2A" w:rsidRDefault="00E079B6">
            <w:pPr>
              <w:numPr>
                <w:ilvl w:val="0"/>
                <w:numId w:val="1"/>
              </w:numPr>
              <w:pBdr>
                <w:top w:val="nil"/>
                <w:left w:val="nil"/>
                <w:bottom w:val="nil"/>
                <w:right w:val="nil"/>
                <w:between w:val="nil"/>
              </w:pBdr>
              <w:spacing w:line="240" w:lineRule="auto"/>
              <w:ind w:left="357" w:hanging="357"/>
              <w:jc w:val="left"/>
              <w:rPr>
                <w:color w:val="000000"/>
                <w:sz w:val="24"/>
                <w:szCs w:val="24"/>
                <w:highlight w:val="white"/>
              </w:rPr>
            </w:pPr>
            <w:r>
              <w:rPr>
                <w:color w:val="000000"/>
                <w:sz w:val="24"/>
                <w:szCs w:val="24"/>
                <w:highlight w:val="white"/>
              </w:rPr>
              <w:t>збільшення обсягів продажів на основі ефекту досвіду.</w:t>
            </w:r>
          </w:p>
        </w:tc>
      </w:tr>
    </w:tbl>
    <w:p w:rsidR="001E0A2A" w:rsidRDefault="00E079B6">
      <w:pPr>
        <w:jc w:val="left"/>
        <w:rPr>
          <w:highlight w:val="white"/>
        </w:rPr>
      </w:pPr>
      <w:r>
        <w:rPr>
          <w:highlight w:val="white"/>
        </w:rPr>
        <w:t>Джерело: складено автором.</w:t>
      </w:r>
    </w:p>
    <w:p w:rsidR="001E0A2A" w:rsidRDefault="001E0A2A">
      <w:pPr>
        <w:rPr>
          <w:highlight w:val="white"/>
        </w:rPr>
      </w:pPr>
    </w:p>
    <w:p w:rsidR="001E0A2A" w:rsidRDefault="00E079B6">
      <w:pPr>
        <w:rPr>
          <w:color w:val="000000"/>
        </w:rPr>
      </w:pPr>
      <w:r>
        <w:rPr>
          <w:highlight w:val="white"/>
        </w:rPr>
        <w:t xml:space="preserve">В результаті цього крос-аналізу ми виявимо маркетингові загрози та можливості </w:t>
      </w:r>
      <w:r>
        <w:rPr>
          <w:color w:val="000000"/>
        </w:rPr>
        <w:t>МЦ «Mediland», тобто ті загрози та можливості, що витікають з внутрішніх факторів – переваг та недоліків підприємства. Це дасть розуміння на що слід звертати особливу увагу при плануванні маркетингових стратегій.</w:t>
      </w:r>
    </w:p>
    <w:p w:rsidR="001E0A2A" w:rsidRDefault="00E079B6">
      <w:pPr>
        <w:rPr>
          <w:highlight w:val="white"/>
        </w:rPr>
      </w:pPr>
      <w:r>
        <w:rPr>
          <w:highlight w:val="white"/>
        </w:rPr>
        <w:t>Розглянемо детальніше, як виникли ці маркет</w:t>
      </w:r>
      <w:r>
        <w:rPr>
          <w:highlight w:val="white"/>
        </w:rPr>
        <w:t>ингові загрози та можливості. Після чого, розподілимо їх за впливом: позитивним чи негативним.</w:t>
      </w:r>
    </w:p>
    <w:p w:rsidR="001E0A2A" w:rsidRDefault="00E079B6">
      <w:pPr>
        <w:rPr>
          <w:highlight w:val="white"/>
        </w:rPr>
      </w:pPr>
      <w:r>
        <w:rPr>
          <w:highlight w:val="white"/>
        </w:rPr>
        <w:t xml:space="preserve">За рахунок майже всіх сильних сторін та ринкових можливостей збільшення попиту і заключення партнерств маємо маркетингову можливість – </w:t>
      </w:r>
      <w:r>
        <w:rPr>
          <w:i/>
          <w:highlight w:val="white"/>
        </w:rPr>
        <w:t>збільшення клієнтської баз</w:t>
      </w:r>
      <w:r>
        <w:rPr>
          <w:i/>
          <w:highlight w:val="white"/>
        </w:rPr>
        <w:t>и</w:t>
      </w:r>
      <w:r>
        <w:rPr>
          <w:highlight w:val="white"/>
        </w:rPr>
        <w:t>, тобто збільшення частки ринку та прибутковості підприємства.</w:t>
      </w:r>
    </w:p>
    <w:p w:rsidR="001E0A2A" w:rsidRDefault="00E079B6">
      <w:pPr>
        <w:rPr>
          <w:highlight w:val="white"/>
        </w:rPr>
      </w:pPr>
      <w:r>
        <w:rPr>
          <w:highlight w:val="white"/>
        </w:rPr>
        <w:t xml:space="preserve">За рахунок такої сильної сторони як ефективне управління та ринкової можливості використання цифрових технологій маємо маркетингову можливість – </w:t>
      </w:r>
      <w:r>
        <w:rPr>
          <w:i/>
          <w:highlight w:val="white"/>
        </w:rPr>
        <w:t>розширення обсягу медичних послуг</w:t>
      </w:r>
      <w:r>
        <w:rPr>
          <w:highlight w:val="white"/>
        </w:rPr>
        <w:t>.</w:t>
      </w:r>
    </w:p>
    <w:p w:rsidR="001E0A2A" w:rsidRDefault="00E079B6">
      <w:pPr>
        <w:rPr>
          <w:color w:val="000000"/>
        </w:rPr>
      </w:pPr>
      <w:r>
        <w:rPr>
          <w:color w:val="000000"/>
        </w:rPr>
        <w:lastRenderedPageBreak/>
        <w:t xml:space="preserve">За рахунок ефективного управління та збалансованого портфелю послуг, а відповідно стабільної наявності власних фінансових ресурсів та ринкової можливості заключення партнерств маркетинговою можливістю є </w:t>
      </w:r>
      <w:r>
        <w:rPr>
          <w:i/>
          <w:color w:val="000000"/>
        </w:rPr>
        <w:t xml:space="preserve">розширення асортименту послуг </w:t>
      </w:r>
      <w:r>
        <w:rPr>
          <w:color w:val="000000"/>
        </w:rPr>
        <w:t>шляхом підписання нових</w:t>
      </w:r>
      <w:r>
        <w:rPr>
          <w:color w:val="000000"/>
        </w:rPr>
        <w:t xml:space="preserve"> договорів із новими партнерами.</w:t>
      </w:r>
    </w:p>
    <w:p w:rsidR="001E0A2A" w:rsidRDefault="00E079B6">
      <w:pPr>
        <w:rPr>
          <w:highlight w:val="white"/>
        </w:rPr>
      </w:pPr>
      <w:r>
        <w:rPr>
          <w:highlight w:val="white"/>
        </w:rPr>
        <w:t xml:space="preserve">За рахунок такої сильної сторони як партнерства та ринкової можливості збільшення попиту маємо маркетингову можливість – </w:t>
      </w:r>
      <w:r>
        <w:rPr>
          <w:i/>
          <w:highlight w:val="white"/>
        </w:rPr>
        <w:t>збільшення відомості бренду</w:t>
      </w:r>
      <w:r>
        <w:rPr>
          <w:highlight w:val="white"/>
        </w:rPr>
        <w:t>.</w:t>
      </w:r>
    </w:p>
    <w:p w:rsidR="001E0A2A" w:rsidRDefault="00E079B6">
      <w:pPr>
        <w:rPr>
          <w:highlight w:val="white"/>
        </w:rPr>
      </w:pPr>
      <w:r>
        <w:rPr>
          <w:highlight w:val="white"/>
        </w:rPr>
        <w:t xml:space="preserve">За рахунок такої слабкої сторони як відсутність мережі філій та ринкової </w:t>
      </w:r>
      <w:r>
        <w:rPr>
          <w:highlight w:val="white"/>
        </w:rPr>
        <w:t xml:space="preserve">загрози зростаючої конкуренції маємо маркетингову загрозу – </w:t>
      </w:r>
      <w:r>
        <w:rPr>
          <w:i/>
          <w:highlight w:val="white"/>
        </w:rPr>
        <w:t>втрати частки ринку</w:t>
      </w:r>
      <w:r>
        <w:rPr>
          <w:highlight w:val="white"/>
        </w:rPr>
        <w:t>.</w:t>
      </w:r>
    </w:p>
    <w:p w:rsidR="001E0A2A" w:rsidRDefault="00E079B6">
      <w:pPr>
        <w:rPr>
          <w:highlight w:val="white"/>
        </w:rPr>
      </w:pPr>
      <w:r>
        <w:rPr>
          <w:highlight w:val="white"/>
        </w:rPr>
        <w:t xml:space="preserve">За рахунок такої слабкої сторони як недостатня кількість реклами та ринкової загрози змін у вподобаннях та попиті маємо маркетингову загрозу – </w:t>
      </w:r>
      <w:r>
        <w:rPr>
          <w:i/>
          <w:highlight w:val="white"/>
        </w:rPr>
        <w:t>зменшення лояльності споживачів</w:t>
      </w:r>
      <w:r>
        <w:rPr>
          <w:highlight w:val="white"/>
        </w:rPr>
        <w:t>.</w:t>
      </w:r>
    </w:p>
    <w:p w:rsidR="001E0A2A" w:rsidRDefault="00E079B6">
      <w:pPr>
        <w:rPr>
          <w:highlight w:val="white"/>
        </w:rPr>
      </w:pPr>
      <w:r>
        <w:rPr>
          <w:highlight w:val="white"/>
        </w:rPr>
        <w:t xml:space="preserve">За рахунок такої слабкої сторони як висока ціна та ринкових загроз нестабільної економічної ситуації та змін у законодавстві маємо маркетингову загрозу – </w:t>
      </w:r>
      <w:r>
        <w:rPr>
          <w:i/>
          <w:highlight w:val="white"/>
        </w:rPr>
        <w:t>зменшення прибутковості підприємства</w:t>
      </w:r>
      <w:r>
        <w:rPr>
          <w:highlight w:val="white"/>
        </w:rPr>
        <w:t>.</w:t>
      </w:r>
    </w:p>
    <w:p w:rsidR="001E0A2A" w:rsidRDefault="00E079B6">
      <w:pPr>
        <w:rPr>
          <w:highlight w:val="white"/>
        </w:rPr>
      </w:pPr>
      <w:r>
        <w:rPr>
          <w:highlight w:val="white"/>
        </w:rPr>
        <w:t>За рахунок такої слабкої сторони як залежність від ключового пе</w:t>
      </w:r>
      <w:r>
        <w:rPr>
          <w:highlight w:val="white"/>
        </w:rPr>
        <w:t xml:space="preserve">рсоналу та ринкових загроз зростаючої конкуренції та нестабільної економічної ситуації маємо маркетингову загрозу – </w:t>
      </w:r>
      <w:r>
        <w:rPr>
          <w:i/>
          <w:highlight w:val="white"/>
        </w:rPr>
        <w:t>втрати внутрішньої лояльності</w:t>
      </w:r>
      <w:r>
        <w:rPr>
          <w:highlight w:val="white"/>
        </w:rPr>
        <w:t>.</w:t>
      </w:r>
    </w:p>
    <w:p w:rsidR="001E0A2A" w:rsidRDefault="00E079B6">
      <w:pPr>
        <w:rPr>
          <w:highlight w:val="white"/>
        </w:rPr>
      </w:pPr>
      <w:r>
        <w:rPr>
          <w:highlight w:val="white"/>
        </w:rPr>
        <w:t xml:space="preserve">За рахунок залежності від ключового персоналу ми маємо маркетингову загрозу – </w:t>
      </w:r>
      <w:r>
        <w:rPr>
          <w:i/>
          <w:highlight w:val="white"/>
        </w:rPr>
        <w:t>втрати лояльних споживачів</w:t>
      </w:r>
      <w:r>
        <w:rPr>
          <w:highlight w:val="white"/>
        </w:rPr>
        <w:t xml:space="preserve">, бо </w:t>
      </w:r>
      <w:r>
        <w:rPr>
          <w:highlight w:val="white"/>
        </w:rPr>
        <w:t>вони залишаться лояльними до лікарів навіть якщо ті підуть з нашого медичного центру.</w:t>
      </w:r>
    </w:p>
    <w:p w:rsidR="001E0A2A" w:rsidRDefault="00E079B6">
      <w:pPr>
        <w:rPr>
          <w:highlight w:val="white"/>
        </w:rPr>
      </w:pPr>
      <w:r>
        <w:rPr>
          <w:highlight w:val="white"/>
        </w:rPr>
        <w:t>Така слабка сторона як відсутність мережі філій може нівелюватися за рахунок ринкових можливостей заключення партнерств та підвищення задоволення пацієнтів та рівня взаєм</w:t>
      </w:r>
      <w:r>
        <w:rPr>
          <w:highlight w:val="white"/>
        </w:rPr>
        <w:t xml:space="preserve">орозуміння з різними соціокультурними групами, це дає маркетингову можливість – </w:t>
      </w:r>
      <w:r>
        <w:rPr>
          <w:i/>
          <w:highlight w:val="white"/>
        </w:rPr>
        <w:t>збільшення лояльності споживачів</w:t>
      </w:r>
      <w:r>
        <w:rPr>
          <w:highlight w:val="white"/>
        </w:rPr>
        <w:t>.</w:t>
      </w:r>
    </w:p>
    <w:p w:rsidR="001E0A2A" w:rsidRDefault="00E079B6">
      <w:pPr>
        <w:rPr>
          <w:highlight w:val="white"/>
        </w:rPr>
      </w:pPr>
      <w:r>
        <w:rPr>
          <w:highlight w:val="white"/>
        </w:rPr>
        <w:t>Така слабка сторона як високі ціни може зменшити свій вплив за рахунок ринкової можливості використання цифрових технологій, це дає маркетинго</w:t>
      </w:r>
      <w:r>
        <w:rPr>
          <w:highlight w:val="white"/>
        </w:rPr>
        <w:t xml:space="preserve">ву можливість – </w:t>
      </w:r>
      <w:r>
        <w:rPr>
          <w:i/>
          <w:highlight w:val="white"/>
        </w:rPr>
        <w:t>притримуватись стратегії ціноутворення орієнтована для сегменту споживачів з достатком вище середнього</w:t>
      </w:r>
      <w:r>
        <w:rPr>
          <w:highlight w:val="white"/>
        </w:rPr>
        <w:t>.</w:t>
      </w:r>
    </w:p>
    <w:p w:rsidR="001E0A2A" w:rsidRDefault="00E079B6">
      <w:pPr>
        <w:rPr>
          <w:highlight w:val="white"/>
        </w:rPr>
      </w:pPr>
      <w:r>
        <w:rPr>
          <w:highlight w:val="white"/>
        </w:rPr>
        <w:lastRenderedPageBreak/>
        <w:t>Така слабка сторона як недостатня кількість реклами може нівелюватися за рахунок ринкової можливості заключення партнерств, це дає марке</w:t>
      </w:r>
      <w:r>
        <w:rPr>
          <w:highlight w:val="white"/>
        </w:rPr>
        <w:t xml:space="preserve">тингову можливість – </w:t>
      </w:r>
      <w:r>
        <w:rPr>
          <w:i/>
          <w:highlight w:val="white"/>
        </w:rPr>
        <w:t>економії ресурсів для залучення нових клієнтів</w:t>
      </w:r>
      <w:r>
        <w:rPr>
          <w:highlight w:val="white"/>
        </w:rPr>
        <w:t>.</w:t>
      </w:r>
    </w:p>
    <w:p w:rsidR="001E0A2A" w:rsidRDefault="00E079B6">
      <w:pPr>
        <w:rPr>
          <w:highlight w:val="white"/>
        </w:rPr>
      </w:pPr>
      <w:r>
        <w:rPr>
          <w:highlight w:val="white"/>
        </w:rPr>
        <w:t xml:space="preserve">За рахунок такої слабкої сторони як недостатня кількість реклами в поєднанні з ринковою можливістю збільшення попиту може призвести до маркетингової загрози – </w:t>
      </w:r>
      <w:r>
        <w:rPr>
          <w:i/>
          <w:highlight w:val="white"/>
        </w:rPr>
        <w:t>зменшення частки ринку підпр</w:t>
      </w:r>
      <w:r>
        <w:rPr>
          <w:i/>
          <w:highlight w:val="white"/>
        </w:rPr>
        <w:t>иємства</w:t>
      </w:r>
      <w:r>
        <w:rPr>
          <w:highlight w:val="white"/>
        </w:rPr>
        <w:t>.</w:t>
      </w:r>
    </w:p>
    <w:p w:rsidR="001E0A2A" w:rsidRDefault="00E079B6">
      <w:pPr>
        <w:rPr>
          <w:highlight w:val="white"/>
        </w:rPr>
      </w:pPr>
      <w:r>
        <w:rPr>
          <w:highlight w:val="white"/>
        </w:rPr>
        <w:t xml:space="preserve">Такі ринкові загрози як нестабільна економічна ситуація та зміни у законодавстві можуть нівелювати таку сильну сторону як ефективне управління та призвести до маркетингової загрози – </w:t>
      </w:r>
      <w:r>
        <w:rPr>
          <w:i/>
          <w:highlight w:val="white"/>
        </w:rPr>
        <w:t>втрати антикрихкості та криза в менеджменті</w:t>
      </w:r>
      <w:r>
        <w:rPr>
          <w:highlight w:val="white"/>
        </w:rPr>
        <w:t xml:space="preserve">. </w:t>
      </w:r>
    </w:p>
    <w:p w:rsidR="001E0A2A" w:rsidRDefault="00E079B6">
      <w:pPr>
        <w:rPr>
          <w:highlight w:val="white"/>
        </w:rPr>
      </w:pPr>
      <w:r>
        <w:rPr>
          <w:highlight w:val="white"/>
        </w:rPr>
        <w:t>Такі сильні сторон</w:t>
      </w:r>
      <w:r>
        <w:rPr>
          <w:highlight w:val="white"/>
        </w:rPr>
        <w:t xml:space="preserve">и як зручне розташування, висока якість медичних послуг та наявність партнерств зможуть нівелювати ринкову загрозу зростаючої конкуренції та дають маркетингову можливість – </w:t>
      </w:r>
      <w:r>
        <w:rPr>
          <w:i/>
          <w:highlight w:val="white"/>
        </w:rPr>
        <w:t>збільшення лояльності споживачів</w:t>
      </w:r>
      <w:r>
        <w:rPr>
          <w:highlight w:val="white"/>
        </w:rPr>
        <w:t xml:space="preserve">. </w:t>
      </w:r>
    </w:p>
    <w:p w:rsidR="001E0A2A" w:rsidRDefault="00E079B6">
      <w:pPr>
        <w:rPr>
          <w:i/>
          <w:highlight w:val="white"/>
        </w:rPr>
      </w:pPr>
      <w:r>
        <w:rPr>
          <w:highlight w:val="white"/>
        </w:rPr>
        <w:t xml:space="preserve">Такі сильні сторони як ефективне управління та висока щира лояльність зможуть нівелювати ринкову загрозу змін у вподобаннях та попиті і дадуть ринкову можливість – </w:t>
      </w:r>
      <w:r>
        <w:rPr>
          <w:i/>
          <w:highlight w:val="white"/>
        </w:rPr>
        <w:t>збільшення обсягів продажів на основі ефекту досвіду.</w:t>
      </w:r>
    </w:p>
    <w:p w:rsidR="001E0A2A" w:rsidRDefault="00E079B6">
      <w:pPr>
        <w:rPr>
          <w:highlight w:val="white"/>
        </w:rPr>
      </w:pPr>
      <w:r>
        <w:rPr>
          <w:highlight w:val="white"/>
        </w:rPr>
        <w:t xml:space="preserve">Такі сильні сторони як широкий спектр </w:t>
      </w:r>
      <w:r>
        <w:rPr>
          <w:highlight w:val="white"/>
        </w:rPr>
        <w:t xml:space="preserve">медичних послуг та збалансований портфель товарів зможуть нівелювати такі ринкові загрози як зростаюча конкуренція та зміни у вподобаннях та попиті, що створює маркетингову можливість – </w:t>
      </w:r>
      <w:r>
        <w:rPr>
          <w:i/>
          <w:highlight w:val="white"/>
        </w:rPr>
        <w:t>збільшення частки ринку</w:t>
      </w:r>
      <w:r>
        <w:rPr>
          <w:highlight w:val="white"/>
        </w:rPr>
        <w:t xml:space="preserve">. </w:t>
      </w:r>
    </w:p>
    <w:p w:rsidR="001E0A2A" w:rsidRDefault="00E079B6">
      <w:pPr>
        <w:rPr>
          <w:highlight w:val="white"/>
        </w:rPr>
      </w:pPr>
      <w:r>
        <w:rPr>
          <w:highlight w:val="white"/>
        </w:rPr>
        <w:t>Отже, сформуємо кінцевий список Маркетингови</w:t>
      </w:r>
      <w:r>
        <w:rPr>
          <w:highlight w:val="white"/>
        </w:rPr>
        <w:t>х Можливостей:</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Збільшення відомості бренду.</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Розширення обсягу медичних послуг.</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Розширення асортименту послуг.</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Збільшення лояльності споживачів.</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Стратегія ціноутворення орієнтована для сегменту споживачів з достатком вище середнього.</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Економія ресурсів для залучення нових клієнтів.</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t>Збільшення частки ринку.</w:t>
      </w:r>
    </w:p>
    <w:p w:rsidR="001E0A2A" w:rsidRDefault="00E079B6">
      <w:pPr>
        <w:numPr>
          <w:ilvl w:val="0"/>
          <w:numId w:val="2"/>
        </w:numPr>
        <w:pBdr>
          <w:top w:val="nil"/>
          <w:left w:val="nil"/>
          <w:bottom w:val="nil"/>
          <w:right w:val="nil"/>
          <w:between w:val="nil"/>
        </w:pBdr>
        <w:ind w:left="0" w:firstLine="720"/>
        <w:rPr>
          <w:color w:val="000000"/>
          <w:highlight w:val="white"/>
        </w:rPr>
      </w:pPr>
      <w:r>
        <w:rPr>
          <w:color w:val="000000"/>
          <w:highlight w:val="white"/>
        </w:rPr>
        <w:lastRenderedPageBreak/>
        <w:t>Збільшення обсягів продажів на основі ефекту досвіду.</w:t>
      </w:r>
    </w:p>
    <w:p w:rsidR="001E0A2A" w:rsidRDefault="00E079B6">
      <w:pPr>
        <w:rPr>
          <w:highlight w:val="white"/>
        </w:rPr>
      </w:pPr>
      <w:r>
        <w:rPr>
          <w:highlight w:val="white"/>
        </w:rPr>
        <w:t>Кінцевий список Маркетингових Загроз складається з:</w:t>
      </w:r>
    </w:p>
    <w:p w:rsidR="001E0A2A" w:rsidRDefault="00E079B6">
      <w:pPr>
        <w:numPr>
          <w:ilvl w:val="0"/>
          <w:numId w:val="22"/>
        </w:numPr>
        <w:pBdr>
          <w:top w:val="nil"/>
          <w:left w:val="nil"/>
          <w:bottom w:val="nil"/>
          <w:right w:val="nil"/>
          <w:between w:val="nil"/>
        </w:pBdr>
        <w:rPr>
          <w:color w:val="000000"/>
          <w:highlight w:val="white"/>
        </w:rPr>
      </w:pPr>
      <w:r>
        <w:rPr>
          <w:color w:val="000000"/>
          <w:highlight w:val="white"/>
        </w:rPr>
        <w:t>Зменшення лояльності споживачів.</w:t>
      </w:r>
    </w:p>
    <w:p w:rsidR="001E0A2A" w:rsidRDefault="00E079B6">
      <w:pPr>
        <w:numPr>
          <w:ilvl w:val="0"/>
          <w:numId w:val="22"/>
        </w:numPr>
        <w:pBdr>
          <w:top w:val="nil"/>
          <w:left w:val="nil"/>
          <w:bottom w:val="nil"/>
          <w:right w:val="nil"/>
          <w:between w:val="nil"/>
        </w:pBdr>
        <w:rPr>
          <w:color w:val="000000"/>
          <w:highlight w:val="white"/>
        </w:rPr>
      </w:pPr>
      <w:r>
        <w:rPr>
          <w:color w:val="000000"/>
          <w:highlight w:val="white"/>
        </w:rPr>
        <w:t>Зменшення прибутковості підприємства.</w:t>
      </w:r>
    </w:p>
    <w:p w:rsidR="001E0A2A" w:rsidRDefault="00E079B6">
      <w:pPr>
        <w:numPr>
          <w:ilvl w:val="0"/>
          <w:numId w:val="22"/>
        </w:numPr>
        <w:pBdr>
          <w:top w:val="nil"/>
          <w:left w:val="nil"/>
          <w:bottom w:val="nil"/>
          <w:right w:val="nil"/>
          <w:between w:val="nil"/>
        </w:pBdr>
        <w:rPr>
          <w:color w:val="000000"/>
          <w:highlight w:val="white"/>
        </w:rPr>
      </w:pPr>
      <w:r>
        <w:rPr>
          <w:color w:val="000000"/>
          <w:highlight w:val="white"/>
        </w:rPr>
        <w:t>Втрата</w:t>
      </w:r>
      <w:r>
        <w:rPr>
          <w:color w:val="000000"/>
          <w:highlight w:val="white"/>
        </w:rPr>
        <w:t xml:space="preserve"> внутрішньої лояльності.</w:t>
      </w:r>
    </w:p>
    <w:p w:rsidR="001E0A2A" w:rsidRDefault="00E079B6">
      <w:pPr>
        <w:numPr>
          <w:ilvl w:val="0"/>
          <w:numId w:val="22"/>
        </w:numPr>
        <w:pBdr>
          <w:top w:val="nil"/>
          <w:left w:val="nil"/>
          <w:bottom w:val="nil"/>
          <w:right w:val="nil"/>
          <w:between w:val="nil"/>
        </w:pBdr>
        <w:rPr>
          <w:color w:val="000000"/>
          <w:highlight w:val="white"/>
        </w:rPr>
      </w:pPr>
      <w:r>
        <w:rPr>
          <w:color w:val="000000"/>
          <w:highlight w:val="white"/>
        </w:rPr>
        <w:t>Зменшення частки ринку.</w:t>
      </w:r>
    </w:p>
    <w:p w:rsidR="001E0A2A" w:rsidRDefault="00E079B6">
      <w:pPr>
        <w:numPr>
          <w:ilvl w:val="0"/>
          <w:numId w:val="22"/>
        </w:numPr>
        <w:pBdr>
          <w:top w:val="nil"/>
          <w:left w:val="nil"/>
          <w:bottom w:val="nil"/>
          <w:right w:val="nil"/>
          <w:between w:val="nil"/>
        </w:pBdr>
        <w:rPr>
          <w:color w:val="000000"/>
          <w:highlight w:val="white"/>
        </w:rPr>
      </w:pPr>
      <w:r>
        <w:rPr>
          <w:color w:val="000000"/>
          <w:highlight w:val="white"/>
        </w:rPr>
        <w:t>Втрата антикрихкості.</w:t>
      </w:r>
    </w:p>
    <w:p w:rsidR="001E0A2A" w:rsidRDefault="00E079B6">
      <w:pPr>
        <w:numPr>
          <w:ilvl w:val="0"/>
          <w:numId w:val="22"/>
        </w:numPr>
        <w:pBdr>
          <w:top w:val="nil"/>
          <w:left w:val="nil"/>
          <w:bottom w:val="nil"/>
          <w:right w:val="nil"/>
          <w:between w:val="nil"/>
        </w:pBdr>
        <w:rPr>
          <w:color w:val="000000"/>
          <w:highlight w:val="white"/>
        </w:rPr>
      </w:pPr>
      <w:r>
        <w:rPr>
          <w:color w:val="000000"/>
          <w:highlight w:val="white"/>
        </w:rPr>
        <w:t>Криза у менеджменті.</w:t>
      </w:r>
    </w:p>
    <w:p w:rsidR="001E0A2A" w:rsidRDefault="00E079B6">
      <w:r>
        <w:t>Отже, сформувавши кінцевий список маркетингових можливостей та загроз, можна зробити висновок щодо перспектив розвитку та потенційних ризиків для медичного центру «Mediland». Маркетингові можливості створюють сприятливі умови для зростання та зміцнення поз</w:t>
      </w:r>
      <w:r>
        <w:t>ицій на ринку естетичної медицини. Вони охоплюють такі аспекти, як підвищення впізнаваності бренду, розширення спектру послуг, збільшення лояльності споживачів, а також ефективне використання ресурсів для залучення нових клієнтів та збільшення частки ринку</w:t>
      </w:r>
      <w:r>
        <w:t>.</w:t>
      </w:r>
    </w:p>
    <w:p w:rsidR="001E0A2A" w:rsidRDefault="00E079B6">
      <w:r>
        <w:t>З іншого боку, маркетингові загрози вказують на потенційні виклики, з якими може зіткнутися компанія. Вони можуть негативно вплинути на лояльність споживачів, прибутковість підприємства та управління. Для ефективного розвитку «Mediland» необхідно активно</w:t>
      </w:r>
      <w:r>
        <w:t xml:space="preserve"> використовувати наявні можливості, впроваджуючи інноваційні стратегії та технології, одночасно розробляючи плани для мінімізації та управління загрозами. Такий підхід дозволить забезпечити стабільне зростання, підвищення конкурентоспроможності та довгостр</w:t>
      </w:r>
      <w:r>
        <w:t>оковий успіх на ринку.</w:t>
      </w:r>
    </w:p>
    <w:p w:rsidR="001E0A2A" w:rsidRDefault="00E079B6">
      <w:r>
        <w:t>Компанія, яка діє на ринку естетичної медицини, стикається з низкою складнощів, які потребують вирішення для успішного розвитку компанії. Основні симптоми цих проблем вказують на необхідність комплексного підходу до вдосконалення мар</w:t>
      </w:r>
      <w:r>
        <w:t>кетингової діяльності.</w:t>
      </w:r>
    </w:p>
    <w:p w:rsidR="001E0A2A" w:rsidRDefault="00E079B6">
      <w:r>
        <w:t>Перш за все, велика конкуренція на ринку естетичної медицини створює значний тиск на компанію. Постійна поява нових конкурентів, які активно застосовують агресивні маркетингові стратегії, ускладнює виділення унікальної пропозиції сер</w:t>
      </w:r>
      <w:r>
        <w:t xml:space="preserve">ед аналогічних послуг. Це призводить до зниження частки ринку </w:t>
      </w:r>
      <w:r>
        <w:lastRenderedPageBreak/>
        <w:t>компанії, адже клієнти часто обирають альтернативні пропозиції, які можуть здаватися більш привабливими через акції чи знижки.</w:t>
      </w:r>
    </w:p>
    <w:p w:rsidR="001E0A2A" w:rsidRDefault="00E079B6">
      <w:r>
        <w:t xml:space="preserve">Зменшення кількості лояльних клієнтів також є серйозною проблемою. </w:t>
      </w:r>
      <w:r>
        <w:t>Клієнти рідше повертаються для повторних процедур, що може бути спричинено негативними відгуками або навіть відсутністю відгуків після надання послуг. Перехід клієнтів до конкурентів свідчить про недостатню роботу зі збереження їхньої лояльності.</w:t>
      </w:r>
    </w:p>
    <w:p w:rsidR="001E0A2A" w:rsidRDefault="00E079B6">
      <w:r>
        <w:t>Додаткови</w:t>
      </w:r>
      <w:r>
        <w:t>м викликом є від’їзд за кордон потенційних клієнтів. Збільшення кількості запитів щодо можливості отримання аналогічних послуг за кордоном, а також відтік постійних клієнтів, які мігрують або тимчасово виїжджають, ускладнює стабільне підтримання клієнтсько</w:t>
      </w:r>
      <w:r>
        <w:t>ї бази. Це може бути пов'язано як з війною в Україні, так і з економічними факторами.</w:t>
      </w:r>
    </w:p>
    <w:p w:rsidR="001E0A2A" w:rsidRDefault="00E079B6">
      <w:r>
        <w:t xml:space="preserve">Складність інформування споживачів щодо подальшої підтримки стану здоров’я після отримання послуг вказує на недоліки у комунікаційній стратегії компанії. Багато клієнтів </w:t>
      </w:r>
      <w:r>
        <w:t>не володіють достатньою інформацією про необхідні процедури та догляд після основних послуг, що призводить до недостатньої залученості до програм лояльності та повторних звернень.</w:t>
      </w:r>
    </w:p>
    <w:p w:rsidR="001E0A2A" w:rsidRDefault="00E079B6">
      <w:r>
        <w:t>Низька активність в соціальних медіа є ще одним симптомом проблем у маркетин</w:t>
      </w:r>
      <w:r>
        <w:t>гових комунікаціях. Мала кількість підписників, низький рівень взаємодії з контентом (вподобання, коментарі, поширення), однаковий повторюваний контент у всіх соціальних мережах свідчать про недостатню увагу до цього каналу комунікації. Це призводить до ни</w:t>
      </w:r>
      <w:r>
        <w:t xml:space="preserve">зького рівня взаємодії з аудиторією і недостатньої залученості потенційних клієнтів. Падіння доходів підприємства з 2021 року також вказує на необхідність перегляду маркетингової стратегії. </w:t>
      </w:r>
    </w:p>
    <w:p w:rsidR="001E0A2A" w:rsidRDefault="00E079B6">
      <w:r>
        <w:t>Незважаючи на всі ці труднощі, компанія має бажання розвивати від</w:t>
      </w:r>
      <w:r>
        <w:t>ділення естетичної медицини. Планування розширення спектру послуг або відкриття нових напрямів вимагає вдосконалення комунікаційних процесів та наявності чіткої стратегії. Відсутність такого плану може призвести до недостатньої підтримки клієнтів та невдал</w:t>
      </w:r>
      <w:r>
        <w:t xml:space="preserve">их інновацій. Отже, аналіз симптомів маркетингової управлінської проблеми показує, що компанія має суттєві недоліки в </w:t>
      </w:r>
      <w:r>
        <w:lastRenderedPageBreak/>
        <w:t xml:space="preserve">комунікаційній стратегії, що впливає на її конкурентоспроможність та фінансові результати. </w:t>
      </w:r>
    </w:p>
    <w:p w:rsidR="001E0A2A" w:rsidRDefault="00E079B6">
      <w:pPr>
        <w:spacing w:line="336" w:lineRule="auto"/>
      </w:pPr>
      <w:r>
        <w:t>В загальному розумінні маркетингова управлінсь</w:t>
      </w:r>
      <w:r>
        <w:t>ка проблема  – розуміння того, який наступний крок в управлінні компанією, досягненні її ринкових результатів, необхідно зробити для її розвитку. Тож сформуємо список з симптоматикою та визначимо маркетингову управлінську проблему.</w:t>
      </w:r>
    </w:p>
    <w:p w:rsidR="001E0A2A" w:rsidRDefault="00E079B6">
      <w:pPr>
        <w:widowControl w:val="0"/>
        <w:pBdr>
          <w:top w:val="nil"/>
          <w:left w:val="nil"/>
          <w:bottom w:val="nil"/>
          <w:right w:val="nil"/>
          <w:between w:val="nil"/>
        </w:pBdr>
        <w:spacing w:line="336" w:lineRule="auto"/>
        <w:rPr>
          <w:color w:val="000000"/>
        </w:rPr>
      </w:pPr>
      <w:r>
        <w:rPr>
          <w:color w:val="000000"/>
        </w:rPr>
        <w:t>Симптоми проблеми:</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велика конкуренція на ринку естетичної медицини;</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зменшення кількості лояльних клієнтів;</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від’їзд за кордон потенційних клієнтів;</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складність інформування споживачів щодо подальшої підтримки стану здоров’я після отримання послуг;</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низька активність в соціальни</w:t>
      </w:r>
      <w:r>
        <w:rPr>
          <w:color w:val="000000"/>
          <w:highlight w:val="white"/>
        </w:rPr>
        <w:t>х медіа;</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падіння доходів з 2021 р.;</w:t>
      </w:r>
    </w:p>
    <w:p w:rsidR="001E0A2A" w:rsidRDefault="00E079B6">
      <w:pPr>
        <w:widowControl w:val="0"/>
        <w:numPr>
          <w:ilvl w:val="0"/>
          <w:numId w:val="33"/>
        </w:numPr>
        <w:pBdr>
          <w:top w:val="nil"/>
          <w:left w:val="nil"/>
          <w:bottom w:val="nil"/>
          <w:right w:val="nil"/>
          <w:between w:val="nil"/>
        </w:pBdr>
        <w:spacing w:line="336" w:lineRule="auto"/>
        <w:ind w:left="709" w:hanging="709"/>
        <w:rPr>
          <w:color w:val="000000"/>
          <w:highlight w:val="white"/>
        </w:rPr>
      </w:pPr>
      <w:r>
        <w:rPr>
          <w:color w:val="000000"/>
          <w:highlight w:val="white"/>
        </w:rPr>
        <w:t>бажання розвивати відділення естетичної медицини.</w:t>
      </w:r>
    </w:p>
    <w:p w:rsidR="001E0A2A" w:rsidRDefault="00E079B6">
      <w:r>
        <w:rPr>
          <w:i/>
        </w:rPr>
        <w:t xml:space="preserve">Маркетингова управлінська проблема – </w:t>
      </w:r>
      <w:r>
        <w:t>розвиток комунікацій компанії на ринку естетичної медицини.</w:t>
      </w:r>
    </w:p>
    <w:p w:rsidR="001E0A2A" w:rsidRDefault="001E0A2A">
      <w:pPr>
        <w:widowControl w:val="0"/>
        <w:pBdr>
          <w:top w:val="nil"/>
          <w:left w:val="nil"/>
          <w:bottom w:val="nil"/>
          <w:right w:val="nil"/>
          <w:between w:val="nil"/>
        </w:pBdr>
        <w:ind w:left="1080" w:firstLine="0"/>
        <w:rPr>
          <w:color w:val="000000"/>
        </w:rPr>
      </w:pPr>
    </w:p>
    <w:p w:rsidR="001E0A2A" w:rsidRDefault="00E079B6">
      <w:pPr>
        <w:pStyle w:val="2"/>
      </w:pPr>
      <w:bookmarkStart w:id="7" w:name="_heading=h.3dy6vkm" w:colFirst="0" w:colLast="0"/>
      <w:bookmarkEnd w:id="7"/>
      <w:r>
        <w:t>Висновки до розділу 1</w:t>
      </w:r>
    </w:p>
    <w:p w:rsidR="001E0A2A" w:rsidRDefault="001E0A2A"/>
    <w:p w:rsidR="001E0A2A" w:rsidRDefault="00E079B6">
      <w:r>
        <w:t>Під час аналізу можливостей та потенційних загроз для МЦ «Mediland» виявлено декілька ключових аспектів. Серед сильних сторін можна відзначити високу щиру лояльності клієнтів та широкий спектр медичних послуг, які надаються центром. Ці фактори сприяють під</w:t>
      </w:r>
      <w:r>
        <w:t>вищенню репутації підприємства та його конкурентоспроможності на ринку. Проте, аналіз також виявив деякі слабкі сторони. Наша відсутність мережі філій може обмежувати доступ клієнтів до наших послуг у різних місцях, що може вплинути на наш потенційний обся</w:t>
      </w:r>
      <w:r>
        <w:t xml:space="preserve">г клієнтської бази. </w:t>
      </w:r>
    </w:p>
    <w:p w:rsidR="001E0A2A" w:rsidRDefault="00E079B6">
      <w:r>
        <w:t xml:space="preserve">Окрім цього, в аналізі було виявлено кілька ключових факторів макросередовища, що впливають на нашу діяльність. Ці фактори включають </w:t>
      </w:r>
      <w:r>
        <w:lastRenderedPageBreak/>
        <w:t xml:space="preserve">економічні тенденції, політичні регуляції, технологічні зміни та соціокультурні тенденції, які можуть </w:t>
      </w:r>
      <w:r>
        <w:t>створювати як можливості, так і загрози для нашого бізнесу.</w:t>
      </w:r>
    </w:p>
    <w:p w:rsidR="001E0A2A" w:rsidRDefault="00E079B6">
      <w:pPr>
        <w:spacing w:line="348" w:lineRule="auto"/>
      </w:pPr>
      <w:r>
        <w:t>Найвпливовішими можливостями є використання цифрових технологій для розширення обсягу послуг і можливість партнерства з медичними страховими компаніями для розширення бази клієнтів та забезпечення</w:t>
      </w:r>
      <w:r>
        <w:t xml:space="preserve"> фінансової стабільності медичного центру. Із найвпливовіших загроз можна виділити зростаючу конкуренцію на ринку медичних послуг та нестабільну економічну ситуацію, що впливає на зміни у законодавстві. Якщо зосередиться на ринку естетичної медицини, то ви</w:t>
      </w:r>
      <w:r>
        <w:t>користання цифрових технологій (ІТ додатку) допоможе нам підлаштуватися під зміни у споживчих вподобаннях та виділитися серед конкурентів на ринку.</w:t>
      </w:r>
    </w:p>
    <w:p w:rsidR="001E0A2A" w:rsidRDefault="00E079B6">
      <w:pPr>
        <w:spacing w:line="348" w:lineRule="auto"/>
      </w:pPr>
      <w:r>
        <w:t>Зважаючи на виявлені фактори, головною маркетинговою управлінською проблемою, яка виникає, є розвиток комуні</w:t>
      </w:r>
      <w:r>
        <w:t>кацій компанії на ринку естетичної медицини. Для досягнення цієї цілі потрібно провести додаткове маркетингове дослідження.</w:t>
      </w:r>
      <w:r>
        <w:br w:type="page"/>
      </w:r>
    </w:p>
    <w:p w:rsidR="001E0A2A" w:rsidRDefault="00E079B6">
      <w:pPr>
        <w:pStyle w:val="1"/>
        <w:spacing w:before="0"/>
      </w:pPr>
      <w:bookmarkStart w:id="8" w:name="_heading=h.1t3h5sf" w:colFirst="0" w:colLast="0"/>
      <w:bookmarkEnd w:id="8"/>
      <w:r>
        <w:lastRenderedPageBreak/>
        <w:t>Розділ 2 Планування маркетингового дослідження</w:t>
      </w:r>
    </w:p>
    <w:p w:rsidR="001E0A2A" w:rsidRDefault="001E0A2A"/>
    <w:p w:rsidR="001E0A2A" w:rsidRDefault="00E079B6">
      <w:pPr>
        <w:pStyle w:val="2"/>
      </w:pPr>
      <w:bookmarkStart w:id="9" w:name="_heading=h.4d34og8" w:colFirst="0" w:colLast="0"/>
      <w:bookmarkEnd w:id="9"/>
      <w:r>
        <w:t>2.1 Вибір підходу до вирішення маркетингової управлінської проблеми</w:t>
      </w:r>
    </w:p>
    <w:p w:rsidR="001E0A2A" w:rsidRDefault="001E0A2A"/>
    <w:p w:rsidR="001E0A2A" w:rsidRDefault="00E079B6">
      <w:r>
        <w:t>В цьому підрозділі проаналізуємо теоретичні підходи до вирішення маркетингової управлінської проблеми з розвитку комунікаційної політики медичного центру. Зокрема, розглянемо моделі та стратегії, які можуть бути застосовані для покращення комунікацій з клі</w:t>
      </w:r>
      <w:r>
        <w:t>єнтами, підвищення їх лояльності та залучення нових пацієнтів.</w:t>
      </w:r>
    </w:p>
    <w:p w:rsidR="001E0A2A" w:rsidRDefault="00E079B6">
      <w:r>
        <w:t>В рамках аналізу теоретичних підходів до вирішення маркетингової управлінської проблеми з розвитку комунікаційної політики медичного центру, важливо врахувати різноманітні аспекти, які впливают</w:t>
      </w:r>
      <w:r>
        <w:t>ь на взаємодію з клієнтами та формування їх ставлення до підприємства. Це включає в себе не лише використання моделей та стратегій, спрямованих на підвищення лояльності та залучення нових пацієнтів, але й аналіз тенденцій розвитку комунікаційних технологій</w:t>
      </w:r>
      <w:r>
        <w:t>, зміни у споживчих підходах та попередніх досвідів використання маркетингових інструментів. Розуміння цих аспектів дозволить розробити більш ефективні стратегії спілкування з аудиторією та виявити потенційні можливості для підвищення ефективності комуніка</w:t>
      </w:r>
      <w:r>
        <w:t>ційної політики медичного центру.</w:t>
      </w:r>
    </w:p>
    <w:p w:rsidR="001E0A2A" w:rsidRDefault="00E079B6">
      <w:r>
        <w:t xml:space="preserve">Для успішної реалізації своїх стратегічних цілей на ринку, компанії необхідно створити ефективну стратегію функціонування, яка враховує ключові аспекти маркетингу при управлінні організацією. Особливу увагу слід приділити </w:t>
      </w:r>
      <w:r>
        <w:t>маркетинговій комунікаційній політиці, оскільки вона є важливою складовою системи управління підприємства. З цією метою, автор пропонує виконати морфологічний аналіз даної концепції, що дозволить розкрити її сутність та потенційні можливості в контексті су</w:t>
      </w:r>
      <w:r>
        <w:t>часних умов бізнесу (рис. 2.1).</w:t>
      </w:r>
    </w:p>
    <w:p w:rsidR="001E0A2A" w:rsidRDefault="001E0A2A">
      <w:pPr>
        <w:ind w:firstLine="0"/>
        <w:jc w:val="center"/>
      </w:pPr>
    </w:p>
    <w:p w:rsidR="001E0A2A" w:rsidRDefault="00E079B6">
      <w:pPr>
        <w:ind w:firstLine="0"/>
        <w:jc w:val="center"/>
      </w:pPr>
      <w:r>
        <w:rPr>
          <w:noProof/>
          <w:lang w:val="en-US"/>
        </w:rPr>
        <w:lastRenderedPageBreak/>
        <mc:AlternateContent>
          <mc:Choice Requires="wpg">
            <w:drawing>
              <wp:anchor distT="0" distB="0" distL="114300" distR="114300" simplePos="0" relativeHeight="251661312" behindDoc="0" locked="0" layoutInCell="1" hidden="0" allowOverlap="1">
                <wp:simplePos x="0" y="0"/>
                <wp:positionH relativeFrom="page">
                  <wp:posOffset>790575</wp:posOffset>
                </wp:positionH>
                <wp:positionV relativeFrom="page">
                  <wp:posOffset>1055370</wp:posOffset>
                </wp:positionV>
                <wp:extent cx="6492875" cy="7112000"/>
                <wp:effectExtent l="0" t="0" r="0" b="0"/>
                <wp:wrapTopAndBottom distT="0" distB="0"/>
                <wp:docPr id="186" name="Группа 186"/>
                <wp:cNvGraphicFramePr/>
                <a:graphic xmlns:a="http://schemas.openxmlformats.org/drawingml/2006/main">
                  <a:graphicData uri="http://schemas.microsoft.com/office/word/2010/wordprocessingGroup">
                    <wpg:wgp>
                      <wpg:cNvGrpSpPr/>
                      <wpg:grpSpPr>
                        <a:xfrm>
                          <a:off x="0" y="0"/>
                          <a:ext cx="6492875" cy="7112000"/>
                          <a:chOff x="2099550" y="217625"/>
                          <a:chExt cx="6492900" cy="7118375"/>
                        </a:xfrm>
                      </wpg:grpSpPr>
                      <wpg:grpSp>
                        <wpg:cNvPr id="1" name="Группа 1"/>
                        <wpg:cNvGrpSpPr/>
                        <wpg:grpSpPr>
                          <a:xfrm>
                            <a:off x="2099563" y="224000"/>
                            <a:ext cx="6492875" cy="7112000"/>
                            <a:chOff x="0" y="-1"/>
                            <a:chExt cx="6493510" cy="5393056"/>
                          </a:xfrm>
                        </wpg:grpSpPr>
                        <wps:wsp>
                          <wps:cNvPr id="2" name="Прямоугольник 2"/>
                          <wps:cNvSpPr/>
                          <wps:spPr>
                            <a:xfrm>
                              <a:off x="0" y="-1"/>
                              <a:ext cx="6493500" cy="5393050"/>
                            </a:xfrm>
                            <a:prstGeom prst="rect">
                              <a:avLst/>
                            </a:prstGeom>
                            <a:noFill/>
                            <a:ln>
                              <a:noFill/>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wps:wsp>
                          <wps:cNvPr id="3" name="Прямоугольник 3"/>
                          <wps:cNvSpPr/>
                          <wps:spPr>
                            <a:xfrm>
                              <a:off x="0" y="0"/>
                              <a:ext cx="6493510" cy="5393055"/>
                            </a:xfrm>
                            <a:prstGeom prst="rect">
                              <a:avLst/>
                            </a:prstGeom>
                            <a:solidFill>
                              <a:schemeClr val="lt1"/>
                            </a:solidFill>
                            <a:ln>
                              <a:noFill/>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wps:wsp>
                          <wps:cNvPr id="4" name="Прямоугольник 4"/>
                          <wps:cNvSpPr/>
                          <wps:spPr>
                            <a:xfrm>
                              <a:off x="12701" y="8468"/>
                              <a:ext cx="2298699" cy="1735666"/>
                            </a:xfrm>
                            <a:prstGeom prst="rect">
                              <a:avLst/>
                            </a:prstGeom>
                            <a:solidFill>
                              <a:schemeClr val="lt1"/>
                            </a:solidFill>
                            <a:ln w="12700" cap="flat" cmpd="sng">
                              <a:solidFill>
                                <a:schemeClr val="accent3"/>
                              </a:solidFill>
                              <a:prstDash val="solid"/>
                              <a:miter lim="800000"/>
                              <a:headEnd type="none" w="sm" len="sm"/>
                              <a:tailEnd type="none" w="sm" len="sm"/>
                            </a:ln>
                          </wps:spPr>
                          <wps:txbx>
                            <w:txbxContent>
                              <w:p w:rsidR="001E0A2A" w:rsidRDefault="00E079B6">
                                <w:pPr>
                                  <w:spacing w:line="275" w:lineRule="auto"/>
                                  <w:ind w:firstLine="0"/>
                                  <w:textDirection w:val="btLr"/>
                                </w:pPr>
                                <w:r>
                                  <w:rPr>
                                    <w:color w:val="000000"/>
                                  </w:rPr>
                                  <w:t>Політика – визначена програма або напрямок діяльності, сукупність засобів та методів для реалізації певних інтересів задля досягнення визначених цілей в певному соціальному середовищі [25].</w:t>
                                </w:r>
                              </w:p>
                            </w:txbxContent>
                          </wps:txbx>
                          <wps:bodyPr spcFirstLastPara="1" wrap="square" lIns="91425" tIns="45700" rIns="91425" bIns="45700" anchor="t" anchorCtr="0">
                            <a:noAutofit/>
                          </wps:bodyPr>
                        </wps:wsp>
                        <wps:wsp>
                          <wps:cNvPr id="5" name="Прямоугольник 5"/>
                          <wps:cNvSpPr/>
                          <wps:spPr>
                            <a:xfrm>
                              <a:off x="2472266" y="8467"/>
                              <a:ext cx="1701165" cy="1727200"/>
                            </a:xfrm>
                            <a:prstGeom prst="rect">
                              <a:avLst/>
                            </a:prstGeom>
                            <a:solidFill>
                              <a:schemeClr val="lt1"/>
                            </a:solidFill>
                            <a:ln w="12700" cap="flat" cmpd="sng">
                              <a:solidFill>
                                <a:schemeClr val="accent3"/>
                              </a:solidFill>
                              <a:prstDash val="solid"/>
                              <a:miter lim="800000"/>
                              <a:headEnd type="none" w="sm" len="sm"/>
                              <a:tailEnd type="none" w="sm" len="sm"/>
                            </a:ln>
                          </wps:spPr>
                          <wps:txbx>
                            <w:txbxContent>
                              <w:p w:rsidR="001E0A2A" w:rsidRDefault="00E079B6">
                                <w:pPr>
                                  <w:spacing w:line="275" w:lineRule="auto"/>
                                  <w:ind w:firstLine="0"/>
                                  <w:textDirection w:val="btLr"/>
                                </w:pPr>
                                <w:r>
                                  <w:rPr>
                                    <w:color w:val="000000"/>
                                  </w:rPr>
                                  <w:t>Маркетинг – це діяльні</w:t>
                                </w:r>
                                <w:r>
                                  <w:rPr>
                                    <w:color w:val="000000"/>
                                  </w:rPr>
                                  <w:t>сть, спрямована на створення попиту та досягнення цілей підприємства через максимальне задоволення потреб споживачів [26].</w:t>
                                </w:r>
                              </w:p>
                            </w:txbxContent>
                          </wps:txbx>
                          <wps:bodyPr spcFirstLastPara="1" wrap="square" lIns="91425" tIns="45700" rIns="91425" bIns="45700" anchor="t" anchorCtr="0">
                            <a:noAutofit/>
                          </wps:bodyPr>
                        </wps:wsp>
                        <wps:wsp>
                          <wps:cNvPr id="6" name="Прямоугольник 6"/>
                          <wps:cNvSpPr/>
                          <wps:spPr>
                            <a:xfrm>
                              <a:off x="4343821" y="-1"/>
                              <a:ext cx="2056964" cy="1735667"/>
                            </a:xfrm>
                            <a:prstGeom prst="rect">
                              <a:avLst/>
                            </a:prstGeom>
                            <a:solidFill>
                              <a:schemeClr val="lt1"/>
                            </a:solidFill>
                            <a:ln w="12700" cap="flat" cmpd="sng">
                              <a:solidFill>
                                <a:schemeClr val="accent3"/>
                              </a:solidFill>
                              <a:prstDash val="solid"/>
                              <a:miter lim="800000"/>
                              <a:headEnd type="none" w="sm" len="sm"/>
                              <a:tailEnd type="none" w="sm" len="sm"/>
                            </a:ln>
                          </wps:spPr>
                          <wps:txbx>
                            <w:txbxContent>
                              <w:p w:rsidR="001E0A2A" w:rsidRDefault="00E079B6">
                                <w:pPr>
                                  <w:spacing w:line="275" w:lineRule="auto"/>
                                  <w:ind w:firstLine="0"/>
                                  <w:textDirection w:val="btLr"/>
                                </w:pPr>
                                <w:r>
                                  <w:rPr>
                                    <w:color w:val="000000"/>
                                  </w:rPr>
                                  <w:t>Комунікація – це процес обміну інформацією між двома або більше особами, спілкування за допомогою вербальних і невербальних засобів</w:t>
                                </w:r>
                                <w:r>
                                  <w:rPr>
                                    <w:color w:val="000000"/>
                                  </w:rPr>
                                  <w:t xml:space="preserve"> із метою передавання та одержання інформації [27].</w:t>
                                </w:r>
                              </w:p>
                            </w:txbxContent>
                          </wps:txbx>
                          <wps:bodyPr spcFirstLastPara="1" wrap="square" lIns="91425" tIns="45700" rIns="91425" bIns="45700" anchor="t" anchorCtr="0">
                            <a:noAutofit/>
                          </wps:bodyPr>
                        </wps:wsp>
                        <wps:wsp>
                          <wps:cNvPr id="7" name="Прямоугольник 7"/>
                          <wps:cNvSpPr/>
                          <wps:spPr>
                            <a:xfrm>
                              <a:off x="25403" y="1998134"/>
                              <a:ext cx="2895882" cy="1680700"/>
                            </a:xfrm>
                            <a:prstGeom prst="rect">
                              <a:avLst/>
                            </a:prstGeom>
                            <a:solidFill>
                              <a:schemeClr val="lt1"/>
                            </a:solidFill>
                            <a:ln w="12700" cap="flat" cmpd="sng">
                              <a:solidFill>
                                <a:schemeClr val="accent3"/>
                              </a:solidFill>
                              <a:prstDash val="solid"/>
                              <a:miter lim="800000"/>
                              <a:headEnd type="none" w="sm" len="sm"/>
                              <a:tailEnd type="none" w="sm" len="sm"/>
                            </a:ln>
                          </wps:spPr>
                          <wps:txbx>
                            <w:txbxContent>
                              <w:p w:rsidR="001E0A2A" w:rsidRDefault="00E079B6">
                                <w:pPr>
                                  <w:spacing w:line="275" w:lineRule="auto"/>
                                  <w:ind w:firstLine="0"/>
                                  <w:textDirection w:val="btLr"/>
                                </w:pPr>
                                <w:r>
                                  <w:rPr>
                                    <w:color w:val="000000"/>
                                  </w:rPr>
                                  <w:t>Маркетингова політика – це сукупність стратегій та методів, спрямованих на те, щоб створити попит на продукцію чи послуги компанії та досягти її цілей, шляхом найбільш повного задоволення потреб споживачів в певному соціальному середовищі.</w:t>
                                </w: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txbxContent>
                          </wps:txbx>
                          <wps:bodyPr spcFirstLastPara="1" wrap="square" lIns="91425" tIns="45700" rIns="91425" bIns="45700" anchor="t" anchorCtr="0">
                            <a:noAutofit/>
                          </wps:bodyPr>
                        </wps:wsp>
                        <wps:wsp>
                          <wps:cNvPr id="8" name="Прямоугольник 8"/>
                          <wps:cNvSpPr/>
                          <wps:spPr>
                            <a:xfrm>
                              <a:off x="3099103" y="1989667"/>
                              <a:ext cx="3315025" cy="1679536"/>
                            </a:xfrm>
                            <a:prstGeom prst="rect">
                              <a:avLst/>
                            </a:prstGeom>
                            <a:solidFill>
                              <a:schemeClr val="lt1"/>
                            </a:solidFill>
                            <a:ln w="12700" cap="flat" cmpd="sng">
                              <a:solidFill>
                                <a:schemeClr val="accent3"/>
                              </a:solidFill>
                              <a:prstDash val="solid"/>
                              <a:miter lim="800000"/>
                              <a:headEnd type="none" w="sm" len="sm"/>
                              <a:tailEnd type="none" w="sm" len="sm"/>
                            </a:ln>
                          </wps:spPr>
                          <wps:txbx>
                            <w:txbxContent>
                              <w:p w:rsidR="001E0A2A" w:rsidRDefault="00E079B6">
                                <w:pPr>
                                  <w:spacing w:line="275" w:lineRule="auto"/>
                                  <w:ind w:firstLine="0"/>
                                  <w:textDirection w:val="btLr"/>
                                </w:pPr>
                                <w:r>
                                  <w:rPr>
                                    <w:color w:val="000000"/>
                                  </w:rPr>
                                  <w:t>Маркетин</w:t>
                                </w:r>
                                <w:r>
                                  <w:rPr>
                                    <w:color w:val="000000"/>
                                  </w:rPr>
                                  <w:t>гова комунікація – це стратегічний процес планування та реалізації обміну інформацією між підприємством та його цільовою аудиторією з метою підвищення усвідомленості, формування позитивного уявлення та стимулювання відповідних реакцій споживачів на продукт</w:t>
                                </w:r>
                                <w:r>
                                  <w:rPr>
                                    <w:color w:val="000000"/>
                                  </w:rPr>
                                  <w:t xml:space="preserve"> чи послугу.</w:t>
                                </w: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txbxContent>
                          </wps:txbx>
                          <wps:bodyPr spcFirstLastPara="1" wrap="square" lIns="91425" tIns="45700" rIns="91425" bIns="45700" anchor="t" anchorCtr="0">
                            <a:noAutofit/>
                          </wps:bodyPr>
                        </wps:wsp>
                        <wps:wsp>
                          <wps:cNvPr id="9" name="Прямоугольник 9"/>
                          <wps:cNvSpPr/>
                          <wps:spPr>
                            <a:xfrm>
                              <a:off x="508050" y="3953934"/>
                              <a:ext cx="5527837" cy="1362077"/>
                            </a:xfrm>
                            <a:prstGeom prst="rect">
                              <a:avLst/>
                            </a:prstGeom>
                            <a:solidFill>
                              <a:schemeClr val="lt1"/>
                            </a:solidFill>
                            <a:ln w="12700" cap="flat" cmpd="sng">
                              <a:solidFill>
                                <a:schemeClr val="accent3"/>
                              </a:solidFill>
                              <a:prstDash val="solid"/>
                              <a:miter lim="800000"/>
                              <a:headEnd type="none" w="sm" len="sm"/>
                              <a:tailEnd type="none" w="sm" len="sm"/>
                            </a:ln>
                          </wps:spPr>
                          <wps:txbx>
                            <w:txbxContent>
                              <w:p w:rsidR="001E0A2A" w:rsidRDefault="00E079B6">
                                <w:pPr>
                                  <w:spacing w:line="275" w:lineRule="auto"/>
                                  <w:ind w:firstLine="0"/>
                                  <w:textDirection w:val="btLr"/>
                                </w:pPr>
                                <w:r>
                                  <w:rPr>
                                    <w:color w:val="000000"/>
                                  </w:rPr>
                                  <w:t>Маркетингова комунікаційна політика – це система стратегічних рішень та методів, спрямованих на планування, розробку та впровадження ефективного обміну інформацією між підприємством та його цільовою аудиторією. Ці рішення орієнтов</w:t>
                                </w:r>
                                <w:r>
                                  <w:rPr>
                                    <w:color w:val="000000"/>
                                  </w:rPr>
                                  <w:t>ані на підвищення усвідомленості про продукт чи послугу, формування позитивного уявлення про бренд та стимулювання відповідних реакцій споживачів з метою досягнення маркетингових цілей компанії.</w:t>
                                </w: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p w:rsidR="001E0A2A" w:rsidRDefault="001E0A2A">
                                <w:pPr>
                                  <w:spacing w:line="275" w:lineRule="auto"/>
                                  <w:ind w:firstLine="0"/>
                                  <w:textDirection w:val="btLr"/>
                                </w:pPr>
                              </w:p>
                            </w:txbxContent>
                          </wps:txbx>
                          <wps:bodyPr spcFirstLastPara="1" wrap="square" lIns="91425" tIns="45700" rIns="91425" bIns="45700" anchor="t" anchorCtr="0">
                            <a:noAutofit/>
                          </wps:bodyPr>
                        </wps:wsp>
                        <wps:wsp>
                          <wps:cNvPr id="10" name="Прямая со стрелкой 10"/>
                          <wps:cNvCnPr/>
                          <wps:spPr>
                            <a:xfrm>
                              <a:off x="1244600" y="1735667"/>
                              <a:ext cx="8466" cy="262467"/>
                            </a:xfrm>
                            <a:prstGeom prst="straightConnector1">
                              <a:avLst/>
                            </a:prstGeom>
                            <a:noFill/>
                            <a:ln w="19050" cap="flat" cmpd="sng">
                              <a:solidFill>
                                <a:schemeClr val="accent3"/>
                              </a:solidFill>
                              <a:prstDash val="solid"/>
                              <a:miter lim="800000"/>
                              <a:headEnd type="none" w="sm" len="sm"/>
                              <a:tailEnd type="triangle" w="med" len="med"/>
                            </a:ln>
                          </wps:spPr>
                          <wps:bodyPr/>
                        </wps:wsp>
                        <wps:wsp>
                          <wps:cNvPr id="11" name="Прямая со стрелкой 11"/>
                          <wps:cNvCnPr/>
                          <wps:spPr>
                            <a:xfrm>
                              <a:off x="2692400" y="1727200"/>
                              <a:ext cx="8466" cy="262467"/>
                            </a:xfrm>
                            <a:prstGeom prst="straightConnector1">
                              <a:avLst/>
                            </a:prstGeom>
                            <a:noFill/>
                            <a:ln w="19050" cap="flat" cmpd="sng">
                              <a:solidFill>
                                <a:schemeClr val="accent3"/>
                              </a:solidFill>
                              <a:prstDash val="solid"/>
                              <a:miter lim="800000"/>
                              <a:headEnd type="none" w="sm" len="sm"/>
                              <a:tailEnd type="triangle" w="med" len="med"/>
                            </a:ln>
                          </wps:spPr>
                          <wps:bodyPr/>
                        </wps:wsp>
                        <wps:wsp>
                          <wps:cNvPr id="12" name="Прямая со стрелкой 12"/>
                          <wps:cNvCnPr/>
                          <wps:spPr>
                            <a:xfrm>
                              <a:off x="3733800" y="1744134"/>
                              <a:ext cx="8466" cy="262467"/>
                            </a:xfrm>
                            <a:prstGeom prst="straightConnector1">
                              <a:avLst/>
                            </a:prstGeom>
                            <a:noFill/>
                            <a:ln w="19050" cap="flat" cmpd="sng">
                              <a:solidFill>
                                <a:schemeClr val="accent3"/>
                              </a:solidFill>
                              <a:prstDash val="solid"/>
                              <a:miter lim="800000"/>
                              <a:headEnd type="none" w="sm" len="sm"/>
                              <a:tailEnd type="triangle" w="med" len="med"/>
                            </a:ln>
                          </wps:spPr>
                          <wps:bodyPr/>
                        </wps:wsp>
                        <wps:wsp>
                          <wps:cNvPr id="13" name="Прямая со стрелкой 13"/>
                          <wps:cNvCnPr/>
                          <wps:spPr>
                            <a:xfrm>
                              <a:off x="5401733" y="1727200"/>
                              <a:ext cx="8466" cy="262467"/>
                            </a:xfrm>
                            <a:prstGeom prst="straightConnector1">
                              <a:avLst/>
                            </a:prstGeom>
                            <a:noFill/>
                            <a:ln w="19050" cap="flat" cmpd="sng">
                              <a:solidFill>
                                <a:schemeClr val="accent3"/>
                              </a:solidFill>
                              <a:prstDash val="solid"/>
                              <a:miter lim="800000"/>
                              <a:headEnd type="none" w="sm" len="sm"/>
                              <a:tailEnd type="triangle" w="med" len="med"/>
                            </a:ln>
                          </wps:spPr>
                          <wps:bodyPr/>
                        </wps:wsp>
                        <wps:wsp>
                          <wps:cNvPr id="14" name="Прямая со стрелкой 14"/>
                          <wps:cNvCnPr/>
                          <wps:spPr>
                            <a:xfrm>
                              <a:off x="1913466" y="3708400"/>
                              <a:ext cx="8466" cy="262467"/>
                            </a:xfrm>
                            <a:prstGeom prst="straightConnector1">
                              <a:avLst/>
                            </a:prstGeom>
                            <a:noFill/>
                            <a:ln w="19050" cap="flat" cmpd="sng">
                              <a:solidFill>
                                <a:schemeClr val="accent3"/>
                              </a:solidFill>
                              <a:prstDash val="solid"/>
                              <a:miter lim="800000"/>
                              <a:headEnd type="none" w="sm" len="sm"/>
                              <a:tailEnd type="triangle" w="med" len="med"/>
                            </a:ln>
                          </wps:spPr>
                          <wps:bodyPr/>
                        </wps:wsp>
                        <wps:wsp>
                          <wps:cNvPr id="15" name="Прямая со стрелкой 15"/>
                          <wps:cNvCnPr/>
                          <wps:spPr>
                            <a:xfrm>
                              <a:off x="4859866" y="3691467"/>
                              <a:ext cx="8255" cy="262255"/>
                            </a:xfrm>
                            <a:prstGeom prst="straightConnector1">
                              <a:avLst/>
                            </a:prstGeom>
                            <a:noFill/>
                            <a:ln w="19050" cap="flat" cmpd="sng">
                              <a:solidFill>
                                <a:schemeClr val="accent3"/>
                              </a:solidFill>
                              <a:prstDash val="solid"/>
                              <a:miter lim="800000"/>
                              <a:headEnd type="none" w="sm" len="sm"/>
                              <a:tailEnd type="triangle" w="med" len="med"/>
                            </a:ln>
                          </wps:spPr>
                          <wps:bodyPr/>
                        </wps:w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790575</wp:posOffset>
                </wp:positionH>
                <wp:positionV relativeFrom="page">
                  <wp:posOffset>1055370</wp:posOffset>
                </wp:positionV>
                <wp:extent cx="6492875" cy="7112000"/>
                <wp:effectExtent b="0" l="0" r="0" t="0"/>
                <wp:wrapTopAndBottom distB="0" distT="0"/>
                <wp:docPr id="186" name="image22.png"/>
                <a:graphic>
                  <a:graphicData uri="http://schemas.openxmlformats.org/drawingml/2006/picture">
                    <pic:pic>
                      <pic:nvPicPr>
                        <pic:cNvPr id="0" name="image22.png"/>
                        <pic:cNvPicPr preferRelativeResize="0"/>
                      </pic:nvPicPr>
                      <pic:blipFill>
                        <a:blip r:embed="rId18"/>
                        <a:srcRect/>
                        <a:stretch>
                          <a:fillRect/>
                        </a:stretch>
                      </pic:blipFill>
                      <pic:spPr>
                        <a:xfrm>
                          <a:off x="0" y="0"/>
                          <a:ext cx="6492875" cy="7112000"/>
                        </a:xfrm>
                        <a:prstGeom prst="rect"/>
                        <a:ln/>
                      </pic:spPr>
                    </pic:pic>
                  </a:graphicData>
                </a:graphic>
              </wp:anchor>
            </w:drawing>
          </mc:Fallback>
        </mc:AlternateContent>
      </w:r>
      <w:r>
        <w:t>Рисунок 2.1 – Морфологічний розбір «Маркетингової комунікаційної політики»</w:t>
      </w:r>
    </w:p>
    <w:p w:rsidR="001E0A2A" w:rsidRDefault="00E079B6">
      <w:pPr>
        <w:ind w:firstLine="0"/>
        <w:jc w:val="center"/>
      </w:pPr>
      <w:r>
        <w:t>Джерело: розроблено автором на основі [47]</w:t>
      </w:r>
    </w:p>
    <w:p w:rsidR="001E0A2A" w:rsidRDefault="001E0A2A"/>
    <w:p w:rsidR="001E0A2A" w:rsidRDefault="001E0A2A"/>
    <w:p w:rsidR="001E0A2A" w:rsidRDefault="00E079B6">
      <w:r>
        <w:t xml:space="preserve">Отже, комунікаційна політика </w:t>
      </w:r>
      <w:r>
        <w:rPr>
          <w:sz w:val="24"/>
          <w:szCs w:val="24"/>
        </w:rPr>
        <w:t xml:space="preserve">– </w:t>
      </w:r>
      <w:r>
        <w:t>це стратегічний план, спрямований на встановлення та підтримку ефективної комунікації між підприємством т</w:t>
      </w:r>
      <w:r>
        <w:t xml:space="preserve">а його цільовою аудиторією. Вона включає в себе набір принципів, цілей, стратегій та </w:t>
      </w:r>
      <w:r>
        <w:lastRenderedPageBreak/>
        <w:t>інструментів, що допомагають створити сприятливі умови для взаєморозуміння, взаємодії та співпраці.</w:t>
      </w:r>
    </w:p>
    <w:p w:rsidR="001E0A2A" w:rsidRDefault="00E079B6">
      <w:r>
        <w:t>До основних елементів комунікаційної політики відносяться:</w:t>
      </w:r>
    </w:p>
    <w:p w:rsidR="001E0A2A" w:rsidRDefault="00E079B6">
      <w:pPr>
        <w:numPr>
          <w:ilvl w:val="0"/>
          <w:numId w:val="3"/>
        </w:numPr>
        <w:pBdr>
          <w:top w:val="nil"/>
          <w:left w:val="nil"/>
          <w:bottom w:val="nil"/>
          <w:right w:val="nil"/>
          <w:between w:val="nil"/>
        </w:pBdr>
        <w:ind w:left="0" w:firstLine="720"/>
      </w:pPr>
      <w:r>
        <w:rPr>
          <w:color w:val="000000"/>
        </w:rPr>
        <w:t>Аналіз аудиторії. Ретельне вивчення цільової аудиторії, їхніх потреб, уподобань та поведінки, є важливим етапом у формуванні комунікаційної стратегії.</w:t>
      </w:r>
    </w:p>
    <w:p w:rsidR="001E0A2A" w:rsidRDefault="00E079B6">
      <w:pPr>
        <w:numPr>
          <w:ilvl w:val="0"/>
          <w:numId w:val="3"/>
        </w:numPr>
        <w:pBdr>
          <w:top w:val="nil"/>
          <w:left w:val="nil"/>
          <w:bottom w:val="nil"/>
          <w:right w:val="nil"/>
          <w:between w:val="nil"/>
        </w:pBdr>
        <w:ind w:left="0" w:firstLine="720"/>
      </w:pPr>
      <w:r>
        <w:rPr>
          <w:color w:val="000000"/>
        </w:rPr>
        <w:t>Цілі та завдання. Встановлення конкретних цілей, які підприємство хоче досягти через комунікаційні заходи, наприклад, збільшення усвідомленості бренду, підвищення продажів або покращення репутації.</w:t>
      </w:r>
    </w:p>
    <w:p w:rsidR="001E0A2A" w:rsidRDefault="00E079B6">
      <w:pPr>
        <w:numPr>
          <w:ilvl w:val="0"/>
          <w:numId w:val="3"/>
        </w:numPr>
        <w:pBdr>
          <w:top w:val="nil"/>
          <w:left w:val="nil"/>
          <w:bottom w:val="nil"/>
          <w:right w:val="nil"/>
          <w:between w:val="nil"/>
        </w:pBdr>
        <w:ind w:left="0" w:firstLine="720"/>
      </w:pPr>
      <w:r>
        <w:rPr>
          <w:color w:val="000000"/>
        </w:rPr>
        <w:t>Стратегія. Розробка стратегії комунікацій, яка визначає кл</w:t>
      </w:r>
      <w:r>
        <w:rPr>
          <w:color w:val="000000"/>
        </w:rPr>
        <w:t>ючові повідомлення, канали комунікації та способи взаємодії з аудиторією.</w:t>
      </w:r>
    </w:p>
    <w:p w:rsidR="001E0A2A" w:rsidRDefault="00E079B6">
      <w:pPr>
        <w:numPr>
          <w:ilvl w:val="0"/>
          <w:numId w:val="3"/>
        </w:numPr>
        <w:pBdr>
          <w:top w:val="nil"/>
          <w:left w:val="nil"/>
          <w:bottom w:val="nil"/>
          <w:right w:val="nil"/>
          <w:between w:val="nil"/>
        </w:pBdr>
        <w:ind w:left="0" w:firstLine="720"/>
      </w:pPr>
      <w:r>
        <w:rPr>
          <w:color w:val="000000"/>
        </w:rPr>
        <w:t>Інструменти комунікації. Використання різноманітних засобів та каналів комунікації, таких як реклама, PR, соціальні медіа, особистий контакт тощо, для досягнення поставлених цілей.</w:t>
      </w:r>
    </w:p>
    <w:p w:rsidR="001E0A2A" w:rsidRDefault="00E079B6">
      <w:pPr>
        <w:numPr>
          <w:ilvl w:val="0"/>
          <w:numId w:val="3"/>
        </w:numPr>
        <w:pBdr>
          <w:top w:val="nil"/>
          <w:left w:val="nil"/>
          <w:bottom w:val="nil"/>
          <w:right w:val="nil"/>
          <w:between w:val="nil"/>
        </w:pBdr>
        <w:ind w:left="0" w:firstLine="720"/>
      </w:pPr>
      <w:r>
        <w:rPr>
          <w:color w:val="000000"/>
        </w:rPr>
        <w:t>М</w:t>
      </w:r>
      <w:r>
        <w:rPr>
          <w:color w:val="000000"/>
        </w:rPr>
        <w:t>оніторинг та оцінка. Постійний моніторинг та оцінка ефективності комунікаційних заходів для виявлення успіхів та корекції стратегії, якщо це необхідно.</w:t>
      </w:r>
    </w:p>
    <w:p w:rsidR="001E0A2A" w:rsidRDefault="00E079B6">
      <w:r>
        <w:t xml:space="preserve">Комунікаційна політика може бути ефективним інструментом для підприємства в побудові стійких відносин з </w:t>
      </w:r>
      <w:r>
        <w:t>клієнтами, підвищенні своєї конкурентоспроможності та досягненні стратегічних цілей. Оскільки МЦ Mediland працює в основному на ринку В2С, то в контексті цього підприємства та ринку естетичної медицини комунікаційна політика відіграє важливу роль у взаємод</w:t>
      </w:r>
      <w:r>
        <w:t>ії з клієнтами, партнерами та громадськістю. Вона включає в себе стратегії та методи комунікації, спрямовані на підтримку репутації бренду, залучення нових клієнтів, підвищення свідомості про послуги та створення позитивного сприйняття серед цільової аудит</w:t>
      </w:r>
      <w:r>
        <w:t>орії.</w:t>
      </w:r>
    </w:p>
    <w:p w:rsidR="001E0A2A" w:rsidRDefault="00E079B6">
      <w:r>
        <w:t>Для успішної маркетингової комунікаційної стратегії важливо правильно обирати засоби комунікації. Існує різні погляди на те, які елементи включати до складу маркетингових комунікацій: одні вважають за достатнє виділити лише чотири основні (реклама, з</w:t>
      </w:r>
      <w:r>
        <w:t xml:space="preserve">в’язки з громадськістю, стимулювання збуту, персональний продаж), тоді як інші включають усі можливі, включаючи їх </w:t>
      </w:r>
      <w:r>
        <w:lastRenderedPageBreak/>
        <w:t>комбінації. Однак у всіх дослідженнях погоджуються з тим, що для досягнення максимального результату важливо застосовувати всі складові та ел</w:t>
      </w:r>
      <w:r>
        <w:t>ементи маркетингових комунікацій.</w:t>
      </w:r>
    </w:p>
    <w:p w:rsidR="001E0A2A" w:rsidRDefault="00E079B6">
      <w:r>
        <w:t>Науковці розрізняють інструменти маркетингових комунікацій за формою інтеграції на основні (реклама, паблік рилейшнз, стимулювання збуту, прямий маркетинг та персональний продаж) та синтетичні (брендинг, виставки, ярмарки,</w:t>
      </w:r>
      <w:r>
        <w:t xml:space="preserve"> інтегровані маркетингові комунікації на місці продажу та маркетинг подій). При формуванні комплексу маркетингових комунікацій важливо враховувати мету, з якою застосовуються різні інструменти маркетингових комунікацій. Наприклад, реклама часто використову</w:t>
      </w:r>
      <w:r>
        <w:t>ється для зміцнення бренду, паблік рилейшнз – для формування позитивного іміджу, а стимулювання збуту та прямий продаж – для підвищення обсягів продажу продукції.</w:t>
      </w:r>
    </w:p>
    <w:p w:rsidR="001E0A2A" w:rsidRDefault="00E079B6">
      <w:r>
        <w:t>Проблема недостатньої комунікації може виникати з різних причин, таких як недоліки у взаємоді</w:t>
      </w:r>
      <w:r>
        <w:t>ї з клієнтами, відсутність чіткої стратегії комунікації або неправильне сприйняття бренду громадськістю. Для розв'язання цієї проблеми МЦ Mediland може розробити комплекс маркетингових комунікацій, включаючи в себе регулярні оновлення в соціальних медіа, о</w:t>
      </w:r>
      <w:r>
        <w:t>рганізацію заходів та участь у спонсорських програмах, а також активне спілкування з клієнтами через різноманітні канали зв'язку.</w:t>
      </w:r>
    </w:p>
    <w:p w:rsidR="001E0A2A" w:rsidRDefault="00E079B6">
      <w:r>
        <w:t>Використання інформаційних технологій (ІТ) в маркетинговій комунікаційній політиці відіграє значну роль у підвищенні ефективно</w:t>
      </w:r>
      <w:r>
        <w:t>сті взаємодії з цільовою аудиторією. Інформаційно-технологічні (ІТ) додатки в сфері маркетингової комунікації відкривають безліч можливостей для підвищення ефективності та розширення досягнення аудиторії. Одним із переваг використання ІТ додатків є їхній п</w:t>
      </w:r>
      <w:r>
        <w:t>отенціал у створенні інтерактивних спілкувань з клієнтами. Це може бути досягнуто шляхом використання:</w:t>
      </w:r>
    </w:p>
    <w:p w:rsidR="001E0A2A" w:rsidRDefault="00E079B6">
      <w:pPr>
        <w:numPr>
          <w:ilvl w:val="0"/>
          <w:numId w:val="43"/>
        </w:numPr>
        <w:pBdr>
          <w:top w:val="nil"/>
          <w:left w:val="nil"/>
          <w:bottom w:val="nil"/>
          <w:right w:val="nil"/>
          <w:between w:val="nil"/>
        </w:pBdr>
        <w:ind w:left="709" w:hanging="709"/>
      </w:pPr>
      <w:r>
        <w:rPr>
          <w:color w:val="000000"/>
        </w:rPr>
        <w:t>мобільних додатків. Розробка мобільних додатків для зручного доступу клієнтів до інформації про продукти або послуги, замовлення, відстеження статусу зам</w:t>
      </w:r>
      <w:r>
        <w:rPr>
          <w:color w:val="000000"/>
        </w:rPr>
        <w:t>овлення, а також отримання спеціальних пропозицій та знижок;</w:t>
      </w:r>
    </w:p>
    <w:p w:rsidR="001E0A2A" w:rsidRDefault="00E079B6">
      <w:pPr>
        <w:numPr>
          <w:ilvl w:val="0"/>
          <w:numId w:val="43"/>
        </w:numPr>
        <w:pBdr>
          <w:top w:val="nil"/>
          <w:left w:val="nil"/>
          <w:bottom w:val="nil"/>
          <w:right w:val="nil"/>
          <w:between w:val="nil"/>
        </w:pBdr>
        <w:ind w:left="709" w:hanging="709"/>
      </w:pPr>
      <w:r>
        <w:rPr>
          <w:color w:val="000000"/>
        </w:rPr>
        <w:lastRenderedPageBreak/>
        <w:t>соціальних медіа. Використання соціальних медіа платформ для розміщення рекламних матеріалів, акцій, конкурсів, а також для спілкування з клієнтами, відповіді на їх запитання та отримання відгукі</w:t>
      </w:r>
      <w:r>
        <w:rPr>
          <w:color w:val="000000"/>
        </w:rPr>
        <w:t>в;</w:t>
      </w:r>
    </w:p>
    <w:p w:rsidR="001E0A2A" w:rsidRDefault="00E079B6">
      <w:pPr>
        <w:numPr>
          <w:ilvl w:val="0"/>
          <w:numId w:val="43"/>
        </w:numPr>
        <w:pBdr>
          <w:top w:val="nil"/>
          <w:left w:val="nil"/>
          <w:bottom w:val="nil"/>
          <w:right w:val="nil"/>
          <w:between w:val="nil"/>
        </w:pBdr>
        <w:ind w:left="709" w:hanging="709"/>
      </w:pPr>
      <w:r>
        <w:rPr>
          <w:color w:val="000000"/>
        </w:rPr>
        <w:t>аналітики та відстеження даних. Використання аналітичних інструментів для відстеження ефективності маркетингових кампаній, визначення попиту та поведінки клієнтів, а також для аналізу конкурентного середовища;</w:t>
      </w:r>
    </w:p>
    <w:p w:rsidR="001E0A2A" w:rsidRDefault="00E079B6">
      <w:pPr>
        <w:numPr>
          <w:ilvl w:val="0"/>
          <w:numId w:val="43"/>
        </w:numPr>
        <w:pBdr>
          <w:top w:val="nil"/>
          <w:left w:val="nil"/>
          <w:bottom w:val="nil"/>
          <w:right w:val="nil"/>
          <w:between w:val="nil"/>
        </w:pBdr>
        <w:ind w:left="709" w:hanging="709"/>
      </w:pPr>
      <w:r>
        <w:rPr>
          <w:color w:val="000000"/>
        </w:rPr>
        <w:t>чат–ботів. Впровадження чат-ботів для автом</w:t>
      </w:r>
      <w:r>
        <w:rPr>
          <w:color w:val="000000"/>
        </w:rPr>
        <w:t>атизації клієнтського сервісу, відповіді на питання та надання рекомендацій клієнтам.</w:t>
      </w:r>
    </w:p>
    <w:p w:rsidR="001E0A2A" w:rsidRDefault="00E079B6">
      <w:r>
        <w:t>Використовуючи такі технології, як аналітика даних, чат-боти на базі штучного інтелекту та інструменти керування соціальними мережами, компанії можуть значно покращити св</w:t>
      </w:r>
      <w:r>
        <w:t>ої комунікаційні стратегії. Ця інтеграція дозволяє проводити персоналізовані кампанії, надсилати цільові повідомлення та отримувати зворотний зв’язок у режимі реального часу, що підвищує залученість споживачів і стимулює продажі. Використання ІТ також допо</w:t>
      </w:r>
      <w:r>
        <w:t>магає компаніям залишатися попереду конкурентів, швидко адаптуючись до новітніх цифрових тенденцій. Тому бізнесу необхідно постійно моніторити та досліджувати нові підходи до маркетингової діяльності, враховуючи стрімкий розвиток інформаційних технологій.</w:t>
      </w:r>
    </w:p>
    <w:p w:rsidR="001E0A2A" w:rsidRDefault="00E079B6">
      <w:r>
        <w:t>Одним із основних трендів у розвитку маркетингових комунікацій за допомогою ІТ-продуктів є персоналізація контенту. Сучасні технології дозволяють збирати та аналізувати великі обсяги даних про споживачів, що дає змогу створювати індивідуалізований контент,</w:t>
      </w:r>
      <w:r>
        <w:t xml:space="preserve"> який відповідає конкретним потребам та інтересам кожного клієнта. Інший важливий тренд – використання штучного інтелекту (ШІ) в аналітиці, що дозволяє компаніям виявляти та прогнозувати поведінкові патерни своєї аудиторії, створюючи більш ефективні і ціле</w:t>
      </w:r>
      <w:r>
        <w:t>спрямовані маркетингові стратегії. Варто також зазначити використання доповненої реальності (AR) та віртуальної реальності (VR) у маркетингових комунікаціях, які створюють іммерсивні досвіди для споживачів, залучаючи їх унікальними інтерактивними презентац</w:t>
      </w:r>
      <w:r>
        <w:t>іями та віртуальними турами.</w:t>
      </w:r>
    </w:p>
    <w:p w:rsidR="001E0A2A" w:rsidRDefault="00E079B6">
      <w:r>
        <w:lastRenderedPageBreak/>
        <w:t>Розвиток маркетингових комунікацій через ІТ-продукти має вирішальне значення для сучасного бізнесу, який прагне залишатися конкурентоспроможним і привертати увагу своєї аудиторії. Постійне вдосконалення знань і навичок для успі</w:t>
      </w:r>
      <w:r>
        <w:t>шного впровадження ІТ у маркетинг є критично важливим. Маркетологи повинні бути готові до постійних змін та інновацій у цифровому середовищі. Використання технологій та ІТ-інструментів може значно покращити маркетингові зусилля компанії та допомогти їй зал</w:t>
      </w:r>
      <w:r>
        <w:t>ишатися попереду в постійно змінюваному ландшафті цифрового маркетингу. Інтеграція сучасних технологій у маркетингову діяльність стає все важливішою для компаній у сучасному світі. Тренди розвитку маркетингових комунікацій через ІТ-продукти вказують на нео</w:t>
      </w:r>
      <w:r>
        <w:t>бхідність постійного вдосконалення стратегій, адаптації до новітніх технологій та зосередження на взаємодії з аудиторією шляхом персоналізації та інтерактивності. Це дозволить компаніям зберігати конкурентну перевагу та ефективно впливати на свою цільову а</w:t>
      </w:r>
      <w:r>
        <w:t xml:space="preserve">удиторію. Але варто пам'ятати, що класичні інструменти маркетингових комунікацій залишаються базою для будь-якої маркетингової стратегії. Інновації допомагають розширити можливості та адаптувати діяльність до сучасних умов, але успішне поєднання класичних </w:t>
      </w:r>
      <w:r>
        <w:t>та інноваційних інструментів дозволяє компаніям ефективно діяти на ринку, залучати нових клієнтів, формувати позитивний імідж бренду та збільшувати обсяги продажів і прибуток [50].</w:t>
      </w:r>
    </w:p>
    <w:p w:rsidR="001E0A2A" w:rsidRDefault="00E079B6">
      <w:r>
        <w:t>МЦ Mediland вже використовує такі інформаційні технології, як електронна пошта, соціальні медіа, цифрову аналітику та відстеження даних. Але технології весь час розвиваються і для стабільного функціонування на ринку потрібно весь час слідкувати за тенденці</w:t>
      </w:r>
      <w:r>
        <w:t>ями та інноваціями.</w:t>
      </w:r>
    </w:p>
    <w:p w:rsidR="001E0A2A" w:rsidRDefault="00E079B6">
      <w:r>
        <w:t>Мобільні додатки стають все більш важливим елементом маркетингової комунікації для підприємств, зокрема у сфері естетичної медицини. Загалом, мобільні додатки дозволяють МЦ Mediland забезпечити зручний та персоналізований досвід для сво</w:t>
      </w:r>
      <w:r>
        <w:t>їх клієнтів, покращити їх задоволення від обслуговування та збільшити їх лояльність до бренду.</w:t>
      </w:r>
    </w:p>
    <w:p w:rsidR="001E0A2A" w:rsidRDefault="00E079B6">
      <w:r>
        <w:t xml:space="preserve">Використання інформаційних технологій, зокрема мобільних додатків, у маркетинговій комунікаційній політиці відіграє ключову роль у створенні </w:t>
      </w:r>
      <w:r>
        <w:lastRenderedPageBreak/>
        <w:t>ефективного та персо</w:t>
      </w:r>
      <w:r>
        <w:t>налізованого спілкування з клієнтами. Основні принципи та переваги використання мобільних додатків у маркетингових комунікаціях включають:</w:t>
      </w:r>
    </w:p>
    <w:p w:rsidR="001E0A2A" w:rsidRDefault="00E079B6">
      <w:pPr>
        <w:numPr>
          <w:ilvl w:val="0"/>
          <w:numId w:val="5"/>
        </w:numPr>
        <w:pBdr>
          <w:top w:val="nil"/>
          <w:left w:val="nil"/>
          <w:bottom w:val="nil"/>
          <w:right w:val="nil"/>
          <w:between w:val="nil"/>
        </w:pBdr>
        <w:ind w:left="0" w:firstLine="720"/>
      </w:pPr>
      <w:r>
        <w:rPr>
          <w:color w:val="000000"/>
        </w:rPr>
        <w:t xml:space="preserve">Доступність та зручність: Мобільні додатки надають зручний доступ до інформації про продукти або послуги в будь–який </w:t>
      </w:r>
      <w:r>
        <w:rPr>
          <w:color w:val="000000"/>
        </w:rPr>
        <w:t>час і з будь–якого місця через смартфон або планшет.</w:t>
      </w:r>
    </w:p>
    <w:p w:rsidR="001E0A2A" w:rsidRDefault="00E079B6">
      <w:pPr>
        <w:numPr>
          <w:ilvl w:val="0"/>
          <w:numId w:val="5"/>
        </w:numPr>
        <w:pBdr>
          <w:top w:val="nil"/>
          <w:left w:val="nil"/>
          <w:bottom w:val="nil"/>
          <w:right w:val="nil"/>
          <w:between w:val="nil"/>
        </w:pBdr>
        <w:ind w:left="0" w:firstLine="720"/>
      </w:pPr>
      <w:r>
        <w:rPr>
          <w:color w:val="000000"/>
        </w:rPr>
        <w:t>Персоналізація та співробітництво: За допомогою мобільних додатків можна створювати персоналізовані рекламні пропозиції та спеціальні промо–коди для окремих клієнтів, що сприяє зміцненню відносин із спож</w:t>
      </w:r>
      <w:r>
        <w:rPr>
          <w:color w:val="000000"/>
        </w:rPr>
        <w:t>ивачами.</w:t>
      </w:r>
    </w:p>
    <w:p w:rsidR="001E0A2A" w:rsidRDefault="00E079B6">
      <w:pPr>
        <w:numPr>
          <w:ilvl w:val="0"/>
          <w:numId w:val="5"/>
        </w:numPr>
        <w:pBdr>
          <w:top w:val="nil"/>
          <w:left w:val="nil"/>
          <w:bottom w:val="nil"/>
          <w:right w:val="nil"/>
          <w:between w:val="nil"/>
        </w:pBdr>
        <w:ind w:left="0" w:firstLine="720"/>
      </w:pPr>
      <w:r>
        <w:rPr>
          <w:color w:val="000000"/>
        </w:rPr>
        <w:t>Аналітика та відстеження: Мобільні додатки дозволяють збирати дані про користувачів, їхню поведінку та взаємодію з додатком, що допомагає аналізувати ефективність маркетингових кампаній і вчасно реагувати на зміни у попиті.</w:t>
      </w:r>
    </w:p>
    <w:p w:rsidR="001E0A2A" w:rsidRDefault="00E079B6">
      <w:pPr>
        <w:numPr>
          <w:ilvl w:val="0"/>
          <w:numId w:val="5"/>
        </w:numPr>
        <w:pBdr>
          <w:top w:val="nil"/>
          <w:left w:val="nil"/>
          <w:bottom w:val="nil"/>
          <w:right w:val="nil"/>
          <w:between w:val="nil"/>
        </w:pBdr>
        <w:ind w:left="0" w:firstLine="720"/>
      </w:pPr>
      <w:r>
        <w:rPr>
          <w:color w:val="000000"/>
        </w:rPr>
        <w:t>Взаємодія та залучення:</w:t>
      </w:r>
      <w:r>
        <w:rPr>
          <w:color w:val="000000"/>
        </w:rPr>
        <w:t xml:space="preserve"> Мобільні додатки можуть створювати можливості для активної взаємодії клієнтів з брендом через коментарі, відгуки, рейтинги та соціальні медіа.</w:t>
      </w:r>
    </w:p>
    <w:p w:rsidR="001E0A2A" w:rsidRDefault="00E079B6">
      <w:pPr>
        <w:numPr>
          <w:ilvl w:val="0"/>
          <w:numId w:val="5"/>
        </w:numPr>
        <w:pBdr>
          <w:top w:val="nil"/>
          <w:left w:val="nil"/>
          <w:bottom w:val="nil"/>
          <w:right w:val="nil"/>
          <w:between w:val="nil"/>
        </w:pBdr>
        <w:ind w:left="0" w:firstLine="720"/>
      </w:pPr>
      <w:r>
        <w:rPr>
          <w:color w:val="000000"/>
        </w:rPr>
        <w:t>Комунікація в реальному часі: Мобільні додатки дозволяють надавати клієнтам інформацію в реальному часі, таку як</w:t>
      </w:r>
      <w:r>
        <w:rPr>
          <w:color w:val="000000"/>
        </w:rPr>
        <w:t xml:space="preserve"> новини, акції або нагадування, що сприяє підвищенню уваги та залучення споживачів.</w:t>
      </w:r>
    </w:p>
    <w:p w:rsidR="001E0A2A" w:rsidRDefault="00E079B6">
      <w:r>
        <w:t xml:space="preserve">Загалом, використання мобільних додатків у маркетинговій комунікаційній політиці дозволяє підприємствам створювати персоналізований, ефективний та інтерактивний досвід для </w:t>
      </w:r>
      <w:r>
        <w:t xml:space="preserve">своїх клієнтів, що сприяє зміцненню бренду та збільшенню продажів. Відтак, важливою перевагою є можливість використання аналітичних інструментів для постійного відстеження та аналізу реакції аудиторії на маркетингові кампанії та швидка адаптація стратегій </w:t>
      </w:r>
      <w:r>
        <w:t>під їхні потреби. Такий підхід дозволяє компаніям бути більш гнучкими та реагувати на зміни в ринкових умовах та попиті споживачів у реальному часі.</w:t>
      </w:r>
    </w:p>
    <w:p w:rsidR="001E0A2A" w:rsidRDefault="00E079B6">
      <w:r>
        <w:t>Комплекс маркетингових комунікацій (Integrated Marketing Communications або КМК) може розглядатися як склад</w:t>
      </w:r>
      <w:r>
        <w:t xml:space="preserve">ова частина маркетингової комунікаційної політики підприємства. Він описує координоване об'єднання різних маркетингових </w:t>
      </w:r>
      <w:r>
        <w:lastRenderedPageBreak/>
        <w:t>заходів та комунікаційних стратегій з метою створення єдиного, спрямованого повідомлення для цільової аудиторії. Це означає використання</w:t>
      </w:r>
      <w:r>
        <w:t xml:space="preserve"> різноманітних каналів зв'язку, таких як реклама, PR, прямий маркетинг, спонсорство, особистий продаж та інші, для досягнення співпраці між ними та досягнення більшої ефективності та послідовності в повідомленні.</w:t>
      </w:r>
    </w:p>
    <w:p w:rsidR="001E0A2A" w:rsidRDefault="00E079B6">
      <w:r>
        <w:t>Для формування та реалізації КМК можна запр</w:t>
      </w:r>
      <w:r>
        <w:t>опонувати наступний план дій.</w:t>
      </w:r>
    </w:p>
    <w:p w:rsidR="001E0A2A" w:rsidRDefault="00E079B6">
      <w:r>
        <w:t>Крок 1. Ретельне вивчення поточної ситуації в зовнішньому середовищі та найближчому оточенні підприємства дозволяє виявити фактори, які можуть вплинути на діяльність підприємства, та зрозуміти, які можливості є для їх вирішенн</w:t>
      </w:r>
      <w:r>
        <w:t>я [28].</w:t>
      </w:r>
    </w:p>
    <w:p w:rsidR="001E0A2A" w:rsidRDefault="00E079B6">
      <w:r>
        <w:t>Крок 2. Оцінка поточної системи маркетингових комунікацій підприємства включає в себе аналіз сильних і слабких сторін, а також порівняльний аналіз з конкурентами. Також проводиться оцінка досягнення цілей, поставлених перед поточною системою маркет</w:t>
      </w:r>
      <w:r>
        <w:t>ингових комунікацій.</w:t>
      </w:r>
    </w:p>
    <w:p w:rsidR="001E0A2A" w:rsidRDefault="00E079B6">
      <w:r>
        <w:t xml:space="preserve">Крок 3. Визначення цілей підприємства та встановлення мети створення нового комплексу маркетингових комунікацій, спрямованих на досягнення очікуваних результатів (таких як підвищення рівня інформованості про продукцію та підприємство, </w:t>
      </w:r>
      <w:r>
        <w:t xml:space="preserve">зміна попиту, інформування про акції або рекламні заходи, а також формування позитивного іміджу бренду або підприємства в цілому). Важливо, щоб цілі формування маркетингових комунікацій відповідали стратегічним напрямкам як маркетингу, так і корпоративній </w:t>
      </w:r>
      <w:r>
        <w:t>політиці підприємства.</w:t>
      </w:r>
    </w:p>
    <w:p w:rsidR="001E0A2A" w:rsidRDefault="00E079B6">
      <w:r>
        <w:t>Крок 4. Попередня оцінка включає аналіз складових та інструментів маркетингових комунікацій у контексті відповідності обраній маркетинговій стратегії підприємства, формування конкурентних переваг, відповідності потребам клієнтів та ї</w:t>
      </w:r>
      <w:r>
        <w:t>х доступності, а також врахування очікувань інших партнерів підприємства.</w:t>
      </w:r>
    </w:p>
    <w:p w:rsidR="001E0A2A" w:rsidRDefault="00E079B6">
      <w:r>
        <w:t>Крок 5. Визначення бюджету для КМК. Воно може здійснюватися різними методами, такими як визначення фіксованої суми, експериментальний підхід, залишковий метод, метод подвоєння ринков</w:t>
      </w:r>
      <w:r>
        <w:t xml:space="preserve">ої частки, метод моделювання та інші. </w:t>
      </w:r>
      <w:r>
        <w:lastRenderedPageBreak/>
        <w:t>У виборі методу слід керуватися конкретними завданнями та цілями, що вирішуються, а також ураховувати обмеження фінансування з боку керівництва.</w:t>
      </w:r>
    </w:p>
    <w:p w:rsidR="001E0A2A" w:rsidRDefault="00E079B6">
      <w:r>
        <w:t>Крок 6. Створення плану реалізації КМК в межах обраної стратегії відповід</w:t>
      </w:r>
      <w:r>
        <w:t>но до виділених на це коштів. Цей план містить конкретні тактичні заходи, методи та інструменти, а також докладний план дій. На цьому етапі рекомендується провести аналіз розміщення інформації, порівнявши її відповідність цільовій аудиторії, охоплення, вар</w:t>
      </w:r>
      <w:r>
        <w:t>тість, частоту контактів з цільовою аудиторією та рівень реклами в порівнянні з конкурентами.</w:t>
      </w:r>
    </w:p>
    <w:p w:rsidR="001E0A2A" w:rsidRDefault="00E079B6">
      <w:r>
        <w:t>Крок 7. Останнім кроком є впровадження маркетингових комунікацій та оцінка того, наскільки ефективно працює їх механізм.</w:t>
      </w:r>
    </w:p>
    <w:p w:rsidR="001E0A2A" w:rsidRDefault="00E079B6">
      <w:r>
        <w:t>Таким чином, використовуючи цей алгоритм,</w:t>
      </w:r>
      <w:r>
        <w:t xml:space="preserve"> можна сформувати й реалізувати ефективний комплекс маркетингових комунікацій, що враховує сучасні тенденції та досягає успішних результатів. Окрім того, важливою є систематична оцінка та аналіз ефективності маркетингових заходів, що дозволяє коригувати ст</w:t>
      </w:r>
      <w:r>
        <w:t>ратегії та підходи для досягнення найкращих результатів.</w:t>
      </w:r>
    </w:p>
    <w:p w:rsidR="001E0A2A" w:rsidRDefault="00E079B6">
      <w:r>
        <w:t>В результаті цього підпункту було розглянуто теоретичні підходи до вирішення маркетингової управлінської проблеми та обрано підхід, що стане основою для маркетингового дослідження. Проведення дослідж</w:t>
      </w:r>
      <w:r>
        <w:t>ення на практиці дозволить отримати конкретні дані та рекомендації щодо вдосконалення комунікаційної політики медичного центру «Mediland» та підвищення його конкурентоспроможності на ринку естетичної медицини.</w:t>
      </w:r>
    </w:p>
    <w:p w:rsidR="001E0A2A" w:rsidRDefault="001E0A2A"/>
    <w:p w:rsidR="001E0A2A" w:rsidRDefault="00E079B6">
      <w:pPr>
        <w:pStyle w:val="2"/>
      </w:pPr>
      <w:bookmarkStart w:id="10" w:name="_heading=h.2s8eyo1" w:colFirst="0" w:colLast="0"/>
      <w:bookmarkEnd w:id="10"/>
      <w:r>
        <w:t>2.2 Визначення цілей та завдань дослідження</w:t>
      </w:r>
    </w:p>
    <w:p w:rsidR="001E0A2A" w:rsidRDefault="001E0A2A"/>
    <w:p w:rsidR="001E0A2A" w:rsidRDefault="00E079B6">
      <w:r>
        <w:t xml:space="preserve">У цьому пункті буде детально розглянуто цілі та завдання дослідження відповідно до теми роботи. Також визначимо методику, предмет, об’єкт та суб’єкт дослідження, розроблено гіпотези та пошукові питання. Для вирішення визначеної маркетингової управлінської </w:t>
      </w:r>
      <w:r>
        <w:t>проблеми потрібно дослідити вже наявну маркетингову комунікаційну політику медичного центру. Скористаємося розглянутим вище алгоритмом для формування та реалізації КМК.</w:t>
      </w:r>
    </w:p>
    <w:p w:rsidR="001E0A2A" w:rsidRDefault="00E079B6">
      <w:r>
        <w:lastRenderedPageBreak/>
        <w:t>В цій роботі вже розглянуто макро-, мезо- та мікросередовища підприємства та виявили що</w:t>
      </w:r>
      <w:r>
        <w:t xml:space="preserve"> може вплинути на діяльність підприємства і як це можна вирішити. Проведено оцінювання поточної системи маркетингових комунікацій підприємства, шляхом аналізу сильних і слабких сторін, а також порівняльного аналізу з конкурентами. </w:t>
      </w:r>
    </w:p>
    <w:p w:rsidR="001E0A2A" w:rsidRDefault="00E079B6">
      <w:r>
        <w:t>Тепер визначимо цілі під</w:t>
      </w:r>
      <w:r>
        <w:t>приємства та мету створення нового комплексу маркетингових комунікацій. Після цього проаналізуємо складові та інструменти маркетингових комунікацій у контексті відповідності обраній маркетинговій стратегії підприємства, формування конкурентних переваг, від</w:t>
      </w:r>
      <w:r>
        <w:t>повідності потребам клієнтів та їх доступності.</w:t>
      </w:r>
    </w:p>
    <w:p w:rsidR="001E0A2A" w:rsidRDefault="00E079B6">
      <w:r>
        <w:t>Об’єктом дослідження є ринок естетичної медицини.</w:t>
      </w:r>
    </w:p>
    <w:p w:rsidR="001E0A2A" w:rsidRDefault="00E079B6">
      <w:pPr>
        <w:widowControl w:val="0"/>
        <w:pBdr>
          <w:top w:val="nil"/>
          <w:left w:val="nil"/>
          <w:bottom w:val="nil"/>
          <w:right w:val="nil"/>
          <w:between w:val="nil"/>
        </w:pBdr>
        <w:rPr>
          <w:color w:val="000000"/>
        </w:rPr>
      </w:pPr>
      <w:r>
        <w:rPr>
          <w:color w:val="000000"/>
        </w:rPr>
        <w:t>Суб’єктами дослідження виступають: медичний центр «Mediland», що виконує послуги з естетичної медицини, цільові споживачі та компанії–конкуренти.</w:t>
      </w:r>
    </w:p>
    <w:p w:rsidR="001E0A2A" w:rsidRDefault="00E079B6">
      <w:pPr>
        <w:widowControl w:val="0"/>
        <w:pBdr>
          <w:top w:val="nil"/>
          <w:left w:val="nil"/>
          <w:bottom w:val="nil"/>
          <w:right w:val="nil"/>
          <w:between w:val="nil"/>
        </w:pBdr>
        <w:rPr>
          <w:color w:val="000000"/>
        </w:rPr>
      </w:pPr>
      <w:r>
        <w:rPr>
          <w:color w:val="000000"/>
        </w:rPr>
        <w:t>Предмету дослідження відповідає маркетингова комунікаційна політика медичного центру «Mediland».</w:t>
      </w:r>
    </w:p>
    <w:p w:rsidR="001E0A2A" w:rsidRDefault="00E079B6">
      <w:r>
        <w:t>Границі дослідження. Запланований час на проведення дослідження – 35-41 днів. Дослідження проводиться на території Києва у травні 2024 року. Продуктова лінія –</w:t>
      </w:r>
      <w:r>
        <w:t xml:space="preserve"> напрямок естетичної медицини.</w:t>
      </w:r>
    </w:p>
    <w:p w:rsidR="001E0A2A" w:rsidRDefault="00E079B6">
      <w:r>
        <w:t xml:space="preserve">Ціль маркетингового дослідження – виявити актуальні комунікаційні канали для МЦ «Mediland» на ринку естетичної медицини. </w:t>
      </w:r>
    </w:p>
    <w:p w:rsidR="001E0A2A" w:rsidRDefault="00E079B6">
      <w:r>
        <w:t>Завдання, що випливають з цілі:</w:t>
      </w:r>
    </w:p>
    <w:p w:rsidR="001E0A2A" w:rsidRDefault="00E079B6">
      <w:pPr>
        <w:numPr>
          <w:ilvl w:val="0"/>
          <w:numId w:val="45"/>
        </w:numPr>
        <w:pBdr>
          <w:top w:val="nil"/>
          <w:left w:val="nil"/>
          <w:bottom w:val="nil"/>
          <w:right w:val="nil"/>
          <w:between w:val="nil"/>
        </w:pBdr>
      </w:pPr>
      <w:r>
        <w:rPr>
          <w:color w:val="000000"/>
        </w:rPr>
        <w:t>Аналіз поточної комунікаційної політики.</w:t>
      </w:r>
    </w:p>
    <w:p w:rsidR="001E0A2A" w:rsidRDefault="00E079B6">
      <w:pPr>
        <w:numPr>
          <w:ilvl w:val="0"/>
          <w:numId w:val="45"/>
        </w:numPr>
        <w:pBdr>
          <w:top w:val="nil"/>
          <w:left w:val="nil"/>
          <w:bottom w:val="nil"/>
          <w:right w:val="nil"/>
          <w:between w:val="nil"/>
        </w:pBdr>
      </w:pPr>
      <w:r>
        <w:rPr>
          <w:color w:val="000000"/>
        </w:rPr>
        <w:t xml:space="preserve">Визначення цільової аудиторії </w:t>
      </w:r>
      <w:r>
        <w:rPr>
          <w:color w:val="000000"/>
        </w:rPr>
        <w:t>та її потреб.</w:t>
      </w:r>
    </w:p>
    <w:p w:rsidR="001E0A2A" w:rsidRDefault="00E079B6">
      <w:pPr>
        <w:numPr>
          <w:ilvl w:val="0"/>
          <w:numId w:val="45"/>
        </w:numPr>
        <w:pBdr>
          <w:top w:val="nil"/>
          <w:left w:val="nil"/>
          <w:bottom w:val="nil"/>
          <w:right w:val="nil"/>
          <w:between w:val="nil"/>
        </w:pBdr>
      </w:pPr>
      <w:r>
        <w:rPr>
          <w:color w:val="000000"/>
        </w:rPr>
        <w:t>Аналіз конкурентного середовища.</w:t>
      </w:r>
    </w:p>
    <w:p w:rsidR="001E0A2A" w:rsidRDefault="00E079B6">
      <w:pPr>
        <w:numPr>
          <w:ilvl w:val="0"/>
          <w:numId w:val="45"/>
        </w:numPr>
        <w:pBdr>
          <w:top w:val="nil"/>
          <w:left w:val="nil"/>
          <w:bottom w:val="nil"/>
          <w:right w:val="nil"/>
          <w:between w:val="nil"/>
        </w:pBdr>
      </w:pPr>
      <w:r>
        <w:rPr>
          <w:color w:val="000000"/>
        </w:rPr>
        <w:t>Виявлення нових можливостей для розвитку комунікаційної політики.</w:t>
      </w:r>
    </w:p>
    <w:p w:rsidR="001E0A2A" w:rsidRDefault="00E079B6">
      <w:r>
        <w:t>Отже, визначено чотири основних завдань, які будуть використані для планування маркетингового дослідження. Виконання маркетингового дослідження</w:t>
      </w:r>
      <w:r>
        <w:t xml:space="preserve"> передбачає розробку стратегії для досягнення цих завдань. Таким чином, план маркетингового дослідження має наступний вигляд:</w:t>
      </w:r>
    </w:p>
    <w:p w:rsidR="001E0A2A" w:rsidRDefault="00E079B6">
      <w:pPr>
        <w:numPr>
          <w:ilvl w:val="0"/>
          <w:numId w:val="8"/>
        </w:numPr>
        <w:pBdr>
          <w:top w:val="nil"/>
          <w:left w:val="nil"/>
          <w:bottom w:val="nil"/>
          <w:right w:val="nil"/>
          <w:between w:val="nil"/>
        </w:pBdr>
        <w:ind w:left="0" w:firstLine="720"/>
      </w:pPr>
      <w:r>
        <w:rPr>
          <w:color w:val="000000"/>
        </w:rPr>
        <w:lastRenderedPageBreak/>
        <w:t>Аналіз поточної комунікаційної політики МЦ «Mediland». Визначення стратегій маркетингових комунікацій, каналів та інструментів. Дослідження наявної аудиторії медичного центру. Ця інформація збирається шляхом спостереження та кабінетних досліджень. Інформац</w:t>
      </w:r>
      <w:r>
        <w:rPr>
          <w:color w:val="000000"/>
        </w:rPr>
        <w:t>ія буде застосована для підготовки до опитування споживачів та подальшого формування висновків та рекомендацій.</w:t>
      </w:r>
    </w:p>
    <w:p w:rsidR="001E0A2A" w:rsidRDefault="00E079B6">
      <w:pPr>
        <w:numPr>
          <w:ilvl w:val="0"/>
          <w:numId w:val="8"/>
        </w:numPr>
        <w:pBdr>
          <w:top w:val="nil"/>
          <w:left w:val="nil"/>
          <w:bottom w:val="nil"/>
          <w:right w:val="nil"/>
          <w:between w:val="nil"/>
        </w:pBdr>
        <w:ind w:left="0" w:firstLine="720"/>
      </w:pPr>
      <w:r>
        <w:rPr>
          <w:color w:val="000000"/>
        </w:rPr>
        <w:t>Проведення кабінетних досліджень, для аналізу споживачів досліджуваного підприємства – медичного центру «Mediland». Цей аналіз здійснюється шлях</w:t>
      </w:r>
      <w:r>
        <w:rPr>
          <w:color w:val="000000"/>
        </w:rPr>
        <w:t>ом збору вторинної інформації. Цей етап є базою для подальшого дослідження.</w:t>
      </w:r>
    </w:p>
    <w:p w:rsidR="001E0A2A" w:rsidRDefault="00E079B6">
      <w:pPr>
        <w:numPr>
          <w:ilvl w:val="0"/>
          <w:numId w:val="8"/>
        </w:numPr>
        <w:pBdr>
          <w:top w:val="nil"/>
          <w:left w:val="nil"/>
          <w:bottom w:val="nil"/>
          <w:right w:val="nil"/>
          <w:between w:val="nil"/>
        </w:pBdr>
        <w:ind w:left="0" w:firstLine="720"/>
      </w:pPr>
      <w:r>
        <w:rPr>
          <w:color w:val="000000"/>
        </w:rPr>
        <w:t xml:space="preserve">Збір первинної інформації. Проведення опитування з клієнтами медичного центру за напрямком естетичної медицини. На цьому етапі будуть визначені важливі для дослідження особливості </w:t>
      </w:r>
      <w:r>
        <w:rPr>
          <w:color w:val="000000"/>
        </w:rPr>
        <w:t>комунікаційної політики підприємства: специфіка сприйняття контенту аудиторією, задоволеність та доступність інформацією, джерела інформації,  основні теми, позитивні та негативні аспекти комунікації.</w:t>
      </w:r>
    </w:p>
    <w:p w:rsidR="001E0A2A" w:rsidRDefault="00E079B6">
      <w:pPr>
        <w:numPr>
          <w:ilvl w:val="0"/>
          <w:numId w:val="8"/>
        </w:numPr>
        <w:pBdr>
          <w:top w:val="nil"/>
          <w:left w:val="nil"/>
          <w:bottom w:val="nil"/>
          <w:right w:val="nil"/>
          <w:between w:val="nil"/>
        </w:pBdr>
        <w:ind w:left="0" w:firstLine="720"/>
      </w:pPr>
      <w:r>
        <w:rPr>
          <w:color w:val="000000"/>
        </w:rPr>
        <w:t>На цьому етапі здійснюється аналіз наявної системи кому</w:t>
      </w:r>
      <w:r>
        <w:rPr>
          <w:color w:val="000000"/>
        </w:rPr>
        <w:t>нікацій. Аналіз вторинної внутрішньої інформації підприємства – виявлення точок дотику підприємства зі споживачем. Ця інформація потрібна для співставлення очікувань підприємства з очікуваннями цільової аудиторії.</w:t>
      </w:r>
    </w:p>
    <w:p w:rsidR="001E0A2A" w:rsidRDefault="00E079B6">
      <w:pPr>
        <w:numPr>
          <w:ilvl w:val="0"/>
          <w:numId w:val="8"/>
        </w:numPr>
        <w:pBdr>
          <w:top w:val="nil"/>
          <w:left w:val="nil"/>
          <w:bottom w:val="nil"/>
          <w:right w:val="nil"/>
          <w:between w:val="nil"/>
        </w:pBdr>
        <w:ind w:left="0" w:firstLine="720"/>
      </w:pPr>
      <w:r>
        <w:rPr>
          <w:color w:val="000000"/>
        </w:rPr>
        <w:t>Оцінювання ефективності наявної комунікаці</w:t>
      </w:r>
      <w:r>
        <w:rPr>
          <w:color w:val="000000"/>
        </w:rPr>
        <w:t>йної політики. Розробка пропозицій щодо оптимізації комунікаційних каналів та контенту.</w:t>
      </w:r>
    </w:p>
    <w:p w:rsidR="001E0A2A" w:rsidRDefault="00E079B6">
      <w:pPr>
        <w:rPr>
          <w:highlight w:val="white"/>
        </w:rPr>
      </w:pPr>
      <w:r>
        <w:rPr>
          <w:highlight w:val="white"/>
        </w:rPr>
        <w:t>Далі сформулюємо гіпотези, які необхідно перевірити у ході дослідження. Гіпотези висунуті автором на основі попереднього дослідження маркетингового середовища, внутрішн</w:t>
      </w:r>
      <w:r>
        <w:rPr>
          <w:highlight w:val="white"/>
        </w:rPr>
        <w:t>іх показників ефективності медичного центру та відгуків клієнтів.</w:t>
      </w:r>
    </w:p>
    <w:p w:rsidR="001E0A2A" w:rsidRDefault="00E079B6">
      <w:pPr>
        <w:rPr>
          <w:highlight w:val="white"/>
        </w:rPr>
      </w:pPr>
      <w:r>
        <w:rPr>
          <w:highlight w:val="white"/>
        </w:rPr>
        <w:t>H1: Поточна комунікаційна політика медичного центру не враховує специфічні потреби та інтереси різних сегментів цільової аудиторії.</w:t>
      </w:r>
    </w:p>
    <w:p w:rsidR="001E0A2A" w:rsidRDefault="00E079B6">
      <w:pPr>
        <w:rPr>
          <w:highlight w:val="white"/>
        </w:rPr>
      </w:pPr>
      <w:r>
        <w:rPr>
          <w:highlight w:val="white"/>
        </w:rPr>
        <w:t>H2: Вікова група 25-34 роки є найбільш активною та залучен</w:t>
      </w:r>
      <w:r>
        <w:rPr>
          <w:highlight w:val="white"/>
        </w:rPr>
        <w:t>ою аудиторією, що потребує окремого підходу в комунікації.</w:t>
      </w:r>
    </w:p>
    <w:p w:rsidR="001E0A2A" w:rsidRDefault="00E079B6">
      <w:pPr>
        <w:rPr>
          <w:highlight w:val="white"/>
        </w:rPr>
      </w:pPr>
      <w:r>
        <w:rPr>
          <w:highlight w:val="white"/>
        </w:rPr>
        <w:lastRenderedPageBreak/>
        <w:t>H3: Візуальний контент (фотографії, відео) є більш ефективним у залученні уваги клієнтів, ніж текстовий контент.</w:t>
      </w:r>
    </w:p>
    <w:p w:rsidR="001E0A2A" w:rsidRDefault="00E079B6">
      <w:pPr>
        <w:rPr>
          <w:highlight w:val="white"/>
        </w:rPr>
      </w:pPr>
      <w:r>
        <w:rPr>
          <w:highlight w:val="white"/>
        </w:rPr>
        <w:t>H4: Поточні повідомлення про акції та спеціальні пропозиції не достатньо зрозумілі а</w:t>
      </w:r>
      <w:r>
        <w:rPr>
          <w:highlight w:val="white"/>
        </w:rPr>
        <w:t>бо не досягають цільової аудиторії в повній мірі.</w:t>
      </w:r>
    </w:p>
    <w:p w:rsidR="001E0A2A" w:rsidRDefault="00E079B6">
      <w:pPr>
        <w:rPr>
          <w:highlight w:val="white"/>
        </w:rPr>
      </w:pPr>
      <w:r>
        <w:rPr>
          <w:highlight w:val="white"/>
        </w:rPr>
        <w:t>H5: Використання конкурентами нових технологій та платформ (наприклад, чат-боти, мобільні додатки) сприяє їх успіху у взаємодії з клієнтами.</w:t>
      </w:r>
    </w:p>
    <w:p w:rsidR="001E0A2A" w:rsidRDefault="00E079B6">
      <w:r>
        <w:rPr>
          <w:highlight w:val="white"/>
        </w:rPr>
        <w:t>Перевірка цих гіпотез допоможе виявити слабкі та сильні сторони к</w:t>
      </w:r>
      <w:r>
        <w:rPr>
          <w:highlight w:val="white"/>
        </w:rPr>
        <w:t xml:space="preserve">омунікаційної політики медичного центру, а також знайти нові можливості для її розвитку та підвищення ефективності. Тож наведемо </w:t>
      </w:r>
      <w:r>
        <w:t>алгоритм прийняття або спростування кожної з цих гіпотез залежно від отриманої в ході дослідження інформації.</w:t>
      </w:r>
    </w:p>
    <w:p w:rsidR="001E0A2A" w:rsidRDefault="00E079B6">
      <w:pPr>
        <w:rPr>
          <w:highlight w:val="white"/>
        </w:rPr>
      </w:pPr>
      <w:r>
        <w:rPr>
          <w:highlight w:val="white"/>
        </w:rPr>
        <w:t xml:space="preserve">H1: Гіпотеза про </w:t>
      </w:r>
      <w:r>
        <w:rPr>
          <w:highlight w:val="white"/>
        </w:rPr>
        <w:t xml:space="preserve">цільову аудиторію </w:t>
      </w:r>
      <w:r>
        <w:t>приймається я</w:t>
      </w:r>
      <w:r>
        <w:rPr>
          <w:highlight w:val="white"/>
        </w:rPr>
        <w:t>кщо виявлено невідповідність між поточною комунікацією та потребами різних сегментів і спростовується якщо комунікаційна політика виявляється добре адаптованою до потреб всіх сегментів.</w:t>
      </w:r>
    </w:p>
    <w:p w:rsidR="001E0A2A" w:rsidRDefault="00E079B6">
      <w:pPr>
        <w:rPr>
          <w:highlight w:val="white"/>
        </w:rPr>
      </w:pPr>
      <w:r>
        <w:rPr>
          <w:highlight w:val="white"/>
        </w:rPr>
        <w:t>H2: Гіпотеза про вікову групу 25-34 рок</w:t>
      </w:r>
      <w:r>
        <w:rPr>
          <w:highlight w:val="white"/>
        </w:rPr>
        <w:t xml:space="preserve">и </w:t>
      </w:r>
      <w:r>
        <w:t>приймається якщо ця вікова група виявляється найбільш активною та залученою, а якщо інші вікові групи демонструють аналогічний або вищий рівень активності, то гіпотеза спростовується.</w:t>
      </w:r>
    </w:p>
    <w:p w:rsidR="001E0A2A" w:rsidRDefault="00E079B6">
      <w:pPr>
        <w:rPr>
          <w:highlight w:val="white"/>
        </w:rPr>
      </w:pPr>
      <w:r>
        <w:rPr>
          <w:highlight w:val="white"/>
        </w:rPr>
        <w:t xml:space="preserve">H3: Гіпотеза про візуальний контент </w:t>
      </w:r>
      <w:r>
        <w:t>приймається я</w:t>
      </w:r>
      <w:r>
        <w:rPr>
          <w:highlight w:val="white"/>
        </w:rPr>
        <w:t xml:space="preserve">кщо </w:t>
      </w:r>
      <w:r>
        <w:t>візуальний контен</w:t>
      </w:r>
      <w:r>
        <w:t>т показує значно вищий рівень залученості та</w:t>
      </w:r>
      <w:r>
        <w:rPr>
          <w:highlight w:val="white"/>
        </w:rPr>
        <w:t xml:space="preserve"> спростовується якщо </w:t>
      </w:r>
      <w:r>
        <w:t>текстовий контент має аналогічний або вищий рівень залученості</w:t>
      </w:r>
      <w:r>
        <w:rPr>
          <w:highlight w:val="white"/>
        </w:rPr>
        <w:t>.</w:t>
      </w:r>
    </w:p>
    <w:p w:rsidR="001E0A2A" w:rsidRDefault="00E079B6">
      <w:r>
        <w:rPr>
          <w:highlight w:val="white"/>
        </w:rPr>
        <w:t xml:space="preserve">H4: </w:t>
      </w:r>
      <w:r>
        <w:t>Гіпотеза про контент та його сприйняття приймається якщо зворотний зв’язок та показники вказують на низьку зрозумілість або</w:t>
      </w:r>
      <w:r>
        <w:t xml:space="preserve"> досяжність повідомлень, а якщо більшість клієнтів вважають повідомлення зрозумілими, а показники конверсій високі, то гіпотеза спростовується.</w:t>
      </w:r>
    </w:p>
    <w:p w:rsidR="001E0A2A" w:rsidRDefault="00E079B6">
      <w:pPr>
        <w:rPr>
          <w:highlight w:val="white"/>
        </w:rPr>
      </w:pPr>
      <w:r>
        <w:rPr>
          <w:highlight w:val="white"/>
        </w:rPr>
        <w:t xml:space="preserve">H5: </w:t>
      </w:r>
      <w:r>
        <w:t>Гіпотеза про вплив конкурентного середовища приймається я</w:t>
      </w:r>
      <w:r>
        <w:rPr>
          <w:highlight w:val="white"/>
        </w:rPr>
        <w:t xml:space="preserve">кщо </w:t>
      </w:r>
      <w:r>
        <w:t>дані показують, що конкуренти мають більш ефект</w:t>
      </w:r>
      <w:r>
        <w:t xml:space="preserve">ивні стратегії залучення клієнтів </w:t>
      </w:r>
      <w:r>
        <w:rPr>
          <w:highlight w:val="white"/>
        </w:rPr>
        <w:t xml:space="preserve">і спростовується якщо </w:t>
      </w:r>
      <w:r>
        <w:t>МЦ «Mediland» має рівні або вищі показники ефективності.</w:t>
      </w:r>
    </w:p>
    <w:p w:rsidR="001E0A2A" w:rsidRDefault="00E079B6">
      <w:pPr>
        <w:rPr>
          <w:highlight w:val="white"/>
        </w:rPr>
      </w:pPr>
      <w:r>
        <w:lastRenderedPageBreak/>
        <w:t>Наступним кроком у підготовці до проведення дослідження є розробка блоку пошукових питань. Ці питання формуються відповідно до цілей та завдань</w:t>
      </w:r>
      <w:r>
        <w:t xml:space="preserve"> дослідження і до кожного з них визначаються методи, формат та джерела отримання необхідної інформації. </w:t>
      </w:r>
      <w:r>
        <w:rPr>
          <w:highlight w:val="white"/>
        </w:rPr>
        <w:t>Результати розробки пошукових питань по групам необхідної інформації зведемо у табл. 2.1. Розглядається тільки напрямок естетичної медицини, оскільки ес</w:t>
      </w:r>
      <w:r>
        <w:rPr>
          <w:highlight w:val="white"/>
        </w:rPr>
        <w:t>тетична медицина – це галузь медицини, що займається покращенням зовнішнього вигляду пацієнтів через різні медичні та косметичні процедури. Тобто, за цим напрямом клієнти звертаються добровільно та з власного побажання покращити свій зовнішній вигляд.</w:t>
      </w:r>
    </w:p>
    <w:p w:rsidR="001E0A2A" w:rsidRDefault="001E0A2A">
      <w:pPr>
        <w:jc w:val="left"/>
        <w:rPr>
          <w:highlight w:val="white"/>
        </w:rPr>
      </w:pPr>
    </w:p>
    <w:p w:rsidR="001E0A2A" w:rsidRDefault="00E079B6">
      <w:pPr>
        <w:jc w:val="left"/>
        <w:rPr>
          <w:rFonts w:ascii="Calibri" w:eastAsia="Calibri" w:hAnsi="Calibri" w:cs="Calibri"/>
          <w:sz w:val="22"/>
          <w:szCs w:val="22"/>
        </w:rPr>
      </w:pPr>
      <w:r>
        <w:rPr>
          <w:highlight w:val="white"/>
        </w:rPr>
        <w:t>Таблиця 2.1 – Завдання дослідження</w:t>
      </w:r>
      <w:r>
        <w:rPr>
          <w:noProof/>
          <w:lang w:val="en-US"/>
        </w:rPr>
        <mc:AlternateContent>
          <mc:Choice Requires="wpg">
            <w:drawing>
              <wp:anchor distT="0" distB="0" distL="114300" distR="114300" simplePos="0" relativeHeight="251662336" behindDoc="0" locked="0" layoutInCell="1" hidden="0" allowOverlap="1">
                <wp:simplePos x="0" y="0"/>
                <wp:positionH relativeFrom="column">
                  <wp:posOffset>622300</wp:posOffset>
                </wp:positionH>
                <wp:positionV relativeFrom="paragraph">
                  <wp:posOffset>177800</wp:posOffset>
                </wp:positionV>
                <wp:extent cx="63500" cy="58419"/>
                <wp:effectExtent l="0" t="0" r="0" b="0"/>
                <wp:wrapNone/>
                <wp:docPr id="182" name="Овал 182"/>
                <wp:cNvGraphicFramePr/>
                <a:graphic xmlns:a="http://schemas.openxmlformats.org/drawingml/2006/main">
                  <a:graphicData uri="http://schemas.microsoft.com/office/word/2010/wordprocessingShape">
                    <wps:wsp>
                      <wps:cNvSpPr/>
                      <wps:spPr>
                        <a:xfrm>
                          <a:off x="5320600" y="3757141"/>
                          <a:ext cx="50800" cy="45719"/>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622300</wp:posOffset>
                </wp:positionH>
                <wp:positionV relativeFrom="paragraph">
                  <wp:posOffset>177800</wp:posOffset>
                </wp:positionV>
                <wp:extent cx="63500" cy="58419"/>
                <wp:effectExtent b="0" l="0" r="0" t="0"/>
                <wp:wrapNone/>
                <wp:docPr id="182" name="image16.png"/>
                <a:graphic>
                  <a:graphicData uri="http://schemas.openxmlformats.org/drawingml/2006/picture">
                    <pic:pic>
                      <pic:nvPicPr>
                        <pic:cNvPr id="0" name="image16.png"/>
                        <pic:cNvPicPr preferRelativeResize="0"/>
                      </pic:nvPicPr>
                      <pic:blipFill>
                        <a:blip r:embed="rId19"/>
                        <a:srcRect/>
                        <a:stretch>
                          <a:fillRect/>
                        </a:stretch>
                      </pic:blipFill>
                      <pic:spPr>
                        <a:xfrm>
                          <a:off x="0" y="0"/>
                          <a:ext cx="63500" cy="58419"/>
                        </a:xfrm>
                        <a:prstGeom prst="rect"/>
                        <a:ln/>
                      </pic:spPr>
                    </pic:pic>
                  </a:graphicData>
                </a:graphic>
              </wp:anchor>
            </w:drawing>
          </mc:Fallback>
        </mc:AlternateContent>
      </w:r>
    </w:p>
    <w:tbl>
      <w:tblPr>
        <w:tblStyle w:val="afe"/>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73"/>
        <w:gridCol w:w="1815"/>
        <w:gridCol w:w="3006"/>
        <w:gridCol w:w="2494"/>
        <w:gridCol w:w="1957"/>
      </w:tblGrid>
      <w:tr w:rsidR="001E0A2A">
        <w:trPr>
          <w:trHeight w:val="948"/>
          <w:tblHeader/>
        </w:trPr>
        <w:tc>
          <w:tcPr>
            <w:tcW w:w="97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з/п</w:t>
            </w:r>
          </w:p>
        </w:tc>
        <w:tc>
          <w:tcPr>
            <w:tcW w:w="1815"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Завдання дослідження</w:t>
            </w:r>
            <w:r>
              <w:rPr>
                <w:noProof/>
                <w:lang w:val="en-US"/>
              </w:rPr>
              <mc:AlternateContent>
                <mc:Choice Requires="wpg">
                  <w:drawing>
                    <wp:anchor distT="0" distB="0" distL="0" distR="0" simplePos="0" relativeHeight="251663360" behindDoc="1" locked="0" layoutInCell="1" hidden="0" allowOverlap="1">
                      <wp:simplePos x="0" y="0"/>
                      <wp:positionH relativeFrom="column">
                        <wp:posOffset>-253999</wp:posOffset>
                      </wp:positionH>
                      <wp:positionV relativeFrom="paragraph">
                        <wp:posOffset>-482599</wp:posOffset>
                      </wp:positionV>
                      <wp:extent cx="2228850" cy="304800"/>
                      <wp:effectExtent l="0" t="0" r="0" b="0"/>
                      <wp:wrapNone/>
                      <wp:docPr id="188" name="Прямоугольник 188"/>
                      <wp:cNvGraphicFramePr/>
                      <a:graphic xmlns:a="http://schemas.openxmlformats.org/drawingml/2006/main">
                        <a:graphicData uri="http://schemas.microsoft.com/office/word/2010/wordprocessingShape">
                          <wps:wsp>
                            <wps:cNvSpPr/>
                            <wps:spPr>
                              <a:xfrm>
                                <a:off x="4236338" y="3632363"/>
                                <a:ext cx="2219325" cy="295275"/>
                              </a:xfrm>
                              <a:prstGeom prst="rect">
                                <a:avLst/>
                              </a:prstGeom>
                              <a:solidFill>
                                <a:schemeClr val="lt1"/>
                              </a:solidFill>
                              <a:ln>
                                <a:noFill/>
                              </a:ln>
                            </wps:spPr>
                            <wps:txbx>
                              <w:txbxContent>
                                <w:p w:rsidR="001E0A2A" w:rsidRDefault="00E079B6">
                                  <w:pPr>
                                    <w:ind w:firstLine="0"/>
                                    <w:textDirection w:val="btLr"/>
                                  </w:pPr>
                                  <w:r>
                                    <w:rPr>
                                      <w:color w:val="000000"/>
                                    </w:rPr>
                                    <w:t>Продовження таблиці 2.1</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0" distT="0" distL="0" distR="0" hidden="0" layoutInCell="1" locked="0" relativeHeight="0" simplePos="0">
                      <wp:simplePos x="0" y="0"/>
                      <wp:positionH relativeFrom="column">
                        <wp:posOffset>-253999</wp:posOffset>
                      </wp:positionH>
                      <wp:positionV relativeFrom="paragraph">
                        <wp:posOffset>-482599</wp:posOffset>
                      </wp:positionV>
                      <wp:extent cx="2228850" cy="304800"/>
                      <wp:effectExtent b="0" l="0" r="0" t="0"/>
                      <wp:wrapNone/>
                      <wp:docPr id="188" name="image24.png"/>
                      <a:graphic>
                        <a:graphicData uri="http://schemas.openxmlformats.org/drawingml/2006/picture">
                          <pic:pic>
                            <pic:nvPicPr>
                              <pic:cNvPr id="0" name="image24.png"/>
                              <pic:cNvPicPr preferRelativeResize="0"/>
                            </pic:nvPicPr>
                            <pic:blipFill>
                              <a:blip r:embed="rId20"/>
                              <a:srcRect/>
                              <a:stretch>
                                <a:fillRect/>
                              </a:stretch>
                            </pic:blipFill>
                            <pic:spPr>
                              <a:xfrm>
                                <a:off x="0" y="0"/>
                                <a:ext cx="2228850" cy="304800"/>
                              </a:xfrm>
                              <a:prstGeom prst="rect"/>
                              <a:ln/>
                            </pic:spPr>
                          </pic:pic>
                        </a:graphicData>
                      </a:graphic>
                    </wp:anchor>
                  </w:drawing>
                </mc:Fallback>
              </mc:AlternateContent>
            </w:r>
          </w:p>
        </w:tc>
        <w:tc>
          <w:tcPr>
            <w:tcW w:w="3006"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Пошукові питання</w:t>
            </w:r>
          </w:p>
        </w:tc>
        <w:tc>
          <w:tcPr>
            <w:tcW w:w="2494"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Метод отримання та джерело інформації</w:t>
            </w:r>
          </w:p>
        </w:tc>
        <w:tc>
          <w:tcPr>
            <w:tcW w:w="1957"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Формат отриманої інформації</w:t>
            </w:r>
          </w:p>
        </w:tc>
      </w:tr>
      <w:tr w:rsidR="001E0A2A">
        <w:trPr>
          <w:trHeight w:val="936"/>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w:t>
            </w:r>
          </w:p>
        </w:tc>
        <w:tc>
          <w:tcPr>
            <w:tcW w:w="1815" w:type="dxa"/>
            <w:vMerge w:val="restart"/>
            <w:shd w:val="clear" w:color="auto" w:fill="auto"/>
          </w:tcPr>
          <w:p w:rsidR="001E0A2A" w:rsidRDefault="00E079B6">
            <w:pPr>
              <w:spacing w:line="240" w:lineRule="auto"/>
              <w:ind w:firstLine="0"/>
              <w:jc w:val="left"/>
              <w:rPr>
                <w:color w:val="000000"/>
                <w:sz w:val="24"/>
                <w:szCs w:val="24"/>
              </w:rPr>
            </w:pPr>
            <w:r>
              <w:rPr>
                <w:color w:val="000000"/>
                <w:sz w:val="24"/>
                <w:szCs w:val="24"/>
              </w:rPr>
              <w:t>Аналіз поточної комунікаційної політики</w:t>
            </w: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основні завдання системи маркетингових комунікацій</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та первинна інформація  – внутрішня документація та бесіда з керівництвом</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опис</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2</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канали комунікації використовуються медичним центром для взаємодії з клієнтами</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інформація – внутрішні звіти</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перелік каналів комунікації</w:t>
            </w:r>
          </w:p>
        </w:tc>
      </w:tr>
      <w:tr w:rsidR="001E0A2A">
        <w:trPr>
          <w:trHeight w:val="1560"/>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3</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повідомлення та зміст передаються через ці канали</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інформація – соц мережі, рекламні матеріали, електронні розсилки і тд</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опис, візуальні матеріали</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4</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 часто використовуються кожен з каналів комунікації</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інформація – соц мережі, рекламні матеріали, електронні розсилки і тд</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Таблиці з частотою публікацій</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5</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існують внутрішні процедури для оцінки ефективності комунікаційної політики</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та первинна інформація – бесіда з керівництвом та співробітниками, внутрішні документи</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опис</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lastRenderedPageBreak/>
              <w:t>6</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Яка ефективність кожного з використовуваних комунікаційних каналів</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інформація – внутрішні звіти. 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Розраховані показники ефективності</w:t>
            </w:r>
          </w:p>
        </w:tc>
      </w:tr>
      <w:tr w:rsidR="001E0A2A">
        <w:trPr>
          <w:trHeight w:val="936"/>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lastRenderedPageBreak/>
              <w:t>7</w:t>
            </w:r>
          </w:p>
        </w:tc>
        <w:tc>
          <w:tcPr>
            <w:tcW w:w="1815" w:type="dxa"/>
            <w:vMerge w:val="restart"/>
            <w:shd w:val="clear" w:color="auto" w:fill="auto"/>
          </w:tcPr>
          <w:p w:rsidR="001E0A2A" w:rsidRDefault="00E079B6">
            <w:pPr>
              <w:spacing w:line="240" w:lineRule="auto"/>
              <w:ind w:firstLine="0"/>
              <w:jc w:val="left"/>
              <w:rPr>
                <w:color w:val="000000"/>
                <w:sz w:val="24"/>
                <w:szCs w:val="24"/>
              </w:rPr>
            </w:pPr>
            <w:r>
              <w:rPr>
                <w:color w:val="000000"/>
                <w:sz w:val="24"/>
                <w:szCs w:val="24"/>
              </w:rPr>
              <w:t>Визначення цільової аудиторії                                    та ї</w:t>
            </w:r>
            <w:r>
              <w:rPr>
                <w:color w:val="000000"/>
                <w:sz w:val="24"/>
                <w:szCs w:val="24"/>
              </w:rPr>
              <w:t>ї потреб</w:t>
            </w: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Хто є цільовою аудиторією</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інформація – бесіда з керівництвом</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опис</w:t>
            </w:r>
          </w:p>
        </w:tc>
      </w:tr>
      <w:tr w:rsidR="001E0A2A">
        <w:trPr>
          <w:trHeight w:val="1872"/>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8</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Хто є основною аудиторією медичного центру (вікова група, стать і тд)</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внутрішня інформація – статистика з каналів комунікацій. 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Таблиці з демографічними даними</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9</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чинники впливають на рішення клієнтів скористатися послугами медичного центру</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Гістаграма</w:t>
            </w:r>
          </w:p>
        </w:tc>
      </w:tr>
      <w:tr w:rsidR="001E0A2A">
        <w:trPr>
          <w:trHeight w:val="624"/>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10</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 клієнти дізнаються про послуги медичного центру</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Гістаграми</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11</w:t>
            </w:r>
          </w:p>
        </w:tc>
        <w:tc>
          <w:tcPr>
            <w:tcW w:w="1815" w:type="dxa"/>
            <w:vMerge w:val="restart"/>
            <w:shd w:val="clear" w:color="auto" w:fill="auto"/>
          </w:tcPr>
          <w:p w:rsidR="001E0A2A" w:rsidRDefault="00E079B6">
            <w:pPr>
              <w:spacing w:line="240" w:lineRule="auto"/>
              <w:ind w:firstLine="0"/>
              <w:jc w:val="left"/>
              <w:rPr>
                <w:color w:val="000000"/>
                <w:sz w:val="24"/>
                <w:szCs w:val="24"/>
              </w:rPr>
            </w:pPr>
            <w:r>
              <w:rPr>
                <w:color w:val="000000"/>
                <w:sz w:val="24"/>
                <w:szCs w:val="24"/>
              </w:rPr>
              <w:t>Аналіз конкурентного середовища</w:t>
            </w: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Хто є основними конкурентами медичного центру на ринку естетичної медицини</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зовнішня інформація – звіти про ринок, веб–сайти конкурентів</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Перелік основних конкурентів</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12</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комунікаційні стратегії використовують конкуренти</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зовнішня інформація – веб–сайти конкурентів, рекламні платформи</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 xml:space="preserve">Текстовий опис </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13</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сильні та слабкі сторони комунікаційної політики конкурентів</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зовнішня інформація – веб–сайти конкурентів, відгуки клієнтів</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Таблиця та текстовий опис</w:t>
            </w:r>
          </w:p>
        </w:tc>
      </w:tr>
      <w:tr w:rsidR="001E0A2A">
        <w:trPr>
          <w:trHeight w:val="1248"/>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14</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 клієнти оцінюють комунікацію конкурентів у порівнянні з медичним центром</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 Гістограма</w:t>
            </w:r>
          </w:p>
        </w:tc>
      </w:tr>
      <w:tr w:rsidR="001E0A2A">
        <w:trPr>
          <w:trHeight w:val="1560"/>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15</w:t>
            </w:r>
          </w:p>
        </w:tc>
        <w:tc>
          <w:tcPr>
            <w:tcW w:w="1815" w:type="dxa"/>
            <w:vMerge w:val="restart"/>
            <w:shd w:val="clear" w:color="auto" w:fill="auto"/>
          </w:tcPr>
          <w:p w:rsidR="001E0A2A" w:rsidRDefault="00E079B6">
            <w:pPr>
              <w:spacing w:line="240" w:lineRule="auto"/>
              <w:ind w:firstLine="0"/>
              <w:jc w:val="left"/>
              <w:rPr>
                <w:color w:val="000000"/>
                <w:sz w:val="24"/>
                <w:szCs w:val="24"/>
              </w:rPr>
            </w:pPr>
            <w:r>
              <w:rPr>
                <w:color w:val="000000"/>
                <w:sz w:val="24"/>
                <w:szCs w:val="24"/>
              </w:rPr>
              <w:t xml:space="preserve">Виявлення нових можливостей для розвитку </w:t>
            </w:r>
            <w:r>
              <w:rPr>
                <w:color w:val="000000"/>
                <w:sz w:val="24"/>
                <w:szCs w:val="24"/>
              </w:rPr>
              <w:lastRenderedPageBreak/>
              <w:t>комунікаційної політики</w:t>
            </w: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lastRenderedPageBreak/>
              <w:t>Які інноваційні методи комунікації використовується у галузі естетичної медицини та суміжних сферах</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зовнішня інформація – наукові журнали, спеціалізована література</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Перелік методів з коротким описом</w:t>
            </w:r>
          </w:p>
        </w:tc>
      </w:tr>
      <w:tr w:rsidR="001E0A2A">
        <w:trPr>
          <w:trHeight w:val="936"/>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lastRenderedPageBreak/>
              <w:t>16</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Який рівень задоволеності клієнтів наявною комунікаційною політикою</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 Діаграма</w:t>
            </w:r>
          </w:p>
        </w:tc>
      </w:tr>
      <w:tr w:rsidR="001E0A2A">
        <w:trPr>
          <w:trHeight w:val="1872"/>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lastRenderedPageBreak/>
              <w:t>17</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додаткові канали комунікації можуть бути ефективними для залучення нових клієнтів</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Вторинна зовнішня інформація – аналіз ринкових трендів, ринкові звіти. 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перелік каналів комунікації</w:t>
            </w:r>
          </w:p>
        </w:tc>
      </w:tr>
      <w:tr w:rsidR="001E0A2A">
        <w:trPr>
          <w:trHeight w:val="936"/>
        </w:trPr>
        <w:tc>
          <w:tcPr>
            <w:tcW w:w="973" w:type="dxa"/>
            <w:shd w:val="clear" w:color="auto" w:fill="auto"/>
          </w:tcPr>
          <w:p w:rsidR="001E0A2A" w:rsidRDefault="00E079B6">
            <w:pPr>
              <w:spacing w:line="240" w:lineRule="auto"/>
              <w:ind w:firstLine="0"/>
              <w:jc w:val="center"/>
              <w:rPr>
                <w:color w:val="000000"/>
                <w:sz w:val="24"/>
                <w:szCs w:val="24"/>
              </w:rPr>
            </w:pPr>
            <w:r>
              <w:rPr>
                <w:color w:val="000000"/>
                <w:sz w:val="24"/>
                <w:szCs w:val="24"/>
              </w:rPr>
              <w:t>18</w:t>
            </w:r>
          </w:p>
        </w:tc>
        <w:tc>
          <w:tcPr>
            <w:tcW w:w="1815" w:type="dxa"/>
            <w:vMerge/>
            <w:shd w:val="clear" w:color="auto" w:fill="auto"/>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3006" w:type="dxa"/>
            <w:shd w:val="clear" w:color="auto" w:fill="auto"/>
          </w:tcPr>
          <w:p w:rsidR="001E0A2A" w:rsidRDefault="00E079B6">
            <w:pPr>
              <w:spacing w:line="240" w:lineRule="auto"/>
              <w:ind w:firstLine="0"/>
              <w:jc w:val="left"/>
              <w:rPr>
                <w:color w:val="000000"/>
                <w:sz w:val="24"/>
                <w:szCs w:val="24"/>
              </w:rPr>
            </w:pPr>
            <w:r>
              <w:rPr>
                <w:color w:val="000000"/>
                <w:sz w:val="24"/>
                <w:szCs w:val="24"/>
              </w:rPr>
              <w:t>Які є основні проблеми і недоліки комунікаційної політики медичного центру</w:t>
            </w:r>
          </w:p>
        </w:tc>
        <w:tc>
          <w:tcPr>
            <w:tcW w:w="2494" w:type="dxa"/>
            <w:shd w:val="clear" w:color="auto" w:fill="auto"/>
          </w:tcPr>
          <w:p w:rsidR="001E0A2A" w:rsidRDefault="00E079B6">
            <w:pPr>
              <w:spacing w:line="240" w:lineRule="auto"/>
              <w:ind w:firstLine="0"/>
              <w:jc w:val="left"/>
              <w:rPr>
                <w:color w:val="000000"/>
                <w:sz w:val="24"/>
                <w:szCs w:val="24"/>
              </w:rPr>
            </w:pPr>
            <w:r>
              <w:rPr>
                <w:color w:val="000000"/>
                <w:sz w:val="24"/>
                <w:szCs w:val="24"/>
              </w:rPr>
              <w:t>Первинна інформація – опитування</w:t>
            </w:r>
          </w:p>
        </w:tc>
        <w:tc>
          <w:tcPr>
            <w:tcW w:w="1957" w:type="dxa"/>
            <w:shd w:val="clear" w:color="auto" w:fill="auto"/>
          </w:tcPr>
          <w:p w:rsidR="001E0A2A" w:rsidRDefault="00E079B6">
            <w:pPr>
              <w:spacing w:line="240" w:lineRule="auto"/>
              <w:ind w:firstLine="0"/>
              <w:jc w:val="left"/>
              <w:rPr>
                <w:color w:val="000000"/>
                <w:sz w:val="24"/>
                <w:szCs w:val="24"/>
              </w:rPr>
            </w:pPr>
            <w:r>
              <w:rPr>
                <w:color w:val="000000"/>
                <w:sz w:val="24"/>
                <w:szCs w:val="24"/>
              </w:rPr>
              <w:t>Текстовий опис</w:t>
            </w:r>
          </w:p>
        </w:tc>
      </w:tr>
    </w:tbl>
    <w:p w:rsidR="001E0A2A" w:rsidRDefault="00E079B6">
      <w:pPr>
        <w:jc w:val="left"/>
        <w:rPr>
          <w:highlight w:val="white"/>
        </w:rPr>
      </w:pPr>
      <w:r>
        <w:rPr>
          <w:highlight w:val="white"/>
        </w:rPr>
        <w:t xml:space="preserve"> Джерело: розроблено автором.</w:t>
      </w:r>
    </w:p>
    <w:p w:rsidR="001E0A2A" w:rsidRDefault="001E0A2A">
      <w:pPr>
        <w:ind w:firstLine="0"/>
        <w:rPr>
          <w:highlight w:val="white"/>
        </w:rPr>
      </w:pPr>
    </w:p>
    <w:p w:rsidR="001E0A2A" w:rsidRDefault="00E079B6">
      <w:r>
        <w:t>У таблиці 2.1 запропоновано розглядати 18 пошукових питання, що відповідають 4 завданням дослідження.</w:t>
      </w:r>
      <w:r>
        <w:t xml:space="preserve"> Методи отримання інформації – це кабінетні та польові дослідження, джерела – внутрішня інформація підприємства та зовнішня інформація з різних джерел, а також опитування споживачів. Формат отриманої інформації є переважно описовим. Розглянемо доцільність </w:t>
      </w:r>
      <w:r>
        <w:t>пошукових питань, що були запропоновані у таблиці 2.1. Детально розглянемо кожне пошукове питання з обґрунтуванням важливості для проведення дослідження.</w:t>
      </w:r>
    </w:p>
    <w:p w:rsidR="001E0A2A" w:rsidRDefault="00E079B6">
      <w:r>
        <w:t>Пошукове питання №1: Які основні завдання системи маркетингових комунікацій. Метою цього питання є діз</w:t>
      </w:r>
      <w:r>
        <w:t>натися головні цілі та посили маркетингових комунікацій, що в подальшому допоможе порівняти їх з тими посилами, що реалізовуються системою комунікацій та проаналізувати чи підходять вони цільовій аудиторії підприємства. Джерелами отримання інформації є вну</w:t>
      </w:r>
      <w:r>
        <w:t>трішня документація медичного центру та бесіда з керівництвом. Планується отримати текстовий опис у відповідь, що буде тезисно представлений у презентації.</w:t>
      </w:r>
    </w:p>
    <w:p w:rsidR="001E0A2A" w:rsidRDefault="00E079B6">
      <w:r>
        <w:t>Пошукове питання №2: Які канали комунікації використовуються медичним центром для взаємодії з клієнт</w:t>
      </w:r>
      <w:r>
        <w:t xml:space="preserve">ами. Метою цього питання є ідентифікувати наявні канали комунікації для аналізу та загального дослідження комунікаційної політики. </w:t>
      </w:r>
      <w:r>
        <w:lastRenderedPageBreak/>
        <w:t>Планується отримати текстовий перелік каналів комунікацій з внутрішньої документації, бесіда з співробітниками та безпосередн</w:t>
      </w:r>
      <w:r>
        <w:t xml:space="preserve">ьо з цих каналів.  </w:t>
      </w:r>
    </w:p>
    <w:p w:rsidR="001E0A2A" w:rsidRDefault="00E079B6">
      <w:r>
        <w:t>Пошукове питання №3: Які повідомлення та зміст передаються через ці канали. Якісний аналіз контенту з використовуваних каналів комунікації має на меті порівняння з посилами, які відповідають цільовій аудиторії та комунікаційній стратегі</w:t>
      </w:r>
      <w:r>
        <w:t>ї медичного центру. Планується отримати інформацію у вигляді тексту з описом видів контенту, що поширює медичний центр.</w:t>
      </w:r>
    </w:p>
    <w:p w:rsidR="001E0A2A" w:rsidRDefault="00E079B6">
      <w:r>
        <w:t>Пошукове питання №4: Як часто використовуються кожен з каналів комунікації. Аналіз періодичності та частоти публікацій у каналах комунік</w:t>
      </w:r>
      <w:r>
        <w:t>ацій розкриє які канали використовуються найбільше. Джерелами інформації є канали комунікації підприємства.</w:t>
      </w:r>
    </w:p>
    <w:p w:rsidR="001E0A2A" w:rsidRDefault="00E079B6">
      <w:r>
        <w:t>Пошукове питання №5: Які існують внутрішні процедури для оцінки ефективності комунікаційної політики. Метою питання є дізнатися наявні показники ефе</w:t>
      </w:r>
      <w:r>
        <w:t xml:space="preserve">ктивності, що використовує медичний центр. Джерелом отримання інформації є внутрішні звіти. </w:t>
      </w:r>
    </w:p>
    <w:p w:rsidR="001E0A2A" w:rsidRDefault="00E079B6">
      <w:r>
        <w:t xml:space="preserve">Пошукове питання №6: Яка ефективність кожного з використовуваних комунікаційних каналів. За визначеними в попередньому питанні показниками оцінюється ефективність </w:t>
      </w:r>
      <w:r>
        <w:t>каналів комунікації. Джерелами інформації є внутрішні звіти та самі канали комунікацій.</w:t>
      </w:r>
    </w:p>
    <w:p w:rsidR="001E0A2A" w:rsidRDefault="00E079B6">
      <w:r>
        <w:t>Пошукове питання №7: Хто є цільовою аудиторією. Це питання розкриє на яких сегментах медичному центру варто зосередити свої зусилля. Джерело інформації – бесіда з керів</w:t>
      </w:r>
      <w:r>
        <w:t>ництвом. Планується отримати опис цільової аудиторії, яку прагне мати підприємство.</w:t>
      </w:r>
    </w:p>
    <w:p w:rsidR="001E0A2A" w:rsidRDefault="00E079B6">
      <w:r>
        <w:t xml:space="preserve">Пошукове питання №8: Хто є основною аудиторією медичного центру. Метою цього питання є дізнатися демографічні дані наявної аудиторії для порівняння з цільовою аудиторією. Джерелами інформації є внутрішні статистики та опитування. </w:t>
      </w:r>
    </w:p>
    <w:p w:rsidR="001E0A2A" w:rsidRDefault="00E079B6">
      <w:r>
        <w:t xml:space="preserve">Пошукове питання №9: Які </w:t>
      </w:r>
      <w:r>
        <w:t xml:space="preserve">чинники впливають на рішення клієнтів скористатися послугами медичного центру. Мета цього питання зрозуміти значущість різних чинників, таких як ціна, місцезнаходження, реклама та інше, для </w:t>
      </w:r>
      <w:r>
        <w:lastRenderedPageBreak/>
        <w:t>вибору медичного центру з послугами естетичної медицини. Дані отри</w:t>
      </w:r>
      <w:r>
        <w:t>муються з питання анкети прорангувати чинники за важливістю. Далі відкрите питання розшифровується, та при наявності повторюваних важливих чинників, вони вносяться до визначених і виділяється топ 5 чинників. Вони дозволять краще зрозуміти споживачів та роб</w:t>
      </w:r>
      <w:r>
        <w:t>ити акцент на них у комунікаціях.</w:t>
      </w:r>
    </w:p>
    <w:p w:rsidR="001E0A2A" w:rsidRDefault="00E079B6">
      <w:r>
        <w:t>Пошукове питання №10: Як клієнти дізнаються про послуги медичного центру. Це питання розкриє які джерела пошуку інформації споживачі використовують частіше. Джерелом отримання цієї інформації є питання з варіантами відпові</w:t>
      </w:r>
      <w:r>
        <w:t>дей з опитування про те, як споживач дізнався про медичний центр, де його бачив та за якими каналами слідкує. Отримана інформація буде представлена у форматі гістограми та буде використана для аналізу ефективності каналів комунікації.</w:t>
      </w:r>
    </w:p>
    <w:p w:rsidR="001E0A2A" w:rsidRDefault="00E079B6">
      <w:r>
        <w:t>Пошукове питання №11:</w:t>
      </w:r>
      <w:r>
        <w:t xml:space="preserve"> Хто є основними конкурентами медичного центру на ринку естетичної медицини. Мета цього питання визначити основних конкурентів для подальшого аналізу їх комунікаційних стратегій. </w:t>
      </w:r>
    </w:p>
    <w:p w:rsidR="001E0A2A" w:rsidRDefault="00E079B6">
      <w:r>
        <w:t>Пошукове питання №12: Які комунікаційні стратегії використовують конкуренти.</w:t>
      </w:r>
      <w:r>
        <w:t xml:space="preserve"> Аналіз комунікацій визначених конкурентів допоможе порівняти їхні стратегії з використовуваними медичним центром «Mediland» з напрямку естетичної медицини. Планується отримати інформацію про головні посили комунікацій конкурентів та на чому вони роблять а</w:t>
      </w:r>
      <w:r>
        <w:t>кценти.</w:t>
      </w:r>
    </w:p>
    <w:p w:rsidR="001E0A2A" w:rsidRDefault="00E079B6">
      <w:r>
        <w:t>Пошукове питання №13: Які сильні та слабкі сторони комунікаційної політики конкурентів. Саме порівняння визначених в попередньому питанні стратегій конкурентів з використовуваними медичним центром «Mediland» з напрямку естетичної медицини виявить с</w:t>
      </w:r>
      <w:r>
        <w:t xml:space="preserve">ильні та слабкі сторони комунікаційної політики. </w:t>
      </w:r>
    </w:p>
    <w:p w:rsidR="001E0A2A" w:rsidRDefault="00E079B6">
      <w:r>
        <w:t>Пошукове питання №14: Як клієнти оцінюють комунікацію конкурентів у порівнянні з медичним центром. Це питання  розкриє сильні та слабкі сторони комунікаційної політики медичного центру «Mediland» з точки зо</w:t>
      </w:r>
      <w:r>
        <w:t xml:space="preserve">ру споживачів. Джерелом отримання інформації є питання з опитування про оцінку комунікацій конкурентів. Отриману інформацію буде порівняно з іншими результатами </w:t>
      </w:r>
      <w:r>
        <w:lastRenderedPageBreak/>
        <w:t>дослідження та використана для виявлення можливостей розвитку комунікаційної політики.</w:t>
      </w:r>
    </w:p>
    <w:p w:rsidR="001E0A2A" w:rsidRDefault="00E079B6">
      <w:r>
        <w:t>Пошукове</w:t>
      </w:r>
      <w:r>
        <w:t xml:space="preserve"> питання №15: Які інноваційні методи комунікації використовується у галузі естетичної медицини та суміжних сферах. Метою цього питання є дізнатися тенденції в комунікаціях. Дослідження трендів та галузі дозволить знайти інноваційний підхід до комунікаційно</w:t>
      </w:r>
      <w:r>
        <w:t xml:space="preserve">ї політики підприємства. </w:t>
      </w:r>
    </w:p>
    <w:p w:rsidR="001E0A2A" w:rsidRDefault="00E079B6">
      <w:r>
        <w:t xml:space="preserve">Пошукове питання №16: Який рівень задоволеності клієнтів наявною комунікаційною політикою. Це питання розкриє як клієнти сприймають комунікаційну політику медичного центру. Джерелом отримання інформації є питання з опитування про </w:t>
      </w:r>
      <w:r>
        <w:t xml:space="preserve">оцінку наявної комунікаційної політики. </w:t>
      </w:r>
    </w:p>
    <w:p w:rsidR="001E0A2A" w:rsidRDefault="00E079B6">
      <w:r>
        <w:t>Пошукове питання №17: Які додаткові канали комунікації можуть бути ефективними для залучення нових клієнтів. Метою цього питання є виявити додаткові канали комунікації для медичного центру. Планується отримати перел</w:t>
      </w:r>
      <w:r>
        <w:t>ік каналів, що можуть бути ефективними для залучення нових клієнтів. Джерелом інформації слугують питання з анкети про побажання клієнтів та «6. Де ви зазвичай шукаєте  медичні центри та клініки, щоб скористатися послугами естетичної медицини?».</w:t>
      </w:r>
    </w:p>
    <w:p w:rsidR="001E0A2A" w:rsidRDefault="00E079B6">
      <w:r>
        <w:t>Пошукове п</w:t>
      </w:r>
      <w:r>
        <w:t>итання №18: Які є основні проблеми і недоліки комунікаційної політики медичного центру. Це пошукове питання розкриває слабкі сторони комунікаційної політики медичного центру. Планується отримати конкретні зауваження від клієнтів шляхом аналізу відповідей н</w:t>
      </w:r>
      <w:r>
        <w:t xml:space="preserve">а відкриті питання анкети: «18. Що вас не влаштовує в наявних комунікаціях МЦ «Mediland»?» та «19. Щоб ви хотіли додати або змінити в комунікаціях МЦ «Mediland»?». </w:t>
      </w:r>
    </w:p>
    <w:p w:rsidR="001E0A2A" w:rsidRDefault="00E079B6">
      <w:r>
        <w:t>Отже, під час розробки та аналізу пошукових питань виконувалося дослідження кожного питання</w:t>
      </w:r>
      <w:r>
        <w:t xml:space="preserve"> окремо з метою обґрунтування їхньої доцільності для отримання детальної інформації. Цей процес включав в себе не лише визначення самого питання, але й аналіз можливих джерел інформації, способів збору даних та їхньої релевантності для досліджуваної пробле</w:t>
      </w:r>
      <w:r>
        <w:t xml:space="preserve">ми. Кожне питання ретельно перевірялося на важливість та актуальність у контексті поставленої мети </w:t>
      </w:r>
      <w:r>
        <w:lastRenderedPageBreak/>
        <w:t>дослідження, щоб забезпечити збирання якісних та значущих даних для подальшого аналізу.</w:t>
      </w:r>
    </w:p>
    <w:p w:rsidR="001E0A2A" w:rsidRDefault="001E0A2A"/>
    <w:p w:rsidR="001E0A2A" w:rsidRDefault="00E079B6">
      <w:pPr>
        <w:pStyle w:val="2"/>
      </w:pPr>
      <w:bookmarkStart w:id="11" w:name="_heading=h.17dp8vu" w:colFirst="0" w:colLast="0"/>
      <w:bookmarkEnd w:id="11"/>
      <w:r>
        <w:t>2.3 Планування та організація збору даних</w:t>
      </w:r>
    </w:p>
    <w:p w:rsidR="001E0A2A" w:rsidRDefault="001E0A2A"/>
    <w:p w:rsidR="001E0A2A" w:rsidRDefault="00E079B6">
      <w:r>
        <w:t xml:space="preserve">Визначення методів збору </w:t>
      </w:r>
      <w:r>
        <w:t>інформації є важливим етапом при плануванні дослідження. При проведенні дослідження застосовані кабінетні та польові методи дослідження. У навчально-методичному комплексі з маркетингових досліджень, створеному С.О. Солнцевим та О.В. Черненко [30] визначено</w:t>
      </w:r>
      <w:r>
        <w:t>: «Кабінетні дослідження (desk research) – збір та аналіз вторинних даних, що були зібрані раніше для цілей, відмінних від цілей даних маркетингових досліджень».  У цьому дослідженні застосовано три методи кабінетних досліджень:</w:t>
      </w:r>
    </w:p>
    <w:p w:rsidR="001E0A2A" w:rsidRDefault="00E079B6">
      <w:pPr>
        <w:numPr>
          <w:ilvl w:val="0"/>
          <w:numId w:val="47"/>
        </w:numPr>
        <w:pBdr>
          <w:top w:val="nil"/>
          <w:left w:val="nil"/>
          <w:bottom w:val="nil"/>
          <w:right w:val="nil"/>
          <w:between w:val="nil"/>
        </w:pBdr>
        <w:ind w:left="0" w:firstLine="720"/>
      </w:pPr>
      <w:r>
        <w:rPr>
          <w:color w:val="000000"/>
        </w:rPr>
        <w:t>Традиційний (класичний) ана</w:t>
      </w:r>
      <w:r>
        <w:rPr>
          <w:color w:val="000000"/>
        </w:rPr>
        <w:t>ліз – осмислення та інтерпретація документів, що містять дані, що стосуються проблематики дослідження.</w:t>
      </w:r>
    </w:p>
    <w:p w:rsidR="001E0A2A" w:rsidRDefault="00E079B6">
      <w:pPr>
        <w:numPr>
          <w:ilvl w:val="0"/>
          <w:numId w:val="47"/>
        </w:numPr>
        <w:pBdr>
          <w:top w:val="nil"/>
          <w:left w:val="nil"/>
          <w:bottom w:val="nil"/>
          <w:right w:val="nil"/>
          <w:between w:val="nil"/>
        </w:pBdr>
        <w:ind w:left="0" w:firstLine="720"/>
      </w:pPr>
      <w:r>
        <w:rPr>
          <w:color w:val="000000"/>
        </w:rPr>
        <w:t>Контент–аналіз (content analysis) – змістовна інтерпретація кількісних закономірностей визначених смислових одиниць при аналізі власних комунікацій та комунікаційної діяльності конкурентів.</w:t>
      </w:r>
    </w:p>
    <w:p w:rsidR="001E0A2A" w:rsidRDefault="00E079B6">
      <w:pPr>
        <w:numPr>
          <w:ilvl w:val="0"/>
          <w:numId w:val="47"/>
        </w:numPr>
        <w:pBdr>
          <w:top w:val="nil"/>
          <w:left w:val="nil"/>
          <w:bottom w:val="nil"/>
          <w:right w:val="nil"/>
          <w:between w:val="nil"/>
        </w:pBdr>
        <w:ind w:left="0" w:firstLine="720"/>
      </w:pPr>
      <w:r>
        <w:rPr>
          <w:color w:val="000000"/>
        </w:rPr>
        <w:t>Метод кейсів (case study) – дослідження характерних проявів дослід</w:t>
      </w:r>
      <w:r>
        <w:rPr>
          <w:color w:val="000000"/>
        </w:rPr>
        <w:t>жуваного феномену на основі всебічного аналізу набору прикладів комунікацій: повідомлень, постів, реклам тощо.</w:t>
      </w:r>
    </w:p>
    <w:p w:rsidR="001E0A2A" w:rsidRDefault="00E079B6">
      <w:r>
        <w:t>За визначенням С.О. Солнцева та О.В. Черненко з навчально–методичного комплексу з маркетингових досліджень [30]: «Польові маркетингові дослідженн</w:t>
      </w:r>
      <w:r>
        <w:t>я (field research) – збір та аналіз первинних даних, тобто зібраних в ході дослідження вперше, спеціально для досягнення поставленої дослідницької мети». В роботі використаний такий метод збору даних як опитування.</w:t>
      </w:r>
    </w:p>
    <w:p w:rsidR="001E0A2A" w:rsidRDefault="00E079B6">
      <w:r>
        <w:t>Тепер розглянемо план дослідження поетапн</w:t>
      </w:r>
      <w:r>
        <w:t xml:space="preserve">о. Після того, як розроблені завдання дослідження та пошукові питання до них визначається методологія дослідження та розраховується таймлайн і бюджет дослідження. </w:t>
      </w:r>
    </w:p>
    <w:p w:rsidR="001E0A2A" w:rsidRDefault="00E079B6">
      <w:r>
        <w:t>Спочатку ми збираємо та аналізуємо вторинні внутрішні дані: документація та звіти, що стосую</w:t>
      </w:r>
      <w:r>
        <w:t xml:space="preserve">ться цілей системи маркетингових комунікацій, каналів </w:t>
      </w:r>
      <w:r>
        <w:lastRenderedPageBreak/>
        <w:t>комунікацій, їхньої ефективності та опису цільової аудиторії. До цих даних застосовується традиційний аналіз. Оцінка контенту, частоти публікацій та активності кожного каналу здійснюються методами кейсі</w:t>
      </w:r>
      <w:r>
        <w:t xml:space="preserve">в та контент-аналізу. </w:t>
      </w:r>
    </w:p>
    <w:p w:rsidR="001E0A2A" w:rsidRDefault="00E079B6">
      <w:r>
        <w:t>Після цього проводиться опитування у неструктурованій формі бесіди з керівництвом та співробітниками. Метою цього опитування є збір інформації про цілі системи маркетингових комунікацій, цільову аудиторію та існуючі внутрішні процедури для оцінки ефективно</w:t>
      </w:r>
      <w:r>
        <w:t>сті комунікаційної політики. Даний метод збору первинної інформацій обраний через його переваги. Неструктуровані бесіди дозволяють глибше зануритися у специфіку маркетингових комунікацій компанії. Це допомагає зрозуміти справжні мотиви та сприйняття співро</w:t>
      </w:r>
      <w:r>
        <w:t>бітників та керівництва щодо цілей маркетингових комунікацій. Вони можуть висловлювати свої думки вільніше, що сприяє виявленню нових ідей та інсайтів, які можуть бути втрачені в структурованих опитуваннях. Бесіди з ключовими особами компанії допомагають в</w:t>
      </w:r>
      <w:r>
        <w:t xml:space="preserve">иявити деталі внутрішніх процедур і оцінки ефективності комунікаційної політики, які можуть не бути очевидними при використанні лише кількісних методів. Це дозволяє отримати більш точну і комплексну картину існуючих процесів. Кожен співробітник і керівник </w:t>
      </w:r>
      <w:r>
        <w:t>має унікальний досвід і знання, які можуть суттєво впливати на маркетингові комунікації. Неструктуровані бесіди дозволяють враховувати ці індивідуальні особливості, що покращує якість зібраної інформації та її відповідність реальній ситуації в компанії. Це</w:t>
      </w:r>
      <w:r>
        <w:t>й метод сприяє активній участі респондентів в дослідженні, що може підвищити рівень їхньої зацікавленості і відкритості. Крім того, інтерактивність бесід дозволяє дослідникам одразу отримувати зворотний зв’язок та уточнювати деталі на місці, що підвищує то</w:t>
      </w:r>
      <w:r>
        <w:t>чність і релевантність зібраної інформації. Отримані результати мають вигляд текстового опису.</w:t>
      </w:r>
    </w:p>
    <w:p w:rsidR="001E0A2A" w:rsidRDefault="00E079B6">
      <w:r>
        <w:t>Наступним кроком ми проводимо кабінетні дослідження з зовнішніх джерел. Джерелами тут будуть сервіси Google LLC (карти та пошуковий сервіс) та різні платформи со</w:t>
      </w:r>
      <w:r>
        <w:t>ціальних медіа: Instagram, TikTok, Facebook. Метою аналізу є визначити основних конкурентів медичного центру «Mediland» на ринку естетичної медицини та проаналізувати їхні комунікаційні політики.</w:t>
      </w:r>
    </w:p>
    <w:p w:rsidR="001E0A2A" w:rsidRDefault="00E079B6">
      <w:r>
        <w:lastRenderedPageBreak/>
        <w:t>Вся зібрана інформація допомагає досліднику скласти якісну а</w:t>
      </w:r>
      <w:r>
        <w:t>нкету для опитування споживачів, що є важливим етапом дослідження. Збір первинних даних шляхом структурованого опитування називається анкетуванням. Метод збору первинної інформації шляхом структурованого анкетування є одним із ключових інструментів у марке</w:t>
      </w:r>
      <w:r>
        <w:t>тингових дослідженнях і має ряд переваг, що роблять його ефективним для збору даних про ефективність та сприйняття наявної комунікаційної політики, аудиторію та її мотивації, а також зворотного зв’язку з побажаннями аудиторії. Структуроване анкетування пер</w:t>
      </w:r>
      <w:r>
        <w:t>едбачає використання однакових запитань для всіх респондентів. Це забезпечує стандартизацію зібраних даних, що дозволяє легко порівнювати відповіді різних груп та виявляти загальні тенденції. Такий підхід особливо корисний для аналізу ефективності комуніка</w:t>
      </w:r>
      <w:r>
        <w:t>ційної політики, де важлива порівнянність показників. Дані, зібрані за допомогою структурованих анкет, легко піддаються кількісному аналізу. Це дозволяє застосовувати статистичні методи для виявлення закономірностей, трендів та залежностей. Кількісний анал</w:t>
      </w:r>
      <w:r>
        <w:t xml:space="preserve">із важливий для прийняття обґрунтованих рішень щодо вдосконалення маркетингових комунікацій на основі зібраних даних.  Анкетування дозволяє швидко збирати інформацію від великої кількості респондентів. Це робить його ефективним для отримання масових даних </w:t>
      </w:r>
      <w:r>
        <w:t>про аудиторію, її мотивації та зворотній зв’язок. Велика вибірка респондентів підвищує репрезентативність результатів і надійність висновків. Анкетування може забезпечити анонімність респондентів, що підвищує чесність та відкритість відповідей, особливо ко</w:t>
      </w:r>
      <w:r>
        <w:t>ли йдеться про чутливі питання. Це важливо для отримання правдивого зворотного зв’язку щодо комунікаційної політики та мотивації аудиторії. Зібрані дані можна сегментувати за різними критеріями (демографічними, поведінковими, психографічними тощо). Це допо</w:t>
      </w:r>
      <w:r>
        <w:t>магає більш точно розуміти потреби та очікування різних груп аудиторії, що є важливим для розробки цільової комунікаційної політики. Структуровані анкети дозволяють одночасно збирати дані про різні аспекти комунікаційної політики, включаючи ефективність, с</w:t>
      </w:r>
      <w:r>
        <w:t xml:space="preserve">прийняття, мотивації аудиторії та зворотній зв’язок. Це забезпечує комплексне уявлення про комунікаційні процеси та дозволяє врахувати різні </w:t>
      </w:r>
      <w:r>
        <w:lastRenderedPageBreak/>
        <w:t>фактори, що впливають на їх успіх. Таким чином, структуроване анкетування є ефективним методом збору первинної інфо</w:t>
      </w:r>
      <w:r>
        <w:t>рмації в маркетингових дослідженнях завдяки своїй стандартизованості, об’єктивності, економічності та можливості кількісного аналізу [31]. Генеральна сукупність споживачів, що вивчаються в дослідженні з метою виявлення можливостей розвитку комунікаційної п</w:t>
      </w:r>
      <w:r>
        <w:t>олітики медичного центру «Mediland» на ринку естетичної медицини, може бути описана наступним чином:</w:t>
      </w:r>
    </w:p>
    <w:p w:rsidR="001E0A2A" w:rsidRDefault="00E079B6">
      <w:pPr>
        <w:numPr>
          <w:ilvl w:val="0"/>
          <w:numId w:val="48"/>
        </w:numPr>
        <w:pBdr>
          <w:top w:val="nil"/>
          <w:left w:val="nil"/>
          <w:bottom w:val="nil"/>
          <w:right w:val="nil"/>
          <w:between w:val="nil"/>
        </w:pBdr>
        <w:ind w:left="709" w:hanging="709"/>
      </w:pPr>
      <w:r>
        <w:rPr>
          <w:color w:val="000000"/>
        </w:rPr>
        <w:t>від 18 до 65 років, основний фокус на групах 25-45 років, які найчастіше користуються послугами естетичної медицини;</w:t>
      </w:r>
    </w:p>
    <w:p w:rsidR="001E0A2A" w:rsidRDefault="00E079B6">
      <w:pPr>
        <w:numPr>
          <w:ilvl w:val="0"/>
          <w:numId w:val="48"/>
        </w:numPr>
        <w:pBdr>
          <w:top w:val="nil"/>
          <w:left w:val="nil"/>
          <w:bottom w:val="nil"/>
          <w:right w:val="nil"/>
          <w:between w:val="nil"/>
        </w:pBdr>
        <w:ind w:left="709" w:hanging="709"/>
      </w:pPr>
      <w:r>
        <w:rPr>
          <w:color w:val="000000"/>
        </w:rPr>
        <w:t>переважно жінки, але також включає зна</w:t>
      </w:r>
      <w:r>
        <w:rPr>
          <w:color w:val="000000"/>
        </w:rPr>
        <w:t>чну частку чоловіків, які цікавляться естетичними процедурами;</w:t>
      </w:r>
    </w:p>
    <w:p w:rsidR="001E0A2A" w:rsidRDefault="00E079B6">
      <w:pPr>
        <w:numPr>
          <w:ilvl w:val="0"/>
          <w:numId w:val="48"/>
        </w:numPr>
        <w:pBdr>
          <w:top w:val="nil"/>
          <w:left w:val="nil"/>
          <w:bottom w:val="nil"/>
          <w:right w:val="nil"/>
          <w:between w:val="nil"/>
        </w:pBdr>
        <w:ind w:left="709" w:hanging="709"/>
      </w:pPr>
      <w:r>
        <w:rPr>
          <w:color w:val="000000"/>
        </w:rPr>
        <w:t>середній та вищий за середній рівень доходу, що дозволяє витрачати кошти на естетичні послуги;</w:t>
      </w:r>
    </w:p>
    <w:p w:rsidR="001E0A2A" w:rsidRDefault="00E079B6">
      <w:pPr>
        <w:numPr>
          <w:ilvl w:val="0"/>
          <w:numId w:val="48"/>
        </w:numPr>
        <w:pBdr>
          <w:top w:val="nil"/>
          <w:left w:val="nil"/>
          <w:bottom w:val="nil"/>
          <w:right w:val="nil"/>
          <w:between w:val="nil"/>
        </w:pBdr>
        <w:ind w:left="709" w:hanging="709"/>
      </w:pPr>
      <w:r>
        <w:rPr>
          <w:color w:val="000000"/>
        </w:rPr>
        <w:t>географічно знаходяться в місті Києві, або часто тут бувають;</w:t>
      </w:r>
    </w:p>
    <w:p w:rsidR="001E0A2A" w:rsidRDefault="00E079B6">
      <w:pPr>
        <w:numPr>
          <w:ilvl w:val="0"/>
          <w:numId w:val="48"/>
        </w:numPr>
        <w:pBdr>
          <w:top w:val="nil"/>
          <w:left w:val="nil"/>
          <w:bottom w:val="nil"/>
          <w:right w:val="nil"/>
          <w:between w:val="nil"/>
        </w:pBdr>
        <w:ind w:left="709" w:hanging="709"/>
      </w:pPr>
      <w:r>
        <w:rPr>
          <w:color w:val="000000"/>
        </w:rPr>
        <w:t>потенційні, нові та постійні клієнти</w:t>
      </w:r>
      <w:r>
        <w:rPr>
          <w:color w:val="000000"/>
        </w:rPr>
        <w:t xml:space="preserve"> медичного центру «Mediland»;</w:t>
      </w:r>
    </w:p>
    <w:p w:rsidR="001E0A2A" w:rsidRDefault="00E079B6">
      <w:pPr>
        <w:numPr>
          <w:ilvl w:val="0"/>
          <w:numId w:val="48"/>
        </w:numPr>
        <w:pBdr>
          <w:top w:val="nil"/>
          <w:left w:val="nil"/>
          <w:bottom w:val="nil"/>
          <w:right w:val="nil"/>
          <w:between w:val="nil"/>
        </w:pBdr>
        <w:ind w:left="709" w:hanging="709"/>
      </w:pPr>
      <w:r>
        <w:rPr>
          <w:color w:val="000000"/>
        </w:rPr>
        <w:t>схильні до інвестування в свій зовнішній вигляд, прагнення до самовдосконалення і високої якості життя;</w:t>
      </w:r>
    </w:p>
    <w:p w:rsidR="001E0A2A" w:rsidRDefault="00E079B6">
      <w:pPr>
        <w:numPr>
          <w:ilvl w:val="0"/>
          <w:numId w:val="48"/>
        </w:numPr>
        <w:pBdr>
          <w:top w:val="nil"/>
          <w:left w:val="nil"/>
          <w:bottom w:val="nil"/>
          <w:right w:val="nil"/>
          <w:between w:val="nil"/>
        </w:pBdr>
        <w:ind w:left="709" w:hanging="709"/>
      </w:pPr>
      <w:r>
        <w:rPr>
          <w:color w:val="000000"/>
        </w:rPr>
        <w:t>активні користувачі інтернету, які використовують онлайн-ресурси для отримання інформації про естетичні послуги;</w:t>
      </w:r>
    </w:p>
    <w:p w:rsidR="001E0A2A" w:rsidRDefault="00E079B6">
      <w:pPr>
        <w:numPr>
          <w:ilvl w:val="0"/>
          <w:numId w:val="48"/>
        </w:numPr>
        <w:pBdr>
          <w:top w:val="nil"/>
          <w:left w:val="nil"/>
          <w:bottom w:val="nil"/>
          <w:right w:val="nil"/>
          <w:between w:val="nil"/>
        </w:pBdr>
        <w:ind w:left="709" w:hanging="709"/>
      </w:pPr>
      <w:r>
        <w:rPr>
          <w:color w:val="000000"/>
        </w:rPr>
        <w:t>активні у</w:t>
      </w:r>
      <w:r>
        <w:rPr>
          <w:color w:val="000000"/>
        </w:rPr>
        <w:t xml:space="preserve"> соціальних мережах, таких як Instagram, Facebook, TikTok, де часто дізнаються про нові естетичні послуги і процедури.</w:t>
      </w:r>
    </w:p>
    <w:p w:rsidR="001E0A2A" w:rsidRDefault="00E079B6">
      <w:r>
        <w:t xml:space="preserve">Одиницею дослідження в даному контексті буде індивідуальний споживач послуг естетичної медицини медичного центру «Mediland». Це означає, </w:t>
      </w:r>
      <w:r>
        <w:t>що кожен окремий клієнт, який використовує або може потенційно використовувати послуги цього медичного центру, розглядається як окрема одиниця аналізу. В процесі опитування ми перевіряємо наявні гіпотези. Під час проведення дослідження використаний метод к</w:t>
      </w:r>
      <w:r>
        <w:t>омунікацій онлайн–анкетування. Здійснена розсилка анкет через електронну пошту з бази даних медичного центру та через соціальні мережі. Одиниці сукупності охвачені вибірковим дослідження. Використання стратифікованої вибірки, що передбачає попередній розпо</w:t>
      </w:r>
      <w:r>
        <w:t xml:space="preserve">діл отриманої вибірки на </w:t>
      </w:r>
      <w:r>
        <w:lastRenderedPageBreak/>
        <w:t xml:space="preserve">групи-страти за певними характеристиками, дозволяє отримати репрезентативні дані про всю генеральну сукупність з меншими затратами часу і ресурсів [32]. В досліджені стратифікація здійснена за статтю респондентів: 30% чоловіків та </w:t>
      </w:r>
      <w:r>
        <w:t>70% жінок. Необхідний об’єм вибірки 154 споживачів. Детальний розрахунок необхідного обсягу вибірки поданий у додатку Б. Анкета розроблена для опитування подана у додатку В. Відповідність питань анкети пошуковим питанням наведена у табл. 2.2.</w:t>
      </w:r>
    </w:p>
    <w:p w:rsidR="001E0A2A" w:rsidRDefault="001E0A2A"/>
    <w:p w:rsidR="001E0A2A" w:rsidRDefault="00E079B6">
      <w:pPr>
        <w:rPr>
          <w:highlight w:val="white"/>
        </w:rPr>
      </w:pPr>
      <w:r>
        <w:rPr>
          <w:highlight w:val="white"/>
        </w:rPr>
        <w:t xml:space="preserve">Таблиця 2.2 </w:t>
      </w:r>
      <w:r>
        <w:rPr>
          <w:highlight w:val="white"/>
        </w:rPr>
        <w:t>– Відповідність питань анкети пошуковим питанням</w:t>
      </w:r>
    </w:p>
    <w:tbl>
      <w:tblPr>
        <w:tblStyle w:val="aff"/>
        <w:tblW w:w="102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13"/>
        <w:gridCol w:w="2232"/>
      </w:tblGrid>
      <w:tr w:rsidR="001E0A2A">
        <w:trPr>
          <w:trHeight w:val="324"/>
          <w:tblHeader/>
          <w:jc w:val="center"/>
        </w:trPr>
        <w:tc>
          <w:tcPr>
            <w:tcW w:w="801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Пошукові питання</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Номери питань анкети</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Хто є основною аудиторією медичного центру (вікова група, стать і тд)</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1–3</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Які чинники впливають на рішення клієнтів скористатися послугами медичного центру</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4</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Як клієнти дізнаються про послуги медичного центру</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xml:space="preserve"> 5</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Який рівень задоволеності клієнтів наявною комунікаційною політикою</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8–9</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Які є основні проблеми і недоліки комунікаційної політики медичного центру</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18–19</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 xml:space="preserve">Яка ефективність кожного з використовуваних </w:t>
            </w:r>
            <w:r>
              <w:rPr>
                <w:color w:val="000000"/>
                <w:sz w:val="24"/>
                <w:szCs w:val="24"/>
              </w:rPr>
              <w:t>комунікаційних каналів</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7</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Як клієнти оцінюють комунікацію конкурентів у порівнянні з медичним центром</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17</w:t>
            </w:r>
          </w:p>
        </w:tc>
      </w:tr>
      <w:tr w:rsidR="001E0A2A">
        <w:trPr>
          <w:trHeight w:val="624"/>
          <w:jc w:val="center"/>
        </w:trPr>
        <w:tc>
          <w:tcPr>
            <w:tcW w:w="8013" w:type="dxa"/>
            <w:shd w:val="clear" w:color="auto" w:fill="auto"/>
            <w:vAlign w:val="center"/>
          </w:tcPr>
          <w:p w:rsidR="001E0A2A" w:rsidRDefault="00E079B6">
            <w:pPr>
              <w:spacing w:line="240" w:lineRule="auto"/>
              <w:ind w:firstLine="0"/>
              <w:jc w:val="left"/>
              <w:rPr>
                <w:color w:val="000000"/>
                <w:sz w:val="24"/>
                <w:szCs w:val="24"/>
              </w:rPr>
            </w:pPr>
            <w:r>
              <w:rPr>
                <w:color w:val="000000"/>
                <w:sz w:val="24"/>
                <w:szCs w:val="24"/>
              </w:rPr>
              <w:t>Які додаткові канали комунікації можуть бути ефективними для залучення нових клієнтів</w:t>
            </w:r>
          </w:p>
        </w:tc>
        <w:tc>
          <w:tcPr>
            <w:tcW w:w="2232"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 6, 19</w:t>
            </w:r>
          </w:p>
        </w:tc>
      </w:tr>
    </w:tbl>
    <w:p w:rsidR="001E0A2A" w:rsidRDefault="00E079B6">
      <w:pPr>
        <w:jc w:val="left"/>
      </w:pPr>
      <w:r>
        <w:rPr>
          <w:noProof/>
          <w:color w:val="000000"/>
          <w:sz w:val="24"/>
          <w:szCs w:val="24"/>
          <w:lang w:val="en-US"/>
        </w:rPr>
        <mc:AlternateContent>
          <mc:Choice Requires="wpg">
            <w:drawing>
              <wp:anchor distT="0" distB="0" distL="0" distR="0" simplePos="0" relativeHeight="251664384" behindDoc="1" locked="0" layoutInCell="1" hidden="0" allowOverlap="1">
                <wp:simplePos x="0" y="0"/>
                <wp:positionH relativeFrom="margin">
                  <wp:posOffset>363538</wp:posOffset>
                </wp:positionH>
                <wp:positionV relativeFrom="topMargin">
                  <wp:posOffset>549593</wp:posOffset>
                </wp:positionV>
                <wp:extent cx="2228850" cy="304800"/>
                <wp:effectExtent l="0" t="0" r="0" b="0"/>
                <wp:wrapNone/>
                <wp:docPr id="187" name="Прямоугольник 187"/>
                <wp:cNvGraphicFramePr/>
                <a:graphic xmlns:a="http://schemas.openxmlformats.org/drawingml/2006/main">
                  <a:graphicData uri="http://schemas.microsoft.com/office/word/2010/wordprocessingShape">
                    <wps:wsp>
                      <wps:cNvSpPr/>
                      <wps:spPr>
                        <a:xfrm>
                          <a:off x="4236338" y="3632363"/>
                          <a:ext cx="2219325" cy="295275"/>
                        </a:xfrm>
                        <a:prstGeom prst="rect">
                          <a:avLst/>
                        </a:prstGeom>
                        <a:solidFill>
                          <a:schemeClr val="lt1"/>
                        </a:solidFill>
                        <a:ln>
                          <a:noFill/>
                        </a:ln>
                      </wps:spPr>
                      <wps:txbx>
                        <w:txbxContent>
                          <w:p w:rsidR="001E0A2A" w:rsidRDefault="00E079B6">
                            <w:pPr>
                              <w:ind w:firstLine="0"/>
                              <w:textDirection w:val="btLr"/>
                            </w:pPr>
                            <w:r>
                              <w:rPr>
                                <w:color w:val="000000"/>
                              </w:rPr>
                              <w:t>Продовження таблиці 2.2</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0" distT="0" distL="0" distR="0" hidden="0" layoutInCell="1" locked="0" relativeHeight="0" simplePos="0">
                <wp:simplePos x="0" y="0"/>
                <wp:positionH relativeFrom="margin">
                  <wp:posOffset>363538</wp:posOffset>
                </wp:positionH>
                <wp:positionV relativeFrom="topMargin">
                  <wp:posOffset>549593</wp:posOffset>
                </wp:positionV>
                <wp:extent cx="2228850" cy="304800"/>
                <wp:effectExtent b="0" l="0" r="0" t="0"/>
                <wp:wrapNone/>
                <wp:docPr id="187" name="image23.png"/>
                <a:graphic>
                  <a:graphicData uri="http://schemas.openxmlformats.org/drawingml/2006/picture">
                    <pic:pic>
                      <pic:nvPicPr>
                        <pic:cNvPr id="0" name="image23.png"/>
                        <pic:cNvPicPr preferRelativeResize="0"/>
                      </pic:nvPicPr>
                      <pic:blipFill>
                        <a:blip r:embed="rId21"/>
                        <a:srcRect/>
                        <a:stretch>
                          <a:fillRect/>
                        </a:stretch>
                      </pic:blipFill>
                      <pic:spPr>
                        <a:xfrm>
                          <a:off x="0" y="0"/>
                          <a:ext cx="2228850" cy="304800"/>
                        </a:xfrm>
                        <a:prstGeom prst="rect"/>
                        <a:ln/>
                      </pic:spPr>
                    </pic:pic>
                  </a:graphicData>
                </a:graphic>
              </wp:anchor>
            </w:drawing>
          </mc:Fallback>
        </mc:AlternateContent>
      </w:r>
      <w:r>
        <w:t>Джерело: складено автором</w:t>
      </w:r>
    </w:p>
    <w:p w:rsidR="001E0A2A" w:rsidRDefault="001E0A2A">
      <w:pPr>
        <w:jc w:val="left"/>
      </w:pPr>
    </w:p>
    <w:p w:rsidR="001E0A2A" w:rsidRDefault="00E079B6">
      <w:r>
        <w:t>Отже з таблиці 2.2 бачимо, що з анкетування отримується вся необхідна інформація для пошукових питань, що планувалася з цього джерела отримання первинної інформація. Це свідчить про відповідність методу анкетування в пошуку потрібних даних та підтверджує е</w:t>
      </w:r>
      <w:r>
        <w:t>фективність обраного підходу до збору інформації. Результати анкетування дозволять отримати не лише об'єктивні дані, але й глибше розуміння позиції та потреб цільової аудиторії, що буде важливим для подальшого аналізу та формулювання рекомендацій.</w:t>
      </w:r>
    </w:p>
    <w:p w:rsidR="001E0A2A" w:rsidRDefault="00E079B6">
      <w:r>
        <w:lastRenderedPageBreak/>
        <w:t>Паралель</w:t>
      </w:r>
      <w:r>
        <w:t>но з опитуванням проводяться кабінетні дослідження галузі та тенденцій для виявлення нових можливостей для розвитку комунікаційної політики. Джерелами вторинної зовнішньої інформації слугують:</w:t>
      </w:r>
    </w:p>
    <w:p w:rsidR="001E0A2A" w:rsidRDefault="00E079B6">
      <w:pPr>
        <w:numPr>
          <w:ilvl w:val="0"/>
          <w:numId w:val="31"/>
        </w:numPr>
        <w:pBdr>
          <w:top w:val="nil"/>
          <w:left w:val="nil"/>
          <w:bottom w:val="nil"/>
          <w:right w:val="nil"/>
          <w:between w:val="nil"/>
        </w:pBdr>
        <w:ind w:left="709" w:hanging="709"/>
      </w:pPr>
      <w:r>
        <w:rPr>
          <w:color w:val="000000"/>
        </w:rPr>
        <w:t>наукові журнали [39, 41–44];</w:t>
      </w:r>
    </w:p>
    <w:p w:rsidR="001E0A2A" w:rsidRDefault="00E079B6">
      <w:pPr>
        <w:numPr>
          <w:ilvl w:val="0"/>
          <w:numId w:val="31"/>
        </w:numPr>
        <w:pBdr>
          <w:top w:val="nil"/>
          <w:left w:val="nil"/>
          <w:bottom w:val="nil"/>
          <w:right w:val="nil"/>
          <w:between w:val="nil"/>
        </w:pBdr>
        <w:ind w:left="709" w:hanging="709"/>
      </w:pPr>
      <w:r>
        <w:rPr>
          <w:color w:val="000000"/>
        </w:rPr>
        <w:t>наукові праці [40];</w:t>
      </w:r>
    </w:p>
    <w:p w:rsidR="001E0A2A" w:rsidRDefault="00E079B6">
      <w:pPr>
        <w:numPr>
          <w:ilvl w:val="0"/>
          <w:numId w:val="31"/>
        </w:numPr>
        <w:pBdr>
          <w:top w:val="nil"/>
          <w:left w:val="nil"/>
          <w:bottom w:val="nil"/>
          <w:right w:val="nil"/>
          <w:between w:val="nil"/>
        </w:pBdr>
        <w:ind w:left="709" w:hanging="709"/>
      </w:pPr>
      <w:r>
        <w:rPr>
          <w:color w:val="000000"/>
        </w:rPr>
        <w:t>аналіз трендів в Інтернет–просторі.</w:t>
      </w:r>
    </w:p>
    <w:p w:rsidR="001E0A2A" w:rsidRDefault="00E079B6">
      <w:r>
        <w:t>Після цього аналізується результат усіх попередніх етапів дослідження та презентується керівництву. При ухваленні рішення з впровадження запропонованих заходів, знову здійснюються кабінетні дослідження з внутрішньою доку</w:t>
      </w:r>
      <w:r>
        <w:t xml:space="preserve">ментацією та звітністю і проводяться неструктуровані бесіди з керівництвом стосовно ресурсів для впровадження запропонованих заходів та ключових показників ефективності. Складається план дій та часові рамки найбільш доцільні для реалізації рекомендацій та </w:t>
      </w:r>
      <w:r>
        <w:t xml:space="preserve">плану впровадження. </w:t>
      </w:r>
    </w:p>
    <w:p w:rsidR="001E0A2A" w:rsidRDefault="00E079B6">
      <w:pPr>
        <w:spacing w:line="336" w:lineRule="auto"/>
      </w:pPr>
      <w:r>
        <w:t>Почнемо з розроблення плану дослідження. Він складається з п’яти етапів, а саме:</w:t>
      </w:r>
    </w:p>
    <w:p w:rsidR="001E0A2A" w:rsidRDefault="00E079B6">
      <w:pPr>
        <w:numPr>
          <w:ilvl w:val="0"/>
          <w:numId w:val="18"/>
        </w:numPr>
        <w:pBdr>
          <w:top w:val="nil"/>
          <w:left w:val="nil"/>
          <w:bottom w:val="nil"/>
          <w:right w:val="nil"/>
          <w:between w:val="nil"/>
        </w:pBdr>
        <w:spacing w:line="336" w:lineRule="auto"/>
      </w:pPr>
      <w:r>
        <w:rPr>
          <w:color w:val="000000"/>
        </w:rPr>
        <w:t>Планування та організація дослідження</w:t>
      </w:r>
    </w:p>
    <w:p w:rsidR="001E0A2A" w:rsidRDefault="00E079B6">
      <w:pPr>
        <w:numPr>
          <w:ilvl w:val="0"/>
          <w:numId w:val="18"/>
        </w:numPr>
        <w:pBdr>
          <w:top w:val="nil"/>
          <w:left w:val="nil"/>
          <w:bottom w:val="nil"/>
          <w:right w:val="nil"/>
          <w:between w:val="nil"/>
        </w:pBdr>
        <w:spacing w:line="336" w:lineRule="auto"/>
      </w:pPr>
      <w:r>
        <w:rPr>
          <w:color w:val="000000"/>
        </w:rPr>
        <w:t>Аналіз внутрішньої інформації</w:t>
      </w:r>
    </w:p>
    <w:p w:rsidR="001E0A2A" w:rsidRDefault="00E079B6">
      <w:pPr>
        <w:numPr>
          <w:ilvl w:val="0"/>
          <w:numId w:val="18"/>
        </w:numPr>
        <w:pBdr>
          <w:top w:val="nil"/>
          <w:left w:val="nil"/>
          <w:bottom w:val="nil"/>
          <w:right w:val="nil"/>
          <w:between w:val="nil"/>
        </w:pBdr>
        <w:spacing w:line="336" w:lineRule="auto"/>
      </w:pPr>
      <w:r>
        <w:rPr>
          <w:color w:val="000000"/>
        </w:rPr>
        <w:t>Аналіз вторинної зовнішньої інформації</w:t>
      </w:r>
    </w:p>
    <w:p w:rsidR="001E0A2A" w:rsidRDefault="00E079B6">
      <w:pPr>
        <w:numPr>
          <w:ilvl w:val="0"/>
          <w:numId w:val="18"/>
        </w:numPr>
        <w:pBdr>
          <w:top w:val="nil"/>
          <w:left w:val="nil"/>
          <w:bottom w:val="nil"/>
          <w:right w:val="nil"/>
          <w:between w:val="nil"/>
        </w:pBdr>
        <w:spacing w:line="336" w:lineRule="auto"/>
      </w:pPr>
      <w:r>
        <w:rPr>
          <w:color w:val="000000"/>
        </w:rPr>
        <w:t>Проведення опитування</w:t>
      </w:r>
    </w:p>
    <w:p w:rsidR="001E0A2A" w:rsidRDefault="00E079B6">
      <w:pPr>
        <w:numPr>
          <w:ilvl w:val="0"/>
          <w:numId w:val="18"/>
        </w:numPr>
        <w:pBdr>
          <w:top w:val="nil"/>
          <w:left w:val="nil"/>
          <w:bottom w:val="nil"/>
          <w:right w:val="nil"/>
          <w:between w:val="nil"/>
        </w:pBdr>
        <w:spacing w:line="336" w:lineRule="auto"/>
      </w:pPr>
      <w:r>
        <w:rPr>
          <w:color w:val="000000"/>
        </w:rPr>
        <w:t>Розробка рекомендацій</w:t>
      </w:r>
    </w:p>
    <w:p w:rsidR="001E0A2A" w:rsidRDefault="00E079B6">
      <w:pPr>
        <w:spacing w:line="336" w:lineRule="auto"/>
        <w:jc w:val="left"/>
      </w:pPr>
      <w:r>
        <w:t>Для</w:t>
      </w:r>
      <w:r>
        <w:t xml:space="preserve"> ефективного планування дослідження розробимо детальний графік його проведення, який буде відображати хронологічний порядок виконання різних етапів. У табл. 2.3 буде відображено кожен етап дослідження, від постановки завдання до аналізу отриманих результат</w:t>
      </w:r>
      <w:r>
        <w:t>ів. Кожний етап чітко розпланований у часі з вказівкою конкретних термінів виконання. Такий графік допоможе забезпечити систематичне та організоване проведення дослідження, а також вчасне виявлення та вирішення можливих труднощів.</w:t>
      </w:r>
    </w:p>
    <w:p w:rsidR="001E0A2A" w:rsidRDefault="001E0A2A">
      <w:pPr>
        <w:spacing w:line="336" w:lineRule="auto"/>
        <w:jc w:val="left"/>
        <w:rPr>
          <w:highlight w:val="white"/>
        </w:rPr>
      </w:pPr>
    </w:p>
    <w:p w:rsidR="001E0A2A" w:rsidRDefault="00E079B6">
      <w:pPr>
        <w:rPr>
          <w:rFonts w:ascii="Calibri" w:eastAsia="Calibri" w:hAnsi="Calibri" w:cs="Calibri"/>
          <w:sz w:val="22"/>
          <w:szCs w:val="22"/>
        </w:rPr>
      </w:pPr>
      <w:r>
        <w:rPr>
          <w:highlight w:val="white"/>
        </w:rPr>
        <w:t>Таблиця 2.3 – Графік про</w:t>
      </w:r>
      <w:r>
        <w:rPr>
          <w:highlight w:val="white"/>
        </w:rPr>
        <w:t>ведення дослідження</w:t>
      </w:r>
      <w:r>
        <w:t xml:space="preserve"> </w:t>
      </w:r>
    </w:p>
    <w:tbl>
      <w:tblPr>
        <w:tblStyle w:val="aff0"/>
        <w:tblW w:w="934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0"/>
        <w:gridCol w:w="4683"/>
        <w:gridCol w:w="2693"/>
      </w:tblGrid>
      <w:tr w:rsidR="001E0A2A">
        <w:trPr>
          <w:trHeight w:val="636"/>
          <w:tblHeader/>
          <w:jc w:val="center"/>
        </w:trPr>
        <w:tc>
          <w:tcPr>
            <w:tcW w:w="1970"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Етап дослідження</w:t>
            </w:r>
          </w:p>
        </w:tc>
        <w:tc>
          <w:tcPr>
            <w:tcW w:w="468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Зміст етапу</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Трудомісткість робіт (людино–дні)</w:t>
            </w:r>
          </w:p>
        </w:tc>
      </w:tr>
      <w:tr w:rsidR="001E0A2A">
        <w:trPr>
          <w:trHeight w:val="312"/>
          <w:jc w:val="center"/>
        </w:trPr>
        <w:tc>
          <w:tcPr>
            <w:tcW w:w="1970" w:type="dxa"/>
            <w:vMerge w:val="restart"/>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Етап 1</w:t>
            </w: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Розробка завдань та пошукових питань</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Визначення методології дослідження</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3</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Розрахунок таймлайну і бюджету</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1</w:t>
            </w:r>
          </w:p>
        </w:tc>
      </w:tr>
      <w:tr w:rsidR="001E0A2A">
        <w:trPr>
          <w:trHeight w:val="324"/>
          <w:jc w:val="center"/>
        </w:trPr>
        <w:tc>
          <w:tcPr>
            <w:tcW w:w="6653" w:type="dxa"/>
            <w:gridSpan w:val="2"/>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6</w:t>
            </w:r>
          </w:p>
        </w:tc>
      </w:tr>
      <w:tr w:rsidR="001E0A2A">
        <w:trPr>
          <w:trHeight w:val="312"/>
          <w:jc w:val="center"/>
        </w:trPr>
        <w:tc>
          <w:tcPr>
            <w:tcW w:w="1970" w:type="dxa"/>
            <w:vMerge w:val="restart"/>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Етап 2</w:t>
            </w: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Аналіз внутрішньої документації та звітів</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624"/>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Проведення бесід з керівництвом та співробітниками</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1</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Аналіз отриманої інформації</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324"/>
          <w:jc w:val="center"/>
        </w:trPr>
        <w:tc>
          <w:tcPr>
            <w:tcW w:w="6653" w:type="dxa"/>
            <w:gridSpan w:val="2"/>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5</w:t>
            </w:r>
          </w:p>
        </w:tc>
      </w:tr>
      <w:tr w:rsidR="001E0A2A">
        <w:trPr>
          <w:trHeight w:val="672"/>
          <w:jc w:val="center"/>
        </w:trPr>
        <w:tc>
          <w:tcPr>
            <w:tcW w:w="1970" w:type="dxa"/>
            <w:vMerge w:val="restart"/>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Етап 3</w:t>
            </w: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Формування списку джерел отримання</w:t>
            </w:r>
            <w:r>
              <w:rPr>
                <w:color w:val="000000"/>
                <w:sz w:val="24"/>
                <w:szCs w:val="24"/>
              </w:rPr>
              <w:br/>
              <w:t>вторинної зовнішньої інформації</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3</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Аналіз комунікацій конкурентів</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3</w:t>
            </w:r>
          </w:p>
        </w:tc>
      </w:tr>
      <w:tr w:rsidR="001E0A2A">
        <w:trPr>
          <w:trHeight w:val="624"/>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Збір та аналіз інформації про тенденції галузі</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3</w:t>
            </w:r>
          </w:p>
        </w:tc>
      </w:tr>
      <w:tr w:rsidR="001E0A2A">
        <w:trPr>
          <w:trHeight w:val="324"/>
          <w:jc w:val="center"/>
        </w:trPr>
        <w:tc>
          <w:tcPr>
            <w:tcW w:w="6653" w:type="dxa"/>
            <w:gridSpan w:val="2"/>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9</w:t>
            </w:r>
          </w:p>
        </w:tc>
      </w:tr>
      <w:tr w:rsidR="001E0A2A">
        <w:trPr>
          <w:trHeight w:val="312"/>
          <w:jc w:val="center"/>
        </w:trPr>
        <w:tc>
          <w:tcPr>
            <w:tcW w:w="1970" w:type="dxa"/>
            <w:vMerge w:val="restart"/>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Етап 4</w:t>
            </w: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Складання анкети</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Апробоція анкети</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1</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Внесення коректив</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1</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Проведення анкетування</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5</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Аналіз отриманої інформації</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3</w:t>
            </w:r>
          </w:p>
        </w:tc>
      </w:tr>
      <w:tr w:rsidR="001E0A2A">
        <w:trPr>
          <w:trHeight w:val="324"/>
          <w:jc w:val="center"/>
        </w:trPr>
        <w:tc>
          <w:tcPr>
            <w:tcW w:w="6653" w:type="dxa"/>
            <w:gridSpan w:val="2"/>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12</w:t>
            </w:r>
          </w:p>
        </w:tc>
      </w:tr>
      <w:tr w:rsidR="001E0A2A">
        <w:trPr>
          <w:trHeight w:val="936"/>
          <w:jc w:val="center"/>
        </w:trPr>
        <w:tc>
          <w:tcPr>
            <w:tcW w:w="1970" w:type="dxa"/>
            <w:vMerge w:val="restart"/>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Етап 5</w:t>
            </w: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Систематизація та узгодження результатів кабінетних та польових досліджень</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624"/>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Розробка рекомендацій конкретних заходів</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Розробка плану впровадження</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Підготовка звіту</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2</w:t>
            </w:r>
          </w:p>
        </w:tc>
      </w:tr>
      <w:tr w:rsidR="001E0A2A">
        <w:trPr>
          <w:trHeight w:val="312"/>
          <w:jc w:val="center"/>
        </w:trPr>
        <w:tc>
          <w:tcPr>
            <w:tcW w:w="1970" w:type="dxa"/>
            <w:vMerge/>
            <w:shd w:val="clear" w:color="auto" w:fill="auto"/>
            <w:vAlign w:val="center"/>
          </w:tcPr>
          <w:p w:rsidR="001E0A2A" w:rsidRDefault="001E0A2A">
            <w:pPr>
              <w:widowControl w:val="0"/>
              <w:pBdr>
                <w:top w:val="nil"/>
                <w:left w:val="nil"/>
                <w:bottom w:val="nil"/>
                <w:right w:val="nil"/>
                <w:between w:val="nil"/>
              </w:pBdr>
              <w:spacing w:line="276" w:lineRule="auto"/>
              <w:ind w:firstLine="0"/>
              <w:jc w:val="left"/>
              <w:rPr>
                <w:color w:val="000000"/>
                <w:sz w:val="24"/>
                <w:szCs w:val="24"/>
              </w:rPr>
            </w:pPr>
          </w:p>
        </w:tc>
        <w:tc>
          <w:tcPr>
            <w:tcW w:w="46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Представлення результатів</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1</w:t>
            </w:r>
          </w:p>
        </w:tc>
      </w:tr>
      <w:tr w:rsidR="001E0A2A">
        <w:trPr>
          <w:trHeight w:val="324"/>
          <w:jc w:val="center"/>
        </w:trPr>
        <w:tc>
          <w:tcPr>
            <w:tcW w:w="6653" w:type="dxa"/>
            <w:gridSpan w:val="2"/>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9</w:t>
            </w:r>
          </w:p>
        </w:tc>
      </w:tr>
      <w:tr w:rsidR="001E0A2A">
        <w:trPr>
          <w:trHeight w:val="324"/>
          <w:jc w:val="center"/>
        </w:trPr>
        <w:tc>
          <w:tcPr>
            <w:tcW w:w="6653" w:type="dxa"/>
            <w:gridSpan w:val="2"/>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Загалом</w:t>
            </w:r>
          </w:p>
        </w:tc>
        <w:tc>
          <w:tcPr>
            <w:tcW w:w="269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41</w:t>
            </w:r>
          </w:p>
        </w:tc>
      </w:tr>
    </w:tbl>
    <w:p w:rsidR="001E0A2A" w:rsidRDefault="00E079B6">
      <w:pPr>
        <w:pBdr>
          <w:top w:val="nil"/>
          <w:left w:val="nil"/>
          <w:bottom w:val="nil"/>
          <w:right w:val="nil"/>
          <w:between w:val="nil"/>
        </w:pBdr>
        <w:ind w:left="420" w:firstLine="0"/>
        <w:jc w:val="left"/>
        <w:rPr>
          <w:color w:val="000000"/>
        </w:rPr>
      </w:pPr>
      <w:r>
        <w:rPr>
          <w:noProof/>
          <w:color w:val="000000"/>
          <w:sz w:val="24"/>
          <w:szCs w:val="24"/>
          <w:lang w:val="en-US"/>
        </w:rPr>
        <mc:AlternateContent>
          <mc:Choice Requires="wpg">
            <w:drawing>
              <wp:anchor distT="0" distB="0" distL="0" distR="0" simplePos="0" relativeHeight="251665408" behindDoc="1" locked="0" layoutInCell="1" hidden="0" allowOverlap="1">
                <wp:simplePos x="0" y="0"/>
                <wp:positionH relativeFrom="margin">
                  <wp:posOffset>437198</wp:posOffset>
                </wp:positionH>
                <wp:positionV relativeFrom="topMargin">
                  <wp:align>bottom</wp:align>
                </wp:positionV>
                <wp:extent cx="2228850" cy="304800"/>
                <wp:effectExtent l="0" t="0" r="0" b="0"/>
                <wp:wrapNone/>
                <wp:docPr id="185" name="Прямоугольник 185"/>
                <wp:cNvGraphicFramePr/>
                <a:graphic xmlns:a="http://schemas.openxmlformats.org/drawingml/2006/main">
                  <a:graphicData uri="http://schemas.microsoft.com/office/word/2010/wordprocessingShape">
                    <wps:wsp>
                      <wps:cNvSpPr/>
                      <wps:spPr>
                        <a:xfrm>
                          <a:off x="4236338" y="3632363"/>
                          <a:ext cx="2219325" cy="295275"/>
                        </a:xfrm>
                        <a:prstGeom prst="rect">
                          <a:avLst/>
                        </a:prstGeom>
                        <a:solidFill>
                          <a:schemeClr val="lt1"/>
                        </a:solidFill>
                        <a:ln>
                          <a:noFill/>
                        </a:ln>
                      </wps:spPr>
                      <wps:txbx>
                        <w:txbxContent>
                          <w:p w:rsidR="001E0A2A" w:rsidRDefault="00E079B6">
                            <w:pPr>
                              <w:ind w:firstLine="0"/>
                              <w:textDirection w:val="btLr"/>
                            </w:pPr>
                            <w:r>
                              <w:rPr>
                                <w:color w:val="000000"/>
                              </w:rPr>
                              <w:t>Продовження таблиці 2.3</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0" distT="0" distL="0" distR="0" hidden="0" layoutInCell="1" locked="0" relativeHeight="0" simplePos="0">
                <wp:simplePos x="0" y="0"/>
                <wp:positionH relativeFrom="margin">
                  <wp:posOffset>437198</wp:posOffset>
                </wp:positionH>
                <wp:positionV relativeFrom="topMargin">
                  <wp:align>bottom</wp:align>
                </wp:positionV>
                <wp:extent cx="2228850" cy="304800"/>
                <wp:effectExtent b="0" l="0" r="0" t="0"/>
                <wp:wrapNone/>
                <wp:docPr id="185" name="image21.png"/>
                <a:graphic>
                  <a:graphicData uri="http://schemas.openxmlformats.org/drawingml/2006/picture">
                    <pic:pic>
                      <pic:nvPicPr>
                        <pic:cNvPr id="0" name="image21.png"/>
                        <pic:cNvPicPr preferRelativeResize="0"/>
                      </pic:nvPicPr>
                      <pic:blipFill>
                        <a:blip r:embed="rId22"/>
                        <a:srcRect/>
                        <a:stretch>
                          <a:fillRect/>
                        </a:stretch>
                      </pic:blipFill>
                      <pic:spPr>
                        <a:xfrm>
                          <a:off x="0" y="0"/>
                          <a:ext cx="2228850" cy="304800"/>
                        </a:xfrm>
                        <a:prstGeom prst="rect"/>
                        <a:ln/>
                      </pic:spPr>
                    </pic:pic>
                  </a:graphicData>
                </a:graphic>
              </wp:anchor>
            </w:drawing>
          </mc:Fallback>
        </mc:AlternateContent>
      </w:r>
      <w:r>
        <w:rPr>
          <w:color w:val="000000"/>
        </w:rPr>
        <w:t>Джерело: складено автором</w:t>
      </w:r>
    </w:p>
    <w:p w:rsidR="001E0A2A" w:rsidRDefault="001E0A2A">
      <w:pPr>
        <w:pBdr>
          <w:top w:val="nil"/>
          <w:left w:val="nil"/>
          <w:bottom w:val="nil"/>
          <w:right w:val="nil"/>
          <w:between w:val="nil"/>
        </w:pBdr>
        <w:ind w:left="420" w:firstLine="0"/>
        <w:jc w:val="left"/>
        <w:rPr>
          <w:color w:val="000000"/>
        </w:rPr>
      </w:pPr>
    </w:p>
    <w:p w:rsidR="001E0A2A" w:rsidRDefault="00E079B6">
      <w:r>
        <w:t>Термін виконання дослідження складає більше місяця, а точніше 41 робочий день. Проте, деякі процеси проводитимуться одночасно, отже воно займе 32 робочі дні – з 22 квітня по 3 червня. Також в додатку Г подано розгорнутий графік проведення дослідження по дн</w:t>
      </w:r>
      <w:r>
        <w:t>ях.</w:t>
      </w:r>
    </w:p>
    <w:p w:rsidR="001E0A2A" w:rsidRDefault="00E079B6">
      <w:r>
        <w:t xml:space="preserve">Тепер визначимо бюджет дослідження. Його реалізовуватиме команда аналітиків, що складається з трьох людей – 1 старший аналітик та 2 молодші. Розраховано кількість днів, які вони будуть працювати над цим проектом. Також </w:t>
      </w:r>
      <w:r>
        <w:lastRenderedPageBreak/>
        <w:t>до бюджету включено заплановані п</w:t>
      </w:r>
      <w:r>
        <w:t xml:space="preserve">одатки на військовий збір – 1,5% та на доходи фізичних осіб – 18%. Опитування планується онлайн в Google формі, тому із затрат на нього буде тільки неотриманий прибуток від знижки респондентам у розмірі 100 грн кожному за проходження анкети. Для зручності </w:t>
      </w:r>
      <w:r>
        <w:t>порахуємо це як витрати по 100 грн на респондента. До бюджету також закладені 5 000 грн на непередбачувані витрати та 30% власного прибутку аналітиків. Адміністративні витрати складають половину суми витрат без прибутку. Бюджет дослідження розрахуємо в таб</w:t>
      </w:r>
      <w:r>
        <w:t>л. 2.4.</w:t>
      </w:r>
    </w:p>
    <w:p w:rsidR="001E0A2A" w:rsidRDefault="001E0A2A"/>
    <w:p w:rsidR="001E0A2A" w:rsidRDefault="00E079B6">
      <w:r>
        <w:t>Таблиця 2.4 – Бюджет дослідження</w:t>
      </w:r>
    </w:p>
    <w:tbl>
      <w:tblPr>
        <w:tblStyle w:val="aff1"/>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9"/>
        <w:gridCol w:w="1438"/>
        <w:gridCol w:w="1783"/>
        <w:gridCol w:w="2141"/>
        <w:gridCol w:w="1654"/>
      </w:tblGrid>
      <w:tr w:rsidR="001E0A2A">
        <w:trPr>
          <w:trHeight w:val="732"/>
        </w:trPr>
        <w:tc>
          <w:tcPr>
            <w:tcW w:w="3229"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Найменування</w:t>
            </w:r>
          </w:p>
        </w:tc>
        <w:tc>
          <w:tcPr>
            <w:tcW w:w="1438"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Робочі дні</w:t>
            </w:r>
          </w:p>
        </w:tc>
        <w:tc>
          <w:tcPr>
            <w:tcW w:w="178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Оплата</w:t>
            </w:r>
          </w:p>
        </w:tc>
        <w:tc>
          <w:tcPr>
            <w:tcW w:w="2141"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Кількість людей</w:t>
            </w:r>
          </w:p>
        </w:tc>
        <w:tc>
          <w:tcPr>
            <w:tcW w:w="1654"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Витрати</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Керівник</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30</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10000/місяць</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15 000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Старший аналітик</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20</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800/день</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16 000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Молодший аналітик</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32</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450/день</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28 800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Податки</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19,50%</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11 661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Учасники опитування</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100</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154</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15 400 грн.</w:t>
            </w:r>
          </w:p>
        </w:tc>
      </w:tr>
      <w:tr w:rsidR="001E0A2A">
        <w:trPr>
          <w:trHeight w:val="73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Непередбачувані витрати</w:t>
            </w:r>
          </w:p>
        </w:tc>
        <w:tc>
          <w:tcPr>
            <w:tcW w:w="1438"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2141"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5 000 грн.</w:t>
            </w:r>
          </w:p>
        </w:tc>
      </w:tr>
      <w:tr w:rsidR="001E0A2A">
        <w:trPr>
          <w:trHeight w:val="73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Адміністративні витрати</w:t>
            </w:r>
          </w:p>
        </w:tc>
        <w:tc>
          <w:tcPr>
            <w:tcW w:w="1438"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2141"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45 930 грн.</w:t>
            </w:r>
          </w:p>
        </w:tc>
      </w:tr>
      <w:tr w:rsidR="001E0A2A">
        <w:trPr>
          <w:trHeight w:val="372"/>
        </w:trPr>
        <w:tc>
          <w:tcPr>
            <w:tcW w:w="3229"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1438"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 </w:t>
            </w:r>
          </w:p>
        </w:tc>
        <w:tc>
          <w:tcPr>
            <w:tcW w:w="1783"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 </w:t>
            </w:r>
          </w:p>
        </w:tc>
        <w:tc>
          <w:tcPr>
            <w:tcW w:w="2141"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 </w:t>
            </w:r>
          </w:p>
        </w:tc>
        <w:tc>
          <w:tcPr>
            <w:tcW w:w="1654" w:type="dxa"/>
            <w:shd w:val="clear" w:color="auto" w:fill="D9D9D9"/>
            <w:vAlign w:val="bottom"/>
          </w:tcPr>
          <w:p w:rsidR="001E0A2A" w:rsidRDefault="00E079B6">
            <w:pPr>
              <w:spacing w:line="240" w:lineRule="auto"/>
              <w:ind w:firstLine="0"/>
              <w:jc w:val="right"/>
              <w:rPr>
                <w:color w:val="000000"/>
                <w:sz w:val="24"/>
                <w:szCs w:val="24"/>
              </w:rPr>
            </w:pPr>
            <w:r>
              <w:rPr>
                <w:color w:val="000000"/>
                <w:sz w:val="24"/>
                <w:szCs w:val="24"/>
              </w:rPr>
              <w:t>137 791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Наш прибуток</w:t>
            </w:r>
          </w:p>
        </w:tc>
        <w:tc>
          <w:tcPr>
            <w:tcW w:w="1438"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30%</w:t>
            </w:r>
          </w:p>
        </w:tc>
        <w:tc>
          <w:tcPr>
            <w:tcW w:w="2141"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41 337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Загальна сума</w:t>
            </w:r>
          </w:p>
        </w:tc>
        <w:tc>
          <w:tcPr>
            <w:tcW w:w="1438"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2141"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 </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179 128 грн.</w:t>
            </w:r>
          </w:p>
        </w:tc>
      </w:tr>
    </w:tbl>
    <w:p w:rsidR="001E0A2A" w:rsidRDefault="00E079B6">
      <w:pPr>
        <w:pBdr>
          <w:top w:val="nil"/>
          <w:left w:val="nil"/>
          <w:bottom w:val="nil"/>
          <w:right w:val="nil"/>
          <w:between w:val="nil"/>
        </w:pBdr>
        <w:ind w:left="420" w:firstLine="0"/>
        <w:jc w:val="left"/>
        <w:rPr>
          <w:color w:val="000000"/>
        </w:rPr>
      </w:pPr>
      <w:r>
        <w:rPr>
          <w:color w:val="000000"/>
        </w:rPr>
        <w:t>Джерело: складено автором</w:t>
      </w:r>
    </w:p>
    <w:p w:rsidR="001E0A2A" w:rsidRDefault="001E0A2A">
      <w:pPr>
        <w:pBdr>
          <w:top w:val="nil"/>
          <w:left w:val="nil"/>
          <w:bottom w:val="nil"/>
          <w:right w:val="nil"/>
          <w:between w:val="nil"/>
        </w:pBdr>
        <w:ind w:left="420" w:firstLine="0"/>
        <w:jc w:val="left"/>
        <w:rPr>
          <w:color w:val="000000"/>
        </w:rPr>
      </w:pPr>
    </w:p>
    <w:p w:rsidR="001E0A2A" w:rsidRDefault="00E079B6">
      <w:r>
        <w:t>Отже, бачимо, що відповідно до запланованого дослідження, його бюджет складає майже 180 000 грн. Цю суму підприємство може виділити на дане дослідження з власного капіталу, відведеного на маркетингову діяльність.</w:t>
      </w:r>
    </w:p>
    <w:p w:rsidR="001E0A2A" w:rsidRDefault="00E079B6">
      <w:r>
        <w:t>В результаті цьо</w:t>
      </w:r>
      <w:r>
        <w:t>го підрозділу, ми ретельно розглянути ключові аспекти нашого дослідження, що полягає у визначенні методології, розробці таймлайну та управлінні фінансовими ресурсами. Таймлайн відображає часову послідовність та тривалість кожного етапу дослідницької роботи</w:t>
      </w:r>
      <w:r>
        <w:t xml:space="preserve">, від постановки задачі до </w:t>
      </w:r>
      <w:r>
        <w:lastRenderedPageBreak/>
        <w:t>підготовки кінцевих звітів та висновків. Це не лише стратегічний план, але й інструмент для ефективного управління часом та ресурсами.</w:t>
      </w:r>
    </w:p>
    <w:p w:rsidR="001E0A2A" w:rsidRDefault="00E079B6">
      <w:r>
        <w:t>Більше того, у процесі нашого аналізу було розроблено бюджет, що враховує всі витрати, пов'яза</w:t>
      </w:r>
      <w:r>
        <w:t xml:space="preserve">ні з виконанням дослідження. Він виступає фінансовим планом, який забезпечує реалістичну оцінку фінансових витрат та гарантує належне фінансування для успішної реалізації маркетингового дослідження. </w:t>
      </w:r>
    </w:p>
    <w:p w:rsidR="001E0A2A" w:rsidRDefault="001E0A2A"/>
    <w:p w:rsidR="001E0A2A" w:rsidRDefault="00E079B6">
      <w:pPr>
        <w:pStyle w:val="2"/>
      </w:pPr>
      <w:bookmarkStart w:id="12" w:name="_heading=h.3rdcrjn" w:colFirst="0" w:colLast="0"/>
      <w:bookmarkEnd w:id="12"/>
      <w:r>
        <w:t>Висновки до розділу 2</w:t>
      </w:r>
    </w:p>
    <w:p w:rsidR="001E0A2A" w:rsidRDefault="001E0A2A"/>
    <w:p w:rsidR="001E0A2A" w:rsidRDefault="00E079B6">
      <w:r>
        <w:t>У поданому розділі досліджено по</w:t>
      </w:r>
      <w:r>
        <w:t>няття маркетингової комунікаційної політики та теоретичні шляхи вирішення маркетингової управлінської проблеми – розвитку комунікацій компанії на ринку естетичної медицини. Сформовано ціль маркетингового дослідження. Встановлено об’єкт, суб’єкти та предмет</w:t>
      </w:r>
      <w:r>
        <w:t xml:space="preserve"> маркетингового дослідження. </w:t>
      </w:r>
    </w:p>
    <w:p w:rsidR="001E0A2A" w:rsidRDefault="00E079B6">
      <w:r>
        <w:t>Було розроблено 4 завдання дослідження та 18 пошукових питань до них. Висунуто п’ять гіпотез для перевірки за допомогою опитування та сформовано алгоритми для їхнього прийняття або прийняття. Визначена методологія дослідження,</w:t>
      </w:r>
      <w:r>
        <w:t xml:space="preserve"> що складається з структурно-логічного, методу синтезу та аналізу, економіко-статистичного та статистичних методів дослідження числових даних.</w:t>
      </w:r>
    </w:p>
    <w:p w:rsidR="001E0A2A" w:rsidRDefault="00E079B6">
      <w:r>
        <w:t>План дослідження включає в себе аналіз поточної комунікаційної політики шляхом збору та обробки вторинної внутріш</w:t>
      </w:r>
      <w:r>
        <w:t xml:space="preserve">ньої інформації та проведення вільних бесід з керівництвом та співробітниками, кабінетні дослідження зовнішньої інформації про конкурентів, галузь та її тенденції і польові дослідження методом онлайн-анкетування. </w:t>
      </w:r>
    </w:p>
    <w:p w:rsidR="001E0A2A" w:rsidRDefault="00E079B6">
      <w:r>
        <w:t>Графік проведення дослідження запланований</w:t>
      </w:r>
      <w:r>
        <w:t xml:space="preserve"> на 35-41 днів. Дослідження проводиться на території Києва у травні 2024 року. Підрахунки витрат показали, що вартість дослідження оцінюється у майже 180 000 грн.</w:t>
      </w:r>
      <w:r>
        <w:br w:type="page"/>
      </w:r>
    </w:p>
    <w:p w:rsidR="001E0A2A" w:rsidRDefault="00E079B6">
      <w:pPr>
        <w:pStyle w:val="1"/>
        <w:spacing w:before="0"/>
      </w:pPr>
      <w:bookmarkStart w:id="13" w:name="_heading=h.26in1rg" w:colFirst="0" w:colLast="0"/>
      <w:bookmarkEnd w:id="13"/>
      <w:r>
        <w:lastRenderedPageBreak/>
        <w:t>Розділ 3 Реалізація дослідження та верифікація результатів</w:t>
      </w:r>
    </w:p>
    <w:p w:rsidR="001E0A2A" w:rsidRDefault="001E0A2A"/>
    <w:p w:rsidR="001E0A2A" w:rsidRDefault="00E079B6">
      <w:pPr>
        <w:pStyle w:val="2"/>
      </w:pPr>
      <w:bookmarkStart w:id="14" w:name="_heading=h.lnxbz9" w:colFirst="0" w:colLast="0"/>
      <w:bookmarkEnd w:id="14"/>
      <w:r>
        <w:t>3.1 Збір та аналіз даних</w:t>
      </w:r>
    </w:p>
    <w:p w:rsidR="001E0A2A" w:rsidRDefault="001E0A2A"/>
    <w:p w:rsidR="001E0A2A" w:rsidRDefault="00E079B6">
      <w:r>
        <w:t>Розгля</w:t>
      </w:r>
      <w:r>
        <w:t xml:space="preserve">немо детальніше процес збору даних та їхньої підготовки до аналізу. Спочатку було зібрано та проаналізовано інформацію з внутрішньої документації та звітності медичного центру, досліджено канали комунікації та їхня статистика. </w:t>
      </w:r>
    </w:p>
    <w:p w:rsidR="001E0A2A" w:rsidRDefault="00E079B6">
      <w:r>
        <w:t>Проаналізовано комунікаційну</w:t>
      </w:r>
      <w:r>
        <w:t xml:space="preserve"> діяльність основних конкурентів. Розглянуто офіційні сайти центру лазерної косметології ЛазерХауз [33], медичні центри Добробут [34], Medeira [35] та CALM [36]. Також проаналізовано їхні реклами в Google [37] та соціальні медіа: Facebook, Instagram, TikTo</w:t>
      </w:r>
      <w:r>
        <w:t>k.</w:t>
      </w:r>
    </w:p>
    <w:p w:rsidR="001E0A2A" w:rsidRDefault="00E079B6">
      <w:r>
        <w:t>Було проведено неструктуровані бесіди з співробітниками та керівництвом. Основними темами обговорення були основні завдання комунікаційної політики підприємства, цільова аудиторія, на яку прагне вийти підприємство, та внутрішні процедури для оцінки ефек</w:t>
      </w:r>
      <w:r>
        <w:t>тивності комунікаційної політики.</w:t>
      </w:r>
    </w:p>
    <w:p w:rsidR="001E0A2A" w:rsidRDefault="00E079B6">
      <w:r>
        <w:t>Інформація зібрана також з онлайн-анкетування. Здійснено процес апробації анкети за допомогою трьох респондентів – робітників з відділу маркетингу медичного центру та просто знайомих дослідника. В результаті апробації були виправлені дрібні одруківки в тек</w:t>
      </w:r>
      <w:r>
        <w:t>сті, додано опис типів послуг, розбито на два питання відкрите запитання та питання про рівень задоволеності контентом з деталізацією (окремо про соціальні мережі та на сайті медичного центру). Це було зроблено для полегшення розуміння питань респондентами</w:t>
      </w:r>
      <w:r>
        <w:t xml:space="preserve"> та глибшої деталізації при аналізі результатів. </w:t>
      </w:r>
    </w:p>
    <w:p w:rsidR="001E0A2A" w:rsidRDefault="00E079B6">
      <w:r>
        <w:t>Анкета була поширена за допомогою e-mail розсилки серед користувачів послугами естетичної медицини за останній місяць (квітень) серед внутрішньої бази клієнтів медичного центру. Відповіді надали 154 респонд</w:t>
      </w:r>
      <w:r>
        <w:t xml:space="preserve">енти за стратою 30% чоловіків, 70% жінок. Таку кількість клієнтів було необхідно опитати для забезпечення репрезентативності вибірки для стратифікованого дослідження з </w:t>
      </w:r>
      <w:r>
        <w:lastRenderedPageBreak/>
        <w:t>генеральної сукупності, що складається з 2500 клієнтів, при 90% довірі та 10% похибці (Д</w:t>
      </w:r>
      <w:r>
        <w:t xml:space="preserve">одаток Б). </w:t>
      </w:r>
    </w:p>
    <w:p w:rsidR="001E0A2A" w:rsidRDefault="00E079B6">
      <w:r>
        <w:t>Редагування та обробки потребували відкриті питання та четверте. Відповіді на відкриті питання були всі перечитані та згруповані за основними виділеними напрямками. Серед них обрані не поодинокі для подальшого аналізу. Аналіз результатів четвер</w:t>
      </w:r>
      <w:r>
        <w:t>того питання: «4. Що впливає на ваше рішення скористатися послугами медичного центру з естетичної медицини? Вкажіть важливість чинників (1 – найбільш важливе, 6 – найменш важливе)» проводився за допомогою розрахунків за коефіцієнтами важливості (1 – 0,9; 2</w:t>
      </w:r>
      <w:r>
        <w:t xml:space="preserve"> – 0,75; 3 – 0,6; 4 – 0,45; 5 – 0,3; 6 – 0,15) перемножених на кількість відповідей за кожним чинником. Обрано топ 3 чинника важливості для клієнтів при виборі центру для послуг естетичної медицини.</w:t>
      </w:r>
    </w:p>
    <w:p w:rsidR="001E0A2A" w:rsidRDefault="00E079B6">
      <w:r>
        <w:t xml:space="preserve">Для збору вторинної зовнішньої інформації для пошукових питань «Які інноваційні методи комунікації використовується у галузі естетичної медицини та суміжних сферах» та «Які додаткові канали комунікації можуть бути ефективними для залучення нових клієнтів» </w:t>
      </w:r>
      <w:r>
        <w:t>були використані такі джерела:</w:t>
      </w:r>
    </w:p>
    <w:p w:rsidR="001E0A2A" w:rsidRDefault="00E079B6">
      <w:pPr>
        <w:numPr>
          <w:ilvl w:val="0"/>
          <w:numId w:val="11"/>
        </w:numPr>
        <w:pBdr>
          <w:top w:val="nil"/>
          <w:left w:val="nil"/>
          <w:bottom w:val="nil"/>
          <w:right w:val="nil"/>
          <w:between w:val="nil"/>
        </w:pBdr>
        <w:ind w:left="709" w:hanging="709"/>
        <w:rPr>
          <w:color w:val="000000"/>
        </w:rPr>
      </w:pPr>
      <w:r>
        <w:rPr>
          <w:color w:val="000000"/>
        </w:rPr>
        <w:t>науково-виробничий журнал «Інноваційна економіка» [39];</w:t>
      </w:r>
    </w:p>
    <w:p w:rsidR="001E0A2A" w:rsidRDefault="00E079B6">
      <w:pPr>
        <w:numPr>
          <w:ilvl w:val="0"/>
          <w:numId w:val="11"/>
        </w:numPr>
        <w:pBdr>
          <w:top w:val="nil"/>
          <w:left w:val="nil"/>
          <w:bottom w:val="nil"/>
          <w:right w:val="nil"/>
          <w:between w:val="nil"/>
        </w:pBdr>
        <w:ind w:left="709" w:hanging="709"/>
        <w:rPr>
          <w:color w:val="000000"/>
        </w:rPr>
      </w:pPr>
      <w:r>
        <w:rPr>
          <w:color w:val="000000"/>
        </w:rPr>
        <w:t>наукові праці [40];</w:t>
      </w:r>
    </w:p>
    <w:p w:rsidR="001E0A2A" w:rsidRDefault="00E079B6">
      <w:pPr>
        <w:numPr>
          <w:ilvl w:val="0"/>
          <w:numId w:val="11"/>
        </w:numPr>
        <w:pBdr>
          <w:top w:val="nil"/>
          <w:left w:val="nil"/>
          <w:bottom w:val="nil"/>
          <w:right w:val="nil"/>
          <w:between w:val="nil"/>
        </w:pBdr>
        <w:ind w:left="709" w:hanging="709"/>
        <w:rPr>
          <w:color w:val="000000"/>
        </w:rPr>
      </w:pPr>
      <w:r>
        <w:rPr>
          <w:color w:val="000000"/>
        </w:rPr>
        <w:t>науковий журнал «Інформаційне суспільство» [41];</w:t>
      </w:r>
    </w:p>
    <w:p w:rsidR="001E0A2A" w:rsidRDefault="00E079B6">
      <w:pPr>
        <w:numPr>
          <w:ilvl w:val="0"/>
          <w:numId w:val="11"/>
        </w:numPr>
        <w:pBdr>
          <w:top w:val="nil"/>
          <w:left w:val="nil"/>
          <w:bottom w:val="nil"/>
          <w:right w:val="nil"/>
          <w:between w:val="nil"/>
        </w:pBdr>
        <w:ind w:left="709" w:hanging="709"/>
        <w:rPr>
          <w:color w:val="000000"/>
        </w:rPr>
      </w:pPr>
      <w:r>
        <w:rPr>
          <w:color w:val="000000"/>
        </w:rPr>
        <w:t>міжнародний журнал досліджень і прикладних технологій «INJURATECH» [42];</w:t>
      </w:r>
    </w:p>
    <w:p w:rsidR="001E0A2A" w:rsidRDefault="00E079B6">
      <w:pPr>
        <w:numPr>
          <w:ilvl w:val="0"/>
          <w:numId w:val="11"/>
        </w:numPr>
        <w:pBdr>
          <w:top w:val="nil"/>
          <w:left w:val="nil"/>
          <w:bottom w:val="nil"/>
          <w:right w:val="nil"/>
          <w:between w:val="nil"/>
        </w:pBdr>
        <w:ind w:left="709" w:hanging="709"/>
        <w:rPr>
          <w:color w:val="000000"/>
        </w:rPr>
      </w:pPr>
      <w:r>
        <w:rPr>
          <w:color w:val="000000"/>
        </w:rPr>
        <w:t xml:space="preserve">науковий журнал «Економіка </w:t>
      </w:r>
      <w:r>
        <w:rPr>
          <w:color w:val="000000"/>
        </w:rPr>
        <w:t>та суспільство» [43];</w:t>
      </w:r>
    </w:p>
    <w:p w:rsidR="001E0A2A" w:rsidRDefault="00E079B6">
      <w:pPr>
        <w:numPr>
          <w:ilvl w:val="0"/>
          <w:numId w:val="11"/>
        </w:numPr>
        <w:pBdr>
          <w:top w:val="nil"/>
          <w:left w:val="nil"/>
          <w:bottom w:val="nil"/>
          <w:right w:val="nil"/>
          <w:between w:val="nil"/>
        </w:pBdr>
        <w:ind w:left="709" w:hanging="709"/>
        <w:rPr>
          <w:color w:val="000000"/>
        </w:rPr>
      </w:pPr>
      <w:r>
        <w:rPr>
          <w:color w:val="000000"/>
        </w:rPr>
        <w:t>наукове фахове видання «Глобальні та національні проблеми економіки» [44].</w:t>
      </w:r>
    </w:p>
    <w:p w:rsidR="001E0A2A" w:rsidRDefault="00E079B6">
      <w:r>
        <w:t xml:space="preserve">Після збору даних та підготовки до їх аналізу можемо перейти до безпосереднього аналізу отриманої інформації, а саме – перевірки гіпотез та надання відповідей </w:t>
      </w:r>
      <w:r>
        <w:t>на пошукові питання. Почнемо з отримання відповідей на пошукові питання дослідження.</w:t>
      </w:r>
    </w:p>
    <w:p w:rsidR="001E0A2A" w:rsidRDefault="00E079B6">
      <w:r>
        <w:t xml:space="preserve">Пошукове питання №1: Які основні завдання системи маркетингових комунікацій? В медичному центрі діють окремі напрями медицини, тому </w:t>
      </w:r>
      <w:r>
        <w:lastRenderedPageBreak/>
        <w:t>комунікації будуються по різному. Для н</w:t>
      </w:r>
      <w:r>
        <w:t>апряму естетичної медицини основними завданнями комунікацій є донести посил, що косметолог повинен бути лікарем; в естетичній медицині повинні працювати лікарі, а не просто дівчатка після курсів без сертифікатів, які колють ботокс і не знають анатомію обли</w:t>
      </w:r>
      <w:r>
        <w:t>ччя; естетика – це теж про лікарську практику. Акценти в комунікаціях медичного центру робляться на тому, що тут працюють лікарі–косметологи, вони проходять навчання, працюють в медичному центрі, все сертифіковано. Можна виділити слоган: «Довір своє обличч</w:t>
      </w:r>
      <w:r>
        <w:t xml:space="preserve">я лікарю». </w:t>
      </w:r>
    </w:p>
    <w:p w:rsidR="001E0A2A" w:rsidRDefault="00E079B6">
      <w:r>
        <w:t>Пошукове питання №2: Які канали комунікації використовуються медичним центром для взаємодії з клієнтами? МЦ «Mediland» використовує соціальні мережі, а саме: TikTok, Facebook, Instagram; контекстну рекламу PPC, SEO оптимізація (написання статей</w:t>
      </w:r>
      <w:r>
        <w:t>, включення потрібних слів і тд), внутрішня медична база пацієнтів.</w:t>
      </w:r>
    </w:p>
    <w:p w:rsidR="001E0A2A" w:rsidRDefault="00E079B6">
      <w:r>
        <w:t>Пошукове питання №3: Які повідомлення та зміст передаються через ці канали? Через пошукову систему Google [37] рекламується сама клініка, її лікарі та конкретні напрями чи послуги. Приклад</w:t>
      </w:r>
      <w:r>
        <w:t>и реклам наведено в додатку Г. В соціальних мережах викладають освітній контент, відповіді на часті запитання, огляд апаратів та препаратів, відео проведення процедур, портфоліо результатів та просто розважальний контент.</w:t>
      </w:r>
    </w:p>
    <w:p w:rsidR="001E0A2A" w:rsidRDefault="00E079B6">
      <w:r>
        <w:t>Пошукове питання №4: Як часто вико</w:t>
      </w:r>
      <w:r>
        <w:t>ристовуються кожен з каналів комунікації? Зібрано дані з соціальних мереж медичного центру «Mediland». Пораховано кількість публікацій за останній місяць (травень) в кожній з них:</w:t>
      </w:r>
    </w:p>
    <w:p w:rsidR="001E0A2A" w:rsidRDefault="00E079B6">
      <w:pPr>
        <w:numPr>
          <w:ilvl w:val="0"/>
          <w:numId w:val="39"/>
        </w:numPr>
        <w:pBdr>
          <w:top w:val="nil"/>
          <w:left w:val="nil"/>
          <w:bottom w:val="nil"/>
          <w:right w:val="nil"/>
          <w:between w:val="nil"/>
        </w:pBdr>
        <w:spacing w:line="348" w:lineRule="auto"/>
        <w:ind w:left="709" w:hanging="709"/>
      </w:pPr>
      <w:r>
        <w:rPr>
          <w:color w:val="000000"/>
        </w:rPr>
        <w:t>Instagram - @mediland_kosmetolog;</w:t>
      </w:r>
    </w:p>
    <w:p w:rsidR="001E0A2A" w:rsidRDefault="00E079B6">
      <w:pPr>
        <w:numPr>
          <w:ilvl w:val="0"/>
          <w:numId w:val="39"/>
        </w:numPr>
        <w:pBdr>
          <w:top w:val="nil"/>
          <w:left w:val="nil"/>
          <w:bottom w:val="nil"/>
          <w:right w:val="nil"/>
          <w:between w:val="nil"/>
        </w:pBdr>
        <w:spacing w:line="348" w:lineRule="auto"/>
        <w:ind w:left="709" w:hanging="709"/>
      </w:pPr>
      <w:r>
        <w:rPr>
          <w:color w:val="000000"/>
        </w:rPr>
        <w:t>TikTok - @mediland.cosmetolog;;</w:t>
      </w:r>
    </w:p>
    <w:p w:rsidR="001E0A2A" w:rsidRDefault="00E079B6">
      <w:pPr>
        <w:numPr>
          <w:ilvl w:val="0"/>
          <w:numId w:val="39"/>
        </w:numPr>
        <w:pBdr>
          <w:top w:val="nil"/>
          <w:left w:val="nil"/>
          <w:bottom w:val="nil"/>
          <w:right w:val="nil"/>
          <w:between w:val="nil"/>
        </w:pBdr>
        <w:spacing w:line="348" w:lineRule="auto"/>
        <w:ind w:left="709" w:hanging="709"/>
      </w:pPr>
      <w:r>
        <w:rPr>
          <w:color w:val="000000"/>
        </w:rPr>
        <w:t>Facebook -</w:t>
      </w:r>
      <w:r>
        <w:rPr>
          <w:color w:val="000000"/>
        </w:rPr>
        <w:t xml:space="preserve"> Центр медичної естетики та дерматології МЦ «Mediland».</w:t>
      </w:r>
    </w:p>
    <w:p w:rsidR="001E0A2A" w:rsidRDefault="00E079B6">
      <w:r>
        <w:t>На основі цих даних побудовано графік, що відображає частоту використання медичним центром різних каналів комунікацій протягом травня. Результати аналізу зобразимо на рис. 3.1.</w:t>
      </w:r>
    </w:p>
    <w:p w:rsidR="001E0A2A" w:rsidRDefault="00E079B6">
      <w:pPr>
        <w:ind w:firstLine="0"/>
        <w:jc w:val="center"/>
      </w:pPr>
      <w:r>
        <w:rPr>
          <w:noProof/>
          <w:lang w:val="en-US"/>
        </w:rPr>
        <w:lastRenderedPageBreak/>
        <w:drawing>
          <wp:inline distT="0" distB="0" distL="0" distR="0">
            <wp:extent cx="4495599" cy="1899351"/>
            <wp:effectExtent l="0" t="0" r="0" b="0"/>
            <wp:docPr id="168" name="Диаграмма 1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E0A2A" w:rsidRDefault="00E079B6">
      <w:pPr>
        <w:ind w:firstLine="0"/>
        <w:jc w:val="center"/>
      </w:pPr>
      <w:r>
        <w:t>Рисунок 3.1 – Частота використання каналів комунікацій</w:t>
      </w:r>
    </w:p>
    <w:p w:rsidR="001E0A2A" w:rsidRDefault="001E0A2A">
      <w:pPr>
        <w:jc w:val="center"/>
      </w:pPr>
    </w:p>
    <w:p w:rsidR="001E0A2A" w:rsidRDefault="00E079B6">
      <w:r>
        <w:t>Як бачимо з рисунку, Stories в Instagram викладаються майже кожен день по декілька за день, тому їх найбільше. Серед соціальних мереж лідирує у використанні також Instagram, трохи менше постів виклада</w:t>
      </w:r>
      <w:r>
        <w:t>ють в Facebook. TikTok використовують найменше. Що ж до контекстної реклами PPC та SEO оптимізація, то при необхідності рекламу редагують, додають або видаляють, але вона функціонує весь час.</w:t>
      </w:r>
    </w:p>
    <w:p w:rsidR="001E0A2A" w:rsidRDefault="00E079B6">
      <w:r>
        <w:t xml:space="preserve">Пошукове питання №5: Які існують внутрішні процедури для оцінки </w:t>
      </w:r>
      <w:r>
        <w:t>ефективності комунікаційної політики? У медичному центрі не відстежують звідки приходять клієнти, тобто в них відсутня точність оцінювання конверсій. Ефективність комунікаційної політики оцінюється за залученістю клієнтів, онлайн–відгуками та загальній дин</w:t>
      </w:r>
      <w:r>
        <w:t>аміці продажів. Для аналізу поведінки користувачів на сайті використовується Google Analytics, але це конфіденційна інформація.  Отже, медичним центром відстежується динаміка підписок, переглядів та іншої взаємодії із комунікаційними матеріалами (лайки, ко</w:t>
      </w:r>
      <w:r>
        <w:t xml:space="preserve">ментарі, поширення), здійснюється щоденний моніторинг відгуків на різних платформах (Google, Facebook, спеціалізовані форуми) та відстежуються зміни у продажах після запуску конкретних комунікаційних кампаній. </w:t>
      </w:r>
    </w:p>
    <w:p w:rsidR="001E0A2A" w:rsidRDefault="00E079B6">
      <w:r>
        <w:t>Пошукове питання №6: Яка ефективність кожного</w:t>
      </w:r>
      <w:r>
        <w:t xml:space="preserve"> з використовуваних комунікаційних каналів? МЦ «Mediland» має переважно схвальні відгуки з високою оцінкою (рис. 3.2).</w:t>
      </w:r>
    </w:p>
    <w:p w:rsidR="001E0A2A" w:rsidRDefault="00E079B6">
      <w:pPr>
        <w:ind w:firstLine="0"/>
        <w:jc w:val="center"/>
      </w:pPr>
      <w:r>
        <w:rPr>
          <w:noProof/>
          <w:lang w:val="en-US"/>
        </w:rPr>
        <w:lastRenderedPageBreak/>
        <w:drawing>
          <wp:inline distT="0" distB="0" distL="0" distR="0">
            <wp:extent cx="4494152" cy="2949327"/>
            <wp:effectExtent l="0" t="0" r="0" b="0"/>
            <wp:docPr id="20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4494152" cy="2949327"/>
                    </a:xfrm>
                    <a:prstGeom prst="rect">
                      <a:avLst/>
                    </a:prstGeom>
                    <a:ln/>
                  </pic:spPr>
                </pic:pic>
              </a:graphicData>
            </a:graphic>
          </wp:inline>
        </w:drawing>
      </w:r>
    </w:p>
    <w:p w:rsidR="001E0A2A" w:rsidRDefault="00E079B6">
      <w:pPr>
        <w:ind w:firstLine="0"/>
        <w:jc w:val="center"/>
      </w:pPr>
      <w:r>
        <w:t xml:space="preserve">Рисунок 3.2 – Оцінка МЦ «Mediland» за відгуками </w:t>
      </w:r>
    </w:p>
    <w:p w:rsidR="001E0A2A" w:rsidRDefault="00E079B6">
      <w:pPr>
        <w:ind w:firstLine="0"/>
        <w:jc w:val="center"/>
      </w:pPr>
      <w:r>
        <w:t>Джерело: отримано автором через Google Maps [23]</w:t>
      </w:r>
    </w:p>
    <w:p w:rsidR="001E0A2A" w:rsidRDefault="001E0A2A">
      <w:pPr>
        <w:jc w:val="center"/>
      </w:pPr>
    </w:p>
    <w:p w:rsidR="001E0A2A" w:rsidRDefault="00E079B6">
      <w:r>
        <w:t>Відділ маркетингу швидко реагує на в</w:t>
      </w:r>
      <w:r>
        <w:t>сі негативні відгуки та вирішує конфлікти при наявності, але як бачимо позитивних оцінок та відгуків значно більше. Це показує гарну репутацію МЦ «Mediland», тому динаміку продажів медичний центр має позитивну.</w:t>
      </w:r>
    </w:p>
    <w:p w:rsidR="001E0A2A" w:rsidRDefault="00E079B6">
      <w:r>
        <w:t xml:space="preserve"> Що ж стосується залученості клієнтів, то най</w:t>
      </w:r>
      <w:r>
        <w:t>кращу динаміку показує TikTok – там контент набирає найбільше вподобань, переглядів та коментарів, хоча в Instagram акаунт має найбільшу кількість читачів, тобто користувачів, що слідкують за акаунтом. Facebook показує найбільші показники поширень контенту</w:t>
      </w:r>
      <w:r>
        <w:t xml:space="preserve">, тобто там люди частіше пересилають комусь інформацію. </w:t>
      </w:r>
    </w:p>
    <w:p w:rsidR="001E0A2A" w:rsidRDefault="00E079B6">
      <w:r>
        <w:t>Пошукове питання №7: Хто є цільовою аудиторією? Бюджетоутворюючими для напряму естетичної медицини є апаратні технології по AntiAge (антивікових) програмах та ін’єкційні процедури. Саме тому, найбіль</w:t>
      </w:r>
      <w:r>
        <w:t xml:space="preserve">шу цінність для цього напряму несуть люди 35+ років. Хотілося б, щоб було відношення жінок до чоловіків – 70% до 30%. </w:t>
      </w:r>
    </w:p>
    <w:p w:rsidR="001E0A2A" w:rsidRDefault="00E079B6">
      <w:r>
        <w:t>Пошукове питання №8: Хто є основною аудиторією медичного центру (вікова група, стать і тд)? З внутрішньої статистики медичного центру заф</w:t>
      </w:r>
      <w:r>
        <w:t xml:space="preserve">іксовано відношення 91% жіночої до 9% чоловічої аудиторії (рис. 3.3). </w:t>
      </w:r>
    </w:p>
    <w:p w:rsidR="001E0A2A" w:rsidRDefault="001E0A2A"/>
    <w:p w:rsidR="001E0A2A" w:rsidRDefault="00E079B6">
      <w:pPr>
        <w:jc w:val="center"/>
      </w:pPr>
      <w:r>
        <w:rPr>
          <w:noProof/>
          <w:lang w:val="en-US"/>
        </w:rPr>
        <w:drawing>
          <wp:inline distT="0" distB="0" distL="0" distR="0">
            <wp:extent cx="4530090" cy="2743200"/>
            <wp:effectExtent l="0" t="0" r="0" b="0"/>
            <wp:docPr id="170" name="Диаграмма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E0A2A" w:rsidRDefault="00E079B6">
      <w:pPr>
        <w:jc w:val="center"/>
      </w:pPr>
      <w:r>
        <w:t>Рисунок 3.3 – Розподіл аудиторії за статтю</w:t>
      </w:r>
    </w:p>
    <w:p w:rsidR="001E0A2A" w:rsidRDefault="001E0A2A">
      <w:pPr>
        <w:jc w:val="center"/>
      </w:pPr>
    </w:p>
    <w:p w:rsidR="001E0A2A" w:rsidRDefault="00E079B6">
      <w:r>
        <w:t>Бачимо, що наразі мало чоловіків користуються послугами естетичної медицини. З проведеного опитування ми отримали такий розподіл респонден</w:t>
      </w:r>
      <w:r>
        <w:t>тів за віком (рис. 3.4):</w:t>
      </w:r>
    </w:p>
    <w:p w:rsidR="001E0A2A" w:rsidRDefault="001E0A2A"/>
    <w:p w:rsidR="001E0A2A" w:rsidRDefault="00E079B6">
      <w:pPr>
        <w:jc w:val="center"/>
      </w:pPr>
      <w:r>
        <w:rPr>
          <w:noProof/>
          <w:lang w:val="en-US"/>
        </w:rPr>
        <w:drawing>
          <wp:inline distT="0" distB="0" distL="0" distR="0">
            <wp:extent cx="4592955" cy="2133600"/>
            <wp:effectExtent l="0" t="0" r="0" b="0"/>
            <wp:docPr id="169" name="Диаграмма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E0A2A" w:rsidRDefault="00E079B6">
      <w:pPr>
        <w:jc w:val="center"/>
      </w:pPr>
      <w:r>
        <w:t>Рисунок 3.4 – Розподіл аудиторії за віком</w:t>
      </w:r>
    </w:p>
    <w:p w:rsidR="001E0A2A" w:rsidRDefault="00E079B6">
      <w:r>
        <w:t>Найбільше послугами естетичної медицини користуються люди до 25 років, аж 42%. А цільова аудиторія 35+ років займає всього 30% розподілу клієнтів. Це доволі непоганий результат.</w:t>
      </w:r>
    </w:p>
    <w:p w:rsidR="001E0A2A" w:rsidRDefault="00E079B6">
      <w:r>
        <w:t xml:space="preserve">Також в </w:t>
      </w:r>
      <w:r>
        <w:t xml:space="preserve">ході опитування було виявлено, які послуги найбільше цікавлять клієнтів (рис. 3.5). В естетичній медицині існує широкий спектр послуг, </w:t>
      </w:r>
      <w:r>
        <w:lastRenderedPageBreak/>
        <w:t>спрямованих на поліпшення зовнішнього вигляду та самопочуття клієнтів. Деякі з найпоширеніших груп послуг включають:</w:t>
      </w:r>
    </w:p>
    <w:p w:rsidR="001E0A2A" w:rsidRDefault="00E079B6">
      <w:pPr>
        <w:numPr>
          <w:ilvl w:val="0"/>
          <w:numId w:val="23"/>
        </w:numPr>
        <w:pBdr>
          <w:top w:val="nil"/>
          <w:left w:val="nil"/>
          <w:bottom w:val="nil"/>
          <w:right w:val="nil"/>
          <w:between w:val="nil"/>
        </w:pBdr>
        <w:ind w:left="0" w:firstLine="774"/>
      </w:pPr>
      <w:r>
        <w:rPr>
          <w:color w:val="000000"/>
        </w:rPr>
        <w:t>Ін'єкційні процедури: Включають в себе введення ботулінотоксину (ботоксу) та наповнювачів для корекції зморшок, підвищення об'єму губ, моделювання обличчя тощо.</w:t>
      </w:r>
    </w:p>
    <w:p w:rsidR="001E0A2A" w:rsidRDefault="00E079B6">
      <w:pPr>
        <w:numPr>
          <w:ilvl w:val="0"/>
          <w:numId w:val="23"/>
        </w:numPr>
        <w:pBdr>
          <w:top w:val="nil"/>
          <w:left w:val="nil"/>
          <w:bottom w:val="nil"/>
          <w:right w:val="nil"/>
          <w:between w:val="nil"/>
        </w:pBdr>
        <w:ind w:left="0" w:firstLine="774"/>
      </w:pPr>
      <w:r>
        <w:rPr>
          <w:color w:val="000000"/>
        </w:rPr>
        <w:t>Лазерна терапія: Використовується для видалення новоутворень на шкірі, пігментних плям, волосся, зменшення зморшок, а також для зняття татуювань.</w:t>
      </w:r>
    </w:p>
    <w:p w:rsidR="001E0A2A" w:rsidRDefault="00E079B6">
      <w:pPr>
        <w:numPr>
          <w:ilvl w:val="0"/>
          <w:numId w:val="23"/>
        </w:numPr>
        <w:pBdr>
          <w:top w:val="nil"/>
          <w:left w:val="nil"/>
          <w:bottom w:val="nil"/>
          <w:right w:val="nil"/>
          <w:between w:val="nil"/>
        </w:pBdr>
        <w:ind w:left="0" w:firstLine="774"/>
      </w:pPr>
      <w:r>
        <w:rPr>
          <w:color w:val="000000"/>
        </w:rPr>
        <w:t>Дерматологічні процедури: Включають хімічний пілінг, мікродермабразію, мезотерапію для відновлення шкіри та по</w:t>
      </w:r>
      <w:r>
        <w:rPr>
          <w:color w:val="000000"/>
        </w:rPr>
        <w:t>кращення її текстури.</w:t>
      </w:r>
    </w:p>
    <w:p w:rsidR="001E0A2A" w:rsidRDefault="00E079B6">
      <w:pPr>
        <w:numPr>
          <w:ilvl w:val="0"/>
          <w:numId w:val="23"/>
        </w:numPr>
        <w:pBdr>
          <w:top w:val="nil"/>
          <w:left w:val="nil"/>
          <w:bottom w:val="nil"/>
          <w:right w:val="nil"/>
          <w:between w:val="nil"/>
        </w:pBdr>
        <w:ind w:left="0" w:firstLine="774"/>
      </w:pPr>
      <w:r>
        <w:rPr>
          <w:color w:val="000000"/>
        </w:rPr>
        <w:t>Хірургічні втручання: Операції з пластичної хірургії для корекції форми обличчя та тіла, такі як відновлення грудей, підтягування обличчя, ліпосакція тощо.</w:t>
      </w:r>
    </w:p>
    <w:p w:rsidR="001E0A2A" w:rsidRDefault="001E0A2A"/>
    <w:p w:rsidR="001E0A2A" w:rsidRDefault="00E079B6">
      <w:pPr>
        <w:ind w:firstLine="0"/>
        <w:jc w:val="center"/>
      </w:pPr>
      <w:r>
        <w:rPr>
          <w:noProof/>
          <w:lang w:val="en-US"/>
        </w:rPr>
        <w:drawing>
          <wp:inline distT="0" distB="0" distL="0" distR="0">
            <wp:extent cx="4712970" cy="2423160"/>
            <wp:effectExtent l="0" t="0" r="0" b="0"/>
            <wp:docPr id="173" name="Диаграмма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E0A2A" w:rsidRDefault="00E079B6">
      <w:pPr>
        <w:ind w:firstLine="0"/>
        <w:jc w:val="center"/>
      </w:pPr>
      <w:r>
        <w:t>Рисунок 3.5 – Типи послуг</w:t>
      </w:r>
    </w:p>
    <w:p w:rsidR="001E0A2A" w:rsidRDefault="001E0A2A">
      <w:pPr>
        <w:jc w:val="center"/>
      </w:pPr>
    </w:p>
    <w:p w:rsidR="001E0A2A" w:rsidRDefault="00E079B6">
      <w:r>
        <w:t>Отже, найбільше клієнтів цікавлять дерматологічн</w:t>
      </w:r>
      <w:r>
        <w:t>і процедури та лазерні терапії. А бюджетоутворюючі послуги з ін’єкційних процедур та хірургічних втручань цікавлять 27% опитаних клієнів.</w:t>
      </w:r>
    </w:p>
    <w:p w:rsidR="001E0A2A" w:rsidRDefault="00E079B6">
      <w:r>
        <w:t xml:space="preserve">Пошукове питання №9: Які чинники впливають на рішення клієнтів скористатися послугами медичного центру? У анкетуванні </w:t>
      </w:r>
      <w:r>
        <w:t xml:space="preserve">ми виділили 6 основних </w:t>
      </w:r>
      <w:r>
        <w:lastRenderedPageBreak/>
        <w:t xml:space="preserve">чинників: ціна, відгуки, кваліфікація та досвід персоналу, портфоліо результатів, реклама, розташування. Отримані дані було оброблено та проранговано (рис. 3.6). </w:t>
      </w:r>
    </w:p>
    <w:p w:rsidR="001E0A2A" w:rsidRDefault="001E0A2A"/>
    <w:p w:rsidR="001E0A2A" w:rsidRDefault="00E079B6">
      <w:pPr>
        <w:ind w:firstLine="0"/>
        <w:jc w:val="center"/>
      </w:pPr>
      <w:r>
        <w:rPr>
          <w:noProof/>
          <w:lang w:val="en-US"/>
        </w:rPr>
        <w:drawing>
          <wp:inline distT="0" distB="0" distL="0" distR="0">
            <wp:extent cx="6219825" cy="2712720"/>
            <wp:effectExtent l="0" t="0" r="0" b="0"/>
            <wp:docPr id="171" name="Диаграмма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E0A2A" w:rsidRDefault="00E079B6">
      <w:pPr>
        <w:ind w:firstLine="0"/>
        <w:jc w:val="center"/>
      </w:pPr>
      <w:r>
        <w:t>Рисунок 3.6 – Чинники, що впливають на рішення скористатися послуга</w:t>
      </w:r>
      <w:r>
        <w:t>ми</w:t>
      </w:r>
    </w:p>
    <w:p w:rsidR="001E0A2A" w:rsidRDefault="001E0A2A">
      <w:pPr>
        <w:ind w:firstLine="0"/>
        <w:jc w:val="center"/>
      </w:pPr>
    </w:p>
    <w:p w:rsidR="001E0A2A" w:rsidRDefault="00E079B6">
      <w:pPr>
        <w:ind w:firstLine="0"/>
      </w:pPr>
      <w:r>
        <w:tab/>
        <w:t xml:space="preserve">Найбільше на рішення скористатися послугами впливає кваліфікація та досвід персоналу, трохи менше відгуки, портфоліо результатів та ціна послуг. Це основні чинники. </w:t>
      </w:r>
    </w:p>
    <w:p w:rsidR="001E0A2A" w:rsidRDefault="00E079B6">
      <w:r>
        <w:t>Пошукове питання №10: Як клієнти дізнаються про послуги медичного центру? З відповідн</w:t>
      </w:r>
      <w:r>
        <w:t>ого питання анкети ми дізналися, що найчастіше більше 80% клієнтів дізнаються про МЦ «Mediland» від знайомого або через пошукову систему Google (рис. 3.7).</w:t>
      </w:r>
    </w:p>
    <w:p w:rsidR="001E0A2A" w:rsidRDefault="001E0A2A"/>
    <w:p w:rsidR="001E0A2A" w:rsidRDefault="00E079B6">
      <w:pPr>
        <w:ind w:firstLine="0"/>
        <w:jc w:val="center"/>
      </w:pPr>
      <w:r>
        <w:rPr>
          <w:noProof/>
          <w:lang w:val="en-US"/>
        </w:rPr>
        <w:drawing>
          <wp:inline distT="0" distB="0" distL="0" distR="0">
            <wp:extent cx="5102860" cy="2007235"/>
            <wp:effectExtent l="0" t="0" r="0" b="0"/>
            <wp:docPr id="172" name="Диаграмма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E0A2A" w:rsidRDefault="00E079B6">
      <w:pPr>
        <w:ind w:firstLine="0"/>
        <w:jc w:val="center"/>
      </w:pPr>
      <w:r>
        <w:t>Рисунок 3.7 – Джерела інформації клієнтів про МЦ «Mediland»</w:t>
      </w:r>
    </w:p>
    <w:p w:rsidR="001E0A2A" w:rsidRDefault="001E0A2A">
      <w:pPr>
        <w:ind w:firstLine="0"/>
        <w:jc w:val="center"/>
      </w:pPr>
    </w:p>
    <w:p w:rsidR="001E0A2A" w:rsidRDefault="00E079B6">
      <w:r>
        <w:t>Також саме в пошуковій системі Google та за рекомендаціями знайомих люди найчастіше шукають медичні центри для звернення. Така кількість рекомендацій МЦ «Mediland» знайомим доводить високу щиру лояльність клієнтів.</w:t>
      </w:r>
    </w:p>
    <w:p w:rsidR="001E0A2A" w:rsidRDefault="00E079B6">
      <w:r>
        <w:t>Пошукове питання №11: Хто є основними кон</w:t>
      </w:r>
      <w:r>
        <w:t>курентами медичного центру на ринку естетичної медицини? Головними та найближчими конкурентами МЦ «Mediland» на ринку естетичної медицини є: центр лазерної косметології ЛазерХауз, медичні центри Добробут, Medeira та Clinical Academy of Laser Medicine (CALM</w:t>
      </w:r>
      <w:r>
        <w:t>). За опитуванням більше 50% респондентів також слідкують за конкурентами (рис. 3.8).</w:t>
      </w:r>
    </w:p>
    <w:p w:rsidR="001E0A2A" w:rsidRDefault="001E0A2A"/>
    <w:p w:rsidR="001E0A2A" w:rsidRDefault="00E079B6">
      <w:pPr>
        <w:ind w:firstLine="0"/>
        <w:jc w:val="center"/>
      </w:pPr>
      <w:r>
        <w:rPr>
          <w:noProof/>
          <w:lang w:val="en-US"/>
        </w:rPr>
        <w:drawing>
          <wp:inline distT="0" distB="0" distL="0" distR="0">
            <wp:extent cx="4922520" cy="2438400"/>
            <wp:effectExtent l="0" t="0" r="0" b="0"/>
            <wp:docPr id="174" name="Диаграмма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E0A2A" w:rsidRDefault="00E079B6">
      <w:pPr>
        <w:ind w:firstLine="0"/>
        <w:jc w:val="center"/>
      </w:pPr>
      <w:r>
        <w:t>Рисунок 3.8 – За ким з конкурентів слідкують респонденти</w:t>
      </w:r>
    </w:p>
    <w:p w:rsidR="001E0A2A" w:rsidRDefault="00E079B6">
      <w:r>
        <w:t>З них 43% слідкують за конкурентами в Instagram, 29% – в TikTok та по 24% у Facebook та за сайтом медичних цен</w:t>
      </w:r>
      <w:r>
        <w:t>трів. Тобто, мережа Instagram найбільше використовується клієнтами для перегляду контенту з естетичної медицини.</w:t>
      </w:r>
    </w:p>
    <w:p w:rsidR="001E0A2A" w:rsidRDefault="00E079B6">
      <w:r>
        <w:t>Пошукове питання №12: Які комунікаційні стратегії використовують конкуренти? Дослідивши реклами, офіційні сайти та соціальні мережі центрів я в</w:t>
      </w:r>
      <w:r>
        <w:t>иділила їхні позиціонування:</w:t>
      </w:r>
    </w:p>
    <w:p w:rsidR="001E0A2A" w:rsidRDefault="00E079B6">
      <w:pPr>
        <w:numPr>
          <w:ilvl w:val="0"/>
          <w:numId w:val="35"/>
        </w:numPr>
        <w:pBdr>
          <w:top w:val="nil"/>
          <w:left w:val="nil"/>
          <w:bottom w:val="nil"/>
          <w:right w:val="nil"/>
          <w:between w:val="nil"/>
        </w:pBdr>
        <w:ind w:left="709" w:hanging="785"/>
        <w:rPr>
          <w:color w:val="000000"/>
        </w:rPr>
      </w:pPr>
      <w:r>
        <w:rPr>
          <w:color w:val="000000"/>
        </w:rPr>
        <w:t>Добробут: Краса там – де здоров’я. Акцент на сертифікованих лікарях;</w:t>
      </w:r>
    </w:p>
    <w:p w:rsidR="001E0A2A" w:rsidRDefault="00E079B6">
      <w:pPr>
        <w:numPr>
          <w:ilvl w:val="0"/>
          <w:numId w:val="35"/>
        </w:numPr>
        <w:pBdr>
          <w:top w:val="nil"/>
          <w:left w:val="nil"/>
          <w:bottom w:val="nil"/>
          <w:right w:val="nil"/>
          <w:between w:val="nil"/>
        </w:pBdr>
        <w:ind w:left="709" w:hanging="785"/>
        <w:rPr>
          <w:color w:val="000000"/>
        </w:rPr>
      </w:pPr>
      <w:r>
        <w:rPr>
          <w:color w:val="000000"/>
        </w:rPr>
        <w:t>CALM: Якісна діагностика та видалення новоутворень, що турбують;</w:t>
      </w:r>
    </w:p>
    <w:p w:rsidR="001E0A2A" w:rsidRDefault="00E079B6">
      <w:pPr>
        <w:numPr>
          <w:ilvl w:val="0"/>
          <w:numId w:val="35"/>
        </w:numPr>
        <w:pBdr>
          <w:top w:val="nil"/>
          <w:left w:val="nil"/>
          <w:bottom w:val="nil"/>
          <w:right w:val="nil"/>
          <w:between w:val="nil"/>
        </w:pBdr>
        <w:ind w:left="709" w:hanging="785"/>
        <w:rPr>
          <w:color w:val="000000"/>
        </w:rPr>
      </w:pPr>
      <w:r>
        <w:rPr>
          <w:color w:val="000000"/>
        </w:rPr>
        <w:t>ЛазерХауз: Рішення вашої проблеми. Акцент на лазерних епіляціях та інших лазерних процедурах;</w:t>
      </w:r>
    </w:p>
    <w:p w:rsidR="001E0A2A" w:rsidRDefault="00E079B6">
      <w:pPr>
        <w:numPr>
          <w:ilvl w:val="0"/>
          <w:numId w:val="35"/>
        </w:numPr>
        <w:pBdr>
          <w:top w:val="nil"/>
          <w:left w:val="nil"/>
          <w:bottom w:val="nil"/>
          <w:right w:val="nil"/>
          <w:between w:val="nil"/>
        </w:pBdr>
        <w:ind w:left="709" w:hanging="785"/>
        <w:rPr>
          <w:color w:val="000000"/>
        </w:rPr>
      </w:pPr>
      <w:r>
        <w:rPr>
          <w:color w:val="000000"/>
        </w:rPr>
        <w:lastRenderedPageBreak/>
        <w:t>Medeira: Забудь про фільтри та не відкладай впевненість на потім. Акцент на пластичній хірургії.</w:t>
      </w:r>
    </w:p>
    <w:p w:rsidR="001E0A2A" w:rsidRDefault="00E079B6">
      <w:r>
        <w:t>Пошукове питання №13: Які сильні та слабкі сторони комунікаційної політики конкурентів? Добробут має гарну структуру контенту в Instagram, де все зрозуміло та</w:t>
      </w:r>
      <w:r>
        <w:t xml:space="preserve"> видно, але вони не ведуть окремий TikTok акаунт для напряму естетичної медицини. CALM мають багато відео проведення процедур та вирішених кейсів, з мінусів можна виділити недостатню кількість саме косметологічних процедур. В них відсутня таргетована рекла</w:t>
      </w:r>
      <w:r>
        <w:t>ма в конгломератs соціальних мереж Meta Platforms. Клініка ЛазерХауз має багато таргетованої реклами, що добре залучає нових клієнтів, але їх недоліком є мала кількість відео проведення процедур, також цей центр має найменшу кількість реклами в Google (всь</w:t>
      </w:r>
      <w:r>
        <w:t xml:space="preserve">ого 3). Медичний центр Medeira має цікавий контент, що вирізняється від інших наглядними відео з операцій та захоплюючі інтерв’ю-включення з лікарями до або після операцій. Слабкою стороною виступають відсутність акаунту в TikTok та мала кількість відео з </w:t>
      </w:r>
      <w:r>
        <w:t>косметологічних, не хірургічних, процедур. Це були основні слабкі та сильні сторони, що я змогла виокремити в комунікаційній політиці обраних конкурентів.</w:t>
      </w:r>
    </w:p>
    <w:p w:rsidR="001E0A2A" w:rsidRDefault="00E079B6">
      <w:r>
        <w:t xml:space="preserve">Пошукове питання №14: Як клієнти оцінюють комунікацію конкурентів у порівнянні з медичним центром? В </w:t>
      </w:r>
      <w:r>
        <w:t xml:space="preserve">опитуванні було запропоновано оцінити комунікації МЦ «Mediland» у порівнянні з конкурентами. 1 бал означає, що комунікації значно гірші, а 5 – що значно кращі за конкурентів. За цим питання анкетування бачимо наступні результати (рис. 3.9): </w:t>
      </w:r>
    </w:p>
    <w:p w:rsidR="001E0A2A" w:rsidRDefault="00E079B6">
      <w:pPr>
        <w:jc w:val="center"/>
      </w:pPr>
      <w:r>
        <w:rPr>
          <w:noProof/>
          <w:lang w:val="en-US"/>
        </w:rPr>
        <w:lastRenderedPageBreak/>
        <w:drawing>
          <wp:inline distT="0" distB="0" distL="0" distR="0">
            <wp:extent cx="4572000" cy="2946400"/>
            <wp:effectExtent l="0" t="0" r="0" b="0"/>
            <wp:docPr id="175" name="Диаграмма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E0A2A" w:rsidRDefault="00E079B6">
      <w:pPr>
        <w:jc w:val="center"/>
      </w:pPr>
      <w:r>
        <w:t xml:space="preserve">Рисунок 3.9 </w:t>
      </w:r>
      <w:r>
        <w:t>– Оцінка комунікацій МЦ «Mediland» у порівнянні з конкурентами</w:t>
      </w:r>
    </w:p>
    <w:p w:rsidR="001E0A2A" w:rsidRDefault="001E0A2A">
      <w:pPr>
        <w:jc w:val="center"/>
      </w:pPr>
    </w:p>
    <w:p w:rsidR="001E0A2A" w:rsidRDefault="00E079B6">
      <w:r>
        <w:t xml:space="preserve">Отже, бачимо що клієнти в основному оцінюють комунікації МЦ «Mediland» на рівні з конкурентами, або трохи краще за них. Це свідчить про те, що маркетингові зусилля центру в соціальних мережах </w:t>
      </w:r>
      <w:r>
        <w:t>є ефективними і сприяють збереженню та залученню клієнтів. Однак для подальшого покращення результатів може знадобитися аналіз та оптимізація стратегії комунікації, звернення уваги на побажання та фідбек від клієнтів, а також додаткові заходи для підвищенн</w:t>
      </w:r>
      <w:r>
        <w:t>я впливу та видимості бренду в соціальних мережах.</w:t>
      </w:r>
    </w:p>
    <w:p w:rsidR="001E0A2A" w:rsidRDefault="00E079B6">
      <w:r>
        <w:t>Пошукове питання №15: Які інноваційні методи комунікації використовується у галузі естетичної медицини та суміжних сферах? Крім використання звичних зараз соціальних медіа, веб–сайтів та їх аналітики, мобі</w:t>
      </w:r>
      <w:r>
        <w:t xml:space="preserve">льного маркетингу, контент-маркетингу та SEO оптимізації існують нові тенденції в комунікаціях. Одними із основних трендів є персоналізація контенту, стратегія  геолокаційного маркетингу, маркетингу у реальному часі та використання штучного інтелекту (ШІ) </w:t>
      </w:r>
      <w:r>
        <w:t xml:space="preserve">для аналізу даних та генерації нового контенту. Отже, тренди в розвитку маркетингових комунікацій через ІТ продукти вказують на необхідність постійного вдосконалення стратегій, адаптації до </w:t>
      </w:r>
      <w:r>
        <w:lastRenderedPageBreak/>
        <w:t>новітніх технологій та зосередження на взаємодії з аудиторією шлях</w:t>
      </w:r>
      <w:r>
        <w:t>ом персоналізації та інтерактивності [39-44].</w:t>
      </w:r>
    </w:p>
    <w:p w:rsidR="001E0A2A" w:rsidRDefault="00E079B6">
      <w:r>
        <w:t>Пошукове питання №16: Який рівень задоволеності клієнтів наявною комунікаційною політикою? Питання «8. На скільки ви задоволені контентом «Mediland» в соціальних мережах?» оцінювали від 1 – взагалі не подобаєть</w:t>
      </w:r>
      <w:r>
        <w:t>ся до 5 – дуже подобається. Результати опитування зображені на рис. 3.10.</w:t>
      </w:r>
    </w:p>
    <w:p w:rsidR="001E0A2A" w:rsidRDefault="001E0A2A"/>
    <w:p w:rsidR="001E0A2A" w:rsidRDefault="00E079B6">
      <w:pPr>
        <w:ind w:firstLine="0"/>
        <w:jc w:val="center"/>
      </w:pPr>
      <w:r>
        <w:rPr>
          <w:noProof/>
          <w:lang w:val="en-US"/>
        </w:rPr>
        <w:drawing>
          <wp:inline distT="0" distB="0" distL="0" distR="0">
            <wp:extent cx="4572000" cy="2654300"/>
            <wp:effectExtent l="0" t="0" r="0" b="0"/>
            <wp:docPr id="176" name="Диаграмма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E0A2A" w:rsidRDefault="00E079B6">
      <w:pPr>
        <w:ind w:firstLine="0"/>
        <w:jc w:val="center"/>
      </w:pPr>
      <w:r>
        <w:t>Рисунок 3.10 – Рівень задоволеності контентом «Mediland» в соціальних мережах</w:t>
      </w:r>
    </w:p>
    <w:p w:rsidR="001E0A2A" w:rsidRDefault="001E0A2A"/>
    <w:p w:rsidR="001E0A2A" w:rsidRDefault="00E079B6">
      <w:r>
        <w:t>В основному це показує що комунікації сприймаються клієнтами задовільно, але є ще куди розвиватися. Контент на сайті медичного центру респонденти оцінили трохи гірше (рис. 3.11). Варто врахувати, що в сучасному цифровому світі люди витрачають менше часу на</w:t>
      </w:r>
      <w:r>
        <w:t xml:space="preserve"> веб-сайти, але це не означає, що важливість контенту на них зменшується. Тому, хоча реакція на сайт може бути меншою, але важливо забезпечити, щоб він все ще був інформативним та цікавим для тих, хто його відвідує.</w:t>
      </w:r>
    </w:p>
    <w:p w:rsidR="001E0A2A" w:rsidRDefault="001E0A2A"/>
    <w:p w:rsidR="001E0A2A" w:rsidRDefault="00E079B6">
      <w:pPr>
        <w:ind w:firstLine="0"/>
        <w:jc w:val="center"/>
      </w:pPr>
      <w:r>
        <w:rPr>
          <w:noProof/>
          <w:lang w:val="en-US"/>
        </w:rPr>
        <w:lastRenderedPageBreak/>
        <w:drawing>
          <wp:inline distT="0" distB="0" distL="0" distR="0">
            <wp:extent cx="4554855" cy="2603500"/>
            <wp:effectExtent l="0" t="0" r="0" b="0"/>
            <wp:docPr id="177" name="Диаграмма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E0A2A" w:rsidRDefault="00E079B6">
      <w:pPr>
        <w:ind w:firstLine="0"/>
        <w:jc w:val="center"/>
      </w:pPr>
      <w:r>
        <w:t>Рисунок 3.11 – Рівень задоволеності к</w:t>
      </w:r>
      <w:r>
        <w:t>онтентом на сайті «Mediland»</w:t>
      </w:r>
    </w:p>
    <w:p w:rsidR="001E0A2A" w:rsidRDefault="001E0A2A">
      <w:pPr>
        <w:ind w:firstLine="0"/>
        <w:jc w:val="center"/>
      </w:pPr>
    </w:p>
    <w:p w:rsidR="001E0A2A" w:rsidRDefault="00E079B6">
      <w:r>
        <w:t>Отже, відповіді респондентів з опитування показують, що вони більше задоволені комунікаційною політикою, ніж не задоволені. Результати аналізу дають змогу зрозуміти, що попри існуючі досягнення, є потреба в постійному монітори</w:t>
      </w:r>
      <w:r>
        <w:t>нгу та адаптації стратегії комунікації для забезпечення високого рівня задоволення клієнтів та підтримки позитивного іміджу бренду.</w:t>
      </w:r>
    </w:p>
    <w:p w:rsidR="001E0A2A" w:rsidRDefault="00E079B6">
      <w:r>
        <w:t>Пошукове питання №17: Які додаткові канали комунікації можуть бути ефективними для залучення нових клієнтів? Для залучення н</w:t>
      </w:r>
      <w:r>
        <w:t>ових клієнтів може бути ефективним таргетована реклама в Instagram та власний мобільний додаток. Про це свідчать тенденції на ринку та відповіді респондентів з опитування.</w:t>
      </w:r>
    </w:p>
    <w:p w:rsidR="001E0A2A" w:rsidRDefault="00E079B6">
      <w:r>
        <w:t>Пошукове питання №18: Які є основні проблеми і недоліки комунікаційної політики меди</w:t>
      </w:r>
      <w:r>
        <w:t>чного центру? Серед недоліків споживачі виділили недостатню недостатню кількість живих відгуків, нестача чоловічого контенту та незрозумілість акцій.</w:t>
      </w:r>
    </w:p>
    <w:p w:rsidR="001E0A2A" w:rsidRDefault="00E079B6">
      <w:r>
        <w:t>Наступним кроком буде перевірка гіпотез, які ми вже визначили, і формування відповідей на них на основі даних від опитуваних.</w:t>
      </w:r>
    </w:p>
    <w:p w:rsidR="001E0A2A" w:rsidRDefault="00E079B6">
      <w:pPr>
        <w:rPr>
          <w:highlight w:val="white"/>
        </w:rPr>
      </w:pPr>
      <w:r>
        <w:rPr>
          <w:highlight w:val="white"/>
        </w:rPr>
        <w:t>H1: Поточна комунікаційна політика медичного центру не враховує специфічні потреби та інтереси різних сегментів цільової аудиторії</w:t>
      </w:r>
      <w:r>
        <w:rPr>
          <w:highlight w:val="white"/>
        </w:rPr>
        <w:t>. В опитуванні респонденти відповідали на питання: «Який контент вас цікавить найбільше?». Результати представлені на рис. 3.12.</w:t>
      </w:r>
    </w:p>
    <w:p w:rsidR="001E0A2A" w:rsidRDefault="001E0A2A">
      <w:pPr>
        <w:rPr>
          <w:highlight w:val="white"/>
        </w:rPr>
      </w:pPr>
    </w:p>
    <w:p w:rsidR="001E0A2A" w:rsidRDefault="00E079B6">
      <w:pPr>
        <w:jc w:val="center"/>
        <w:rPr>
          <w:highlight w:val="white"/>
        </w:rPr>
      </w:pPr>
      <w:r>
        <w:rPr>
          <w:noProof/>
          <w:lang w:val="en-US"/>
        </w:rPr>
        <w:drawing>
          <wp:inline distT="0" distB="0" distL="0" distR="0">
            <wp:extent cx="5524500" cy="2857500"/>
            <wp:effectExtent l="0" t="0" r="0" b="0"/>
            <wp:docPr id="178" name="Диаграмма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E0A2A" w:rsidRDefault="00E079B6">
      <w:pPr>
        <w:jc w:val="center"/>
        <w:rPr>
          <w:highlight w:val="white"/>
        </w:rPr>
      </w:pPr>
      <w:r>
        <w:rPr>
          <w:highlight w:val="white"/>
        </w:rPr>
        <w:t>Рисунок 3.12 – Який контент цікавить аудиторію</w:t>
      </w:r>
    </w:p>
    <w:p w:rsidR="001E0A2A" w:rsidRDefault="001E0A2A">
      <w:pPr>
        <w:jc w:val="center"/>
        <w:rPr>
          <w:highlight w:val="white"/>
        </w:rPr>
      </w:pPr>
    </w:p>
    <w:p w:rsidR="001E0A2A" w:rsidRDefault="00E079B6">
      <w:pPr>
        <w:rPr>
          <w:highlight w:val="white"/>
        </w:rPr>
      </w:pPr>
      <w:r>
        <w:rPr>
          <w:highlight w:val="white"/>
        </w:rPr>
        <w:t xml:space="preserve">Проаналізувавши контент з соціальних мереж МЦ </w:t>
      </w:r>
      <w:r>
        <w:t>«Mediland» з естетичної медици</w:t>
      </w:r>
      <w:r>
        <w:t>ни, можемо спростувати цю гіпотезу, бо найцікавіший контент для аудиторії регулярно викладається там.</w:t>
      </w:r>
    </w:p>
    <w:p w:rsidR="001E0A2A" w:rsidRDefault="00E079B6">
      <w:pPr>
        <w:rPr>
          <w:highlight w:val="white"/>
        </w:rPr>
      </w:pPr>
      <w:r>
        <w:rPr>
          <w:highlight w:val="white"/>
        </w:rPr>
        <w:t>H2: Вікова група 25-34 роки є найбільш активною та залученою аудиторією, що потребує окремого підходу в комунікації. В результаті аналізу отриманих відпов</w:t>
      </w:r>
      <w:r>
        <w:rPr>
          <w:highlight w:val="white"/>
        </w:rPr>
        <w:t>ідей, ця гіпотеза спростовується. Хоча, це єдина вікова група, яка слідкує за всіма комунікаційними каналами, але вікова група 18-24 роки демонструє аналогічний рівень активності, та навіть трохи вищий.</w:t>
      </w:r>
    </w:p>
    <w:p w:rsidR="001E0A2A" w:rsidRDefault="00E079B6">
      <w:pPr>
        <w:rPr>
          <w:highlight w:val="white"/>
        </w:rPr>
      </w:pPr>
      <w:r>
        <w:rPr>
          <w:highlight w:val="white"/>
        </w:rPr>
        <w:t>H3: Візуальний контент (фотографії, відео) є більш еф</w:t>
      </w:r>
      <w:r>
        <w:rPr>
          <w:highlight w:val="white"/>
        </w:rPr>
        <w:t>ективним у залученні уваги клієнтів, ніж текстовий контент. За відповідним запитанням з опитування, бачимо що користувачі дивляться більше візуальний контент (рис. 3.13).</w:t>
      </w:r>
    </w:p>
    <w:p w:rsidR="001E0A2A" w:rsidRDefault="001E0A2A">
      <w:pPr>
        <w:rPr>
          <w:highlight w:val="white"/>
        </w:rPr>
      </w:pPr>
    </w:p>
    <w:p w:rsidR="001E0A2A" w:rsidRDefault="00E079B6">
      <w:pPr>
        <w:ind w:firstLine="0"/>
        <w:jc w:val="center"/>
        <w:rPr>
          <w:highlight w:val="white"/>
        </w:rPr>
      </w:pPr>
      <w:r>
        <w:rPr>
          <w:noProof/>
          <w:lang w:val="en-US"/>
        </w:rPr>
        <w:lastRenderedPageBreak/>
        <w:drawing>
          <wp:inline distT="0" distB="0" distL="0" distR="0">
            <wp:extent cx="4572000" cy="2884714"/>
            <wp:effectExtent l="0" t="0" r="0" b="0"/>
            <wp:docPr id="179" name="Диаграмма 17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E0A2A" w:rsidRDefault="00E079B6">
      <w:pPr>
        <w:ind w:firstLine="0"/>
        <w:jc w:val="center"/>
        <w:rPr>
          <w:highlight w:val="white"/>
        </w:rPr>
      </w:pPr>
      <w:r>
        <w:rPr>
          <w:highlight w:val="white"/>
        </w:rPr>
        <w:t>Рисунок 3.13 – Який контент частіше дивляться</w:t>
      </w:r>
    </w:p>
    <w:p w:rsidR="001E0A2A" w:rsidRDefault="001E0A2A">
      <w:pPr>
        <w:jc w:val="center"/>
        <w:rPr>
          <w:highlight w:val="white"/>
        </w:rPr>
      </w:pPr>
    </w:p>
    <w:p w:rsidR="001E0A2A" w:rsidRDefault="00E079B6">
      <w:r>
        <w:rPr>
          <w:highlight w:val="white"/>
        </w:rPr>
        <w:t xml:space="preserve"> </w:t>
      </w:r>
      <w:r>
        <w:t xml:space="preserve">Отже, для збільшення ефективності </w:t>
      </w:r>
      <w:r>
        <w:t>комунікаційної політики медичного центру «Mediland» варто розглянути можливість використання більшого обсягу візуального контенту. Проте, важливо врахувати, що частина аудиторії має попередність до текстового контенту, тому інформаційний матеріал повинен б</w:t>
      </w:r>
      <w:r>
        <w:t>ути різноманітним і включати як візуальні, так і текстові елементи. Такий підхід дозволить задовольнити потреби різних груп клієнтів та забезпечити більш ефективну комунікацію.</w:t>
      </w:r>
    </w:p>
    <w:p w:rsidR="001E0A2A" w:rsidRDefault="00E079B6">
      <w:pPr>
        <w:rPr>
          <w:highlight w:val="white"/>
        </w:rPr>
      </w:pPr>
      <w:r>
        <w:rPr>
          <w:highlight w:val="white"/>
        </w:rPr>
        <w:t>H4: Поточні повідомлення про акції та спеціальні пропозиції не достатньо зрозум</w:t>
      </w:r>
      <w:r>
        <w:rPr>
          <w:highlight w:val="white"/>
        </w:rPr>
        <w:t xml:space="preserve">ілі або не досягають цільової аудиторії в повній мірі. Опитуванням перевірилась ця гіпотеза. Майже 60% аудиторії не отримують або не помічають повідомлення про акційні пропозиції (рис. 3.14). Це </w:t>
      </w:r>
      <w:r>
        <w:t>може вказувати на недостатню ефективність поточних комунікаці</w:t>
      </w:r>
      <w:r>
        <w:t>йних стратегій щодо акцій та пропозицій.</w:t>
      </w:r>
    </w:p>
    <w:p w:rsidR="001E0A2A" w:rsidRDefault="001E0A2A">
      <w:pPr>
        <w:rPr>
          <w:highlight w:val="white"/>
        </w:rPr>
      </w:pPr>
    </w:p>
    <w:p w:rsidR="001E0A2A" w:rsidRDefault="00E079B6">
      <w:pPr>
        <w:ind w:firstLine="0"/>
        <w:jc w:val="center"/>
        <w:rPr>
          <w:highlight w:val="white"/>
        </w:rPr>
      </w:pPr>
      <w:r>
        <w:rPr>
          <w:noProof/>
          <w:lang w:val="en-US"/>
        </w:rPr>
        <w:lastRenderedPageBreak/>
        <w:drawing>
          <wp:inline distT="0" distB="0" distL="0" distR="0">
            <wp:extent cx="4572000" cy="2425700"/>
            <wp:effectExtent l="0" t="0" r="0" b="0"/>
            <wp:docPr id="180" name="Диаграмма 18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E0A2A" w:rsidRDefault="00E079B6">
      <w:pPr>
        <w:ind w:firstLine="0"/>
        <w:jc w:val="center"/>
        <w:rPr>
          <w:highlight w:val="white"/>
        </w:rPr>
      </w:pPr>
      <w:r>
        <w:rPr>
          <w:highlight w:val="white"/>
        </w:rPr>
        <w:t>Рисунок 3.14 – Чи бачать клієнти повідомлення про акції</w:t>
      </w:r>
    </w:p>
    <w:p w:rsidR="001E0A2A" w:rsidRDefault="001E0A2A">
      <w:pPr>
        <w:rPr>
          <w:highlight w:val="white"/>
        </w:rPr>
      </w:pPr>
    </w:p>
    <w:p w:rsidR="001E0A2A" w:rsidRDefault="00E079B6">
      <w:pPr>
        <w:rPr>
          <w:highlight w:val="white"/>
        </w:rPr>
      </w:pPr>
      <w:r>
        <w:rPr>
          <w:highlight w:val="white"/>
        </w:rPr>
        <w:t>Також в ході аналізу було виявлено, як споживачі розуміють акційні пропозиції (рис. 3.15), що є важливим показником їхнього відгуку на пропоновані вигідні умови. Врахування цих даних може вказати на необхідність перегляду стратегій просування та розвитку н</w:t>
      </w:r>
      <w:r>
        <w:rPr>
          <w:highlight w:val="white"/>
        </w:rPr>
        <w:t>ових підходів для залучення уваги аудиторії до акційних пропозицій та їх кращого розуміння.</w:t>
      </w:r>
    </w:p>
    <w:p w:rsidR="001E0A2A" w:rsidRDefault="001E0A2A">
      <w:pPr>
        <w:rPr>
          <w:highlight w:val="white"/>
        </w:rPr>
      </w:pPr>
    </w:p>
    <w:p w:rsidR="001E0A2A" w:rsidRDefault="00E079B6">
      <w:pPr>
        <w:ind w:firstLine="0"/>
        <w:jc w:val="center"/>
        <w:rPr>
          <w:highlight w:val="white"/>
        </w:rPr>
      </w:pPr>
      <w:r>
        <w:rPr>
          <w:noProof/>
          <w:lang w:val="en-US"/>
        </w:rPr>
        <w:drawing>
          <wp:inline distT="0" distB="0" distL="0" distR="0">
            <wp:extent cx="4914894" cy="3128010"/>
            <wp:effectExtent l="0" t="0" r="0" b="0"/>
            <wp:docPr id="181" name="Диаграмма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E0A2A" w:rsidRDefault="00E079B6">
      <w:pPr>
        <w:ind w:firstLine="0"/>
        <w:jc w:val="center"/>
        <w:rPr>
          <w:highlight w:val="white"/>
        </w:rPr>
      </w:pPr>
      <w:r>
        <w:rPr>
          <w:highlight w:val="white"/>
        </w:rPr>
        <w:t>Рисунок 3.15 – Сприйняття повідомлень про акції аудиторією</w:t>
      </w:r>
    </w:p>
    <w:p w:rsidR="001E0A2A" w:rsidRDefault="00E079B6">
      <w:pPr>
        <w:rPr>
          <w:highlight w:val="white"/>
        </w:rPr>
      </w:pPr>
      <w:r>
        <w:rPr>
          <w:highlight w:val="white"/>
        </w:rPr>
        <w:lastRenderedPageBreak/>
        <w:t>Хоча більшість, а саме 57% аудиторії розуміють повідомлення про акційні пропозиції, можемо зробити вис</w:t>
      </w:r>
      <w:r>
        <w:rPr>
          <w:highlight w:val="white"/>
        </w:rPr>
        <w:t>новок, що повідомлення не є дуже зрозумілими. З цього ми підтверджуємо цю гіпотезу.</w:t>
      </w:r>
    </w:p>
    <w:p w:rsidR="001E0A2A" w:rsidRDefault="00E079B6">
      <w:pPr>
        <w:rPr>
          <w:highlight w:val="white"/>
        </w:rPr>
      </w:pPr>
      <w:r>
        <w:rPr>
          <w:highlight w:val="white"/>
        </w:rPr>
        <w:t>H5: Використання конкурентами нових технологій та платформ (наприклад, чат–боти, мобільні додатки) сприяє їх успіху у взаємодії з клієнтами. Ця гіпотеза спростовується, оск</w:t>
      </w:r>
      <w:r>
        <w:rPr>
          <w:highlight w:val="white"/>
        </w:rPr>
        <w:t xml:space="preserve">ільки опитування не виявило каналів чи інструментів комунікації конкурентів відмінних від використовуваних </w:t>
      </w:r>
      <w:r>
        <w:t>МЦ «Mediland», також оцінка комунікацій у порівнянні з конкурентами в основному на рівні або навіть краща у МЦ «Mediland».</w:t>
      </w:r>
    </w:p>
    <w:p w:rsidR="001E0A2A" w:rsidRDefault="00E079B6">
      <w:pPr>
        <w:rPr>
          <w:color w:val="000000"/>
        </w:rPr>
      </w:pPr>
      <w:r>
        <w:rPr>
          <w:color w:val="000000"/>
        </w:rPr>
        <w:t>Отже, у цьому підрозділі м</w:t>
      </w:r>
      <w:r>
        <w:rPr>
          <w:color w:val="000000"/>
        </w:rPr>
        <w:t xml:space="preserve">и зібрали та проаналізували інформацію з вторинних джерел, бесід з керівництвом та співробітниками та опитування клієнтів. На основі цього аналізу, була надана відповідь на поставлені пошукові питання, а також підтверджено або спростовано наявні гіпотези, </w:t>
      </w:r>
      <w:r>
        <w:rPr>
          <w:color w:val="000000"/>
        </w:rPr>
        <w:t>на основі яких далі будуть надаватися рекомендації щодо розвитку маркетингової комунікаційної політики підприємства.</w:t>
      </w:r>
    </w:p>
    <w:p w:rsidR="001E0A2A" w:rsidRDefault="001E0A2A"/>
    <w:p w:rsidR="001E0A2A" w:rsidRDefault="00E079B6">
      <w:pPr>
        <w:pStyle w:val="2"/>
      </w:pPr>
      <w:bookmarkStart w:id="15" w:name="_heading=h.35nkun2" w:colFirst="0" w:colLast="0"/>
      <w:bookmarkEnd w:id="15"/>
      <w:r>
        <w:t>3.2 Пропозиції щодо розвитку комунікаційної політики підприємства</w:t>
      </w:r>
    </w:p>
    <w:p w:rsidR="001E0A2A" w:rsidRDefault="001E0A2A"/>
    <w:p w:rsidR="001E0A2A" w:rsidRDefault="00E079B6">
      <w:r>
        <w:t>На основі проведеного дослідження ми плануємо розробити конкретні реком</w:t>
      </w:r>
      <w:r>
        <w:t>ендації для вдосконалення комунікаційної політики МЦ "Mediland". Ці рекомендації будуть зорієнтовані на задоволення потреб та очікувань цільової аудиторії, а також враховуватимуть сучасні тенденції у медичній сфері та комунікаційних стратегіях. Наша мета -</w:t>
      </w:r>
      <w:r>
        <w:t xml:space="preserve"> забезпечити ефективну комунікацію з пацієнтами, покращити їх задоволення від послуг та сприяти позитивному іміджу МЦ "Mediland"..</w:t>
      </w:r>
    </w:p>
    <w:p w:rsidR="001E0A2A" w:rsidRDefault="00E079B6">
      <w:r>
        <w:t>Сьогодні звичайна реклама вже майже не діє на людей. В цифровій ері доступ до інформації став більш простим та широким завдяк</w:t>
      </w:r>
      <w:r>
        <w:t xml:space="preserve">и розвитку Інтернету та цифрових технологій. Люди отримали можливість швидко шукати, збирати та обмінюватися інформацією за допомогою мобільних пристроїв та інших засобів зв'язку. Надлишок інформації може бути однією з головних проблем цієї ери. Це </w:t>
      </w:r>
      <w:r>
        <w:lastRenderedPageBreak/>
        <w:t>часто н</w:t>
      </w:r>
      <w:r>
        <w:t xml:space="preserve">азивають "інформаційним перенавантаженням" або "інформаційним шумом". Відчуття перенавантаження може виникнути через постійний потік інформації з різних джерел, що може призвести до втоми, стресу та втрати уваги. Тому компаніям потрібно завжди шукати нові </w:t>
      </w:r>
      <w:r>
        <w:t>шляхи та рішення для донесення інформації до споживачів.</w:t>
      </w:r>
    </w:p>
    <w:p w:rsidR="001E0A2A" w:rsidRDefault="00E079B6">
      <w:r>
        <w:t>О. Простова у своїй науковій праці зазначає, що «у сучасних літературних джерелах до інноваційних, або як їх ще називають, нестандартних методів маркетингових комунікацій, відносять вірусний маркетин</w:t>
      </w:r>
      <w:r>
        <w:t>г, партизанський маркетинг, провокаційний маркетинг тощо. Всі перелічені форми виникли як відповідь на роздратованість споживачів на стандартний рекламний продукт, з одного боку, а з іншого – на незадоволеність виробника низькою ефективністю його впливу» [</w:t>
      </w:r>
      <w:r>
        <w:t>40, c.29].</w:t>
      </w:r>
    </w:p>
    <w:p w:rsidR="001E0A2A" w:rsidRDefault="00E079B6">
      <w:r>
        <w:t>Класичне визначення "вірусного маркетингу" описує його як стратегію реклами, що передбачає поширення інформації через користувачів, зокрема за допомогою цікавого та захоплюючого контенту, де саме споживач стає основним каналом передачі. [41, c.4</w:t>
      </w:r>
      <w:r>
        <w:t>7]. Інакше кажучи, це метод розповсюдження рекламного повідомлення через передачу інформації від одного користувача до іншого.</w:t>
      </w:r>
    </w:p>
    <w:p w:rsidR="001E0A2A" w:rsidRDefault="00E079B6">
      <w:r>
        <w:t>Використання вірусного маркетингу в комунікаційній політиці медичного центру на ринку естетичної медицини може значно підвищити о</w:t>
      </w:r>
      <w:r>
        <w:t>бізнаність про бренд, залучити нових клієнтів та зміцнити довіру до закладу. Такий підхід дозволяє значно розширити аудиторію з мінімальними витратами на рекламу. Пропонується створення цікавого, корисного або розважального контенту, який користувачі охоче</w:t>
      </w:r>
      <w:r>
        <w:t xml:space="preserve"> поширюють серед своїх знайомих та у соціальних мережах. Важливо підлаштовувати контент під аудиторію в різних каналах комунікацій, адже соціальні мережі використовують алгоритми, які визначають пріоритетність контенту для користувачів. Адаптований контент</w:t>
      </w:r>
      <w:r>
        <w:t xml:space="preserve"> має вищий шанс бути поміченим та взаємодіяти з користувачами. Наприклад, зараз контент у всіх соціальних мережах майже повністю повторюється, а я пропоную його трохи розділяти. В Facebook сидить більш доросла аудиторія, якій важлива корисна інформація, та</w:t>
      </w:r>
      <w:r>
        <w:t xml:space="preserve">м аудиторія поширює знайомим цікавий освітній контент, наукові статті та </w:t>
      </w:r>
      <w:r>
        <w:lastRenderedPageBreak/>
        <w:t>дослідження.  TikTok більше популярний серед молоді, тому там доцільно викладати більше розважального контенту. В Instagram люди більше дивитимуться відео проведення процедур. Контент</w:t>
      </w:r>
      <w:r>
        <w:t xml:space="preserve"> не має повністю складатися з одного типу контенту, пропонується 60-70% контенту робити з акцентом на запропоновані напрями, а частину, що лишається викладати інший контент, що цікавить користувачів. Контент, створений на основі побажань клієнтів, демонстр</w:t>
      </w:r>
      <w:r>
        <w:t>ує, що компанія цінує своїх клієнтів та враховує їхні потреби, що підвищує довіру та лояльність. Коли клієнти бачать контент, який відповідає їхнім запитам та інтересам, вони частіше взаємодіють з ним, що підвищує рівень залученості. Серед виявлених побажа</w:t>
      </w:r>
      <w:r>
        <w:t>нь аудиторії щодо контенту, пропоную:</w:t>
      </w:r>
    </w:p>
    <w:p w:rsidR="001E0A2A" w:rsidRDefault="00E079B6">
      <w:pPr>
        <w:numPr>
          <w:ilvl w:val="0"/>
          <w:numId w:val="38"/>
        </w:numPr>
        <w:pBdr>
          <w:top w:val="nil"/>
          <w:left w:val="nil"/>
          <w:bottom w:val="nil"/>
          <w:right w:val="nil"/>
          <w:between w:val="nil"/>
        </w:pBdr>
        <w:ind w:left="709" w:hanging="709"/>
      </w:pPr>
      <w:r>
        <w:rPr>
          <w:color w:val="000000"/>
        </w:rPr>
        <w:t>знімати живі відео-відгуки клієнтів після процедур;</w:t>
      </w:r>
    </w:p>
    <w:p w:rsidR="001E0A2A" w:rsidRDefault="00E079B6">
      <w:pPr>
        <w:numPr>
          <w:ilvl w:val="0"/>
          <w:numId w:val="38"/>
        </w:numPr>
        <w:pBdr>
          <w:top w:val="nil"/>
          <w:left w:val="nil"/>
          <w:bottom w:val="nil"/>
          <w:right w:val="nil"/>
          <w:between w:val="nil"/>
        </w:pBdr>
        <w:ind w:left="709" w:hanging="709"/>
      </w:pPr>
      <w:r>
        <w:rPr>
          <w:color w:val="000000"/>
        </w:rPr>
        <w:t>хоча б раз на місяць розповідати які акційні пропозиції діють;</w:t>
      </w:r>
    </w:p>
    <w:p w:rsidR="001E0A2A" w:rsidRDefault="00E079B6">
      <w:pPr>
        <w:numPr>
          <w:ilvl w:val="0"/>
          <w:numId w:val="38"/>
        </w:numPr>
        <w:pBdr>
          <w:top w:val="nil"/>
          <w:left w:val="nil"/>
          <w:bottom w:val="nil"/>
          <w:right w:val="nil"/>
          <w:between w:val="nil"/>
        </w:pBdr>
        <w:ind w:left="709" w:hanging="709"/>
      </w:pPr>
      <w:r>
        <w:rPr>
          <w:color w:val="000000"/>
        </w:rPr>
        <w:t>додати відео процедур з пацієнтами чоловіками;</w:t>
      </w:r>
    </w:p>
    <w:p w:rsidR="001E0A2A" w:rsidRDefault="00E079B6">
      <w:pPr>
        <w:numPr>
          <w:ilvl w:val="0"/>
          <w:numId w:val="38"/>
        </w:numPr>
        <w:pBdr>
          <w:top w:val="nil"/>
          <w:left w:val="nil"/>
          <w:bottom w:val="nil"/>
          <w:right w:val="nil"/>
          <w:between w:val="nil"/>
        </w:pBdr>
        <w:ind w:left="709" w:hanging="709"/>
      </w:pPr>
      <w:r>
        <w:rPr>
          <w:color w:val="000000"/>
        </w:rPr>
        <w:t xml:space="preserve">створювати контент для чоловічої аудиторії. В них є теж </w:t>
      </w:r>
      <w:r>
        <w:rPr>
          <w:color w:val="000000"/>
        </w:rPr>
        <w:t>якісь проблеми чи свої питання, але частіше за все вони соромляться це запитати . Тому розділ послуг для чоловіків врятували б їх від цих не комфортних для них питань.</w:t>
      </w:r>
    </w:p>
    <w:p w:rsidR="001E0A2A" w:rsidRDefault="00E079B6">
      <w:r>
        <w:t>Цифровий маркетинг може допомогти брендам краще знаходити свою аудиторію. Щоб реклама була ефективною та залучала нових споживачів, бренди повинні оволодіти навичками цифрового маркетингу, такими як копірайтинг, створення привабливих дизайнів та визначення</w:t>
      </w:r>
      <w:r>
        <w:t xml:space="preserve"> правильного цільового ринку. Інтернет сприяє більш цілеспрямованому розповсюдженню реклами, що допомагає досягати потрібну аудиторію. Важливо, щоб бренди прагнули створювати привабливі та креативні рекламні оголошення. Тож пропонується використовувати тар</w:t>
      </w:r>
      <w:r>
        <w:t xml:space="preserve">гетовану реклама в Instagram за напрямом естетичної медицини. </w:t>
      </w:r>
    </w:p>
    <w:p w:rsidR="001E0A2A" w:rsidRDefault="00E079B6">
      <w:r>
        <w:t>Загалом маркетинг стає все більш креативним. Бренди зосереджуються на створенні афіліатів, що приносять користь усім трьом сторонам: власникам брендів, інфлюенсерам і споживачам. Це техніка мар</w:t>
      </w:r>
      <w:r>
        <w:t xml:space="preserve">кетингу, яка може бути прибутковою з мінімальними витратами та зусиллями, навіть якщо це не завжди усвідомлюється. </w:t>
      </w:r>
    </w:p>
    <w:p w:rsidR="001E0A2A" w:rsidRDefault="00E079B6">
      <w:r>
        <w:lastRenderedPageBreak/>
        <w:t>Реклама у блогерів Instagram демонструє продукти чи послуги у реальному житті, створюючи переконливий образ для потенційних клієнтів і підви</w:t>
      </w:r>
      <w:r>
        <w:t>щуючи їхню зацікавленість та бажання купувати. Блогери розповідають про товари у своєму унікальному стилі з гумором і щирістю, часто ділячись особистими історіями та враженнями, що допомагає створити емоційний зв'язок із аудиторією.</w:t>
      </w:r>
    </w:p>
    <w:p w:rsidR="001E0A2A" w:rsidRDefault="00E079B6">
      <w:r>
        <w:t>Оскільки блогери обирають продукти, які відповідають їхньому стилю життя, їхня аудиторія довіряє рекомендаціям і зацікавлюється рекламованими товарами та послугами. Крім того, інфлюенсери мають нішу чи тематику, що дозволяє брендам точно визначити свою ціл</w:t>
      </w:r>
      <w:r>
        <w:t>ьову аудиторію. Реклама у блогерів виглядає як природна частина їхнього контенту, привертає увагу та викликає емоції. Це допомагає створити позитивний образ бренду, підкреслити його переваги та цінності, впливаючи на рішення потенційних клієнтів щодо купів</w:t>
      </w:r>
      <w:r>
        <w:t>лі.</w:t>
      </w:r>
    </w:p>
    <w:p w:rsidR="001E0A2A" w:rsidRDefault="00E079B6">
      <w:r>
        <w:t>Крім того, бренди активно використовують бренд–амбасадорів у своїх маркетингових стратегіях. Призначені амбасадори зазвичай мають великий вплив у кіберпросторі або соціальних мережах, що робить рекламу більш ефективною і привертає увагу їхніх шанувальн</w:t>
      </w:r>
      <w:r>
        <w:t>иків. Цей розвиток маркетингових технологій значно полегшує життя як власникам брендів, так і споживачам [42]. Відомі особи та інфлюенсери вже мають велику аудиторію, яка їм довіряє. Рекомендації від них можуть значно підвищити впізнаваність бренду та дові</w:t>
      </w:r>
      <w:r>
        <w:t>ру до нього. Тож пропоную залучати відомих медійних осіб для реклами та амбасадорства медичного центру.</w:t>
      </w:r>
    </w:p>
    <w:p w:rsidR="001E0A2A" w:rsidRDefault="00E079B6">
      <w:r>
        <w:t>Існує багато методів залучення аудиторії до активної взаємодії на ринку медичних послуг: використання додатків для iPhone та Android, інтернет-кіоски, с</w:t>
      </w:r>
      <w:r>
        <w:t>кринінгові дослідження в соціальних мережах, рекомендаційні API-додатки та медичні інформаційні чіпи. Різноманітні додатки та веб–сайти значно спрощують підприємствам і брендам взаємодію з клієнтами та укладання угод. Наприклад, чат-додатки, такі як WhatsA</w:t>
      </w:r>
      <w:r>
        <w:t>pp, Viber і Telegram, дозволяють споживачам легко спілкуватися з брендами, дізнаватися про акції, ціни на товари або робити замовлення.</w:t>
      </w:r>
    </w:p>
    <w:p w:rsidR="001E0A2A" w:rsidRDefault="00E079B6">
      <w:r>
        <w:t xml:space="preserve">Респонденти з опитування виявили бажання отримати більше інформації про причини виникнення висипань та інших проблем зі </w:t>
      </w:r>
      <w:r>
        <w:t xml:space="preserve">шкірою, а також способи їх </w:t>
      </w:r>
      <w:r>
        <w:lastRenderedPageBreak/>
        <w:t xml:space="preserve">попередження та лікування. Деякі респонденти бажають бачити цю інформацію у форматі окремого додатку. Мобільний додаток може включати розділ з докладною інформацією про різні дерматологічні проблеми та їх причини. Клієнти можуть </w:t>
      </w:r>
      <w:r>
        <w:t>бути зацікавлені у отриманні рекомендацій як щодо догляду за шкірою вдома, так і про процедури, які можна пройти в медичному центрі. Додаток може включати відеоуроки, статті та інструкції з використання домашніх засобів та опис професійних процедур.</w:t>
      </w:r>
    </w:p>
    <w:p w:rsidR="001E0A2A" w:rsidRDefault="00E079B6">
      <w:r>
        <w:t>Оскіль</w:t>
      </w:r>
      <w:r>
        <w:t>ки на зовнішній вигляд шкіри значно впливає те, що ми їмо, для докладнішого розуміння цього впливу ми здійснили опитування серед клієнтів нашого центру. На рис. 3.16 зображено результати цього опитування, які стосуються планування раціону. Із зазначених да</w:t>
      </w:r>
      <w:r>
        <w:t xml:space="preserve">них видно, що більше половини учасників опитування заявили, що планують свій раціон. Це може свідчити про те, що клієнти свідомо вибирають та контролюють свої їжу, можливо, з метою поліпшення стану своєї шкіри чи загального здоров'я. </w:t>
      </w:r>
    </w:p>
    <w:p w:rsidR="001E0A2A" w:rsidRDefault="00E079B6">
      <w:r>
        <w:t xml:space="preserve">Але варто зауважити, </w:t>
      </w:r>
      <w:r>
        <w:t>що саме планування раціону може охоплювати різні підходи до харчування. Таким чином, для повного розуміння впливу харчування на стан шкіри, важливо докладніше дослідити, як саме харчуються респонденти.</w:t>
      </w:r>
    </w:p>
    <w:p w:rsidR="001E0A2A" w:rsidRDefault="00E079B6">
      <w:pPr>
        <w:ind w:firstLine="0"/>
        <w:jc w:val="center"/>
      </w:pPr>
      <w:r>
        <w:rPr>
          <w:noProof/>
          <w:lang w:val="en-US"/>
        </w:rPr>
        <w:drawing>
          <wp:inline distT="0" distB="0" distL="0" distR="0">
            <wp:extent cx="5573395" cy="3169920"/>
            <wp:effectExtent l="0" t="0" r="0" b="0"/>
            <wp:docPr id="166" name="Диаграмма 1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E0A2A" w:rsidRDefault="00E079B6">
      <w:pPr>
        <w:ind w:firstLine="0"/>
        <w:jc w:val="center"/>
      </w:pPr>
      <w:r>
        <w:t>Рисунок 3.16 – Планування раціону клієнтів</w:t>
      </w:r>
    </w:p>
    <w:p w:rsidR="001E0A2A" w:rsidRDefault="001E0A2A">
      <w:pPr>
        <w:jc w:val="center"/>
      </w:pPr>
    </w:p>
    <w:p w:rsidR="001E0A2A" w:rsidRDefault="00E079B6">
      <w:r>
        <w:lastRenderedPageBreak/>
        <w:t xml:space="preserve">На рис. </w:t>
      </w:r>
      <w:r>
        <w:t>3.17 показано, чи слідкують респонденти за своїм харчуванням. Це дозволяє зробити висновок про те, наскільки уважно респонденти стежать за тим, що вони їдять.</w:t>
      </w:r>
    </w:p>
    <w:p w:rsidR="001E0A2A" w:rsidRDefault="001E0A2A"/>
    <w:p w:rsidR="001E0A2A" w:rsidRDefault="00E079B6">
      <w:pPr>
        <w:ind w:firstLine="0"/>
        <w:jc w:val="center"/>
      </w:pPr>
      <w:r>
        <w:rPr>
          <w:noProof/>
          <w:lang w:val="en-US"/>
        </w:rPr>
        <w:drawing>
          <wp:inline distT="0" distB="0" distL="0" distR="0">
            <wp:extent cx="4902200" cy="2514600"/>
            <wp:effectExtent l="0" t="0" r="0" b="0"/>
            <wp:docPr id="167" name="Диаграмма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E0A2A" w:rsidRDefault="00E079B6">
      <w:pPr>
        <w:ind w:firstLine="0"/>
        <w:jc w:val="center"/>
      </w:pPr>
      <w:r>
        <w:t>Рисунок 3.17 – Чи слідкують респонденти за своїм харчуванням</w:t>
      </w:r>
    </w:p>
    <w:p w:rsidR="001E0A2A" w:rsidRDefault="001E0A2A">
      <w:pPr>
        <w:jc w:val="center"/>
      </w:pPr>
    </w:p>
    <w:p w:rsidR="001E0A2A" w:rsidRDefault="00E079B6">
      <w:r>
        <w:t>З цих результатів можемо припуст</w:t>
      </w:r>
      <w:r>
        <w:t>ити, що трохи більше половини наших клієнтів планують свій раціон та слідкують за тим, що саме вони їдять. Також споживачі виявили бажання знати, як їхній раціон впливає на зовнішній вигляд шкіри. В цьому може допомогти мобільний додаток. Він також може на</w:t>
      </w:r>
      <w:r>
        <w:t>давати персоналізовані поради щодо харчування, які сприятимуть покращенню стану шкіри. Тому, створення власного мобільного додатку про залежність харчування на стан та зовнішній вигляд організму людини має бути актуальним. Додаток може надавати клієнтам ін</w:t>
      </w:r>
      <w:r>
        <w:t>дивідуальні рекомендації щодо догляду за шкірою, враховуючи їхні особисті проблеми, такі як висипання на шкірі. Додаток може включати розділи про вплив харчування на стан шкіри, надаючи корисну інформацію та поради щодо дієти, яка сприятиме покращенню зовн</w:t>
      </w:r>
      <w:r>
        <w:t>ішнього вигляду. Додаток може пропонувати корисні поради та рекомендації з догляду за шкірою в домашніх умовах, а також інформувати про процедури, які можна пройти в медичному центрі для вирішення конкретних проблем зі шкірою.</w:t>
      </w:r>
    </w:p>
    <w:p w:rsidR="001E0A2A" w:rsidRDefault="00E079B6">
      <w:r>
        <w:lastRenderedPageBreak/>
        <w:t>Я рекомендую звернути на це у</w:t>
      </w:r>
      <w:r>
        <w:t>вагу медичного центру та провести додаткове дослідження щодо наповнення та функціоналу мобільного додатку. Його впровадження допоможе підвищити лояльність наявних клієнтів та стане вигідною перевагою над конкурентами. Визначимо цілі впровадження додатку:</w:t>
      </w:r>
    </w:p>
    <w:p w:rsidR="001E0A2A" w:rsidRDefault="00E079B6">
      <w:pPr>
        <w:numPr>
          <w:ilvl w:val="0"/>
          <w:numId w:val="34"/>
        </w:numPr>
        <w:pBdr>
          <w:top w:val="nil"/>
          <w:left w:val="nil"/>
          <w:bottom w:val="nil"/>
          <w:right w:val="nil"/>
          <w:between w:val="nil"/>
        </w:pBdr>
        <w:ind w:left="709" w:hanging="709"/>
      </w:pPr>
      <w:r>
        <w:rPr>
          <w:color w:val="000000"/>
        </w:rPr>
        <w:t>п</w:t>
      </w:r>
      <w:r>
        <w:rPr>
          <w:color w:val="000000"/>
        </w:rPr>
        <w:t>ідвищення лояльності клієнтів за рахунок забезпечення корисної інформації та персоналізованих рекомендацій;</w:t>
      </w:r>
    </w:p>
    <w:p w:rsidR="001E0A2A" w:rsidRDefault="00E079B6">
      <w:pPr>
        <w:numPr>
          <w:ilvl w:val="0"/>
          <w:numId w:val="34"/>
        </w:numPr>
        <w:pBdr>
          <w:top w:val="nil"/>
          <w:left w:val="nil"/>
          <w:bottom w:val="nil"/>
          <w:right w:val="nil"/>
          <w:between w:val="nil"/>
        </w:pBdr>
        <w:ind w:left="709" w:hanging="709"/>
      </w:pPr>
      <w:r>
        <w:rPr>
          <w:color w:val="000000"/>
        </w:rPr>
        <w:t>залучення нових клієнтів шляхом пропонування унікальних послуг через додаток;</w:t>
      </w:r>
    </w:p>
    <w:p w:rsidR="001E0A2A" w:rsidRDefault="00E079B6">
      <w:pPr>
        <w:numPr>
          <w:ilvl w:val="0"/>
          <w:numId w:val="34"/>
        </w:numPr>
        <w:pBdr>
          <w:top w:val="nil"/>
          <w:left w:val="nil"/>
          <w:bottom w:val="nil"/>
          <w:right w:val="nil"/>
          <w:between w:val="nil"/>
        </w:pBdr>
        <w:ind w:left="709" w:hanging="709"/>
      </w:pPr>
      <w:r>
        <w:rPr>
          <w:color w:val="000000"/>
        </w:rPr>
        <w:t>підвищення прибутків через впровадження платних функцій або реклами.</w:t>
      </w:r>
    </w:p>
    <w:p w:rsidR="001E0A2A" w:rsidRDefault="00E079B6">
      <w:r>
        <w:t>Для визначення, за які саме функції користувачі будуть готові платити, необхідно провести ретельне маркетингове дослідження. Це дослідження допоможе зрозуміти споживчі уподобання, потреби та очікування, а також виявити потенційні напрямки для розвитку дода</w:t>
      </w:r>
      <w:r>
        <w:t>тку, що можуть забезпечити його комерційний успіх.</w:t>
      </w:r>
    </w:p>
    <w:p w:rsidR="001E0A2A" w:rsidRDefault="00E079B6">
      <w:r>
        <w:t>На основі отриманих даних буде можливо не тільки визначити, які функції є найприбутковішими для монетизації, але й зрозуміти, які напрямки суміжної реклами будуть найбільш ефективними. Це дозволить не лише</w:t>
      </w:r>
      <w:r>
        <w:t xml:space="preserve"> збільшити дохід від продажів преміум-функцій додатку, але й отримати додаткові прибутки від партнерської реклами, що буде релевантною та корисною для користувачів додатку.</w:t>
      </w:r>
    </w:p>
    <w:p w:rsidR="001E0A2A" w:rsidRDefault="00E079B6">
      <w:r>
        <w:t>Таким чином, комплексне маркетингове дослідження, що спрямоване на виявлення потреб</w:t>
      </w:r>
      <w:r>
        <w:t xml:space="preserve"> користувачів та аналіз суміжних ринків, є необхідним етапом для успішного впровадження та розвитку ІТ додатку в медичному центрі. Це дозволить створити продукт, що буде відповідати очікуванням клієнтів, сприятиме їх задоволеності та лояльності, а також за</w:t>
      </w:r>
      <w:r>
        <w:t>безпечить стабільний приріст прибутків.</w:t>
      </w:r>
    </w:p>
    <w:p w:rsidR="001E0A2A" w:rsidRDefault="00E079B6">
      <w:r>
        <w:t>Отже, до рекомендацій розроблених в результаті дослідження належать:</w:t>
      </w:r>
    </w:p>
    <w:p w:rsidR="001E0A2A" w:rsidRDefault="00E079B6">
      <w:pPr>
        <w:numPr>
          <w:ilvl w:val="0"/>
          <w:numId w:val="40"/>
        </w:numPr>
        <w:pBdr>
          <w:top w:val="nil"/>
          <w:left w:val="nil"/>
          <w:bottom w:val="nil"/>
          <w:right w:val="nil"/>
          <w:between w:val="nil"/>
        </w:pBdr>
        <w:ind w:left="0" w:firstLine="720"/>
      </w:pPr>
      <w:r>
        <w:rPr>
          <w:color w:val="000000"/>
        </w:rPr>
        <w:t>Зміни в контенті за розподіленням різних акцентів у різних соціальних мережах.</w:t>
      </w:r>
    </w:p>
    <w:p w:rsidR="001E0A2A" w:rsidRDefault="00E079B6">
      <w:pPr>
        <w:numPr>
          <w:ilvl w:val="0"/>
          <w:numId w:val="40"/>
        </w:numPr>
        <w:pBdr>
          <w:top w:val="nil"/>
          <w:left w:val="nil"/>
          <w:bottom w:val="nil"/>
          <w:right w:val="nil"/>
          <w:between w:val="nil"/>
        </w:pBdr>
        <w:ind w:left="0" w:firstLine="720"/>
      </w:pPr>
      <w:r>
        <w:rPr>
          <w:color w:val="000000"/>
        </w:rPr>
        <w:t>Створення контенту зазначеного в цьому підрозділі за побажаннями клі</w:t>
      </w:r>
      <w:r>
        <w:rPr>
          <w:color w:val="000000"/>
        </w:rPr>
        <w:t xml:space="preserve">єнтів. </w:t>
      </w:r>
    </w:p>
    <w:p w:rsidR="001E0A2A" w:rsidRDefault="00E079B6">
      <w:pPr>
        <w:numPr>
          <w:ilvl w:val="0"/>
          <w:numId w:val="40"/>
        </w:numPr>
        <w:pBdr>
          <w:top w:val="nil"/>
          <w:left w:val="nil"/>
          <w:bottom w:val="nil"/>
          <w:right w:val="nil"/>
          <w:between w:val="nil"/>
        </w:pBdr>
        <w:ind w:left="0" w:firstLine="720"/>
      </w:pPr>
      <w:r>
        <w:rPr>
          <w:color w:val="000000"/>
        </w:rPr>
        <w:lastRenderedPageBreak/>
        <w:t>Запуск таргетованої реклами в Instagram.</w:t>
      </w:r>
    </w:p>
    <w:p w:rsidR="001E0A2A" w:rsidRDefault="00E079B6">
      <w:pPr>
        <w:numPr>
          <w:ilvl w:val="0"/>
          <w:numId w:val="40"/>
        </w:numPr>
        <w:pBdr>
          <w:top w:val="nil"/>
          <w:left w:val="nil"/>
          <w:bottom w:val="nil"/>
          <w:right w:val="nil"/>
          <w:between w:val="nil"/>
        </w:pBdr>
        <w:ind w:left="0" w:firstLine="720"/>
      </w:pPr>
      <w:r>
        <w:rPr>
          <w:color w:val="000000"/>
        </w:rPr>
        <w:t>Залучення відомих осіб.</w:t>
      </w:r>
    </w:p>
    <w:p w:rsidR="001E0A2A" w:rsidRDefault="00E079B6">
      <w:pPr>
        <w:numPr>
          <w:ilvl w:val="0"/>
          <w:numId w:val="40"/>
        </w:numPr>
        <w:pBdr>
          <w:top w:val="nil"/>
          <w:left w:val="nil"/>
          <w:bottom w:val="nil"/>
          <w:right w:val="nil"/>
          <w:between w:val="nil"/>
        </w:pBdr>
        <w:ind w:left="0" w:firstLine="720"/>
      </w:pPr>
      <w:r>
        <w:rPr>
          <w:color w:val="000000"/>
        </w:rPr>
        <w:t>Розробка власного мобільного додатку.</w:t>
      </w:r>
    </w:p>
    <w:p w:rsidR="001E0A2A" w:rsidRDefault="00E079B6">
      <w:r>
        <w:t>В цьому підрозділі були висунуті рекомендації заходів щодо розвитку комунікаційної політики МЦ «Mediland». Ці заходи допоможуть збільшити залучен</w:t>
      </w:r>
      <w:r>
        <w:t>ість аудиторії, відомість медичного центру та кількість лояльних користувачів.</w:t>
      </w:r>
    </w:p>
    <w:p w:rsidR="001E0A2A" w:rsidRDefault="001E0A2A"/>
    <w:p w:rsidR="001E0A2A" w:rsidRDefault="00E079B6">
      <w:pPr>
        <w:pStyle w:val="2"/>
      </w:pPr>
      <w:bookmarkStart w:id="16" w:name="_heading=h.1ksv4uv" w:colFirst="0" w:colLast="0"/>
      <w:bookmarkEnd w:id="16"/>
      <w:r>
        <w:t>3.3 Економічне обґрунтування ефективності маркетингових заходів</w:t>
      </w:r>
    </w:p>
    <w:p w:rsidR="001E0A2A" w:rsidRDefault="001E0A2A"/>
    <w:p w:rsidR="001E0A2A" w:rsidRDefault="00E079B6">
      <w:r>
        <w:t>Усі запропоновані заходи щодо розвитку комунікаційної політики медичного центру потребують обґрунтування. Тому,</w:t>
      </w:r>
      <w:r>
        <w:t xml:space="preserve"> далі буде здійснено економічні розрахунки. </w:t>
      </w:r>
    </w:p>
    <w:p w:rsidR="001E0A2A" w:rsidRDefault="00E079B6">
      <w:r>
        <w:t>По-перше, зауважимо, що зміни в контенті не потребують додаткових витрат. Веденням соціальних мереж та складанням контент-плану до них займаються 3 співробітника маркетингового відділу медичного центру – SMM-спе</w:t>
      </w:r>
      <w:r>
        <w:t>ціалісти. Тому, бюджет виділений на їхню заробітну плату не підвищиться. Від змін у контенті за розподілом акцентів у різних соціальних мережах та створенні контенту за побажаннями клієнтів покращаться показники ефективності, якими рекомендується відстежув</w:t>
      </w:r>
      <w:r>
        <w:t>ати ефективність комунікаційних каналів:</w:t>
      </w:r>
    </w:p>
    <w:p w:rsidR="001E0A2A" w:rsidRDefault="00E079B6">
      <w:pPr>
        <w:numPr>
          <w:ilvl w:val="0"/>
          <w:numId w:val="42"/>
        </w:numPr>
        <w:pBdr>
          <w:top w:val="nil"/>
          <w:left w:val="nil"/>
          <w:bottom w:val="nil"/>
          <w:right w:val="nil"/>
          <w:between w:val="nil"/>
        </w:pBdr>
        <w:ind w:left="709" w:hanging="709"/>
      </w:pPr>
      <w:r>
        <w:rPr>
          <w:color w:val="000000"/>
        </w:rPr>
        <w:t>збільшення залученості у соціальних мережах;</w:t>
      </w:r>
    </w:p>
    <w:p w:rsidR="001E0A2A" w:rsidRDefault="00E079B6">
      <w:pPr>
        <w:numPr>
          <w:ilvl w:val="0"/>
          <w:numId w:val="42"/>
        </w:numPr>
        <w:pBdr>
          <w:top w:val="nil"/>
          <w:left w:val="nil"/>
          <w:bottom w:val="nil"/>
          <w:right w:val="nil"/>
          <w:between w:val="nil"/>
        </w:pBdr>
        <w:ind w:left="709" w:hanging="709"/>
      </w:pPr>
      <w:r>
        <w:rPr>
          <w:color w:val="000000"/>
        </w:rPr>
        <w:t>підвищення конверсії від відвідувачів до клієнтів;</w:t>
      </w:r>
    </w:p>
    <w:p w:rsidR="001E0A2A" w:rsidRDefault="00E079B6">
      <w:pPr>
        <w:numPr>
          <w:ilvl w:val="0"/>
          <w:numId w:val="42"/>
        </w:numPr>
        <w:pBdr>
          <w:top w:val="nil"/>
          <w:left w:val="nil"/>
          <w:bottom w:val="nil"/>
          <w:right w:val="nil"/>
          <w:between w:val="nil"/>
        </w:pBdr>
        <w:ind w:left="709" w:hanging="709"/>
      </w:pPr>
      <w:r>
        <w:rPr>
          <w:color w:val="000000"/>
        </w:rPr>
        <w:t>зростання кількості підписників та їх активності;</w:t>
      </w:r>
    </w:p>
    <w:p w:rsidR="001E0A2A" w:rsidRDefault="00E079B6">
      <w:pPr>
        <w:numPr>
          <w:ilvl w:val="0"/>
          <w:numId w:val="42"/>
        </w:numPr>
        <w:pBdr>
          <w:top w:val="nil"/>
          <w:left w:val="nil"/>
          <w:bottom w:val="nil"/>
          <w:right w:val="nil"/>
          <w:between w:val="nil"/>
        </w:pBdr>
        <w:ind w:left="709" w:hanging="709"/>
      </w:pPr>
      <w:r>
        <w:rPr>
          <w:color w:val="000000"/>
        </w:rPr>
        <w:t>підвищення рівня задоволеності клієнтів.</w:t>
      </w:r>
    </w:p>
    <w:p w:rsidR="001E0A2A" w:rsidRDefault="00E079B6">
      <w:r>
        <w:t>Очікувані зміни в розподілі контенту можуть підвищити залученість на 20-30%, а створення контенту за побажаннями клієнтів може збільшити конверсію на 10-15%. Для розрахунків скористаємось приблизними вихідними даними (табл. 3.1).</w:t>
      </w:r>
    </w:p>
    <w:p w:rsidR="001E0A2A" w:rsidRDefault="001E0A2A"/>
    <w:p w:rsidR="001E0A2A" w:rsidRDefault="00E079B6">
      <w:r>
        <w:t>Таблиця 3.1 – Вихідні дан</w:t>
      </w:r>
      <w:r>
        <w:t>і</w:t>
      </w:r>
    </w:p>
    <w:tbl>
      <w:tblPr>
        <w:tblStyle w:val="aff2"/>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2"/>
        <w:gridCol w:w="5123"/>
      </w:tblGrid>
      <w:tr w:rsidR="001E0A2A">
        <w:tc>
          <w:tcPr>
            <w:tcW w:w="5122" w:type="dxa"/>
          </w:tcPr>
          <w:p w:rsidR="001E0A2A" w:rsidRDefault="00E079B6">
            <w:pPr>
              <w:spacing w:line="240" w:lineRule="auto"/>
              <w:ind w:firstLine="0"/>
              <w:jc w:val="center"/>
              <w:rPr>
                <w:sz w:val="24"/>
                <w:szCs w:val="24"/>
              </w:rPr>
            </w:pPr>
            <w:r>
              <w:rPr>
                <w:sz w:val="24"/>
                <w:szCs w:val="24"/>
              </w:rPr>
              <w:lastRenderedPageBreak/>
              <w:t>Показник</w:t>
            </w:r>
          </w:p>
        </w:tc>
        <w:tc>
          <w:tcPr>
            <w:tcW w:w="5123" w:type="dxa"/>
          </w:tcPr>
          <w:p w:rsidR="001E0A2A" w:rsidRDefault="00E079B6">
            <w:pPr>
              <w:spacing w:line="240" w:lineRule="auto"/>
              <w:ind w:firstLine="0"/>
              <w:jc w:val="center"/>
              <w:rPr>
                <w:sz w:val="24"/>
                <w:szCs w:val="24"/>
              </w:rPr>
            </w:pPr>
            <w:r>
              <w:rPr>
                <w:sz w:val="24"/>
                <w:szCs w:val="24"/>
              </w:rPr>
              <w:t>Значення</w:t>
            </w:r>
          </w:p>
        </w:tc>
      </w:tr>
      <w:tr w:rsidR="001E0A2A">
        <w:tc>
          <w:tcPr>
            <w:tcW w:w="5122" w:type="dxa"/>
          </w:tcPr>
          <w:p w:rsidR="001E0A2A" w:rsidRDefault="00E079B6">
            <w:pPr>
              <w:spacing w:line="240" w:lineRule="auto"/>
              <w:ind w:firstLine="0"/>
              <w:rPr>
                <w:sz w:val="24"/>
                <w:szCs w:val="24"/>
              </w:rPr>
            </w:pPr>
            <w:r>
              <w:rPr>
                <w:sz w:val="24"/>
                <w:szCs w:val="24"/>
              </w:rPr>
              <w:t>Кількість підписників у соціальних мережах</w:t>
            </w:r>
          </w:p>
        </w:tc>
        <w:tc>
          <w:tcPr>
            <w:tcW w:w="5123" w:type="dxa"/>
          </w:tcPr>
          <w:p w:rsidR="001E0A2A" w:rsidRDefault="00E079B6">
            <w:pPr>
              <w:spacing w:line="240" w:lineRule="auto"/>
              <w:ind w:firstLine="0"/>
              <w:jc w:val="center"/>
              <w:rPr>
                <w:sz w:val="24"/>
                <w:szCs w:val="24"/>
              </w:rPr>
            </w:pPr>
            <w:r>
              <w:rPr>
                <w:sz w:val="24"/>
                <w:szCs w:val="24"/>
              </w:rPr>
              <w:t>7 300</w:t>
            </w:r>
          </w:p>
        </w:tc>
      </w:tr>
      <w:tr w:rsidR="001E0A2A">
        <w:tc>
          <w:tcPr>
            <w:tcW w:w="5122" w:type="dxa"/>
          </w:tcPr>
          <w:p w:rsidR="001E0A2A" w:rsidRDefault="00E079B6">
            <w:pPr>
              <w:spacing w:line="240" w:lineRule="auto"/>
              <w:ind w:firstLine="0"/>
              <w:rPr>
                <w:sz w:val="24"/>
                <w:szCs w:val="24"/>
              </w:rPr>
            </w:pPr>
            <w:r>
              <w:rPr>
                <w:sz w:val="24"/>
                <w:szCs w:val="24"/>
              </w:rPr>
              <w:t>Поточна залученість</w:t>
            </w:r>
          </w:p>
        </w:tc>
        <w:tc>
          <w:tcPr>
            <w:tcW w:w="5123" w:type="dxa"/>
          </w:tcPr>
          <w:p w:rsidR="001E0A2A" w:rsidRDefault="00E079B6">
            <w:pPr>
              <w:spacing w:line="240" w:lineRule="auto"/>
              <w:ind w:firstLine="0"/>
              <w:jc w:val="center"/>
              <w:rPr>
                <w:sz w:val="24"/>
                <w:szCs w:val="24"/>
              </w:rPr>
            </w:pPr>
            <w:r>
              <w:rPr>
                <w:sz w:val="24"/>
                <w:szCs w:val="24"/>
              </w:rPr>
              <w:t>1%</w:t>
            </w:r>
          </w:p>
        </w:tc>
      </w:tr>
      <w:tr w:rsidR="001E0A2A">
        <w:tc>
          <w:tcPr>
            <w:tcW w:w="5122" w:type="dxa"/>
          </w:tcPr>
          <w:p w:rsidR="001E0A2A" w:rsidRDefault="00E079B6">
            <w:pPr>
              <w:spacing w:line="240" w:lineRule="auto"/>
              <w:ind w:firstLine="0"/>
              <w:rPr>
                <w:sz w:val="24"/>
                <w:szCs w:val="24"/>
              </w:rPr>
            </w:pPr>
            <w:r>
              <w:rPr>
                <w:sz w:val="24"/>
                <w:szCs w:val="24"/>
              </w:rPr>
              <w:t>Поточна конверсія з підписників у клієнтів</w:t>
            </w:r>
          </w:p>
        </w:tc>
        <w:tc>
          <w:tcPr>
            <w:tcW w:w="5123" w:type="dxa"/>
          </w:tcPr>
          <w:p w:rsidR="001E0A2A" w:rsidRDefault="00E079B6">
            <w:pPr>
              <w:spacing w:line="240" w:lineRule="auto"/>
              <w:ind w:firstLine="0"/>
              <w:jc w:val="center"/>
              <w:rPr>
                <w:sz w:val="24"/>
                <w:szCs w:val="24"/>
              </w:rPr>
            </w:pPr>
            <w:r>
              <w:rPr>
                <w:sz w:val="24"/>
                <w:szCs w:val="24"/>
              </w:rPr>
              <w:t>6%</w:t>
            </w:r>
          </w:p>
        </w:tc>
      </w:tr>
      <w:tr w:rsidR="001E0A2A">
        <w:tc>
          <w:tcPr>
            <w:tcW w:w="5122" w:type="dxa"/>
          </w:tcPr>
          <w:p w:rsidR="001E0A2A" w:rsidRDefault="00E079B6">
            <w:pPr>
              <w:spacing w:line="240" w:lineRule="auto"/>
              <w:ind w:firstLine="0"/>
              <w:rPr>
                <w:sz w:val="24"/>
                <w:szCs w:val="24"/>
              </w:rPr>
            </w:pPr>
            <w:r>
              <w:rPr>
                <w:sz w:val="24"/>
                <w:szCs w:val="24"/>
              </w:rPr>
              <w:t>Середній чек клієнта</w:t>
            </w:r>
          </w:p>
        </w:tc>
        <w:tc>
          <w:tcPr>
            <w:tcW w:w="5123" w:type="dxa"/>
          </w:tcPr>
          <w:p w:rsidR="001E0A2A" w:rsidRDefault="00E079B6">
            <w:pPr>
              <w:spacing w:line="240" w:lineRule="auto"/>
              <w:ind w:firstLine="0"/>
              <w:jc w:val="center"/>
              <w:rPr>
                <w:sz w:val="24"/>
                <w:szCs w:val="24"/>
              </w:rPr>
            </w:pPr>
            <w:r>
              <w:rPr>
                <w:sz w:val="24"/>
                <w:szCs w:val="24"/>
              </w:rPr>
              <w:t>2 500 грн</w:t>
            </w:r>
          </w:p>
        </w:tc>
      </w:tr>
      <w:tr w:rsidR="001E0A2A">
        <w:tc>
          <w:tcPr>
            <w:tcW w:w="5122" w:type="dxa"/>
          </w:tcPr>
          <w:p w:rsidR="001E0A2A" w:rsidRDefault="00E079B6">
            <w:pPr>
              <w:spacing w:line="240" w:lineRule="auto"/>
              <w:ind w:firstLine="0"/>
              <w:rPr>
                <w:sz w:val="24"/>
                <w:szCs w:val="24"/>
              </w:rPr>
            </w:pPr>
            <w:r>
              <w:rPr>
                <w:sz w:val="24"/>
                <w:szCs w:val="24"/>
              </w:rPr>
              <w:t>Поточний місячний прибуток</w:t>
            </w:r>
          </w:p>
        </w:tc>
        <w:tc>
          <w:tcPr>
            <w:tcW w:w="5123" w:type="dxa"/>
          </w:tcPr>
          <w:p w:rsidR="001E0A2A" w:rsidRDefault="00E079B6">
            <w:pPr>
              <w:spacing w:line="240" w:lineRule="auto"/>
              <w:ind w:firstLine="0"/>
              <w:jc w:val="center"/>
              <w:rPr>
                <w:sz w:val="24"/>
                <w:szCs w:val="24"/>
              </w:rPr>
            </w:pPr>
            <w:r>
              <w:rPr>
                <w:sz w:val="24"/>
                <w:szCs w:val="24"/>
              </w:rPr>
              <w:t>625 000 грн</w:t>
            </w:r>
          </w:p>
        </w:tc>
      </w:tr>
    </w:tbl>
    <w:p w:rsidR="001E0A2A" w:rsidRDefault="00E079B6">
      <w:r>
        <w:t>Джерело: складено автором на основі внутрішньої інформації компанії</w:t>
      </w:r>
    </w:p>
    <w:p w:rsidR="001E0A2A" w:rsidRDefault="001E0A2A"/>
    <w:p w:rsidR="001E0A2A" w:rsidRDefault="00E079B6">
      <w:r>
        <w:t>Очікувані зміни складають зростання залученості на 33% та конверсії на 17,5%. Показники залученості та конверсії зростуть до 1,33% та 7,05% відповідно. Очікувані результати будуть:</w:t>
      </w:r>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7 300×1,33%≈97 взаємодій</m:t>
          </m:r>
        </m:oMath>
      </m:oMathPara>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97×7,05%≈7 нових клієнтів</m:t>
          </m:r>
        </m:oMath>
      </m:oMathPara>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7×2 500 грн=17 500 грн</m:t>
          </m:r>
        </m:oMath>
      </m:oMathPara>
    </w:p>
    <w:p w:rsidR="001E0A2A" w:rsidRDefault="00E079B6">
      <w:r>
        <w:t>Отримуємо щомісячний додатковий прибуток в 17 500 грн. Усі отримані дані представимо в табл. 3.2.</w:t>
      </w:r>
    </w:p>
    <w:p w:rsidR="001E0A2A" w:rsidRDefault="001E0A2A"/>
    <w:p w:rsidR="001E0A2A" w:rsidRDefault="00E079B6">
      <w:r>
        <w:t>Таблиця 3.2 – Очікувані зміни за допомогою контенту</w:t>
      </w:r>
    </w:p>
    <w:tbl>
      <w:tblPr>
        <w:tblStyle w:val="aff3"/>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2"/>
        <w:gridCol w:w="5123"/>
      </w:tblGrid>
      <w:tr w:rsidR="001E0A2A">
        <w:tc>
          <w:tcPr>
            <w:tcW w:w="5122" w:type="dxa"/>
          </w:tcPr>
          <w:p w:rsidR="001E0A2A" w:rsidRDefault="00E079B6">
            <w:pPr>
              <w:spacing w:line="240" w:lineRule="auto"/>
              <w:ind w:firstLine="0"/>
              <w:jc w:val="center"/>
              <w:rPr>
                <w:sz w:val="24"/>
                <w:szCs w:val="24"/>
              </w:rPr>
            </w:pPr>
            <w:r>
              <w:rPr>
                <w:sz w:val="24"/>
                <w:szCs w:val="24"/>
              </w:rPr>
              <w:t>Показник</w:t>
            </w:r>
          </w:p>
        </w:tc>
        <w:tc>
          <w:tcPr>
            <w:tcW w:w="5123" w:type="dxa"/>
          </w:tcPr>
          <w:p w:rsidR="001E0A2A" w:rsidRDefault="00E079B6">
            <w:pPr>
              <w:spacing w:line="240" w:lineRule="auto"/>
              <w:ind w:firstLine="0"/>
              <w:jc w:val="center"/>
              <w:rPr>
                <w:sz w:val="24"/>
                <w:szCs w:val="24"/>
              </w:rPr>
            </w:pPr>
            <w:r>
              <w:rPr>
                <w:sz w:val="24"/>
                <w:szCs w:val="24"/>
              </w:rPr>
              <w:t>Значення</w:t>
            </w:r>
          </w:p>
        </w:tc>
      </w:tr>
      <w:tr w:rsidR="001E0A2A">
        <w:tc>
          <w:tcPr>
            <w:tcW w:w="5122" w:type="dxa"/>
          </w:tcPr>
          <w:p w:rsidR="001E0A2A" w:rsidRDefault="00E079B6">
            <w:pPr>
              <w:spacing w:line="240" w:lineRule="auto"/>
              <w:ind w:firstLine="0"/>
              <w:rPr>
                <w:sz w:val="24"/>
                <w:szCs w:val="24"/>
              </w:rPr>
            </w:pPr>
            <w:r>
              <w:rPr>
                <w:sz w:val="24"/>
                <w:szCs w:val="24"/>
              </w:rPr>
              <w:t>Залученість</w:t>
            </w:r>
          </w:p>
        </w:tc>
        <w:tc>
          <w:tcPr>
            <w:tcW w:w="5123" w:type="dxa"/>
          </w:tcPr>
          <w:p w:rsidR="001E0A2A" w:rsidRDefault="00E079B6">
            <w:pPr>
              <w:spacing w:line="240" w:lineRule="auto"/>
              <w:ind w:firstLine="0"/>
              <w:jc w:val="center"/>
              <w:rPr>
                <w:sz w:val="24"/>
                <w:szCs w:val="24"/>
              </w:rPr>
            </w:pPr>
            <w:r>
              <w:rPr>
                <w:sz w:val="24"/>
                <w:szCs w:val="24"/>
              </w:rPr>
              <w:t>1,33%</w:t>
            </w:r>
          </w:p>
        </w:tc>
      </w:tr>
      <w:tr w:rsidR="001E0A2A">
        <w:tc>
          <w:tcPr>
            <w:tcW w:w="5122" w:type="dxa"/>
          </w:tcPr>
          <w:p w:rsidR="001E0A2A" w:rsidRDefault="00E079B6">
            <w:pPr>
              <w:spacing w:line="240" w:lineRule="auto"/>
              <w:ind w:firstLine="0"/>
              <w:rPr>
                <w:sz w:val="24"/>
                <w:szCs w:val="24"/>
              </w:rPr>
            </w:pPr>
            <w:r>
              <w:rPr>
                <w:sz w:val="24"/>
                <w:szCs w:val="24"/>
              </w:rPr>
              <w:t>Конверсія з підписників у клієнтів</w:t>
            </w:r>
          </w:p>
        </w:tc>
        <w:tc>
          <w:tcPr>
            <w:tcW w:w="5123" w:type="dxa"/>
          </w:tcPr>
          <w:p w:rsidR="001E0A2A" w:rsidRDefault="00E079B6">
            <w:pPr>
              <w:spacing w:line="240" w:lineRule="auto"/>
              <w:ind w:firstLine="0"/>
              <w:jc w:val="center"/>
              <w:rPr>
                <w:sz w:val="24"/>
                <w:szCs w:val="24"/>
              </w:rPr>
            </w:pPr>
            <w:r>
              <w:rPr>
                <w:sz w:val="24"/>
                <w:szCs w:val="24"/>
              </w:rPr>
              <w:t>7,05%</w:t>
            </w:r>
          </w:p>
        </w:tc>
      </w:tr>
      <w:tr w:rsidR="001E0A2A">
        <w:tc>
          <w:tcPr>
            <w:tcW w:w="5122" w:type="dxa"/>
          </w:tcPr>
          <w:p w:rsidR="001E0A2A" w:rsidRDefault="00E079B6">
            <w:pPr>
              <w:spacing w:line="240" w:lineRule="auto"/>
              <w:ind w:firstLine="0"/>
              <w:rPr>
                <w:sz w:val="24"/>
                <w:szCs w:val="24"/>
              </w:rPr>
            </w:pPr>
            <w:r>
              <w:rPr>
                <w:sz w:val="24"/>
                <w:szCs w:val="24"/>
              </w:rPr>
              <w:t>Додатковий прибуток</w:t>
            </w:r>
          </w:p>
        </w:tc>
        <w:tc>
          <w:tcPr>
            <w:tcW w:w="5123" w:type="dxa"/>
          </w:tcPr>
          <w:p w:rsidR="001E0A2A" w:rsidRDefault="00E079B6">
            <w:pPr>
              <w:spacing w:line="240" w:lineRule="auto"/>
              <w:ind w:firstLine="0"/>
              <w:jc w:val="center"/>
              <w:rPr>
                <w:sz w:val="24"/>
                <w:szCs w:val="24"/>
              </w:rPr>
            </w:pPr>
            <w:r>
              <w:rPr>
                <w:sz w:val="24"/>
                <w:szCs w:val="24"/>
              </w:rPr>
              <w:t>17 500 грн</w:t>
            </w:r>
          </w:p>
        </w:tc>
      </w:tr>
      <w:tr w:rsidR="001E0A2A">
        <w:tc>
          <w:tcPr>
            <w:tcW w:w="5122" w:type="dxa"/>
          </w:tcPr>
          <w:p w:rsidR="001E0A2A" w:rsidRDefault="00E079B6">
            <w:pPr>
              <w:spacing w:line="240" w:lineRule="auto"/>
              <w:ind w:firstLine="0"/>
              <w:rPr>
                <w:sz w:val="24"/>
                <w:szCs w:val="24"/>
              </w:rPr>
            </w:pPr>
            <w:r>
              <w:rPr>
                <w:sz w:val="24"/>
                <w:szCs w:val="24"/>
              </w:rPr>
              <w:t>Місячний прибуток</w:t>
            </w:r>
          </w:p>
        </w:tc>
        <w:tc>
          <w:tcPr>
            <w:tcW w:w="5123" w:type="dxa"/>
          </w:tcPr>
          <w:p w:rsidR="001E0A2A" w:rsidRDefault="00E079B6">
            <w:pPr>
              <w:spacing w:line="240" w:lineRule="auto"/>
              <w:ind w:firstLine="0"/>
              <w:jc w:val="center"/>
              <w:rPr>
                <w:sz w:val="24"/>
                <w:szCs w:val="24"/>
              </w:rPr>
            </w:pPr>
            <w:r>
              <w:rPr>
                <w:sz w:val="24"/>
                <w:szCs w:val="24"/>
              </w:rPr>
              <w:t>642 500 грн</w:t>
            </w:r>
          </w:p>
        </w:tc>
      </w:tr>
    </w:tbl>
    <w:p w:rsidR="001E0A2A" w:rsidRDefault="00E079B6">
      <w:r>
        <w:t xml:space="preserve">Джерело: складено автором </w:t>
      </w:r>
    </w:p>
    <w:p w:rsidR="001E0A2A" w:rsidRDefault="001E0A2A"/>
    <w:p w:rsidR="001E0A2A" w:rsidRDefault="00E079B6">
      <w:r>
        <w:t>Отже, після внесення запропонованих змін в контент очікуваний місячний прибуток медичного центру з естетичної медицини може зрости з 625 000 грн до 642 500 грн, що становить приріст на 17 500 грн або приблизно 2,8%.</w:t>
      </w:r>
    </w:p>
    <w:p w:rsidR="001E0A2A" w:rsidRDefault="00E079B6">
      <w:r>
        <w:t>Далі розрахуємо витрати на таргетовану р</w:t>
      </w:r>
      <w:r>
        <w:t xml:space="preserve">екламу. Використання соціальної медіа платформи Instagram стало дуже важливим для підприємств, оскільки більшість людей зараз проводить купу часу в своєму смартфоні. Instagram має цікаві рекламні можливості – публікація та просування платного контенту, що </w:t>
      </w:r>
      <w:r>
        <w:t>органічно відображається разом з іншим контентом у стрічках новин та історіях користувачів.</w:t>
      </w:r>
    </w:p>
    <w:p w:rsidR="001E0A2A" w:rsidRDefault="00E079B6">
      <w:r>
        <w:lastRenderedPageBreak/>
        <w:t>Реклама в Instagram купується через аукціон, який визначає її вартість. Рекламодавець може встановити бюджет кампанії та мінімальну/максимальну ставку для досягненн</w:t>
      </w:r>
      <w:r>
        <w:t>я рекламних цілей. Подальший процес контролюють алгоритми Instagram: вони обирають рекламу, яка найбільше підійде цільовій аудиторії, і на основі цього визначають переможця аукціону [45].</w:t>
      </w:r>
    </w:p>
    <w:p w:rsidR="001E0A2A" w:rsidRDefault="00E079B6">
      <w:r>
        <w:t>Вартість запуску таргетованої реклами в Instagram сягає від $1 до $1</w:t>
      </w:r>
      <w:r>
        <w:t>000 на добу. Чим вища встановлена ціна, тим більше буде охоплення [46].  Пропоную почати з бюджету $2 на добу, щоб протестувати налаштування таргету. За 25 днів сумарно, змінюючи та пробуючи різні налаштування, можна знайти оптимальні. Вони приноситимуть м</w:t>
      </w:r>
      <w:r>
        <w:t>аксимальний результат. Далі підвищити бюджет до $8 на добу. Рекламний бюджет в місяць коштуватиме $240. Разом з приблизним VAT $48 – податком на додану вартість, загальні витрати на таргетовану рекламу щомісячно складуть $288.</w:t>
      </w:r>
    </w:p>
    <w:p w:rsidR="001E0A2A" w:rsidRDefault="00E079B6">
      <w:pPr>
        <w:rPr>
          <w:highlight w:val="white"/>
        </w:rPr>
      </w:pPr>
      <w:r>
        <w:t>Оплата роботи спеціаліста з т</w:t>
      </w:r>
      <w:r>
        <w:t xml:space="preserve">аргетованої реклами в середньому коштує $525 на місяць, але ці витрати вже присутні в підприємства, бо воно працює з таргетологом, але з іншого напрямку – </w:t>
      </w:r>
      <w:r>
        <w:rPr>
          <w:highlight w:val="white"/>
        </w:rPr>
        <w:t>навчальним центром післядипломної освіти «MedilandProfi».</w:t>
      </w:r>
    </w:p>
    <w:p w:rsidR="001E0A2A" w:rsidRDefault="00E079B6">
      <w:r>
        <w:t>Зміни очікуються у вигляді зростання залуче</w:t>
      </w:r>
      <w:r>
        <w:t>ності на 25% та конверсії на 12,5%. Результати, що планується отримати:</w:t>
      </w:r>
    </w:p>
    <w:p w:rsidR="001E0A2A" w:rsidRDefault="001E0A2A"/>
    <w:p w:rsidR="001E0A2A" w:rsidRDefault="00E079B6">
      <w:pPr>
        <w:jc w:val="center"/>
        <w:rPr>
          <w:rFonts w:ascii="Cambria Math" w:eastAsia="Cambria Math" w:hAnsi="Cambria Math" w:cs="Cambria Math"/>
        </w:rPr>
      </w:pPr>
      <m:oMathPara>
        <m:oMath>
          <m:r>
            <w:rPr>
              <w:rFonts w:ascii="Cambria Math" w:eastAsia="Cambria Math" w:hAnsi="Cambria Math" w:cs="Cambria Math"/>
            </w:rPr>
            <m:t>7 300×1,25%×6,75%≈6 нових клієнтів</m:t>
          </m:r>
        </m:oMath>
      </m:oMathPara>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6×2 500 грн=15 000 грн</m:t>
          </m:r>
        </m:oMath>
      </m:oMathPara>
    </w:p>
    <w:p w:rsidR="001E0A2A" w:rsidRDefault="00E079B6">
      <w:r>
        <w:t>Отримуємо щомісячний додатковий прибуток в 15 000 грн. Усі отримані дані представимо в табл. 3.3.</w:t>
      </w:r>
    </w:p>
    <w:p w:rsidR="001E0A2A" w:rsidRDefault="001E0A2A"/>
    <w:p w:rsidR="001E0A2A" w:rsidRDefault="00E079B6">
      <w:r>
        <w:t>Таблиця 3.3 – Очікувані зміни за допомогою таргетованої реклами</w:t>
      </w:r>
    </w:p>
    <w:tbl>
      <w:tblPr>
        <w:tblStyle w:val="aff4"/>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2"/>
        <w:gridCol w:w="5123"/>
      </w:tblGrid>
      <w:tr w:rsidR="001E0A2A">
        <w:tc>
          <w:tcPr>
            <w:tcW w:w="5122" w:type="dxa"/>
          </w:tcPr>
          <w:p w:rsidR="001E0A2A" w:rsidRDefault="00E079B6">
            <w:pPr>
              <w:spacing w:line="240" w:lineRule="auto"/>
              <w:ind w:firstLine="0"/>
              <w:jc w:val="center"/>
              <w:rPr>
                <w:sz w:val="24"/>
                <w:szCs w:val="24"/>
              </w:rPr>
            </w:pPr>
            <w:r>
              <w:rPr>
                <w:sz w:val="24"/>
                <w:szCs w:val="24"/>
              </w:rPr>
              <w:t>Показник</w:t>
            </w:r>
          </w:p>
        </w:tc>
        <w:tc>
          <w:tcPr>
            <w:tcW w:w="5123" w:type="dxa"/>
          </w:tcPr>
          <w:p w:rsidR="001E0A2A" w:rsidRDefault="00E079B6">
            <w:pPr>
              <w:spacing w:line="240" w:lineRule="auto"/>
              <w:ind w:firstLine="0"/>
              <w:jc w:val="center"/>
              <w:rPr>
                <w:sz w:val="24"/>
                <w:szCs w:val="24"/>
              </w:rPr>
            </w:pPr>
            <w:r>
              <w:rPr>
                <w:sz w:val="24"/>
                <w:szCs w:val="24"/>
              </w:rPr>
              <w:t>Значення</w:t>
            </w:r>
          </w:p>
        </w:tc>
      </w:tr>
      <w:tr w:rsidR="001E0A2A">
        <w:tc>
          <w:tcPr>
            <w:tcW w:w="5122" w:type="dxa"/>
          </w:tcPr>
          <w:p w:rsidR="001E0A2A" w:rsidRDefault="00E079B6">
            <w:pPr>
              <w:spacing w:line="240" w:lineRule="auto"/>
              <w:ind w:firstLine="0"/>
              <w:rPr>
                <w:sz w:val="24"/>
                <w:szCs w:val="24"/>
              </w:rPr>
            </w:pPr>
            <w:r>
              <w:rPr>
                <w:sz w:val="24"/>
                <w:szCs w:val="24"/>
              </w:rPr>
              <w:t>Залученість</w:t>
            </w:r>
          </w:p>
        </w:tc>
        <w:tc>
          <w:tcPr>
            <w:tcW w:w="5123" w:type="dxa"/>
          </w:tcPr>
          <w:p w:rsidR="001E0A2A" w:rsidRDefault="00E079B6">
            <w:pPr>
              <w:spacing w:line="240" w:lineRule="auto"/>
              <w:ind w:firstLine="0"/>
              <w:jc w:val="center"/>
              <w:rPr>
                <w:sz w:val="24"/>
                <w:szCs w:val="24"/>
              </w:rPr>
            </w:pPr>
            <w:r>
              <w:rPr>
                <w:sz w:val="24"/>
                <w:szCs w:val="24"/>
              </w:rPr>
              <w:t>1,25%</w:t>
            </w:r>
          </w:p>
        </w:tc>
      </w:tr>
      <w:tr w:rsidR="001E0A2A">
        <w:tc>
          <w:tcPr>
            <w:tcW w:w="5122" w:type="dxa"/>
          </w:tcPr>
          <w:p w:rsidR="001E0A2A" w:rsidRDefault="00E079B6">
            <w:pPr>
              <w:spacing w:line="240" w:lineRule="auto"/>
              <w:ind w:firstLine="0"/>
              <w:rPr>
                <w:sz w:val="24"/>
                <w:szCs w:val="24"/>
              </w:rPr>
            </w:pPr>
            <w:r>
              <w:rPr>
                <w:sz w:val="24"/>
                <w:szCs w:val="24"/>
              </w:rPr>
              <w:t>Конверсія з підписників у клієнтів</w:t>
            </w:r>
          </w:p>
        </w:tc>
        <w:tc>
          <w:tcPr>
            <w:tcW w:w="5123" w:type="dxa"/>
          </w:tcPr>
          <w:p w:rsidR="001E0A2A" w:rsidRDefault="00E079B6">
            <w:pPr>
              <w:spacing w:line="240" w:lineRule="auto"/>
              <w:ind w:firstLine="0"/>
              <w:jc w:val="center"/>
              <w:rPr>
                <w:sz w:val="24"/>
                <w:szCs w:val="24"/>
              </w:rPr>
            </w:pPr>
            <w:r>
              <w:rPr>
                <w:sz w:val="24"/>
                <w:szCs w:val="24"/>
              </w:rPr>
              <w:t>6,75%</w:t>
            </w:r>
          </w:p>
        </w:tc>
      </w:tr>
      <w:tr w:rsidR="001E0A2A">
        <w:tc>
          <w:tcPr>
            <w:tcW w:w="5122" w:type="dxa"/>
          </w:tcPr>
          <w:p w:rsidR="001E0A2A" w:rsidRDefault="00E079B6">
            <w:pPr>
              <w:spacing w:line="240" w:lineRule="auto"/>
              <w:ind w:firstLine="0"/>
              <w:rPr>
                <w:sz w:val="24"/>
                <w:szCs w:val="24"/>
              </w:rPr>
            </w:pPr>
            <w:r>
              <w:rPr>
                <w:sz w:val="24"/>
                <w:szCs w:val="24"/>
              </w:rPr>
              <w:t>Додатковий прибуток</w:t>
            </w:r>
          </w:p>
        </w:tc>
        <w:tc>
          <w:tcPr>
            <w:tcW w:w="5123" w:type="dxa"/>
          </w:tcPr>
          <w:p w:rsidR="001E0A2A" w:rsidRDefault="00E079B6">
            <w:pPr>
              <w:spacing w:line="240" w:lineRule="auto"/>
              <w:ind w:firstLine="0"/>
              <w:jc w:val="center"/>
              <w:rPr>
                <w:sz w:val="24"/>
                <w:szCs w:val="24"/>
              </w:rPr>
            </w:pPr>
            <w:r>
              <w:rPr>
                <w:sz w:val="24"/>
                <w:szCs w:val="24"/>
              </w:rPr>
              <w:t>15 000 грн</w:t>
            </w:r>
          </w:p>
        </w:tc>
      </w:tr>
      <w:tr w:rsidR="001E0A2A">
        <w:tc>
          <w:tcPr>
            <w:tcW w:w="5122" w:type="dxa"/>
          </w:tcPr>
          <w:p w:rsidR="001E0A2A" w:rsidRDefault="00E079B6">
            <w:pPr>
              <w:spacing w:line="240" w:lineRule="auto"/>
              <w:ind w:firstLine="0"/>
              <w:rPr>
                <w:sz w:val="24"/>
                <w:szCs w:val="24"/>
              </w:rPr>
            </w:pPr>
            <w:r>
              <w:rPr>
                <w:sz w:val="24"/>
                <w:szCs w:val="24"/>
              </w:rPr>
              <w:t>Місячний прибуток</w:t>
            </w:r>
          </w:p>
        </w:tc>
        <w:tc>
          <w:tcPr>
            <w:tcW w:w="5123" w:type="dxa"/>
          </w:tcPr>
          <w:p w:rsidR="001E0A2A" w:rsidRDefault="00E079B6">
            <w:pPr>
              <w:spacing w:line="240" w:lineRule="auto"/>
              <w:ind w:firstLine="0"/>
              <w:jc w:val="center"/>
              <w:rPr>
                <w:sz w:val="24"/>
                <w:szCs w:val="24"/>
              </w:rPr>
            </w:pPr>
            <w:r>
              <w:rPr>
                <w:sz w:val="24"/>
                <w:szCs w:val="24"/>
              </w:rPr>
              <w:t>640 000 грн</w:t>
            </w:r>
          </w:p>
        </w:tc>
      </w:tr>
    </w:tbl>
    <w:p w:rsidR="001E0A2A" w:rsidRDefault="00E079B6">
      <w:r>
        <w:t xml:space="preserve">Джерело: складено автором </w:t>
      </w:r>
    </w:p>
    <w:p w:rsidR="001E0A2A" w:rsidRDefault="001E0A2A"/>
    <w:p w:rsidR="001E0A2A" w:rsidRDefault="00E079B6">
      <w:r>
        <w:t>Отже, після внесення запропонованих змін в контент очікуваний місячний прибуток медичного центру з естетичної медицини може зрости з 625 000 грн до 640 000 грн, що становить приріст на 15 000 грн або приблизно 2,4%.</w:t>
      </w:r>
    </w:p>
    <w:p w:rsidR="001E0A2A" w:rsidRDefault="00E079B6">
      <w:r>
        <w:rPr>
          <w:highlight w:val="white"/>
        </w:rPr>
        <w:t xml:space="preserve">Далі розглянемо інший вид реклами в </w:t>
      </w:r>
      <w:r>
        <w:t>Inst</w:t>
      </w:r>
      <w:r>
        <w:t>agram – рекламу у блогерів. Вона потребує систематизованого підходу. Для того. щоб розуміти, що працює добре та що можна покращити, потрібно відстежувати результати. Успіх реклами у блогерів в Instagram залежить від чітких показників ефективності. Основним</w:t>
      </w:r>
      <w:r>
        <w:t xml:space="preserve"> показником може бути, наприклад, збільшення доходу на 5%. Також важливо встановити проміжні показники, які допоможуть досягти основної мети. Це можуть бути приріст кількості підписників, збільшення конверсій, зниження вартості потенційного клієнта тощо [4</w:t>
      </w:r>
      <w:r>
        <w:t xml:space="preserve">9]. </w:t>
      </w:r>
    </w:p>
    <w:p w:rsidR="001E0A2A" w:rsidRDefault="00E079B6">
      <w:r>
        <w:t>За поточними вихідними даними (табл. 3.1), можемо встановити наступні цілі для співпраці з інфлюенсерами:</w:t>
      </w:r>
    </w:p>
    <w:p w:rsidR="001E0A2A" w:rsidRDefault="00E079B6">
      <w:pPr>
        <w:numPr>
          <w:ilvl w:val="0"/>
          <w:numId w:val="28"/>
        </w:numPr>
        <w:pBdr>
          <w:top w:val="nil"/>
          <w:left w:val="nil"/>
          <w:bottom w:val="nil"/>
          <w:right w:val="nil"/>
          <w:between w:val="nil"/>
        </w:pBdr>
        <w:ind w:left="709" w:hanging="709"/>
      </w:pPr>
      <w:r>
        <w:rPr>
          <w:color w:val="000000"/>
        </w:rPr>
        <w:t>підвищення залученості до 2-3% після реклами;</w:t>
      </w:r>
    </w:p>
    <w:p w:rsidR="001E0A2A" w:rsidRDefault="00E079B6">
      <w:pPr>
        <w:numPr>
          <w:ilvl w:val="0"/>
          <w:numId w:val="28"/>
        </w:numPr>
        <w:pBdr>
          <w:top w:val="nil"/>
          <w:left w:val="nil"/>
          <w:bottom w:val="nil"/>
          <w:right w:val="nil"/>
          <w:between w:val="nil"/>
        </w:pBdr>
        <w:ind w:left="709" w:hanging="709"/>
      </w:pPr>
      <w:r>
        <w:rPr>
          <w:color w:val="000000"/>
        </w:rPr>
        <w:t>прихід 500-1000 нових підписників протягом місяця після реклами;</w:t>
      </w:r>
    </w:p>
    <w:p w:rsidR="001E0A2A" w:rsidRDefault="00E079B6">
      <w:pPr>
        <w:numPr>
          <w:ilvl w:val="0"/>
          <w:numId w:val="28"/>
        </w:numPr>
        <w:pBdr>
          <w:top w:val="nil"/>
          <w:left w:val="nil"/>
          <w:bottom w:val="nil"/>
          <w:right w:val="nil"/>
          <w:between w:val="nil"/>
        </w:pBdr>
        <w:ind w:left="709" w:hanging="709"/>
      </w:pPr>
      <w:r>
        <w:rPr>
          <w:color w:val="000000"/>
        </w:rPr>
        <w:t>збільшення конверсії нових підписн</w:t>
      </w:r>
      <w:r>
        <w:rPr>
          <w:color w:val="000000"/>
        </w:rPr>
        <w:t>иків у клієнтів на рівні 4-5%;</w:t>
      </w:r>
    </w:p>
    <w:p w:rsidR="001E0A2A" w:rsidRDefault="00E079B6">
      <w:pPr>
        <w:numPr>
          <w:ilvl w:val="0"/>
          <w:numId w:val="28"/>
        </w:numPr>
        <w:pBdr>
          <w:top w:val="nil"/>
          <w:left w:val="nil"/>
          <w:bottom w:val="nil"/>
          <w:right w:val="nil"/>
          <w:between w:val="nil"/>
        </w:pBdr>
        <w:ind w:left="709" w:hanging="709"/>
      </w:pPr>
      <w:r>
        <w:rPr>
          <w:color w:val="000000"/>
        </w:rPr>
        <w:t>отримати співвідношення прибутку, отриманого від реклами, до витрат на цю рекламу – ROМI не менше 300%.</w:t>
      </w:r>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7 300×2,5%×4,5%≈8 нових клієнтів</m:t>
          </m:r>
        </m:oMath>
      </m:oMathPara>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8×2 500 грн=20 000 грн</m:t>
          </m:r>
        </m:oMath>
      </m:oMathPara>
    </w:p>
    <w:p w:rsidR="001E0A2A" w:rsidRDefault="00E079B6">
      <w:r>
        <w:t>Отримуємо щомісячний додатковий прибуток в 20 000 грн. Усі отрима</w:t>
      </w:r>
      <w:r>
        <w:t>ні дані представимо в табл. 3.4.</w:t>
      </w:r>
    </w:p>
    <w:p w:rsidR="001E0A2A" w:rsidRDefault="001E0A2A"/>
    <w:p w:rsidR="001E0A2A" w:rsidRDefault="00E079B6">
      <w:pPr>
        <w:ind w:left="720" w:firstLine="0"/>
      </w:pPr>
      <w:r>
        <w:t>Таблиця 3.4 – Очікувані зміни за допомогою залучення блогерів</w:t>
      </w:r>
    </w:p>
    <w:tbl>
      <w:tblPr>
        <w:tblStyle w:val="aff5"/>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2"/>
        <w:gridCol w:w="5123"/>
      </w:tblGrid>
      <w:tr w:rsidR="001E0A2A">
        <w:tc>
          <w:tcPr>
            <w:tcW w:w="5122" w:type="dxa"/>
          </w:tcPr>
          <w:p w:rsidR="001E0A2A" w:rsidRDefault="00E079B6">
            <w:pPr>
              <w:spacing w:line="240" w:lineRule="auto"/>
              <w:ind w:firstLine="0"/>
              <w:jc w:val="center"/>
              <w:rPr>
                <w:sz w:val="24"/>
                <w:szCs w:val="24"/>
              </w:rPr>
            </w:pPr>
            <w:r>
              <w:rPr>
                <w:sz w:val="24"/>
                <w:szCs w:val="24"/>
              </w:rPr>
              <w:t>Показник</w:t>
            </w:r>
          </w:p>
        </w:tc>
        <w:tc>
          <w:tcPr>
            <w:tcW w:w="5123" w:type="dxa"/>
          </w:tcPr>
          <w:p w:rsidR="001E0A2A" w:rsidRDefault="00E079B6">
            <w:pPr>
              <w:spacing w:line="240" w:lineRule="auto"/>
              <w:ind w:firstLine="0"/>
              <w:jc w:val="center"/>
              <w:rPr>
                <w:sz w:val="24"/>
                <w:szCs w:val="24"/>
              </w:rPr>
            </w:pPr>
            <w:r>
              <w:rPr>
                <w:sz w:val="24"/>
                <w:szCs w:val="24"/>
              </w:rPr>
              <w:t>Значення</w:t>
            </w:r>
          </w:p>
        </w:tc>
      </w:tr>
      <w:tr w:rsidR="001E0A2A">
        <w:tc>
          <w:tcPr>
            <w:tcW w:w="5122" w:type="dxa"/>
          </w:tcPr>
          <w:p w:rsidR="001E0A2A" w:rsidRDefault="00E079B6">
            <w:pPr>
              <w:spacing w:line="240" w:lineRule="auto"/>
              <w:ind w:firstLine="0"/>
              <w:rPr>
                <w:sz w:val="24"/>
                <w:szCs w:val="24"/>
              </w:rPr>
            </w:pPr>
            <w:r>
              <w:rPr>
                <w:sz w:val="24"/>
                <w:szCs w:val="24"/>
              </w:rPr>
              <w:t>Залученість</w:t>
            </w:r>
          </w:p>
        </w:tc>
        <w:tc>
          <w:tcPr>
            <w:tcW w:w="5123" w:type="dxa"/>
          </w:tcPr>
          <w:p w:rsidR="001E0A2A" w:rsidRDefault="00E079B6">
            <w:pPr>
              <w:spacing w:line="240" w:lineRule="auto"/>
              <w:ind w:firstLine="0"/>
              <w:jc w:val="center"/>
              <w:rPr>
                <w:sz w:val="24"/>
                <w:szCs w:val="24"/>
              </w:rPr>
            </w:pPr>
            <w:r>
              <w:rPr>
                <w:sz w:val="24"/>
                <w:szCs w:val="24"/>
              </w:rPr>
              <w:t>2,5%</w:t>
            </w:r>
          </w:p>
        </w:tc>
      </w:tr>
      <w:tr w:rsidR="001E0A2A">
        <w:tc>
          <w:tcPr>
            <w:tcW w:w="5122" w:type="dxa"/>
          </w:tcPr>
          <w:p w:rsidR="001E0A2A" w:rsidRDefault="00E079B6">
            <w:pPr>
              <w:spacing w:line="240" w:lineRule="auto"/>
              <w:ind w:firstLine="0"/>
              <w:rPr>
                <w:sz w:val="24"/>
                <w:szCs w:val="24"/>
              </w:rPr>
            </w:pPr>
            <w:r>
              <w:rPr>
                <w:sz w:val="24"/>
                <w:szCs w:val="24"/>
              </w:rPr>
              <w:t>Конверсія з нових підписників у клієнтів</w:t>
            </w:r>
          </w:p>
        </w:tc>
        <w:tc>
          <w:tcPr>
            <w:tcW w:w="5123" w:type="dxa"/>
          </w:tcPr>
          <w:p w:rsidR="001E0A2A" w:rsidRDefault="00E079B6">
            <w:pPr>
              <w:spacing w:line="240" w:lineRule="auto"/>
              <w:ind w:firstLine="0"/>
              <w:jc w:val="center"/>
              <w:rPr>
                <w:sz w:val="24"/>
                <w:szCs w:val="24"/>
              </w:rPr>
            </w:pPr>
            <w:r>
              <w:rPr>
                <w:sz w:val="24"/>
                <w:szCs w:val="24"/>
              </w:rPr>
              <w:t>4,5%</w:t>
            </w:r>
          </w:p>
        </w:tc>
      </w:tr>
      <w:tr w:rsidR="001E0A2A">
        <w:tc>
          <w:tcPr>
            <w:tcW w:w="5122" w:type="dxa"/>
          </w:tcPr>
          <w:p w:rsidR="001E0A2A" w:rsidRDefault="00E079B6">
            <w:pPr>
              <w:spacing w:line="240" w:lineRule="auto"/>
              <w:ind w:firstLine="0"/>
              <w:rPr>
                <w:sz w:val="24"/>
                <w:szCs w:val="24"/>
              </w:rPr>
            </w:pPr>
            <w:r>
              <w:rPr>
                <w:sz w:val="24"/>
                <w:szCs w:val="24"/>
              </w:rPr>
              <w:t>Прибуток від нових клієнтів</w:t>
            </w:r>
          </w:p>
        </w:tc>
        <w:tc>
          <w:tcPr>
            <w:tcW w:w="5123" w:type="dxa"/>
          </w:tcPr>
          <w:p w:rsidR="001E0A2A" w:rsidRDefault="00E079B6">
            <w:pPr>
              <w:spacing w:line="240" w:lineRule="auto"/>
              <w:ind w:firstLine="0"/>
              <w:jc w:val="center"/>
              <w:rPr>
                <w:sz w:val="24"/>
                <w:szCs w:val="24"/>
              </w:rPr>
            </w:pPr>
            <w:r>
              <w:rPr>
                <w:sz w:val="24"/>
                <w:szCs w:val="24"/>
              </w:rPr>
              <w:t>20 000 грн</w:t>
            </w:r>
          </w:p>
        </w:tc>
      </w:tr>
      <w:tr w:rsidR="001E0A2A">
        <w:tc>
          <w:tcPr>
            <w:tcW w:w="5122" w:type="dxa"/>
          </w:tcPr>
          <w:p w:rsidR="001E0A2A" w:rsidRDefault="00E079B6">
            <w:pPr>
              <w:spacing w:line="240" w:lineRule="auto"/>
              <w:ind w:firstLine="0"/>
              <w:rPr>
                <w:sz w:val="24"/>
                <w:szCs w:val="24"/>
              </w:rPr>
            </w:pPr>
            <w:r>
              <w:rPr>
                <w:sz w:val="24"/>
                <w:szCs w:val="24"/>
              </w:rPr>
              <w:t>Місячний прибуток</w:t>
            </w:r>
          </w:p>
        </w:tc>
        <w:tc>
          <w:tcPr>
            <w:tcW w:w="5123" w:type="dxa"/>
          </w:tcPr>
          <w:p w:rsidR="001E0A2A" w:rsidRDefault="00E079B6">
            <w:pPr>
              <w:spacing w:line="240" w:lineRule="auto"/>
              <w:ind w:firstLine="0"/>
              <w:jc w:val="center"/>
              <w:rPr>
                <w:sz w:val="24"/>
                <w:szCs w:val="24"/>
              </w:rPr>
            </w:pPr>
            <w:r>
              <w:rPr>
                <w:sz w:val="24"/>
                <w:szCs w:val="24"/>
              </w:rPr>
              <w:t>737 500 грн</w:t>
            </w:r>
          </w:p>
        </w:tc>
      </w:tr>
    </w:tbl>
    <w:p w:rsidR="001E0A2A" w:rsidRDefault="00E079B6">
      <w:pPr>
        <w:ind w:left="720" w:firstLine="0"/>
      </w:pPr>
      <w:r>
        <w:t xml:space="preserve">Джерело: складено автором </w:t>
      </w:r>
    </w:p>
    <w:p w:rsidR="001E0A2A" w:rsidRDefault="001E0A2A">
      <w:pPr>
        <w:ind w:left="720" w:firstLine="0"/>
      </w:pPr>
    </w:p>
    <w:p w:rsidR="001E0A2A" w:rsidRDefault="00E079B6">
      <w:r>
        <w:lastRenderedPageBreak/>
        <w:t>Отже, після внесення запропонованих змін в контент очікуваний місячний прибуток медичного центру з естетичної медицини може зрости з 625 000 грн до 645 000 грн, що становить приріст на 20 000 грн або приблизно 3,2%.</w:t>
      </w:r>
    </w:p>
    <w:p w:rsidR="001E0A2A" w:rsidRDefault="00E079B6">
      <w:r>
        <w:t>При співпраці з блогерами та відомими особами ціна реклами залежить від кількості та залученості аудиторії блогера, способі подання (відгук, огляд тощо) та вигляду реклами (пост у стрічці, історіях, Reels). Конкретної формули для розрахунку ціни на таку ре</w:t>
      </w:r>
      <w:r>
        <w:t>кламу не існує. Проте, вона формується безпосередньо від кількості їхніх підписників – людей, що слідкують за блогером. Проте ціна різних медійних, тобто відомих, осіб часто залежать від їхнього рівня медійності, а не кількості підписників. Але почнемо зал</w:t>
      </w:r>
      <w:r>
        <w:t>учення відомих осіб саме з блогерів. За кількістю підписників їх можна поділити на:</w:t>
      </w:r>
    </w:p>
    <w:p w:rsidR="001E0A2A" w:rsidRDefault="00E079B6">
      <w:pPr>
        <w:numPr>
          <w:ilvl w:val="0"/>
          <w:numId w:val="44"/>
        </w:numPr>
        <w:pBdr>
          <w:top w:val="nil"/>
          <w:left w:val="nil"/>
          <w:bottom w:val="nil"/>
          <w:right w:val="nil"/>
          <w:between w:val="nil"/>
        </w:pBdr>
        <w:ind w:left="709" w:hanging="709"/>
      </w:pPr>
      <w:r>
        <w:rPr>
          <w:color w:val="000000"/>
        </w:rPr>
        <w:t>наноблогерів – до 10 тисяч;</w:t>
      </w:r>
    </w:p>
    <w:p w:rsidR="001E0A2A" w:rsidRDefault="00E079B6">
      <w:pPr>
        <w:numPr>
          <w:ilvl w:val="0"/>
          <w:numId w:val="44"/>
        </w:numPr>
        <w:pBdr>
          <w:top w:val="nil"/>
          <w:left w:val="nil"/>
          <w:bottom w:val="nil"/>
          <w:right w:val="nil"/>
          <w:between w:val="nil"/>
        </w:pBdr>
        <w:ind w:left="709" w:hanging="709"/>
      </w:pPr>
      <w:r>
        <w:rPr>
          <w:color w:val="000000"/>
        </w:rPr>
        <w:t>мікроблогерів – до 100 тисяч;</w:t>
      </w:r>
    </w:p>
    <w:p w:rsidR="001E0A2A" w:rsidRDefault="00E079B6">
      <w:pPr>
        <w:numPr>
          <w:ilvl w:val="0"/>
          <w:numId w:val="44"/>
        </w:numPr>
        <w:pBdr>
          <w:top w:val="nil"/>
          <w:left w:val="nil"/>
          <w:bottom w:val="nil"/>
          <w:right w:val="nil"/>
          <w:between w:val="nil"/>
        </w:pBdr>
        <w:ind w:left="709" w:hanging="709"/>
      </w:pPr>
      <w:r>
        <w:rPr>
          <w:color w:val="000000"/>
        </w:rPr>
        <w:t>мідлблогерів – до 500 тисяч;</w:t>
      </w:r>
    </w:p>
    <w:p w:rsidR="001E0A2A" w:rsidRDefault="00E079B6">
      <w:pPr>
        <w:numPr>
          <w:ilvl w:val="0"/>
          <w:numId w:val="44"/>
        </w:numPr>
        <w:pBdr>
          <w:top w:val="nil"/>
          <w:left w:val="nil"/>
          <w:bottom w:val="nil"/>
          <w:right w:val="nil"/>
          <w:between w:val="nil"/>
        </w:pBdr>
        <w:ind w:left="709" w:hanging="709"/>
      </w:pPr>
      <w:r>
        <w:rPr>
          <w:color w:val="000000"/>
        </w:rPr>
        <w:t>макроблогерів – від 500 тисяч;</w:t>
      </w:r>
    </w:p>
    <w:p w:rsidR="001E0A2A" w:rsidRDefault="00E079B6">
      <w:pPr>
        <w:numPr>
          <w:ilvl w:val="0"/>
          <w:numId w:val="44"/>
        </w:numPr>
        <w:pBdr>
          <w:top w:val="nil"/>
          <w:left w:val="nil"/>
          <w:bottom w:val="nil"/>
          <w:right w:val="nil"/>
          <w:between w:val="nil"/>
        </w:pBdr>
        <w:ind w:left="709" w:hanging="709"/>
      </w:pPr>
      <w:r>
        <w:rPr>
          <w:color w:val="000000"/>
        </w:rPr>
        <w:t>блогери-мільйонники – від мільйона і більше підписникі</w:t>
      </w:r>
      <w:r>
        <w:rPr>
          <w:color w:val="000000"/>
        </w:rPr>
        <w:t>в.</w:t>
      </w:r>
    </w:p>
    <w:p w:rsidR="001E0A2A" w:rsidRDefault="00E079B6">
      <w:r>
        <w:t>У роботі з блогерами, окрім позитивних аспектів, існує чимало ризиків. Наприклад, великі акаунти з нібито відповідною аудиторією можуть бути накрученими, що призведе до марної витрати рекламного бюджету та часу. Інша проблема полягає в тому, що інфлюенс</w:t>
      </w:r>
      <w:r>
        <w:t>ери з великою, різнорідною аудиторією можуть запросити надто високу ціну за просування. Пропонується залучати наноблогерів та мікроблогерів, набагато ефективнішою є реклама у блогерів Instagram, які відомі лише в певній ніші. Згідно зі статистикою, приблиз</w:t>
      </w:r>
      <w:r>
        <w:t>но 42% користувачів довіряють рекомендаціям інфлюенсерів, які не є знаменитостями й не мають величезних аудиторій [48]. Оплата їхньої реклами може бути за символічну або порівняно невелику плату в 100-1 500 грн або взагалі за бартером, тобто в обмін на яку</w:t>
      </w:r>
      <w:r>
        <w:t>сь послугу. Варто ретельно перевіряти щоб підписники блогера були активні. На залучення блогерів можна виділяти 5 000 грн  на місяць.</w:t>
      </w:r>
    </w:p>
    <w:p w:rsidR="001E0A2A" w:rsidRDefault="00E079B6">
      <w:r>
        <w:t>Наостанок розглянемо процес розробки власного мобільного додатку. Загальний план для виведення додатку на ринок складаєтьс</w:t>
      </w:r>
      <w:r>
        <w:t>я з шести етапів:</w:t>
      </w:r>
    </w:p>
    <w:p w:rsidR="001E0A2A" w:rsidRDefault="00E079B6">
      <w:pPr>
        <w:numPr>
          <w:ilvl w:val="0"/>
          <w:numId w:val="46"/>
        </w:numPr>
        <w:pBdr>
          <w:top w:val="nil"/>
          <w:left w:val="nil"/>
          <w:bottom w:val="nil"/>
          <w:right w:val="nil"/>
          <w:between w:val="nil"/>
        </w:pBdr>
      </w:pPr>
      <w:r>
        <w:rPr>
          <w:color w:val="000000"/>
        </w:rPr>
        <w:lastRenderedPageBreak/>
        <w:t xml:space="preserve">Дослідження ринку. </w:t>
      </w:r>
    </w:p>
    <w:p w:rsidR="001E0A2A" w:rsidRDefault="00E079B6">
      <w:pPr>
        <w:numPr>
          <w:ilvl w:val="0"/>
          <w:numId w:val="46"/>
        </w:numPr>
        <w:pBdr>
          <w:top w:val="nil"/>
          <w:left w:val="nil"/>
          <w:bottom w:val="nil"/>
          <w:right w:val="nil"/>
          <w:between w:val="nil"/>
        </w:pBdr>
      </w:pPr>
      <w:r>
        <w:rPr>
          <w:color w:val="000000"/>
        </w:rPr>
        <w:t>Визначення функціональності.</w:t>
      </w:r>
    </w:p>
    <w:p w:rsidR="001E0A2A" w:rsidRDefault="00E079B6">
      <w:pPr>
        <w:numPr>
          <w:ilvl w:val="0"/>
          <w:numId w:val="46"/>
        </w:numPr>
        <w:pBdr>
          <w:top w:val="nil"/>
          <w:left w:val="nil"/>
          <w:bottom w:val="nil"/>
          <w:right w:val="nil"/>
          <w:between w:val="nil"/>
        </w:pBdr>
      </w:pPr>
      <w:r>
        <w:rPr>
          <w:color w:val="000000"/>
        </w:rPr>
        <w:t>Розробка.</w:t>
      </w:r>
    </w:p>
    <w:p w:rsidR="001E0A2A" w:rsidRDefault="00E079B6">
      <w:pPr>
        <w:numPr>
          <w:ilvl w:val="0"/>
          <w:numId w:val="46"/>
        </w:numPr>
        <w:pBdr>
          <w:top w:val="nil"/>
          <w:left w:val="nil"/>
          <w:bottom w:val="nil"/>
          <w:right w:val="nil"/>
          <w:between w:val="nil"/>
        </w:pBdr>
      </w:pPr>
      <w:r>
        <w:rPr>
          <w:color w:val="000000"/>
        </w:rPr>
        <w:t>Маркетинг.</w:t>
      </w:r>
    </w:p>
    <w:p w:rsidR="001E0A2A" w:rsidRDefault="00E079B6">
      <w:pPr>
        <w:numPr>
          <w:ilvl w:val="0"/>
          <w:numId w:val="46"/>
        </w:numPr>
        <w:pBdr>
          <w:top w:val="nil"/>
          <w:left w:val="nil"/>
          <w:bottom w:val="nil"/>
          <w:right w:val="nil"/>
          <w:between w:val="nil"/>
        </w:pBdr>
      </w:pPr>
      <w:r>
        <w:rPr>
          <w:color w:val="000000"/>
        </w:rPr>
        <w:t>Випуск.</w:t>
      </w:r>
    </w:p>
    <w:p w:rsidR="001E0A2A" w:rsidRDefault="00E079B6">
      <w:pPr>
        <w:numPr>
          <w:ilvl w:val="0"/>
          <w:numId w:val="46"/>
        </w:numPr>
        <w:pBdr>
          <w:top w:val="nil"/>
          <w:left w:val="nil"/>
          <w:bottom w:val="nil"/>
          <w:right w:val="nil"/>
          <w:between w:val="nil"/>
        </w:pBdr>
      </w:pPr>
      <w:r>
        <w:rPr>
          <w:color w:val="000000"/>
        </w:rPr>
        <w:t>Післярелізна підтримка.</w:t>
      </w:r>
    </w:p>
    <w:p w:rsidR="001E0A2A" w:rsidRDefault="00E079B6">
      <w:r>
        <w:t>Дослідження перед розробкою мобільного додатка є критичним етапом, що передує самій розробці. Воно дозволяє отримати необхідні відомості</w:t>
      </w:r>
      <w:r>
        <w:t xml:space="preserve"> про потреби та очікування цільової аудиторії, щоб зрозуміти, якими функціями та можливостями повинен наділений додаток, і як він може вирішити проблеми користувачів. Крім того, дослідження допомагає чітко сформулювати цілі та завдання додатка, що відображ</w:t>
      </w:r>
      <w:r>
        <w:t>ають як потреби користувачів, так і бізнесові цілі. Це дозволяє підвищити ефективність розробки та забезпечити, що додаток відповідає потребам користувачів та досягає поставлених цілей. Аналіз ринку та споживачів дає можливість оптимізувати витрати на розр</w:t>
      </w:r>
      <w:r>
        <w:t>обку додатка, спрямовуючи увагу на найважливіші функції та можливості для користувачів. Загалом, дослідження перед розробкою мобільного додатка допомагає мінімізувати ризики, забезпечуючи успішний запуск і прийняття на ринку, а також забезпечується досягне</w:t>
      </w:r>
      <w:r>
        <w:t xml:space="preserve">ння максимальної ефективності та задоволення потреб користувачів. Для цього проведемо фокус-групи з потенційними споживачами для визначення їхніх потреб. </w:t>
      </w:r>
    </w:p>
    <w:p w:rsidR="001E0A2A" w:rsidRDefault="00E079B6">
      <w:r>
        <w:t>Визначимо бюджет дослідження. Його реалізацією займатиметься команда аналітиків з трьох людей – 1 ста</w:t>
      </w:r>
      <w:r>
        <w:t>рший аналітик та 2 молодші. За часом це триватиме 25 робочих днів. Розраховано кількість робочих днів усіх членів команди. Для проведення фокус-груп залучатиметься рекрутер для пошуку учасників, що відповідатимуть вимогам та погодяться прийняти участь в до</w:t>
      </w:r>
      <w:r>
        <w:t>слідженні. Його послуги оцінюватимуться в 120 грн за людину. Всього ми проведемо 4 фокус групи по 6 людей. За прийняття участі ми подаруємо їм сертифікати на 500 грн. на будь-які послуги естетичної медицини в МЦ «Mediland». Також для будуть залучені запасн</w:t>
      </w:r>
      <w:r>
        <w:t xml:space="preserve">і учасники фокус груп, якщо хтось з основних не зможе. Їм презентуються </w:t>
      </w:r>
      <w:r>
        <w:lastRenderedPageBreak/>
        <w:t>сертифікати на 150 грн на будь-які послуги естетичної медицини у медичному центрі. При розрахунках для зручності порахуємо це як витрати у 500 та 150 грн відповідно. Для проведення фок</w:t>
      </w:r>
      <w:r>
        <w:t>ус груп залучимо одного модератора вартістю 1 200 грн за одну. З заробітніх плат усіх залучених працівників відраховуються податки на військовий збір – 1,5% та на доходи фізичних осіб – 18%. Бюджет також враховує 5 000 грн на непередбачувані витрати. Адмін</w:t>
      </w:r>
      <w:r>
        <w:t>істративні витрати складатимуть половину суми витрат. Бюджет дослідження занесемо в табл. 3.5.</w:t>
      </w:r>
    </w:p>
    <w:p w:rsidR="001E0A2A" w:rsidRDefault="001E0A2A"/>
    <w:p w:rsidR="001E0A2A" w:rsidRDefault="00E079B6">
      <w:r>
        <w:t>Таблиця 3.5 – Бюджет дослідження для додатку</w:t>
      </w:r>
    </w:p>
    <w:tbl>
      <w:tblPr>
        <w:tblStyle w:val="aff6"/>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9"/>
        <w:gridCol w:w="1438"/>
        <w:gridCol w:w="1783"/>
        <w:gridCol w:w="2141"/>
        <w:gridCol w:w="1654"/>
      </w:tblGrid>
      <w:tr w:rsidR="001E0A2A">
        <w:trPr>
          <w:trHeight w:val="732"/>
        </w:trPr>
        <w:tc>
          <w:tcPr>
            <w:tcW w:w="3229"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Найменування</w:t>
            </w:r>
          </w:p>
        </w:tc>
        <w:tc>
          <w:tcPr>
            <w:tcW w:w="1438"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Робочі дні</w:t>
            </w:r>
          </w:p>
        </w:tc>
        <w:tc>
          <w:tcPr>
            <w:tcW w:w="1783"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Оплата</w:t>
            </w:r>
          </w:p>
        </w:tc>
        <w:tc>
          <w:tcPr>
            <w:tcW w:w="2141"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Кількість людей</w:t>
            </w:r>
          </w:p>
        </w:tc>
        <w:tc>
          <w:tcPr>
            <w:tcW w:w="1654" w:type="dxa"/>
            <w:shd w:val="clear" w:color="auto" w:fill="auto"/>
            <w:vAlign w:val="center"/>
          </w:tcPr>
          <w:p w:rsidR="001E0A2A" w:rsidRDefault="00E079B6">
            <w:pPr>
              <w:spacing w:line="240" w:lineRule="auto"/>
              <w:ind w:firstLine="0"/>
              <w:jc w:val="center"/>
              <w:rPr>
                <w:color w:val="000000"/>
                <w:sz w:val="24"/>
                <w:szCs w:val="24"/>
              </w:rPr>
            </w:pPr>
            <w:r>
              <w:rPr>
                <w:color w:val="000000"/>
                <w:sz w:val="24"/>
                <w:szCs w:val="24"/>
              </w:rPr>
              <w:t>Витрати</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Керівник</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20</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10000/місяць</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10 000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Старший аналітик</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12</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800/день</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9 600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Молодший аналітик</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22</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450/день</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19 800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Рекрутер</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4</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120/людину</w:t>
            </w:r>
          </w:p>
        </w:tc>
        <w:tc>
          <w:tcPr>
            <w:tcW w:w="2141" w:type="dxa"/>
            <w:shd w:val="clear" w:color="auto" w:fill="auto"/>
            <w:vAlign w:val="bottom"/>
          </w:tcPr>
          <w:p w:rsidR="001E0A2A" w:rsidRDefault="001E0A2A">
            <w:pPr>
              <w:spacing w:line="240" w:lineRule="auto"/>
              <w:ind w:firstLine="0"/>
              <w:jc w:val="center"/>
              <w:rPr>
                <w:color w:val="000000"/>
                <w:sz w:val="24"/>
                <w:szCs w:val="24"/>
              </w:rPr>
            </w:pP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6 120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Модератор</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1200/ФГ</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4 800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Податки</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19,50%</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9 813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Учасники фокус групи</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 </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500</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24</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12 000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Запасні учасники фокус груп</w:t>
            </w:r>
          </w:p>
        </w:tc>
        <w:tc>
          <w:tcPr>
            <w:tcW w:w="1438" w:type="dxa"/>
            <w:shd w:val="clear" w:color="auto" w:fill="auto"/>
            <w:vAlign w:val="bottom"/>
          </w:tcPr>
          <w:p w:rsidR="001E0A2A" w:rsidRDefault="001E0A2A">
            <w:pPr>
              <w:spacing w:line="240" w:lineRule="auto"/>
              <w:ind w:firstLine="0"/>
              <w:jc w:val="center"/>
              <w:rPr>
                <w:color w:val="000000"/>
                <w:sz w:val="24"/>
                <w:szCs w:val="24"/>
              </w:rPr>
            </w:pP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150</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10</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1 500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Телефонний контроль</w:t>
            </w:r>
          </w:p>
        </w:tc>
        <w:tc>
          <w:tcPr>
            <w:tcW w:w="1438"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4</w:t>
            </w:r>
          </w:p>
        </w:tc>
        <w:tc>
          <w:tcPr>
            <w:tcW w:w="1783"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30%</w:t>
            </w:r>
          </w:p>
        </w:tc>
        <w:tc>
          <w:tcPr>
            <w:tcW w:w="2141" w:type="dxa"/>
            <w:shd w:val="clear" w:color="auto" w:fill="auto"/>
            <w:vAlign w:val="bottom"/>
          </w:tcPr>
          <w:p w:rsidR="001E0A2A" w:rsidRDefault="00E079B6">
            <w:pPr>
              <w:spacing w:line="240" w:lineRule="auto"/>
              <w:ind w:firstLine="0"/>
              <w:jc w:val="center"/>
              <w:rPr>
                <w:color w:val="000000"/>
                <w:sz w:val="24"/>
                <w:szCs w:val="24"/>
              </w:rPr>
            </w:pPr>
            <w:r>
              <w:rPr>
                <w:color w:val="000000"/>
                <w:sz w:val="24"/>
                <w:szCs w:val="24"/>
              </w:rPr>
              <w:t>1</w:t>
            </w: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19 150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Непередбачувані витрати</w:t>
            </w:r>
          </w:p>
        </w:tc>
        <w:tc>
          <w:tcPr>
            <w:tcW w:w="1438" w:type="dxa"/>
            <w:shd w:val="clear" w:color="auto" w:fill="auto"/>
            <w:vAlign w:val="bottom"/>
          </w:tcPr>
          <w:p w:rsidR="001E0A2A" w:rsidRDefault="001E0A2A">
            <w:pPr>
              <w:spacing w:line="240" w:lineRule="auto"/>
              <w:ind w:firstLine="0"/>
              <w:jc w:val="center"/>
              <w:rPr>
                <w:color w:val="000000"/>
                <w:sz w:val="24"/>
                <w:szCs w:val="24"/>
              </w:rPr>
            </w:pPr>
          </w:p>
        </w:tc>
        <w:tc>
          <w:tcPr>
            <w:tcW w:w="1783" w:type="dxa"/>
            <w:shd w:val="clear" w:color="auto" w:fill="auto"/>
            <w:vAlign w:val="bottom"/>
          </w:tcPr>
          <w:p w:rsidR="001E0A2A" w:rsidRDefault="001E0A2A">
            <w:pPr>
              <w:spacing w:line="240" w:lineRule="auto"/>
              <w:ind w:firstLine="0"/>
              <w:jc w:val="left"/>
              <w:rPr>
                <w:color w:val="000000"/>
                <w:sz w:val="24"/>
                <w:szCs w:val="24"/>
              </w:rPr>
            </w:pPr>
          </w:p>
        </w:tc>
        <w:tc>
          <w:tcPr>
            <w:tcW w:w="2141" w:type="dxa"/>
            <w:shd w:val="clear" w:color="auto" w:fill="auto"/>
            <w:vAlign w:val="bottom"/>
          </w:tcPr>
          <w:p w:rsidR="001E0A2A" w:rsidRDefault="001E0A2A">
            <w:pPr>
              <w:spacing w:line="240" w:lineRule="auto"/>
              <w:ind w:firstLine="0"/>
              <w:jc w:val="center"/>
              <w:rPr>
                <w:color w:val="000000"/>
                <w:sz w:val="24"/>
                <w:szCs w:val="24"/>
              </w:rPr>
            </w:pP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5 000 грн.</w:t>
            </w:r>
          </w:p>
        </w:tc>
      </w:tr>
      <w:tr w:rsidR="001E0A2A">
        <w:trPr>
          <w:trHeight w:val="372"/>
        </w:trPr>
        <w:tc>
          <w:tcPr>
            <w:tcW w:w="3229" w:type="dxa"/>
            <w:shd w:val="clear" w:color="auto" w:fill="auto"/>
            <w:vAlign w:val="bottom"/>
          </w:tcPr>
          <w:p w:rsidR="001E0A2A" w:rsidRDefault="00E079B6">
            <w:pPr>
              <w:spacing w:line="240" w:lineRule="auto"/>
              <w:ind w:firstLine="0"/>
              <w:jc w:val="left"/>
              <w:rPr>
                <w:color w:val="000000"/>
                <w:sz w:val="24"/>
                <w:szCs w:val="24"/>
              </w:rPr>
            </w:pPr>
            <w:r>
              <w:rPr>
                <w:color w:val="000000"/>
                <w:sz w:val="24"/>
                <w:szCs w:val="24"/>
              </w:rPr>
              <w:t>Адміністративні витрати</w:t>
            </w:r>
          </w:p>
        </w:tc>
        <w:tc>
          <w:tcPr>
            <w:tcW w:w="1438" w:type="dxa"/>
            <w:shd w:val="clear" w:color="auto" w:fill="auto"/>
            <w:vAlign w:val="bottom"/>
          </w:tcPr>
          <w:p w:rsidR="001E0A2A" w:rsidRDefault="001E0A2A">
            <w:pPr>
              <w:spacing w:line="240" w:lineRule="auto"/>
              <w:ind w:firstLine="0"/>
              <w:jc w:val="center"/>
              <w:rPr>
                <w:color w:val="000000"/>
                <w:sz w:val="24"/>
                <w:szCs w:val="24"/>
              </w:rPr>
            </w:pPr>
          </w:p>
        </w:tc>
        <w:tc>
          <w:tcPr>
            <w:tcW w:w="1783" w:type="dxa"/>
            <w:shd w:val="clear" w:color="auto" w:fill="auto"/>
            <w:vAlign w:val="bottom"/>
          </w:tcPr>
          <w:p w:rsidR="001E0A2A" w:rsidRDefault="001E0A2A">
            <w:pPr>
              <w:spacing w:line="240" w:lineRule="auto"/>
              <w:ind w:firstLine="0"/>
              <w:jc w:val="left"/>
              <w:rPr>
                <w:color w:val="000000"/>
                <w:sz w:val="24"/>
                <w:szCs w:val="24"/>
              </w:rPr>
            </w:pPr>
          </w:p>
        </w:tc>
        <w:tc>
          <w:tcPr>
            <w:tcW w:w="2141" w:type="dxa"/>
            <w:shd w:val="clear" w:color="auto" w:fill="auto"/>
            <w:vAlign w:val="bottom"/>
          </w:tcPr>
          <w:p w:rsidR="001E0A2A" w:rsidRDefault="001E0A2A">
            <w:pPr>
              <w:spacing w:line="240" w:lineRule="auto"/>
              <w:ind w:firstLine="0"/>
              <w:jc w:val="center"/>
              <w:rPr>
                <w:color w:val="000000"/>
                <w:sz w:val="24"/>
                <w:szCs w:val="24"/>
              </w:rPr>
            </w:pPr>
          </w:p>
        </w:tc>
        <w:tc>
          <w:tcPr>
            <w:tcW w:w="1654" w:type="dxa"/>
            <w:shd w:val="clear" w:color="auto" w:fill="auto"/>
            <w:vAlign w:val="bottom"/>
          </w:tcPr>
          <w:p w:rsidR="001E0A2A" w:rsidRDefault="00E079B6">
            <w:pPr>
              <w:spacing w:line="240" w:lineRule="auto"/>
              <w:ind w:firstLine="0"/>
              <w:jc w:val="right"/>
              <w:rPr>
                <w:color w:val="000000"/>
                <w:sz w:val="24"/>
                <w:szCs w:val="24"/>
              </w:rPr>
            </w:pPr>
            <w:r>
              <w:rPr>
                <w:color w:val="000000"/>
                <w:sz w:val="24"/>
                <w:szCs w:val="24"/>
              </w:rPr>
              <w:t>46 400 грн.</w:t>
            </w:r>
          </w:p>
        </w:tc>
      </w:tr>
      <w:tr w:rsidR="001E0A2A">
        <w:trPr>
          <w:trHeight w:val="372"/>
        </w:trPr>
        <w:tc>
          <w:tcPr>
            <w:tcW w:w="3229"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Всього</w:t>
            </w:r>
          </w:p>
        </w:tc>
        <w:tc>
          <w:tcPr>
            <w:tcW w:w="1438"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 </w:t>
            </w:r>
          </w:p>
        </w:tc>
        <w:tc>
          <w:tcPr>
            <w:tcW w:w="1783"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 </w:t>
            </w:r>
          </w:p>
        </w:tc>
        <w:tc>
          <w:tcPr>
            <w:tcW w:w="2141" w:type="dxa"/>
            <w:shd w:val="clear" w:color="auto" w:fill="D9D9D9"/>
            <w:vAlign w:val="bottom"/>
          </w:tcPr>
          <w:p w:rsidR="001E0A2A" w:rsidRDefault="00E079B6">
            <w:pPr>
              <w:spacing w:line="240" w:lineRule="auto"/>
              <w:ind w:firstLine="0"/>
              <w:jc w:val="left"/>
              <w:rPr>
                <w:color w:val="000000"/>
                <w:sz w:val="24"/>
                <w:szCs w:val="24"/>
              </w:rPr>
            </w:pPr>
            <w:r>
              <w:rPr>
                <w:color w:val="000000"/>
                <w:sz w:val="24"/>
                <w:szCs w:val="24"/>
              </w:rPr>
              <w:t> </w:t>
            </w:r>
          </w:p>
        </w:tc>
        <w:tc>
          <w:tcPr>
            <w:tcW w:w="1654" w:type="dxa"/>
            <w:shd w:val="clear" w:color="auto" w:fill="D9D9D9"/>
            <w:vAlign w:val="bottom"/>
          </w:tcPr>
          <w:p w:rsidR="001E0A2A" w:rsidRDefault="00E079B6">
            <w:pPr>
              <w:spacing w:line="240" w:lineRule="auto"/>
              <w:ind w:firstLine="0"/>
              <w:jc w:val="right"/>
              <w:rPr>
                <w:color w:val="000000"/>
                <w:sz w:val="24"/>
                <w:szCs w:val="24"/>
              </w:rPr>
            </w:pPr>
            <w:r>
              <w:rPr>
                <w:color w:val="000000"/>
                <w:sz w:val="24"/>
                <w:szCs w:val="24"/>
              </w:rPr>
              <w:t>144 183 грн.</w:t>
            </w:r>
          </w:p>
        </w:tc>
      </w:tr>
    </w:tbl>
    <w:p w:rsidR="001E0A2A" w:rsidRDefault="00E079B6">
      <w:pPr>
        <w:pBdr>
          <w:top w:val="nil"/>
          <w:left w:val="nil"/>
          <w:bottom w:val="nil"/>
          <w:right w:val="nil"/>
          <w:between w:val="nil"/>
        </w:pBdr>
        <w:ind w:left="420" w:firstLine="0"/>
        <w:jc w:val="left"/>
        <w:rPr>
          <w:color w:val="000000"/>
        </w:rPr>
      </w:pPr>
      <w:r>
        <w:rPr>
          <w:color w:val="000000"/>
        </w:rPr>
        <w:t>Джерело: складено автором</w:t>
      </w:r>
    </w:p>
    <w:p w:rsidR="001E0A2A" w:rsidRDefault="001E0A2A"/>
    <w:p w:rsidR="001E0A2A" w:rsidRDefault="00E079B6">
      <w:r>
        <w:t>Дане дослідження коштуватиме майже 145 000 грн або $ 3 560. Після завершення дослідження функціональності мобільного додатка, процес визначення його функціональності включає: аналіз отриманих результатів, формулювання конкретних функціональних вимог, їх пр</w:t>
      </w:r>
      <w:r>
        <w:t xml:space="preserve">іоритизацію та створення детальних специфікацій. На основі цих вимог розробляється архітектура та дизайн інтерфейсу додатка, який враховує потреби користувачів та забезпечує зручність використання. Цим займаються проджект менеджери, чиї послуги оцінюються </w:t>
      </w:r>
      <w:r>
        <w:t>від $ 700.</w:t>
      </w:r>
    </w:p>
    <w:p w:rsidR="001E0A2A" w:rsidRDefault="00E079B6">
      <w:r>
        <w:lastRenderedPageBreak/>
        <w:t>На етапі програмування розробники використовують обрані технології для реалізації функціоналу додатка, створюючи код, який забезпечує виконання всіх запланованих функцій. Після завершення програмування, додаток проходить тестування, де додаток п</w:t>
      </w:r>
      <w:r>
        <w:t xml:space="preserve">еревіряється на відповідність специфікаціям, виявлення помилок та оцінку загальної продуктивності. За результатами перевірки виправляються помилки та вдосконалюється функціональність за необхідності. Програмісти отримають за цю роботу $ 2 000. </w:t>
      </w:r>
    </w:p>
    <w:p w:rsidR="001E0A2A" w:rsidRDefault="00E079B6">
      <w:r>
        <w:t>Після успіш</w:t>
      </w:r>
      <w:r>
        <w:t>ного завершення тестування розробники готуються до релізу додатка, включаючи підготовку документації, завантаження додатка в магазини програм та рекламні матеріали для запуску на ринку. Для випуску додатку потрібно викупити домени та залити на платформи, д</w:t>
      </w:r>
      <w:r>
        <w:t xml:space="preserve">е його можна буде скачати. Ці витрати оцінюються біля $ 2 000. </w:t>
      </w:r>
    </w:p>
    <w:p w:rsidR="001E0A2A" w:rsidRDefault="00E079B6">
      <w:pPr>
        <w:spacing w:line="348" w:lineRule="auto"/>
      </w:pPr>
      <w:r>
        <w:t>На початковий маркетинговий бюджет виділяють від $ 400 для:</w:t>
      </w:r>
    </w:p>
    <w:p w:rsidR="001E0A2A" w:rsidRDefault="00E079B6">
      <w:pPr>
        <w:numPr>
          <w:ilvl w:val="0"/>
          <w:numId w:val="29"/>
        </w:numPr>
        <w:pBdr>
          <w:top w:val="nil"/>
          <w:left w:val="nil"/>
          <w:bottom w:val="nil"/>
          <w:right w:val="nil"/>
          <w:between w:val="nil"/>
        </w:pBdr>
        <w:spacing w:line="348" w:lineRule="auto"/>
        <w:ind w:left="709" w:hanging="709"/>
      </w:pPr>
      <w:r>
        <w:rPr>
          <w:color w:val="000000"/>
        </w:rPr>
        <w:t>залучення обмеженої аудиторії до випробування передвипускної версії додатка з метою отримання фідбеку та виправлення помилок;</w:t>
      </w:r>
    </w:p>
    <w:p w:rsidR="001E0A2A" w:rsidRDefault="00E079B6">
      <w:pPr>
        <w:numPr>
          <w:ilvl w:val="0"/>
          <w:numId w:val="29"/>
        </w:numPr>
        <w:pBdr>
          <w:top w:val="nil"/>
          <w:left w:val="nil"/>
          <w:bottom w:val="nil"/>
          <w:right w:val="nil"/>
          <w:between w:val="nil"/>
        </w:pBdr>
        <w:spacing w:line="348" w:lineRule="auto"/>
        <w:ind w:left="709" w:hanging="709"/>
      </w:pPr>
      <w:r>
        <w:rPr>
          <w:color w:val="000000"/>
        </w:rPr>
        <w:t xml:space="preserve">генерації інтересу серед потенційних користувачів щодо майбутнього продукту, наприклад, за допомогою тизерів, анонсів, попередніх переглядів і т.д.; </w:t>
      </w:r>
    </w:p>
    <w:p w:rsidR="001E0A2A" w:rsidRDefault="00E079B6">
      <w:pPr>
        <w:numPr>
          <w:ilvl w:val="0"/>
          <w:numId w:val="29"/>
        </w:numPr>
        <w:pBdr>
          <w:top w:val="nil"/>
          <w:left w:val="nil"/>
          <w:bottom w:val="nil"/>
          <w:right w:val="nil"/>
          <w:between w:val="nil"/>
        </w:pBdr>
        <w:spacing w:line="348" w:lineRule="auto"/>
        <w:ind w:left="709" w:hanging="709"/>
      </w:pPr>
      <w:r>
        <w:rPr>
          <w:color w:val="000000"/>
        </w:rPr>
        <w:t>розробки веб-сайту або сторінки продукту, яка привертає увагу інтересованих осіб, надає інформацію про дод</w:t>
      </w:r>
      <w:r>
        <w:rPr>
          <w:color w:val="000000"/>
        </w:rPr>
        <w:t>аток і можливість підписатися на оновлення.</w:t>
      </w:r>
    </w:p>
    <w:p w:rsidR="001E0A2A" w:rsidRDefault="00E079B6">
      <w:pPr>
        <w:spacing w:line="348" w:lineRule="auto"/>
      </w:pPr>
      <w:r>
        <w:t>.Після релізу важливо проводити моніторинг роботи додатка та збирати зворотній зв'язок від користувачів для подальшого вдосконалення продукту і забезпечення його успішності на ринку. Післярелізна підтримка, тобто</w:t>
      </w:r>
      <w:r>
        <w:t xml:space="preserve"> оновлення додатку та додавання контенту туди вартує приблизно $ 300 в місяць для команди підтримки. Також пропонується виділяти 100 000 грн на рік для маркетингу мобільного додатку. Підсумуємо ціну для розроблення та виведення на ринок мобільного додатку </w:t>
      </w:r>
      <w:r>
        <w:t>у табл. 3.6.</w:t>
      </w:r>
    </w:p>
    <w:p w:rsidR="001E0A2A" w:rsidRDefault="00E079B6">
      <w:pPr>
        <w:spacing w:line="336" w:lineRule="auto"/>
      </w:pPr>
      <w:r>
        <w:t>Таблиця 3.6 – Витрати на розроблення додатку</w:t>
      </w:r>
    </w:p>
    <w:tbl>
      <w:tblPr>
        <w:tblStyle w:val="aff7"/>
        <w:tblW w:w="53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30"/>
        <w:gridCol w:w="1357"/>
      </w:tblGrid>
      <w:tr w:rsidR="001E0A2A">
        <w:trPr>
          <w:jc w:val="center"/>
        </w:trPr>
        <w:tc>
          <w:tcPr>
            <w:tcW w:w="4030" w:type="dxa"/>
          </w:tcPr>
          <w:p w:rsidR="001E0A2A" w:rsidRDefault="00E079B6">
            <w:pPr>
              <w:spacing w:line="240" w:lineRule="auto"/>
              <w:ind w:firstLine="0"/>
              <w:jc w:val="center"/>
              <w:rPr>
                <w:sz w:val="24"/>
                <w:szCs w:val="24"/>
              </w:rPr>
            </w:pPr>
            <w:r>
              <w:rPr>
                <w:sz w:val="24"/>
                <w:szCs w:val="24"/>
              </w:rPr>
              <w:t>Найменування роботи</w:t>
            </w:r>
          </w:p>
        </w:tc>
        <w:tc>
          <w:tcPr>
            <w:tcW w:w="1357" w:type="dxa"/>
          </w:tcPr>
          <w:p w:rsidR="001E0A2A" w:rsidRDefault="00E079B6">
            <w:pPr>
              <w:spacing w:line="240" w:lineRule="auto"/>
              <w:ind w:firstLine="0"/>
              <w:jc w:val="center"/>
              <w:rPr>
                <w:sz w:val="24"/>
                <w:szCs w:val="24"/>
              </w:rPr>
            </w:pPr>
            <w:r>
              <w:rPr>
                <w:sz w:val="24"/>
                <w:szCs w:val="24"/>
              </w:rPr>
              <w:t>Ціна</w:t>
            </w:r>
          </w:p>
        </w:tc>
      </w:tr>
      <w:tr w:rsidR="001E0A2A">
        <w:trPr>
          <w:jc w:val="center"/>
        </w:trPr>
        <w:tc>
          <w:tcPr>
            <w:tcW w:w="4030" w:type="dxa"/>
          </w:tcPr>
          <w:p w:rsidR="001E0A2A" w:rsidRDefault="00E079B6">
            <w:pPr>
              <w:spacing w:line="240" w:lineRule="auto"/>
              <w:ind w:firstLine="0"/>
              <w:rPr>
                <w:sz w:val="24"/>
                <w:szCs w:val="24"/>
              </w:rPr>
            </w:pPr>
            <w:r>
              <w:rPr>
                <w:sz w:val="24"/>
                <w:szCs w:val="24"/>
              </w:rPr>
              <w:t>Проведення дослідження</w:t>
            </w:r>
          </w:p>
        </w:tc>
        <w:tc>
          <w:tcPr>
            <w:tcW w:w="1357" w:type="dxa"/>
          </w:tcPr>
          <w:p w:rsidR="001E0A2A" w:rsidRDefault="00E079B6">
            <w:pPr>
              <w:spacing w:line="240" w:lineRule="auto"/>
              <w:ind w:firstLine="0"/>
              <w:jc w:val="right"/>
              <w:rPr>
                <w:sz w:val="24"/>
                <w:szCs w:val="24"/>
              </w:rPr>
            </w:pPr>
            <w:r>
              <w:rPr>
                <w:sz w:val="24"/>
                <w:szCs w:val="24"/>
              </w:rPr>
              <w:t>$  3 560</w:t>
            </w:r>
          </w:p>
        </w:tc>
      </w:tr>
      <w:tr w:rsidR="001E0A2A">
        <w:trPr>
          <w:jc w:val="center"/>
        </w:trPr>
        <w:tc>
          <w:tcPr>
            <w:tcW w:w="4030" w:type="dxa"/>
          </w:tcPr>
          <w:p w:rsidR="001E0A2A" w:rsidRDefault="00E079B6">
            <w:pPr>
              <w:spacing w:line="240" w:lineRule="auto"/>
              <w:ind w:firstLine="0"/>
              <w:rPr>
                <w:sz w:val="24"/>
                <w:szCs w:val="24"/>
              </w:rPr>
            </w:pPr>
            <w:r>
              <w:rPr>
                <w:sz w:val="24"/>
                <w:szCs w:val="24"/>
              </w:rPr>
              <w:lastRenderedPageBreak/>
              <w:t>Визначення функціональності</w:t>
            </w:r>
          </w:p>
        </w:tc>
        <w:tc>
          <w:tcPr>
            <w:tcW w:w="1357" w:type="dxa"/>
          </w:tcPr>
          <w:p w:rsidR="001E0A2A" w:rsidRDefault="00E079B6">
            <w:pPr>
              <w:spacing w:line="240" w:lineRule="auto"/>
              <w:ind w:firstLine="0"/>
              <w:jc w:val="right"/>
              <w:rPr>
                <w:sz w:val="24"/>
                <w:szCs w:val="24"/>
              </w:rPr>
            </w:pPr>
            <w:r>
              <w:rPr>
                <w:sz w:val="24"/>
                <w:szCs w:val="24"/>
              </w:rPr>
              <w:t>$ 700</w:t>
            </w:r>
          </w:p>
        </w:tc>
      </w:tr>
      <w:tr w:rsidR="001E0A2A">
        <w:trPr>
          <w:jc w:val="center"/>
        </w:trPr>
        <w:tc>
          <w:tcPr>
            <w:tcW w:w="4030" w:type="dxa"/>
          </w:tcPr>
          <w:p w:rsidR="001E0A2A" w:rsidRDefault="00E079B6">
            <w:pPr>
              <w:spacing w:line="240" w:lineRule="auto"/>
              <w:ind w:firstLine="0"/>
              <w:rPr>
                <w:sz w:val="24"/>
                <w:szCs w:val="24"/>
              </w:rPr>
            </w:pPr>
            <w:r>
              <w:rPr>
                <w:sz w:val="24"/>
                <w:szCs w:val="24"/>
              </w:rPr>
              <w:t>Розробка додатку</w:t>
            </w:r>
          </w:p>
        </w:tc>
        <w:tc>
          <w:tcPr>
            <w:tcW w:w="1357" w:type="dxa"/>
          </w:tcPr>
          <w:p w:rsidR="001E0A2A" w:rsidRDefault="00E079B6">
            <w:pPr>
              <w:spacing w:line="240" w:lineRule="auto"/>
              <w:ind w:firstLine="0"/>
              <w:jc w:val="right"/>
              <w:rPr>
                <w:sz w:val="24"/>
                <w:szCs w:val="24"/>
              </w:rPr>
            </w:pPr>
            <w:r>
              <w:rPr>
                <w:sz w:val="24"/>
                <w:szCs w:val="24"/>
              </w:rPr>
              <w:t>$ 2 000</w:t>
            </w:r>
          </w:p>
        </w:tc>
      </w:tr>
      <w:tr w:rsidR="001E0A2A">
        <w:trPr>
          <w:jc w:val="center"/>
        </w:trPr>
        <w:tc>
          <w:tcPr>
            <w:tcW w:w="4030" w:type="dxa"/>
          </w:tcPr>
          <w:p w:rsidR="001E0A2A" w:rsidRDefault="00E079B6">
            <w:pPr>
              <w:spacing w:line="240" w:lineRule="auto"/>
              <w:ind w:firstLine="0"/>
              <w:rPr>
                <w:sz w:val="24"/>
                <w:szCs w:val="24"/>
              </w:rPr>
            </w:pPr>
            <w:r>
              <w:rPr>
                <w:sz w:val="24"/>
                <w:szCs w:val="24"/>
              </w:rPr>
              <w:t>Початковий маркетинг</w:t>
            </w:r>
          </w:p>
        </w:tc>
        <w:tc>
          <w:tcPr>
            <w:tcW w:w="1357" w:type="dxa"/>
          </w:tcPr>
          <w:p w:rsidR="001E0A2A" w:rsidRDefault="00E079B6">
            <w:pPr>
              <w:spacing w:line="240" w:lineRule="auto"/>
              <w:ind w:firstLine="0"/>
              <w:jc w:val="right"/>
              <w:rPr>
                <w:sz w:val="24"/>
                <w:szCs w:val="24"/>
              </w:rPr>
            </w:pPr>
            <w:r>
              <w:rPr>
                <w:sz w:val="24"/>
                <w:szCs w:val="24"/>
              </w:rPr>
              <w:t>$ 400</w:t>
            </w:r>
          </w:p>
        </w:tc>
      </w:tr>
      <w:tr w:rsidR="001E0A2A">
        <w:trPr>
          <w:jc w:val="center"/>
        </w:trPr>
        <w:tc>
          <w:tcPr>
            <w:tcW w:w="4030" w:type="dxa"/>
            <w:shd w:val="clear" w:color="auto" w:fill="D9D9D9"/>
          </w:tcPr>
          <w:p w:rsidR="001E0A2A" w:rsidRDefault="00E079B6">
            <w:pPr>
              <w:spacing w:line="240" w:lineRule="auto"/>
              <w:ind w:firstLine="0"/>
              <w:rPr>
                <w:sz w:val="24"/>
                <w:szCs w:val="24"/>
              </w:rPr>
            </w:pPr>
            <w:r>
              <w:rPr>
                <w:sz w:val="24"/>
                <w:szCs w:val="24"/>
              </w:rPr>
              <w:t>Всього</w:t>
            </w:r>
          </w:p>
        </w:tc>
        <w:tc>
          <w:tcPr>
            <w:tcW w:w="1357" w:type="dxa"/>
            <w:shd w:val="clear" w:color="auto" w:fill="D9D9D9"/>
          </w:tcPr>
          <w:p w:rsidR="001E0A2A" w:rsidRDefault="00E079B6">
            <w:pPr>
              <w:spacing w:line="240" w:lineRule="auto"/>
              <w:ind w:firstLine="0"/>
              <w:jc w:val="right"/>
              <w:rPr>
                <w:sz w:val="24"/>
                <w:szCs w:val="24"/>
              </w:rPr>
            </w:pPr>
            <w:r>
              <w:rPr>
                <w:sz w:val="24"/>
                <w:szCs w:val="24"/>
              </w:rPr>
              <w:t>$  6 660</w:t>
            </w:r>
          </w:p>
        </w:tc>
      </w:tr>
    </w:tbl>
    <w:p w:rsidR="001E0A2A" w:rsidRDefault="00E079B6">
      <w:r>
        <w:t xml:space="preserve">Джерело: складено автором </w:t>
      </w:r>
    </w:p>
    <w:p w:rsidR="001E0A2A" w:rsidRDefault="001E0A2A"/>
    <w:p w:rsidR="001E0A2A" w:rsidRDefault="00E079B6">
      <w:r>
        <w:t>Бачимо, що розробка додатку потребує найбільшого бюджету. Оскільки зараз ми не можемо визначити чи будуть в додатку реалізовані платні функції або розміщена реклама, то складно зрозуміти скільки додаткового прибутку можна буде отримати. Для мінімальної оці</w:t>
      </w:r>
      <w:r>
        <w:t>нки рентабельності розрахуємо період окупності з залучення нових клієнтів. Для цього вихідними даними будуть (табл.3.7):</w:t>
      </w:r>
    </w:p>
    <w:p w:rsidR="001E0A2A" w:rsidRDefault="001E0A2A"/>
    <w:p w:rsidR="001E0A2A" w:rsidRDefault="00E079B6">
      <w:r>
        <w:t>Таблиця 3.7 – Вихідні дані для додатку</w:t>
      </w:r>
    </w:p>
    <w:tbl>
      <w:tblPr>
        <w:tblStyle w:val="aff8"/>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2"/>
        <w:gridCol w:w="5123"/>
      </w:tblGrid>
      <w:tr w:rsidR="001E0A2A">
        <w:tc>
          <w:tcPr>
            <w:tcW w:w="5122" w:type="dxa"/>
          </w:tcPr>
          <w:p w:rsidR="001E0A2A" w:rsidRDefault="00E079B6">
            <w:pPr>
              <w:spacing w:line="240" w:lineRule="auto"/>
              <w:ind w:firstLine="0"/>
              <w:jc w:val="center"/>
              <w:rPr>
                <w:sz w:val="24"/>
                <w:szCs w:val="24"/>
              </w:rPr>
            </w:pPr>
            <w:r>
              <w:rPr>
                <w:sz w:val="24"/>
                <w:szCs w:val="24"/>
              </w:rPr>
              <w:t>Показник</w:t>
            </w:r>
          </w:p>
        </w:tc>
        <w:tc>
          <w:tcPr>
            <w:tcW w:w="5123" w:type="dxa"/>
          </w:tcPr>
          <w:p w:rsidR="001E0A2A" w:rsidRDefault="00E079B6">
            <w:pPr>
              <w:spacing w:line="240" w:lineRule="auto"/>
              <w:ind w:firstLine="0"/>
              <w:jc w:val="center"/>
              <w:rPr>
                <w:sz w:val="24"/>
                <w:szCs w:val="24"/>
              </w:rPr>
            </w:pPr>
            <w:r>
              <w:rPr>
                <w:sz w:val="24"/>
                <w:szCs w:val="24"/>
              </w:rPr>
              <w:t>Значення за місяць</w:t>
            </w:r>
          </w:p>
        </w:tc>
      </w:tr>
      <w:tr w:rsidR="001E0A2A">
        <w:tc>
          <w:tcPr>
            <w:tcW w:w="5122" w:type="dxa"/>
          </w:tcPr>
          <w:p w:rsidR="001E0A2A" w:rsidRDefault="00E079B6">
            <w:pPr>
              <w:spacing w:line="240" w:lineRule="auto"/>
              <w:ind w:firstLine="0"/>
              <w:rPr>
                <w:sz w:val="24"/>
                <w:szCs w:val="24"/>
              </w:rPr>
            </w:pPr>
            <w:r>
              <w:rPr>
                <w:sz w:val="24"/>
                <w:szCs w:val="24"/>
              </w:rPr>
              <w:t>Вартість розробки додатку</w:t>
            </w:r>
          </w:p>
        </w:tc>
        <w:tc>
          <w:tcPr>
            <w:tcW w:w="5123" w:type="dxa"/>
          </w:tcPr>
          <w:p w:rsidR="001E0A2A" w:rsidRDefault="00E079B6">
            <w:pPr>
              <w:spacing w:line="240" w:lineRule="auto"/>
              <w:ind w:firstLine="0"/>
              <w:jc w:val="center"/>
              <w:rPr>
                <w:sz w:val="24"/>
                <w:szCs w:val="24"/>
              </w:rPr>
            </w:pPr>
            <w:r>
              <w:rPr>
                <w:sz w:val="24"/>
                <w:szCs w:val="24"/>
              </w:rPr>
              <w:t>266 550 грн.</w:t>
            </w:r>
          </w:p>
        </w:tc>
      </w:tr>
      <w:tr w:rsidR="001E0A2A">
        <w:tc>
          <w:tcPr>
            <w:tcW w:w="5122" w:type="dxa"/>
          </w:tcPr>
          <w:p w:rsidR="001E0A2A" w:rsidRDefault="00E079B6">
            <w:pPr>
              <w:spacing w:line="240" w:lineRule="auto"/>
              <w:ind w:firstLine="0"/>
              <w:rPr>
                <w:sz w:val="24"/>
                <w:szCs w:val="24"/>
              </w:rPr>
            </w:pPr>
            <w:r>
              <w:rPr>
                <w:sz w:val="24"/>
                <w:szCs w:val="24"/>
              </w:rPr>
              <w:t>Підтримка та оновлення додатку</w:t>
            </w:r>
          </w:p>
        </w:tc>
        <w:tc>
          <w:tcPr>
            <w:tcW w:w="5123" w:type="dxa"/>
          </w:tcPr>
          <w:p w:rsidR="001E0A2A" w:rsidRDefault="00E079B6">
            <w:pPr>
              <w:spacing w:line="240" w:lineRule="auto"/>
              <w:ind w:firstLine="0"/>
              <w:jc w:val="center"/>
              <w:rPr>
                <w:sz w:val="24"/>
                <w:szCs w:val="24"/>
              </w:rPr>
            </w:pPr>
            <w:r>
              <w:rPr>
                <w:sz w:val="24"/>
                <w:szCs w:val="24"/>
              </w:rPr>
              <w:t>12 117 грн.</w:t>
            </w:r>
          </w:p>
        </w:tc>
      </w:tr>
      <w:tr w:rsidR="001E0A2A">
        <w:tc>
          <w:tcPr>
            <w:tcW w:w="5122" w:type="dxa"/>
          </w:tcPr>
          <w:p w:rsidR="001E0A2A" w:rsidRDefault="00E079B6">
            <w:pPr>
              <w:spacing w:line="240" w:lineRule="auto"/>
              <w:ind w:firstLine="0"/>
              <w:rPr>
                <w:sz w:val="24"/>
                <w:szCs w:val="24"/>
              </w:rPr>
            </w:pPr>
            <w:r>
              <w:rPr>
                <w:sz w:val="24"/>
                <w:szCs w:val="24"/>
              </w:rPr>
              <w:t>Маркетинг</w:t>
            </w:r>
          </w:p>
        </w:tc>
        <w:tc>
          <w:tcPr>
            <w:tcW w:w="5123" w:type="dxa"/>
          </w:tcPr>
          <w:p w:rsidR="001E0A2A" w:rsidRDefault="00E079B6">
            <w:pPr>
              <w:spacing w:line="240" w:lineRule="auto"/>
              <w:ind w:firstLine="0"/>
              <w:jc w:val="center"/>
              <w:rPr>
                <w:sz w:val="24"/>
                <w:szCs w:val="24"/>
              </w:rPr>
            </w:pPr>
            <w:r>
              <w:rPr>
                <w:sz w:val="24"/>
                <w:szCs w:val="24"/>
              </w:rPr>
              <w:t>8 333 грн</w:t>
            </w:r>
          </w:p>
        </w:tc>
      </w:tr>
      <w:tr w:rsidR="001E0A2A">
        <w:tc>
          <w:tcPr>
            <w:tcW w:w="5122" w:type="dxa"/>
          </w:tcPr>
          <w:p w:rsidR="001E0A2A" w:rsidRDefault="00E079B6">
            <w:pPr>
              <w:spacing w:line="240" w:lineRule="auto"/>
              <w:ind w:firstLine="0"/>
              <w:rPr>
                <w:sz w:val="24"/>
                <w:szCs w:val="24"/>
              </w:rPr>
            </w:pPr>
            <w:r>
              <w:rPr>
                <w:sz w:val="24"/>
                <w:szCs w:val="24"/>
              </w:rPr>
              <w:t>Залучення нових клієнтів</w:t>
            </w:r>
          </w:p>
        </w:tc>
        <w:tc>
          <w:tcPr>
            <w:tcW w:w="5123" w:type="dxa"/>
          </w:tcPr>
          <w:p w:rsidR="001E0A2A" w:rsidRDefault="00E079B6">
            <w:pPr>
              <w:spacing w:line="240" w:lineRule="auto"/>
              <w:ind w:firstLine="0"/>
              <w:jc w:val="center"/>
              <w:rPr>
                <w:sz w:val="24"/>
                <w:szCs w:val="24"/>
              </w:rPr>
            </w:pPr>
            <w:r>
              <w:rPr>
                <w:sz w:val="24"/>
                <w:szCs w:val="24"/>
              </w:rPr>
              <w:t>25 чол.</w:t>
            </w:r>
          </w:p>
        </w:tc>
      </w:tr>
      <w:tr w:rsidR="001E0A2A">
        <w:tc>
          <w:tcPr>
            <w:tcW w:w="5122" w:type="dxa"/>
          </w:tcPr>
          <w:p w:rsidR="001E0A2A" w:rsidRDefault="00E079B6">
            <w:pPr>
              <w:spacing w:line="240" w:lineRule="auto"/>
              <w:ind w:firstLine="0"/>
              <w:rPr>
                <w:sz w:val="24"/>
                <w:szCs w:val="24"/>
              </w:rPr>
            </w:pPr>
            <w:r>
              <w:rPr>
                <w:sz w:val="24"/>
                <w:szCs w:val="24"/>
              </w:rPr>
              <w:t>Середній чек</w:t>
            </w:r>
          </w:p>
        </w:tc>
        <w:tc>
          <w:tcPr>
            <w:tcW w:w="5123" w:type="dxa"/>
          </w:tcPr>
          <w:p w:rsidR="001E0A2A" w:rsidRDefault="00E079B6">
            <w:pPr>
              <w:spacing w:line="240" w:lineRule="auto"/>
              <w:ind w:firstLine="0"/>
              <w:jc w:val="center"/>
              <w:rPr>
                <w:sz w:val="24"/>
                <w:szCs w:val="24"/>
              </w:rPr>
            </w:pPr>
            <w:r>
              <w:rPr>
                <w:sz w:val="24"/>
                <w:szCs w:val="24"/>
              </w:rPr>
              <w:t>2 500 грн.</w:t>
            </w:r>
          </w:p>
        </w:tc>
      </w:tr>
    </w:tbl>
    <w:p w:rsidR="001E0A2A" w:rsidRDefault="00E079B6">
      <w:r>
        <w:t xml:space="preserve">Джерело: складено автором </w:t>
      </w:r>
    </w:p>
    <w:p w:rsidR="001E0A2A" w:rsidRDefault="001E0A2A"/>
    <w:p w:rsidR="001E0A2A" w:rsidRDefault="00E079B6">
      <w:r>
        <w:t xml:space="preserve">Додатковий місячний дохід: </w:t>
      </w:r>
    </w:p>
    <w:p w:rsidR="001E0A2A" w:rsidRDefault="00E079B6">
      <w:pPr>
        <w:ind w:firstLine="0"/>
        <w:jc w:val="center"/>
      </w:pPr>
      <w:r>
        <w:t>25 × 2 500 грн. = 62 500 грн.</w:t>
      </w:r>
    </w:p>
    <w:p w:rsidR="001E0A2A" w:rsidRDefault="00E079B6">
      <w:r>
        <w:t>Щомісячний прибуток оцінюється віднімаючи від доходу необхідні витрати, в нашому випадку це витрати на підтримку додатку та маркетинг:</w:t>
      </w:r>
    </w:p>
    <w:p w:rsidR="001E0A2A" w:rsidRDefault="00E079B6">
      <w:pPr>
        <w:ind w:firstLine="0"/>
        <w:jc w:val="center"/>
      </w:pPr>
      <w:r>
        <w:t xml:space="preserve">62 500 грн. </w:t>
      </w:r>
      <w:sdt>
        <w:sdtPr>
          <w:tag w:val="goog_rdk_0"/>
          <w:id w:val="-1084530298"/>
        </w:sdtPr>
        <w:sdtEndPr/>
        <w:sdtContent>
          <w:r>
            <w:rPr>
              <w:rFonts w:ascii="Gungsuh" w:eastAsia="Gungsuh" w:hAnsi="Gungsuh" w:cs="Gungsuh"/>
            </w:rPr>
            <w:t>−</w:t>
          </w:r>
          <w:r>
            <w:rPr>
              <w:rFonts w:ascii="Gungsuh" w:eastAsia="Gungsuh" w:hAnsi="Gungsuh" w:cs="Gungsuh"/>
            </w:rPr>
            <w:t xml:space="preserve"> 12 117 грн. − 8 333 грн = 42 050 грн.</w:t>
          </w:r>
        </w:sdtContent>
      </w:sdt>
    </w:p>
    <w:p w:rsidR="001E0A2A" w:rsidRDefault="00E079B6">
      <w:r>
        <w:t>Для обрахунку періоду окупності потрібно використати формулу 3.1 [5</w:t>
      </w:r>
      <w:r>
        <w:t>1, с. 29]:</w:t>
      </w:r>
    </w:p>
    <w:p w:rsidR="001E0A2A" w:rsidRDefault="00E079B6">
      <w:pPr>
        <w:shd w:val="clear" w:color="auto" w:fill="FFFFFF"/>
        <w:jc w:val="right"/>
        <w:rPr>
          <w:color w:val="000000"/>
        </w:rPr>
      </w:pPr>
      <w:r>
        <w:rPr>
          <w:color w:val="000000"/>
          <w:sz w:val="36"/>
          <w:szCs w:val="36"/>
          <w:vertAlign w:val="subscript"/>
        </w:rPr>
        <w:object w:dxaOrig="1240" w:dyaOrig="660">
          <v:shape id="_x0000_i1026" type="#_x0000_t75" alt="" style="width:62.25pt;height:33pt;mso-width-percent:0;mso-height-percent:0;mso-width-percent:0;mso-height-percent:0" o:ole="">
            <v:imagedata r:id="rId40" o:title=""/>
          </v:shape>
          <o:OLEObject Type="Embed" ProgID="Equation.3" ShapeID="_x0000_i1026" DrawAspect="Content" ObjectID="_1780922244" r:id="rId41"/>
        </w:object>
      </w:r>
      <w:r>
        <w:rPr>
          <w:color w:val="000000"/>
        </w:rPr>
        <w:t xml:space="preserve"> ,</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(3.2)</w:t>
      </w:r>
    </w:p>
    <w:p w:rsidR="001E0A2A" w:rsidRDefault="001E0A2A">
      <w:pPr>
        <w:tabs>
          <w:tab w:val="left" w:pos="709"/>
        </w:tabs>
      </w:pPr>
    </w:p>
    <w:p w:rsidR="001E0A2A" w:rsidRDefault="00E079B6">
      <w:pPr>
        <w:tabs>
          <w:tab w:val="left" w:pos="709"/>
        </w:tabs>
      </w:pPr>
      <w:r>
        <w:t xml:space="preserve">де </w:t>
      </w:r>
      <w:r>
        <w:tab/>
      </w:r>
      <w:r>
        <w:rPr>
          <w:i/>
        </w:rPr>
        <w:t>PBP</w:t>
      </w:r>
      <w:r>
        <w:t xml:space="preserve"> – період окупності інвестицій, роки;</w:t>
      </w:r>
    </w:p>
    <w:p w:rsidR="001E0A2A" w:rsidRDefault="00E079B6">
      <w:pPr>
        <w:shd w:val="clear" w:color="auto" w:fill="FFFFFF"/>
        <w:ind w:left="709" w:firstLine="567"/>
        <w:rPr>
          <w:color w:val="000000"/>
        </w:rPr>
      </w:pPr>
      <w:r>
        <w:rPr>
          <w:i/>
          <w:color w:val="000000"/>
        </w:rPr>
        <w:t xml:space="preserve">I </w:t>
      </w:r>
      <w:r>
        <w:rPr>
          <w:color w:val="000000"/>
        </w:rPr>
        <w:t xml:space="preserve">– сума інвестиційних витрат, млн грн.; </w:t>
      </w:r>
    </w:p>
    <w:p w:rsidR="001E0A2A" w:rsidRDefault="00E079B6">
      <w:pPr>
        <w:tabs>
          <w:tab w:val="left" w:pos="2280"/>
        </w:tabs>
        <w:ind w:left="709" w:firstLine="567"/>
        <w:rPr>
          <w:color w:val="000000"/>
        </w:rPr>
      </w:pPr>
      <w:r>
        <w:rPr>
          <w:i/>
          <w:color w:val="000000"/>
        </w:rPr>
        <w:lastRenderedPageBreak/>
        <w:t xml:space="preserve">ACI  </w:t>
      </w:r>
      <w:r>
        <w:rPr>
          <w:color w:val="000000"/>
        </w:rPr>
        <w:t>– щорічні надходження (річний прибуток), млн грн.</w:t>
      </w:r>
    </w:p>
    <w:p w:rsidR="001E0A2A" w:rsidRDefault="001E0A2A">
      <w:pPr>
        <w:tabs>
          <w:tab w:val="left" w:pos="2280"/>
        </w:tabs>
        <w:ind w:left="709" w:firstLine="567"/>
        <w:rPr>
          <w:color w:val="000000"/>
        </w:rPr>
      </w:pPr>
    </w:p>
    <w:p w:rsidR="001E0A2A" w:rsidRDefault="00E079B6">
      <w:pPr>
        <w:ind w:firstLine="0"/>
        <w:jc w:val="center"/>
      </w:pPr>
      <w:r>
        <w:t>266 550 грн. ÷ 42 050 грн. = 6 місяців 11 днів.</w:t>
      </w:r>
    </w:p>
    <w:p w:rsidR="001E0A2A" w:rsidRDefault="00E079B6">
      <w:r>
        <w:t>Визначимо рентабельність інвестицій (ROMI), для цього необхідно прибуток поділити на загальні витрати. Загальні витрати на додаток на рік складаються з розробки додатку, його підтримки та маркетингу:</w:t>
      </w:r>
    </w:p>
    <w:p w:rsidR="001E0A2A" w:rsidRDefault="00E079B6">
      <w:pPr>
        <w:ind w:firstLine="0"/>
        <w:jc w:val="center"/>
      </w:pPr>
      <w:r>
        <w:t>266 550 грн + 145 400 грн + 100 000 = 511 950 грн.</w:t>
      </w:r>
    </w:p>
    <w:p w:rsidR="001E0A2A" w:rsidRDefault="00E079B6">
      <w:r>
        <w:t>Загал</w:t>
      </w:r>
      <w:r>
        <w:t xml:space="preserve">ьний дохід за рік: </w:t>
      </w:r>
    </w:p>
    <w:p w:rsidR="001E0A2A" w:rsidRDefault="00E079B6">
      <w:pPr>
        <w:ind w:firstLine="0"/>
        <w:jc w:val="center"/>
      </w:pPr>
      <w:r>
        <w:t>62 500 грн × 12 = 750 000 грн.</w:t>
      </w:r>
    </w:p>
    <w:p w:rsidR="001E0A2A" w:rsidRDefault="00E079B6">
      <w:pPr>
        <w:ind w:left="312" w:firstLine="397"/>
      </w:pPr>
      <w:r>
        <w:t xml:space="preserve">Дохід від додатку за рік: </w:t>
      </w:r>
    </w:p>
    <w:p w:rsidR="001E0A2A" w:rsidRDefault="00E079B6">
      <w:pPr>
        <w:ind w:firstLine="0"/>
        <w:jc w:val="center"/>
      </w:pPr>
      <w:sdt>
        <w:sdtPr>
          <w:tag w:val="goog_rdk_1"/>
          <w:id w:val="1469240313"/>
        </w:sdtPr>
        <w:sdtEndPr/>
        <w:sdtContent>
          <w:r>
            <w:rPr>
              <w:rFonts w:ascii="Gungsuh" w:eastAsia="Gungsuh" w:hAnsi="Gungsuh" w:cs="Gungsuh"/>
            </w:rPr>
            <w:t>750 000 грн − 511 950 грн = 238 050 грн.</w:t>
          </w:r>
        </w:sdtContent>
      </w:sdt>
    </w:p>
    <w:p w:rsidR="001E0A2A" w:rsidRDefault="00E079B6">
      <w:pPr>
        <w:ind w:left="312" w:firstLine="397"/>
      </w:pPr>
      <w:r>
        <w:t>Коефіцієнт рентабельності маркетингових інвестиційних витрат ROMI розраховується за формулою 3.2:</w:t>
      </w:r>
    </w:p>
    <w:p w:rsidR="001E0A2A" w:rsidRDefault="001E0A2A">
      <w:pPr>
        <w:ind w:left="312" w:firstLine="397"/>
        <w:rPr>
          <w:color w:val="FF0000"/>
        </w:rPr>
      </w:pPr>
    </w:p>
    <w:p w:rsidR="001E0A2A" w:rsidRDefault="00E079B6">
      <w:pPr>
        <w:spacing w:line="288" w:lineRule="auto"/>
        <w:ind w:firstLine="709"/>
        <w:jc w:val="right"/>
      </w:pPr>
      <m:oMath>
        <m:r>
          <w:rPr>
            <w:rFonts w:ascii="Cambria Math" w:eastAsia="Cambria Math" w:hAnsi="Cambria Math" w:cs="Cambria Math"/>
          </w:rPr>
          <m:t>ROMI</m:t>
        </m:r>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дохід від маркетингу-витрати на маркетинг</m:t>
            </m:r>
          </m:num>
          <m:den>
            <m:r>
              <w:rPr>
                <w:rFonts w:ascii="Cambria Math" w:eastAsia="Cambria Math" w:hAnsi="Cambria Math" w:cs="Cambria Math"/>
              </w:rPr>
              <m:t>витрати на маркетинг</m:t>
            </m:r>
          </m:den>
        </m:f>
        <m:r>
          <w:rPr>
            <w:rFonts w:ascii="Cambria Math" w:eastAsia="Cambria Math" w:hAnsi="Cambria Math" w:cs="Cambria Math"/>
          </w:rPr>
          <m:t>×100%</m:t>
        </m:r>
      </m:oMath>
      <w:r>
        <w:t xml:space="preserve">   </w:t>
      </w:r>
      <w:r>
        <w:tab/>
      </w:r>
      <w:r>
        <w:tab/>
        <w:t xml:space="preserve">       (3.2)</w:t>
      </w:r>
    </w:p>
    <w:p w:rsidR="001E0A2A" w:rsidRDefault="001E0A2A">
      <w:pPr>
        <w:spacing w:line="288" w:lineRule="auto"/>
        <w:ind w:firstLine="709"/>
        <w:jc w:val="right"/>
        <w:rPr>
          <w:b/>
        </w:rPr>
      </w:pPr>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ROMI</m:t>
          </m:r>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238 050 грн</m:t>
              </m:r>
            </m:num>
            <m:den>
              <m:r>
                <w:rPr>
                  <w:rFonts w:ascii="Cambria Math" w:eastAsia="Cambria Math" w:hAnsi="Cambria Math" w:cs="Cambria Math"/>
                </w:rPr>
                <m:t>511 950 грн</m:t>
              </m:r>
            </m:den>
          </m:f>
          <m:r>
            <w:rPr>
              <w:rFonts w:ascii="Cambria Math" w:eastAsia="Cambria Math" w:hAnsi="Cambria Math" w:cs="Cambria Math"/>
            </w:rPr>
            <m:t>×100%=46,5%</m:t>
          </m:r>
        </m:oMath>
      </m:oMathPara>
    </w:p>
    <w:p w:rsidR="001E0A2A" w:rsidRDefault="00E079B6">
      <w:r>
        <w:t xml:space="preserve">Ці показники свідчать про економічну ефективність впровадження ІТ додатку для догляду за шкірою від медичного центру. Показники </w:t>
      </w:r>
      <w:r>
        <w:t>демонструють вигоду від проекту, але більш тривалий період окупності та нижчий ROMI вказують на те, що рішення слід ретельно зважувати з урахуванням ринкових умов та можливих ризиків</w:t>
      </w:r>
    </w:p>
    <w:p w:rsidR="001E0A2A" w:rsidRDefault="00E079B6">
      <w:r>
        <w:t>Усі запропоновані заходи щодо розвитку комунікацій медичного центру вимаг</w:t>
      </w:r>
      <w:r>
        <w:t>ають одноразових та щомісячних витрат. Один раз потрібно заплатити $ 50 за налаштування та тестування таргетованої реклами і $ 6 600 за розробку та впровадження власного мобільного додатку. Щомісячні витрати складуть:</w:t>
      </w:r>
    </w:p>
    <w:p w:rsidR="001E0A2A" w:rsidRDefault="00E079B6">
      <w:pPr>
        <w:numPr>
          <w:ilvl w:val="0"/>
          <w:numId w:val="32"/>
        </w:numPr>
        <w:pBdr>
          <w:top w:val="nil"/>
          <w:left w:val="nil"/>
          <w:bottom w:val="nil"/>
          <w:right w:val="nil"/>
          <w:between w:val="nil"/>
        </w:pBdr>
        <w:ind w:left="709" w:hanging="567"/>
      </w:pPr>
      <w:r>
        <w:rPr>
          <w:color w:val="000000"/>
        </w:rPr>
        <w:t>$288 за таргетовану рекламу;</w:t>
      </w:r>
    </w:p>
    <w:p w:rsidR="001E0A2A" w:rsidRDefault="00E079B6">
      <w:pPr>
        <w:numPr>
          <w:ilvl w:val="0"/>
          <w:numId w:val="32"/>
        </w:numPr>
        <w:pBdr>
          <w:top w:val="nil"/>
          <w:left w:val="nil"/>
          <w:bottom w:val="nil"/>
          <w:right w:val="nil"/>
          <w:between w:val="nil"/>
        </w:pBdr>
        <w:ind w:left="709" w:hanging="567"/>
      </w:pPr>
      <w:r>
        <w:rPr>
          <w:color w:val="000000"/>
        </w:rPr>
        <w:t>$525 за п</w:t>
      </w:r>
      <w:r>
        <w:rPr>
          <w:color w:val="000000"/>
        </w:rPr>
        <w:t>ослуги спеціаліста з таргетованої реклами;</w:t>
      </w:r>
    </w:p>
    <w:p w:rsidR="001E0A2A" w:rsidRDefault="00E079B6">
      <w:pPr>
        <w:numPr>
          <w:ilvl w:val="0"/>
          <w:numId w:val="32"/>
        </w:numPr>
        <w:pBdr>
          <w:top w:val="nil"/>
          <w:left w:val="nil"/>
          <w:bottom w:val="nil"/>
          <w:right w:val="nil"/>
          <w:between w:val="nil"/>
        </w:pBdr>
        <w:ind w:left="709" w:hanging="567"/>
      </w:pPr>
      <w:r>
        <w:rPr>
          <w:color w:val="000000"/>
        </w:rPr>
        <w:t>$123,81 або 5 000 грн за рекламу інфлюенсерів;</w:t>
      </w:r>
    </w:p>
    <w:p w:rsidR="001E0A2A" w:rsidRDefault="00E079B6">
      <w:pPr>
        <w:numPr>
          <w:ilvl w:val="0"/>
          <w:numId w:val="32"/>
        </w:numPr>
        <w:pBdr>
          <w:top w:val="nil"/>
          <w:left w:val="nil"/>
          <w:bottom w:val="nil"/>
          <w:right w:val="nil"/>
          <w:between w:val="nil"/>
        </w:pBdr>
        <w:ind w:left="709" w:hanging="567"/>
      </w:pPr>
      <w:r>
        <w:rPr>
          <w:color w:val="000000"/>
        </w:rPr>
        <w:lastRenderedPageBreak/>
        <w:t>$300 для підтримки мобільного додатку;</w:t>
      </w:r>
    </w:p>
    <w:p w:rsidR="001E0A2A" w:rsidRDefault="00E079B6">
      <w:pPr>
        <w:numPr>
          <w:ilvl w:val="0"/>
          <w:numId w:val="32"/>
        </w:numPr>
        <w:pBdr>
          <w:top w:val="nil"/>
          <w:left w:val="nil"/>
          <w:bottom w:val="nil"/>
          <w:right w:val="nil"/>
          <w:between w:val="nil"/>
        </w:pBdr>
        <w:ind w:left="709" w:hanging="567"/>
      </w:pPr>
      <w:r>
        <w:rPr>
          <w:color w:val="000000"/>
        </w:rPr>
        <w:t>$206,35 або 8 333 грн для маркетингу додатка.</w:t>
      </w:r>
    </w:p>
    <w:p w:rsidR="001E0A2A" w:rsidRDefault="00E079B6">
      <w:r>
        <w:t>Загальні щомісячні витрати дорівнюють $ 1 443,16; а загальні одноразові витрати о</w:t>
      </w:r>
      <w:r>
        <w:t>цінюються в $ 6 650. Після підбиття підсумків за витратами, оцінимо очікувані прибутки без врахування мобільного додатку:</w:t>
      </w:r>
    </w:p>
    <w:p w:rsidR="001E0A2A" w:rsidRDefault="00E079B6">
      <w:pPr>
        <w:numPr>
          <w:ilvl w:val="0"/>
          <w:numId w:val="36"/>
        </w:numPr>
        <w:pBdr>
          <w:top w:val="nil"/>
          <w:left w:val="nil"/>
          <w:bottom w:val="nil"/>
          <w:right w:val="nil"/>
          <w:between w:val="nil"/>
        </w:pBdr>
        <w:ind w:left="709" w:hanging="709"/>
      </w:pPr>
      <w:r>
        <w:rPr>
          <w:color w:val="000000"/>
        </w:rPr>
        <w:t>17 500 грн зі змін у контенті;</w:t>
      </w:r>
    </w:p>
    <w:p w:rsidR="001E0A2A" w:rsidRDefault="00E079B6">
      <w:pPr>
        <w:numPr>
          <w:ilvl w:val="0"/>
          <w:numId w:val="36"/>
        </w:numPr>
        <w:pBdr>
          <w:top w:val="nil"/>
          <w:left w:val="nil"/>
          <w:bottom w:val="nil"/>
          <w:right w:val="nil"/>
          <w:between w:val="nil"/>
        </w:pBdr>
        <w:ind w:left="709" w:hanging="709"/>
      </w:pPr>
      <w:r>
        <w:rPr>
          <w:color w:val="000000"/>
        </w:rPr>
        <w:t>15 000 грн з таргетованої реклами;</w:t>
      </w:r>
    </w:p>
    <w:p w:rsidR="001E0A2A" w:rsidRDefault="00E079B6">
      <w:pPr>
        <w:numPr>
          <w:ilvl w:val="0"/>
          <w:numId w:val="36"/>
        </w:numPr>
        <w:pBdr>
          <w:top w:val="nil"/>
          <w:left w:val="nil"/>
          <w:bottom w:val="nil"/>
          <w:right w:val="nil"/>
          <w:between w:val="nil"/>
        </w:pBdr>
        <w:ind w:left="709" w:hanging="709"/>
      </w:pPr>
      <w:r>
        <w:rPr>
          <w:color w:val="000000"/>
        </w:rPr>
        <w:t>20 000 грн з реклами в блогерів.</w:t>
      </w:r>
    </w:p>
    <w:p w:rsidR="001E0A2A" w:rsidRDefault="00E079B6">
      <w:r>
        <w:t>Загальні щомісячні прибутки складають 52 500 грн, але варто враховувати, що ці суми утворилися за рахунок збільшення відсотків залученості та конверсій підписників у клієнтів, а разом результати будуть ще більші.</w:t>
      </w:r>
    </w:p>
    <w:p w:rsidR="001E0A2A" w:rsidRDefault="00E079B6">
      <w:r>
        <w:t xml:space="preserve">Оцінимо маркетинговий показник ROAS для вимірювання доходу, отриманого від рекламної кампанії по відношенню до витрат на рекламу в табл. 3.8. Витрати на таргетовану рекламу в місяць візьмемо $288 або 11 558 грн, адже спеціаліст з неї працюватиме також над </w:t>
      </w:r>
      <w:r>
        <w:t>іншими напрямками таргетованої реклами від медичного центру і його заробітна плата вже внесена в бюджет підприємства.</w:t>
      </w:r>
    </w:p>
    <w:p w:rsidR="001E0A2A" w:rsidRDefault="001E0A2A"/>
    <w:p w:rsidR="001E0A2A" w:rsidRDefault="00E079B6">
      <w:r>
        <w:t>Таблиця 3.8 – Окупність витрат на рекламу</w:t>
      </w:r>
    </w:p>
    <w:tbl>
      <w:tblPr>
        <w:tblStyle w:val="aff9"/>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65"/>
        <w:gridCol w:w="1961"/>
        <w:gridCol w:w="2262"/>
        <w:gridCol w:w="1557"/>
      </w:tblGrid>
      <w:tr w:rsidR="001E0A2A">
        <w:tc>
          <w:tcPr>
            <w:tcW w:w="4465" w:type="dxa"/>
          </w:tcPr>
          <w:p w:rsidR="001E0A2A" w:rsidRDefault="00E079B6">
            <w:pPr>
              <w:spacing w:line="240" w:lineRule="auto"/>
              <w:ind w:firstLine="0"/>
              <w:jc w:val="center"/>
              <w:rPr>
                <w:sz w:val="24"/>
                <w:szCs w:val="24"/>
              </w:rPr>
            </w:pPr>
            <w:r>
              <w:rPr>
                <w:sz w:val="24"/>
                <w:szCs w:val="24"/>
              </w:rPr>
              <w:t>Зміни в комунікаціях</w:t>
            </w:r>
          </w:p>
        </w:tc>
        <w:tc>
          <w:tcPr>
            <w:tcW w:w="1961" w:type="dxa"/>
          </w:tcPr>
          <w:p w:rsidR="001E0A2A" w:rsidRDefault="00E079B6">
            <w:pPr>
              <w:spacing w:line="240" w:lineRule="auto"/>
              <w:ind w:firstLine="0"/>
              <w:jc w:val="center"/>
              <w:rPr>
                <w:sz w:val="24"/>
                <w:szCs w:val="24"/>
              </w:rPr>
            </w:pPr>
            <w:r>
              <w:rPr>
                <w:sz w:val="24"/>
                <w:szCs w:val="24"/>
              </w:rPr>
              <w:t>Витрати</w:t>
            </w:r>
          </w:p>
        </w:tc>
        <w:tc>
          <w:tcPr>
            <w:tcW w:w="2262" w:type="dxa"/>
          </w:tcPr>
          <w:p w:rsidR="001E0A2A" w:rsidRDefault="00E079B6">
            <w:pPr>
              <w:spacing w:line="240" w:lineRule="auto"/>
              <w:ind w:firstLine="0"/>
              <w:jc w:val="center"/>
              <w:rPr>
                <w:sz w:val="24"/>
                <w:szCs w:val="24"/>
              </w:rPr>
            </w:pPr>
            <w:r>
              <w:rPr>
                <w:sz w:val="24"/>
                <w:szCs w:val="24"/>
              </w:rPr>
              <w:t>Прибутки</w:t>
            </w:r>
          </w:p>
        </w:tc>
        <w:tc>
          <w:tcPr>
            <w:tcW w:w="1557" w:type="dxa"/>
          </w:tcPr>
          <w:p w:rsidR="001E0A2A" w:rsidRDefault="00E079B6">
            <w:pPr>
              <w:spacing w:line="240" w:lineRule="auto"/>
              <w:ind w:firstLine="0"/>
              <w:jc w:val="center"/>
              <w:rPr>
                <w:sz w:val="24"/>
                <w:szCs w:val="24"/>
              </w:rPr>
            </w:pPr>
            <w:r>
              <w:rPr>
                <w:sz w:val="24"/>
                <w:szCs w:val="24"/>
              </w:rPr>
              <w:t>ROAS</w:t>
            </w:r>
          </w:p>
        </w:tc>
      </w:tr>
      <w:tr w:rsidR="001E0A2A">
        <w:tc>
          <w:tcPr>
            <w:tcW w:w="4465" w:type="dxa"/>
          </w:tcPr>
          <w:p w:rsidR="001E0A2A" w:rsidRDefault="00E079B6">
            <w:pPr>
              <w:spacing w:line="240" w:lineRule="auto"/>
              <w:ind w:firstLine="0"/>
              <w:rPr>
                <w:sz w:val="24"/>
                <w:szCs w:val="24"/>
              </w:rPr>
            </w:pPr>
            <w:r>
              <w:rPr>
                <w:sz w:val="24"/>
                <w:szCs w:val="24"/>
              </w:rPr>
              <w:t xml:space="preserve">Розподілення та створення контенту </w:t>
            </w:r>
            <w:r>
              <w:rPr>
                <w:sz w:val="24"/>
                <w:szCs w:val="24"/>
              </w:rPr>
              <w:br/>
              <w:t>за бажаннями кл</w:t>
            </w:r>
            <w:r>
              <w:rPr>
                <w:sz w:val="24"/>
                <w:szCs w:val="24"/>
              </w:rPr>
              <w:t>ієнтів</w:t>
            </w:r>
          </w:p>
        </w:tc>
        <w:tc>
          <w:tcPr>
            <w:tcW w:w="1961" w:type="dxa"/>
            <w:vAlign w:val="center"/>
          </w:tcPr>
          <w:p w:rsidR="001E0A2A" w:rsidRDefault="00E079B6">
            <w:pPr>
              <w:spacing w:line="240" w:lineRule="auto"/>
              <w:ind w:firstLine="0"/>
              <w:jc w:val="center"/>
              <w:rPr>
                <w:sz w:val="24"/>
                <w:szCs w:val="24"/>
              </w:rPr>
            </w:pPr>
            <w:r>
              <w:rPr>
                <w:sz w:val="24"/>
                <w:szCs w:val="24"/>
              </w:rPr>
              <w:t>0 грн</w:t>
            </w:r>
          </w:p>
        </w:tc>
        <w:tc>
          <w:tcPr>
            <w:tcW w:w="2262" w:type="dxa"/>
            <w:vAlign w:val="center"/>
          </w:tcPr>
          <w:p w:rsidR="001E0A2A" w:rsidRDefault="00E079B6">
            <w:pPr>
              <w:spacing w:line="240" w:lineRule="auto"/>
              <w:ind w:firstLine="0"/>
              <w:jc w:val="center"/>
              <w:rPr>
                <w:sz w:val="24"/>
                <w:szCs w:val="24"/>
              </w:rPr>
            </w:pPr>
            <w:r>
              <w:rPr>
                <w:sz w:val="24"/>
                <w:szCs w:val="24"/>
              </w:rPr>
              <w:t>17 500 грн</w:t>
            </w:r>
          </w:p>
        </w:tc>
        <w:tc>
          <w:tcPr>
            <w:tcW w:w="1557" w:type="dxa"/>
            <w:vAlign w:val="center"/>
          </w:tcPr>
          <w:p w:rsidR="001E0A2A" w:rsidRDefault="00E079B6">
            <w:pPr>
              <w:spacing w:line="240" w:lineRule="auto"/>
              <w:ind w:firstLine="0"/>
              <w:jc w:val="center"/>
              <w:rPr>
                <w:sz w:val="24"/>
                <w:szCs w:val="24"/>
              </w:rPr>
            </w:pPr>
            <w:r>
              <w:rPr>
                <w:sz w:val="24"/>
                <w:szCs w:val="24"/>
              </w:rPr>
              <w:t>17 500%</w:t>
            </w:r>
          </w:p>
        </w:tc>
      </w:tr>
      <w:tr w:rsidR="001E0A2A">
        <w:tc>
          <w:tcPr>
            <w:tcW w:w="4465" w:type="dxa"/>
          </w:tcPr>
          <w:p w:rsidR="001E0A2A" w:rsidRDefault="00E079B6">
            <w:pPr>
              <w:spacing w:line="240" w:lineRule="auto"/>
              <w:ind w:firstLine="0"/>
              <w:rPr>
                <w:sz w:val="24"/>
                <w:szCs w:val="24"/>
              </w:rPr>
            </w:pPr>
            <w:r>
              <w:rPr>
                <w:sz w:val="24"/>
                <w:szCs w:val="24"/>
              </w:rPr>
              <w:t>Запуск таргетованої реклами в Instagram</w:t>
            </w:r>
          </w:p>
        </w:tc>
        <w:tc>
          <w:tcPr>
            <w:tcW w:w="1961" w:type="dxa"/>
            <w:vAlign w:val="center"/>
          </w:tcPr>
          <w:p w:rsidR="001E0A2A" w:rsidRDefault="00E079B6">
            <w:pPr>
              <w:spacing w:line="240" w:lineRule="auto"/>
              <w:ind w:firstLine="0"/>
              <w:jc w:val="center"/>
              <w:rPr>
                <w:sz w:val="24"/>
                <w:szCs w:val="24"/>
              </w:rPr>
            </w:pPr>
            <w:r>
              <w:rPr>
                <w:sz w:val="24"/>
                <w:szCs w:val="24"/>
              </w:rPr>
              <w:t>11 558 грн</w:t>
            </w:r>
          </w:p>
        </w:tc>
        <w:tc>
          <w:tcPr>
            <w:tcW w:w="2262" w:type="dxa"/>
            <w:vAlign w:val="center"/>
          </w:tcPr>
          <w:p w:rsidR="001E0A2A" w:rsidRDefault="00E079B6">
            <w:pPr>
              <w:spacing w:line="240" w:lineRule="auto"/>
              <w:ind w:firstLine="0"/>
              <w:jc w:val="center"/>
              <w:rPr>
                <w:sz w:val="24"/>
                <w:szCs w:val="24"/>
              </w:rPr>
            </w:pPr>
            <w:r>
              <w:rPr>
                <w:sz w:val="24"/>
                <w:szCs w:val="24"/>
              </w:rPr>
              <w:t>15 000 грн</w:t>
            </w:r>
          </w:p>
        </w:tc>
        <w:tc>
          <w:tcPr>
            <w:tcW w:w="1557" w:type="dxa"/>
            <w:vAlign w:val="center"/>
          </w:tcPr>
          <w:p w:rsidR="001E0A2A" w:rsidRDefault="00E079B6">
            <w:pPr>
              <w:spacing w:line="240" w:lineRule="auto"/>
              <w:ind w:firstLine="0"/>
              <w:jc w:val="center"/>
              <w:rPr>
                <w:sz w:val="24"/>
                <w:szCs w:val="24"/>
              </w:rPr>
            </w:pPr>
            <w:r>
              <w:rPr>
                <w:sz w:val="24"/>
                <w:szCs w:val="24"/>
              </w:rPr>
              <w:t>29,8%</w:t>
            </w:r>
          </w:p>
        </w:tc>
      </w:tr>
      <w:tr w:rsidR="001E0A2A">
        <w:tc>
          <w:tcPr>
            <w:tcW w:w="4465" w:type="dxa"/>
          </w:tcPr>
          <w:p w:rsidR="001E0A2A" w:rsidRDefault="00E079B6">
            <w:pPr>
              <w:spacing w:line="240" w:lineRule="auto"/>
              <w:ind w:firstLine="0"/>
              <w:rPr>
                <w:sz w:val="24"/>
                <w:szCs w:val="24"/>
              </w:rPr>
            </w:pPr>
            <w:r>
              <w:rPr>
                <w:sz w:val="24"/>
                <w:szCs w:val="24"/>
              </w:rPr>
              <w:t>Залучення інфлюенсерів в Instagram</w:t>
            </w:r>
          </w:p>
        </w:tc>
        <w:tc>
          <w:tcPr>
            <w:tcW w:w="1961" w:type="dxa"/>
            <w:vAlign w:val="center"/>
          </w:tcPr>
          <w:p w:rsidR="001E0A2A" w:rsidRDefault="00E079B6">
            <w:pPr>
              <w:spacing w:line="240" w:lineRule="auto"/>
              <w:ind w:firstLine="0"/>
              <w:jc w:val="center"/>
              <w:rPr>
                <w:sz w:val="24"/>
                <w:szCs w:val="24"/>
              </w:rPr>
            </w:pPr>
            <w:r>
              <w:rPr>
                <w:sz w:val="24"/>
                <w:szCs w:val="24"/>
              </w:rPr>
              <w:t>5 000 грн</w:t>
            </w:r>
          </w:p>
        </w:tc>
        <w:tc>
          <w:tcPr>
            <w:tcW w:w="2262" w:type="dxa"/>
            <w:vAlign w:val="center"/>
          </w:tcPr>
          <w:p w:rsidR="001E0A2A" w:rsidRDefault="00E079B6">
            <w:pPr>
              <w:spacing w:line="240" w:lineRule="auto"/>
              <w:ind w:firstLine="0"/>
              <w:jc w:val="center"/>
              <w:rPr>
                <w:sz w:val="24"/>
                <w:szCs w:val="24"/>
              </w:rPr>
            </w:pPr>
            <w:r>
              <w:rPr>
                <w:sz w:val="24"/>
                <w:szCs w:val="24"/>
              </w:rPr>
              <w:t>20 000 грн</w:t>
            </w:r>
          </w:p>
        </w:tc>
        <w:tc>
          <w:tcPr>
            <w:tcW w:w="1557" w:type="dxa"/>
            <w:vAlign w:val="center"/>
          </w:tcPr>
          <w:p w:rsidR="001E0A2A" w:rsidRDefault="00E079B6">
            <w:pPr>
              <w:spacing w:line="240" w:lineRule="auto"/>
              <w:ind w:firstLine="0"/>
              <w:jc w:val="center"/>
              <w:rPr>
                <w:sz w:val="24"/>
                <w:szCs w:val="24"/>
              </w:rPr>
            </w:pPr>
            <w:r>
              <w:rPr>
                <w:sz w:val="24"/>
                <w:szCs w:val="24"/>
              </w:rPr>
              <w:t>300%</w:t>
            </w:r>
          </w:p>
        </w:tc>
      </w:tr>
    </w:tbl>
    <w:p w:rsidR="001E0A2A" w:rsidRDefault="00E079B6">
      <w:r>
        <w:t>Джерело: розроблено автором</w:t>
      </w:r>
    </w:p>
    <w:p w:rsidR="001E0A2A" w:rsidRDefault="001E0A2A">
      <w:pPr>
        <w:spacing w:line="348" w:lineRule="auto"/>
      </w:pPr>
    </w:p>
    <w:p w:rsidR="001E0A2A" w:rsidRDefault="00E079B6">
      <w:pPr>
        <w:spacing w:line="348" w:lineRule="auto"/>
      </w:pPr>
      <w:r>
        <w:t xml:space="preserve">Запропоновані зміни в маркетинговій діяльності є доцільними, оскільки дозволяють значно збільшити прибутковість і рентабельність підприємства. Ефективне впровадження цих рекомендацій сприятиме зміцненню позицій компанії на ринку послуг естетичної медицини </w:t>
      </w:r>
      <w:r>
        <w:t>та підвищенню її конкурентоспроможності.</w:t>
      </w:r>
    </w:p>
    <w:p w:rsidR="001E0A2A" w:rsidRDefault="001E0A2A">
      <w:pPr>
        <w:spacing w:line="348" w:lineRule="auto"/>
      </w:pPr>
    </w:p>
    <w:p w:rsidR="001E0A2A" w:rsidRDefault="00E079B6">
      <w:pPr>
        <w:pStyle w:val="2"/>
      </w:pPr>
      <w:bookmarkStart w:id="17" w:name="_heading=h.44sinio" w:colFirst="0" w:colLast="0"/>
      <w:bookmarkEnd w:id="17"/>
      <w:r>
        <w:lastRenderedPageBreak/>
        <w:t>Висновки до розділу 3</w:t>
      </w:r>
    </w:p>
    <w:p w:rsidR="001E0A2A" w:rsidRDefault="001E0A2A"/>
    <w:p w:rsidR="001E0A2A" w:rsidRDefault="00E079B6">
      <w:r>
        <w:t xml:space="preserve">В цьому розділі були розглянуті відповіді на пошукові питання дослідження, перевірені гіпотези та складений список рекомендованих заходів щодо розвитку комунікаційної політики МЦ «Mediland». </w:t>
      </w:r>
    </w:p>
    <w:p w:rsidR="001E0A2A" w:rsidRDefault="00E079B6">
      <w:r>
        <w:t>Адаптація контенту під різні соціальні мережі дозволяє ефективніше взаємодіяти з цільовою аудиторією, враховуючи особливості кожної платформи. Контент, створений на основі побажань клієнтів, демонструє цінність їхньої думки для компанії та підвищує довіру</w:t>
      </w:r>
      <w:r>
        <w:t xml:space="preserve"> та лояльність. Коли клієнти бачать контент, який відповідає їхнім запитам та інтересам, вони частіше взаємодіють з ним, що підвищує рівень залученості. </w:t>
      </w:r>
    </w:p>
    <w:p w:rsidR="001E0A2A" w:rsidRDefault="00E079B6">
      <w:r>
        <w:t xml:space="preserve">Таргетована реклама в Instagram дозволяє досягти конкретну аудиторію, що значно підвищує ефективність </w:t>
      </w:r>
      <w:r>
        <w:t xml:space="preserve">рекламних кампаній та знижує витрати на залучення клієнтів. Залучення відомих осіб та інфлюенсерів значно підвищує впізнаваність бренду та довіру до нього. </w:t>
      </w:r>
    </w:p>
    <w:p w:rsidR="001E0A2A" w:rsidRDefault="00E079B6">
      <w:pPr>
        <w:spacing w:line="348" w:lineRule="auto"/>
      </w:pPr>
      <w:r>
        <w:t xml:space="preserve">Розробка мобільного додатку є ефективним заходом, що дозволить медичному центру задовольнити попит </w:t>
      </w:r>
      <w:r>
        <w:t>споживачів на доступну та корисну інформацію про догляд за шкірою, взаємозв'язок харчування та стан шкіри, а також надання рекомендацій щодо самостійного догляду та професійних процедур. Це сприятиме підвищенню лояльності клієнтів, зміцненню їх довіри до м</w:t>
      </w:r>
      <w:r>
        <w:t>едичного центру та, в кінцевому підсумку, покращенню фінансових показників компанії.</w:t>
      </w:r>
    </w:p>
    <w:p w:rsidR="001E0A2A" w:rsidRDefault="00E079B6">
      <w:pPr>
        <w:spacing w:line="348" w:lineRule="auto"/>
      </w:pPr>
      <w:r>
        <w:t>Таким чином, кожен з елементів запропонованої стратегії спрямований на підвищення залученості, лояльності та довіри клієнтів, що, в кінцевому підсумку, сприятиме збільшенн</w:t>
      </w:r>
      <w:r>
        <w:t>ю обсягу продажів та покращенню фінансових показників медичного центру.</w:t>
      </w:r>
    </w:p>
    <w:p w:rsidR="001E0A2A" w:rsidRDefault="00E079B6">
      <w:pPr>
        <w:pStyle w:val="1"/>
        <w:spacing w:before="0"/>
      </w:pPr>
      <w:bookmarkStart w:id="18" w:name="_heading=h.2jxsxqh" w:colFirst="0" w:colLast="0"/>
      <w:bookmarkEnd w:id="18"/>
      <w:r>
        <w:t>Висновки</w:t>
      </w:r>
    </w:p>
    <w:p w:rsidR="001E0A2A" w:rsidRDefault="001E0A2A"/>
    <w:p w:rsidR="001E0A2A" w:rsidRDefault="00E079B6">
      <w:r>
        <w:t xml:space="preserve">У цій роботі було розглянуто діяльність приватного підприємства «СИГМА», медичного центру  «Mediland» на ринку естетичної медицини. В результаті проведення дослідження можна </w:t>
      </w:r>
      <w:r>
        <w:t xml:space="preserve">зробити наступні висновки: </w:t>
      </w:r>
    </w:p>
    <w:p w:rsidR="001E0A2A" w:rsidRDefault="00E079B6">
      <w:pPr>
        <w:numPr>
          <w:ilvl w:val="0"/>
          <w:numId w:val="27"/>
        </w:numPr>
        <w:pBdr>
          <w:top w:val="nil"/>
          <w:left w:val="nil"/>
          <w:bottom w:val="nil"/>
          <w:right w:val="nil"/>
          <w:between w:val="nil"/>
        </w:pBdr>
        <w:ind w:left="0" w:firstLine="633"/>
      </w:pPr>
      <w:r>
        <w:rPr>
          <w:color w:val="000000"/>
        </w:rPr>
        <w:lastRenderedPageBreak/>
        <w:t>Дослідження було розпочато з ситуаційного аналізу, що передбачало першочергово здійснити аналіз діяльності підприємства на ринку естетичної медицини. За результатами дослідження можна стверджувати, що підприємство активно розвив</w:t>
      </w:r>
      <w:r>
        <w:rPr>
          <w:color w:val="000000"/>
        </w:rPr>
        <w:t>ається, проте прибутковість дещо знижується.</w:t>
      </w:r>
    </w:p>
    <w:p w:rsidR="001E0A2A" w:rsidRDefault="00E079B6">
      <w:pPr>
        <w:numPr>
          <w:ilvl w:val="0"/>
          <w:numId w:val="27"/>
        </w:numPr>
        <w:pBdr>
          <w:top w:val="nil"/>
          <w:left w:val="nil"/>
          <w:bottom w:val="nil"/>
          <w:right w:val="nil"/>
          <w:between w:val="nil"/>
        </w:pBdr>
        <w:ind w:left="0" w:firstLine="633"/>
      </w:pPr>
      <w:r>
        <w:rPr>
          <w:color w:val="000000"/>
        </w:rPr>
        <w:t>Під час аналізу маркетингового середовища, зокрема макро-, мезо-, мікросередовища, було встановлено, що найвпливовішими факторами є: зручне розташування медичного центру, висока якість та широкий спектр медичних</w:t>
      </w:r>
      <w:r>
        <w:rPr>
          <w:color w:val="000000"/>
        </w:rPr>
        <w:t xml:space="preserve"> послуг, відсутність широкої мережі філій, зростаюча конкуренція на ринку та збільшення попиту на приватні медичні послуги.</w:t>
      </w:r>
    </w:p>
    <w:p w:rsidR="001E0A2A" w:rsidRDefault="00E079B6">
      <w:pPr>
        <w:numPr>
          <w:ilvl w:val="0"/>
          <w:numId w:val="27"/>
        </w:numPr>
        <w:pBdr>
          <w:top w:val="nil"/>
          <w:left w:val="nil"/>
          <w:bottom w:val="nil"/>
          <w:right w:val="nil"/>
          <w:between w:val="nil"/>
        </w:pBdr>
        <w:ind w:left="0" w:firstLine="633"/>
        <w:rPr>
          <w:color w:val="000000"/>
        </w:rPr>
      </w:pPr>
      <w:r>
        <w:rPr>
          <w:color w:val="000000"/>
        </w:rPr>
        <w:t>Для виявлення маркетингової управлінської проблеми необхідно було провести SWOT-аналіз. Під час нього було зведено усі сильні та сла</w:t>
      </w:r>
      <w:r>
        <w:rPr>
          <w:color w:val="000000"/>
        </w:rPr>
        <w:t>бкі сторони підприємства, ринкові можливості та загрози. Використано перехресний аналізу для формування маркетингових можливостей та загроз медичного центру. Маркетингова управлінська проблема складається в необхідності розвитку комунікацій.</w:t>
      </w:r>
    </w:p>
    <w:p w:rsidR="001E0A2A" w:rsidRDefault="00E079B6">
      <w:pPr>
        <w:numPr>
          <w:ilvl w:val="0"/>
          <w:numId w:val="27"/>
        </w:numPr>
        <w:pBdr>
          <w:top w:val="nil"/>
          <w:left w:val="nil"/>
          <w:bottom w:val="nil"/>
          <w:right w:val="nil"/>
          <w:between w:val="nil"/>
        </w:pBdr>
        <w:ind w:left="0" w:firstLine="633"/>
        <w:rPr>
          <w:color w:val="000000"/>
        </w:rPr>
      </w:pPr>
      <w:r>
        <w:rPr>
          <w:color w:val="000000"/>
        </w:rPr>
        <w:t>Розглянуто тео</w:t>
      </w:r>
      <w:r>
        <w:rPr>
          <w:color w:val="000000"/>
        </w:rPr>
        <w:t xml:space="preserve">ретичні підходи до вирішення маркетингової управлінської проблеми та розроблено методологію маркетингового дослідження. </w:t>
      </w:r>
    </w:p>
    <w:p w:rsidR="001E0A2A" w:rsidRDefault="00E079B6">
      <w:pPr>
        <w:numPr>
          <w:ilvl w:val="0"/>
          <w:numId w:val="27"/>
        </w:numPr>
        <w:pBdr>
          <w:top w:val="nil"/>
          <w:left w:val="nil"/>
          <w:bottom w:val="nil"/>
          <w:right w:val="nil"/>
          <w:between w:val="nil"/>
        </w:pBdr>
        <w:ind w:left="0" w:firstLine="633"/>
        <w:rPr>
          <w:color w:val="000000"/>
        </w:rPr>
      </w:pPr>
      <w:r>
        <w:rPr>
          <w:color w:val="000000"/>
        </w:rPr>
        <w:t>Сформовано ціль дослідження – виявити актуальні комунікаційні канали для МЦ «Mediland» на ринку естетичної медицини. Об’єктом досліджен</w:t>
      </w:r>
      <w:r>
        <w:rPr>
          <w:color w:val="000000"/>
        </w:rPr>
        <w:t xml:space="preserve">ня є ринок естетичної медицини. Суб’єктами дослідження виступають: медичний центр «Mediland», що виконує послуги з естетичної медицини, цільові споживачі та компанії–конкуренти. Предмету дослідження відповідає маркетингова комунікаційна політика медичного </w:t>
      </w:r>
      <w:r>
        <w:rPr>
          <w:color w:val="000000"/>
        </w:rPr>
        <w:t>центру «Mediland». Визначені завдання дослідження та пошукові питання до них.</w:t>
      </w:r>
    </w:p>
    <w:p w:rsidR="001E0A2A" w:rsidRDefault="00E079B6">
      <w:pPr>
        <w:numPr>
          <w:ilvl w:val="0"/>
          <w:numId w:val="27"/>
        </w:numPr>
        <w:pBdr>
          <w:top w:val="nil"/>
          <w:left w:val="nil"/>
          <w:bottom w:val="nil"/>
          <w:right w:val="nil"/>
          <w:between w:val="nil"/>
        </w:pBdr>
        <w:ind w:left="0" w:firstLine="633"/>
      </w:pPr>
      <w:r>
        <w:rPr>
          <w:color w:val="000000"/>
        </w:rPr>
        <w:t>Сплановано маркетингове дослідження та організовано збір даних. Дослідження проводилися як кабінетні – аналіз вторинної внутрішньої та зовнішньої інформації, так і польові – опит</w:t>
      </w:r>
      <w:r>
        <w:rPr>
          <w:color w:val="000000"/>
        </w:rPr>
        <w:t xml:space="preserve">ування керівництва та співробітників у форматі вільної бесіди та споживачів у формі структурованого онлайн-анкетування. У результаті проведеного дослідження були перевірені гіпотези та </w:t>
      </w:r>
      <w:r>
        <w:rPr>
          <w:color w:val="000000"/>
        </w:rPr>
        <w:lastRenderedPageBreak/>
        <w:t>розроблені практичні рекомендації щодо розвитку комунікацій медичного ц</w:t>
      </w:r>
      <w:r>
        <w:rPr>
          <w:color w:val="000000"/>
        </w:rPr>
        <w:t xml:space="preserve">ентру на ринку естетичної медицини. </w:t>
      </w:r>
    </w:p>
    <w:p w:rsidR="001E0A2A" w:rsidRDefault="00E079B6">
      <w:pPr>
        <w:numPr>
          <w:ilvl w:val="0"/>
          <w:numId w:val="27"/>
        </w:numPr>
        <w:pBdr>
          <w:top w:val="nil"/>
          <w:left w:val="nil"/>
          <w:bottom w:val="nil"/>
          <w:right w:val="nil"/>
          <w:between w:val="nil"/>
        </w:pBdr>
        <w:ind w:left="0" w:firstLine="633"/>
      </w:pPr>
      <w:r>
        <w:rPr>
          <w:color w:val="000000"/>
        </w:rPr>
        <w:t>Розроблено рекомендації, які стосуються змін в контенті, що виставляється в соціальних мережах, просуванні шляхом таргетованої реклами в Instagram та залученні відомих та медійних осіб. Також виявлено зацікавленість спо</w:t>
      </w:r>
      <w:r>
        <w:rPr>
          <w:color w:val="000000"/>
        </w:rPr>
        <w:t>живачів у мобільному додатку, що потребує проведення окремого дослідження. Ефективність запропонованих рекомендацій було економічно обґрунтовано. Результати дослідження мають важливе практичне значення для вдосконалення комунікаційної політики підприємства</w:t>
      </w:r>
      <w:r>
        <w:rPr>
          <w:color w:val="000000"/>
        </w:rPr>
        <w:t>. Використання ІТ-продуктів сприяє покращенню якості обслуговування та залученню клієнтів, а також допомагає зміцнити конкурентні позиції медичного центру на ринку естетичної медицини.</w:t>
      </w:r>
    </w:p>
    <w:p w:rsidR="001E0A2A" w:rsidRDefault="001E0A2A">
      <w:pPr>
        <w:pBdr>
          <w:top w:val="nil"/>
          <w:left w:val="nil"/>
          <w:bottom w:val="nil"/>
          <w:right w:val="nil"/>
          <w:between w:val="nil"/>
        </w:pBdr>
        <w:ind w:left="633" w:firstLine="0"/>
        <w:rPr>
          <w:color w:val="000000"/>
        </w:rPr>
      </w:pPr>
    </w:p>
    <w:p w:rsidR="001E0A2A" w:rsidRDefault="001E0A2A"/>
    <w:p w:rsidR="001E0A2A" w:rsidRDefault="001E0A2A"/>
    <w:p w:rsidR="001E0A2A" w:rsidRDefault="00E079B6">
      <w:pPr>
        <w:ind w:firstLine="0"/>
        <w:jc w:val="left"/>
        <w:rPr>
          <w:b/>
          <w:smallCaps/>
          <w:sz w:val="32"/>
          <w:szCs w:val="32"/>
        </w:rPr>
      </w:pPr>
      <w:r>
        <w:br w:type="page"/>
      </w:r>
    </w:p>
    <w:p w:rsidR="001E0A2A" w:rsidRDefault="00E079B6">
      <w:pPr>
        <w:pStyle w:val="1"/>
        <w:spacing w:before="0"/>
      </w:pPr>
      <w:bookmarkStart w:id="19" w:name="_heading=h.z337ya" w:colFirst="0" w:colLast="0"/>
      <w:bookmarkEnd w:id="19"/>
      <w:r>
        <w:lastRenderedPageBreak/>
        <w:t>Список використаних джерел</w:t>
      </w:r>
    </w:p>
    <w:p w:rsidR="001E0A2A" w:rsidRDefault="001E0A2A"/>
    <w:p w:rsidR="001E0A2A" w:rsidRDefault="00E079B6">
      <w:pPr>
        <w:numPr>
          <w:ilvl w:val="0"/>
          <w:numId w:val="19"/>
        </w:numPr>
        <w:pBdr>
          <w:top w:val="nil"/>
          <w:left w:val="nil"/>
          <w:bottom w:val="nil"/>
          <w:right w:val="nil"/>
          <w:between w:val="nil"/>
        </w:pBdr>
        <w:rPr>
          <w:color w:val="000000"/>
          <w:u w:val="single"/>
        </w:rPr>
      </w:pPr>
      <w:r>
        <w:rPr>
          <w:color w:val="000000"/>
        </w:rPr>
        <w:t xml:space="preserve">Про нас. </w:t>
      </w:r>
      <w:r>
        <w:rPr>
          <w:i/>
          <w:color w:val="000000"/>
        </w:rPr>
        <w:t xml:space="preserve">Mediland медичний центр. </w:t>
      </w:r>
      <w:r>
        <w:rPr>
          <w:color w:val="000000"/>
        </w:rPr>
        <w:t xml:space="preserve">URL: </w:t>
      </w:r>
      <w:hyperlink r:id="rId42">
        <w:r>
          <w:rPr>
            <w:color w:val="0563C1"/>
            <w:u w:val="single"/>
          </w:rPr>
          <w:t>https://mediland.ua/ua/o–klinike</w:t>
        </w:r>
      </w:hyperlink>
      <w:r>
        <w:rPr>
          <w:color w:val="000000"/>
        </w:rPr>
        <w:t xml:space="preserve"> (дата звернення: 13.03.2024).</w:t>
      </w:r>
    </w:p>
    <w:p w:rsidR="001E0A2A" w:rsidRDefault="00E079B6">
      <w:pPr>
        <w:numPr>
          <w:ilvl w:val="0"/>
          <w:numId w:val="19"/>
        </w:numPr>
        <w:pBdr>
          <w:top w:val="nil"/>
          <w:left w:val="nil"/>
          <w:bottom w:val="nil"/>
          <w:right w:val="nil"/>
          <w:between w:val="nil"/>
        </w:pBdr>
        <w:rPr>
          <w:color w:val="000000"/>
          <w:u w:val="single"/>
        </w:rPr>
      </w:pPr>
      <w:r>
        <w:rPr>
          <w:color w:val="000000"/>
        </w:rPr>
        <w:t xml:space="preserve">Послуги та напрямки лікування у відділеннях МЦ «Меділенд». </w:t>
      </w:r>
      <w:r>
        <w:rPr>
          <w:i/>
          <w:color w:val="000000"/>
        </w:rPr>
        <w:t xml:space="preserve">Mediland медичний центр. </w:t>
      </w:r>
      <w:r>
        <w:rPr>
          <w:color w:val="000000"/>
        </w:rPr>
        <w:t xml:space="preserve">URL: </w:t>
      </w:r>
      <w:hyperlink r:id="rId43">
        <w:r>
          <w:rPr>
            <w:color w:val="0563C1"/>
            <w:u w:val="single"/>
          </w:rPr>
          <w:t>https://mediland.ua/ua/services</w:t>
        </w:r>
      </w:hyperlink>
      <w:r>
        <w:rPr>
          <w:color w:val="000000"/>
        </w:rPr>
        <w:t xml:space="preserve"> (дата звернення: 13.03.2024).</w:t>
      </w:r>
    </w:p>
    <w:p w:rsidR="001E0A2A" w:rsidRDefault="00E079B6">
      <w:pPr>
        <w:numPr>
          <w:ilvl w:val="0"/>
          <w:numId w:val="19"/>
        </w:numPr>
        <w:pBdr>
          <w:top w:val="nil"/>
          <w:left w:val="nil"/>
          <w:bottom w:val="nil"/>
          <w:right w:val="nil"/>
          <w:between w:val="nil"/>
        </w:pBdr>
        <w:rPr>
          <w:color w:val="000000"/>
          <w:u w:val="single"/>
        </w:rPr>
      </w:pPr>
      <w:r>
        <w:rPr>
          <w:color w:val="000000"/>
        </w:rPr>
        <w:t xml:space="preserve">Міжнародний навчальний центр післядипломної освіти «MedilandProfi». </w:t>
      </w:r>
      <w:r>
        <w:rPr>
          <w:i/>
          <w:color w:val="000000"/>
        </w:rPr>
        <w:t xml:space="preserve">Mediland медичний центр. </w:t>
      </w:r>
      <w:r>
        <w:rPr>
          <w:color w:val="000000"/>
        </w:rPr>
        <w:t xml:space="preserve">URL: </w:t>
      </w:r>
      <w:hyperlink r:id="rId44">
        <w:r>
          <w:rPr>
            <w:color w:val="1155CC"/>
            <w:highlight w:val="white"/>
            <w:u w:val="single"/>
          </w:rPr>
          <w:t>https://mediland.ua/ua/new–shkola1</w:t>
        </w:r>
      </w:hyperlink>
      <w:r>
        <w:rPr>
          <w:color w:val="000000"/>
        </w:rPr>
        <w:t xml:space="preserve"> (да</w:t>
      </w:r>
      <w:r>
        <w:rPr>
          <w:color w:val="000000"/>
        </w:rPr>
        <w:t>та звернення: 13.03.2024).</w:t>
      </w:r>
    </w:p>
    <w:p w:rsidR="001E0A2A" w:rsidRDefault="00E079B6">
      <w:pPr>
        <w:numPr>
          <w:ilvl w:val="0"/>
          <w:numId w:val="19"/>
        </w:numPr>
        <w:pBdr>
          <w:top w:val="nil"/>
          <w:left w:val="nil"/>
          <w:bottom w:val="nil"/>
          <w:right w:val="nil"/>
          <w:between w:val="nil"/>
        </w:pBdr>
        <w:rPr>
          <w:color w:val="000000"/>
          <w:u w:val="single"/>
        </w:rPr>
      </w:pPr>
      <w:r>
        <w:rPr>
          <w:color w:val="000000"/>
        </w:rPr>
        <w:t xml:space="preserve">Офіційні відомості про МЦ «Mediland». </w:t>
      </w:r>
      <w:r>
        <w:rPr>
          <w:i/>
          <w:color w:val="000000"/>
        </w:rPr>
        <w:t>YouControl.</w:t>
      </w:r>
      <w:r>
        <w:rPr>
          <w:color w:val="000000"/>
        </w:rPr>
        <w:t xml:space="preserve"> URL:  </w:t>
      </w:r>
      <w:hyperlink r:id="rId45">
        <w:r>
          <w:rPr>
            <w:color w:val="0563C1"/>
            <w:u w:val="single"/>
          </w:rPr>
          <w:t>https://youcontrol.com.ua/ru/catalog/company_details/31444479/</w:t>
        </w:r>
      </w:hyperlink>
      <w:r>
        <w:rPr>
          <w:color w:val="000000"/>
        </w:rPr>
        <w:t xml:space="preserve"> (дата звернення: 14.03.2024).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Язвінська Н. В., Царьова Т.О. Стратегічний маркетинг: Робочий зошит: навч. посіб. для студ. спеціальності 075 «Маркетинг», спеціалізації «Промисловий маркетинг. Київ : КПІ ім. Ігоря Сікорського, 2018. 103 с.</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Основи законодавства України про охорону здоров'я. Закон України від 19.11.1992 р. № 2801–XII. URL:   </w:t>
      </w:r>
      <w:hyperlink r:id="rId46" w:anchor="Text">
        <w:r>
          <w:rPr>
            <w:color w:val="0563C1"/>
            <w:u w:val="single"/>
          </w:rPr>
          <w:t>https://zakon.rada.gov.ua/laws/show/2801–12#Text</w:t>
        </w:r>
      </w:hyperlink>
      <w:r>
        <w:rPr>
          <w:color w:val="000000"/>
        </w:rPr>
        <w:t xml:space="preserve"> </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Блог MIXSPORT. Mixsport - спорт</w:t>
      </w:r>
      <w:r>
        <w:rPr>
          <w:color w:val="000000"/>
        </w:rPr>
        <w:t xml:space="preserve">ивний портал N1. URL: </w:t>
      </w:r>
      <w:hyperlink r:id="rId47">
        <w:r>
          <w:rPr>
            <w:color w:val="0563C1"/>
            <w:u w:val="single"/>
          </w:rPr>
          <w:t>https://mixsport.pro/blog/top–5–besplatnyh–pril</w:t>
        </w:r>
        <w:r>
          <w:rPr>
            <w:color w:val="0563C1"/>
            <w:u w:val="single"/>
          </w:rPr>
          <w:t>ozenij–dla–pravilnogo–pitania–i–podsceta–kalorij</w:t>
        </w:r>
      </w:hyperlink>
      <w:r>
        <w:rPr>
          <w:color w:val="000000"/>
        </w:rPr>
        <w:t xml:space="preserve"> (дата звернення: 19.03.2024).</w:t>
      </w:r>
    </w:p>
    <w:p w:rsidR="001E0A2A" w:rsidRDefault="00E079B6">
      <w:pPr>
        <w:numPr>
          <w:ilvl w:val="0"/>
          <w:numId w:val="19"/>
        </w:numPr>
        <w:pBdr>
          <w:top w:val="nil"/>
          <w:left w:val="nil"/>
          <w:bottom w:val="nil"/>
          <w:right w:val="nil"/>
          <w:between w:val="nil"/>
        </w:pBdr>
      </w:pPr>
      <w:r>
        <w:rPr>
          <w:color w:val="000000"/>
        </w:rPr>
        <w:t>Епл бу, вживана техніка Apple, купити Apple бу - інтернет магазин BigMag. </w:t>
      </w:r>
      <w:r>
        <w:rPr>
          <w:i/>
          <w:color w:val="000000"/>
        </w:rPr>
        <w:t>BIG MAG</w:t>
      </w:r>
      <w:r>
        <w:rPr>
          <w:color w:val="000000"/>
        </w:rPr>
        <w:t>. URL: </w:t>
      </w:r>
      <w:hyperlink r:id="rId48">
        <w:r>
          <w:rPr>
            <w:color w:val="0563C1"/>
            <w:u w:val="single"/>
          </w:rPr>
          <w:t>https://bigmag.ua/ua/luchshee–prilozhenie–dlya–pravilnogo–pitaniya.html</w:t>
        </w:r>
      </w:hyperlink>
      <w:r>
        <w:rPr>
          <w:color w:val="000000"/>
        </w:rPr>
        <w:t xml:space="preserve"> (дата звернення: 19.03.2024). </w:t>
      </w:r>
    </w:p>
    <w:p w:rsidR="001E0A2A" w:rsidRDefault="00E079B6">
      <w:pPr>
        <w:numPr>
          <w:ilvl w:val="0"/>
          <w:numId w:val="19"/>
        </w:numPr>
        <w:pBdr>
          <w:top w:val="nil"/>
          <w:left w:val="nil"/>
          <w:bottom w:val="nil"/>
          <w:right w:val="nil"/>
          <w:between w:val="nil"/>
        </w:pBdr>
        <w:rPr>
          <w:color w:val="000000"/>
        </w:rPr>
      </w:pPr>
      <w:r>
        <w:rPr>
          <w:color w:val="000000"/>
        </w:rPr>
        <w:t>Про затвердження Ліцензійних умов провадження господарської діяльності з медичної практики. Офіційний вебпортал парламе</w:t>
      </w:r>
      <w:r>
        <w:rPr>
          <w:color w:val="000000"/>
        </w:rPr>
        <w:t xml:space="preserve">нту України. URL: </w:t>
      </w:r>
      <w:hyperlink r:id="rId49" w:anchor="Text">
        <w:r>
          <w:rPr>
            <w:color w:val="0563C1"/>
            <w:u w:val="single"/>
          </w:rPr>
          <w:t>https://zakon.rada.gov.ua/laws/show/285-2016-п#Text</w:t>
        </w:r>
      </w:hyperlink>
      <w:r>
        <w:rPr>
          <w:color w:val="000000"/>
        </w:rPr>
        <w:t xml:space="preserve"> (дата звернення: 20.03.2024). </w:t>
      </w:r>
    </w:p>
    <w:p w:rsidR="001E0A2A" w:rsidRDefault="00E079B6">
      <w:pPr>
        <w:numPr>
          <w:ilvl w:val="0"/>
          <w:numId w:val="19"/>
        </w:numPr>
        <w:pBdr>
          <w:top w:val="nil"/>
          <w:left w:val="nil"/>
          <w:bottom w:val="nil"/>
          <w:right w:val="nil"/>
          <w:between w:val="nil"/>
        </w:pBdr>
      </w:pPr>
      <w:r>
        <w:rPr>
          <w:color w:val="000000"/>
        </w:rPr>
        <w:t xml:space="preserve">Хто у Києві отримує понад 72 тисячі гривень. Огляд актуальних вакансій та </w:t>
      </w:r>
      <w:r>
        <w:rPr>
          <w:color w:val="000000"/>
        </w:rPr>
        <w:t xml:space="preserve">зарплат. ТСН. URL: </w:t>
      </w:r>
      <w:hyperlink r:id="rId50">
        <w:r>
          <w:rPr>
            <w:color w:val="0563C1"/>
            <w:u w:val="single"/>
          </w:rPr>
          <w:t>https://tsn.ua/exclusive/hto–u–kiyevi–otrimuye–ponad–72–tisyachi–griven–oglyad–aktualnih–vakansi</w:t>
        </w:r>
        <w:r>
          <w:rPr>
            <w:color w:val="0563C1"/>
            <w:u w:val="single"/>
          </w:rPr>
          <w:t>y–ta–zarplat–2496229.html</w:t>
        </w:r>
      </w:hyperlink>
      <w:r>
        <w:rPr>
          <w:color w:val="000000"/>
        </w:rPr>
        <w:t xml:space="preserve"> (дата звернення: 24.03.2024).</w:t>
      </w:r>
    </w:p>
    <w:p w:rsidR="001E0A2A" w:rsidRDefault="00E079B6">
      <w:pPr>
        <w:numPr>
          <w:ilvl w:val="0"/>
          <w:numId w:val="19"/>
        </w:numPr>
        <w:pBdr>
          <w:top w:val="nil"/>
          <w:left w:val="nil"/>
          <w:bottom w:val="nil"/>
          <w:right w:val="nil"/>
          <w:between w:val="nil"/>
        </w:pBdr>
      </w:pPr>
      <w:r>
        <w:rPr>
          <w:color w:val="000000"/>
        </w:rPr>
        <w:t xml:space="preserve">Київська Рада ухвалила бюджет на 2024 рік. Суспільне новини. URL:  </w:t>
      </w:r>
      <w:hyperlink r:id="rId51">
        <w:r>
          <w:rPr>
            <w:color w:val="0563C1"/>
            <w:u w:val="single"/>
          </w:rPr>
          <w:t>https://suspilne.media/639608–kiivrada–uhvalil</w:t>
        </w:r>
        <w:r>
          <w:rPr>
            <w:color w:val="0563C1"/>
            <w:u w:val="single"/>
          </w:rPr>
          <w:t>a–budzet–na–2024–rik/</w:t>
        </w:r>
      </w:hyperlink>
      <w:r>
        <w:rPr>
          <w:color w:val="000000"/>
        </w:rPr>
        <w:t xml:space="preserve"> (дата звернення: 24.03.2024).</w:t>
      </w:r>
    </w:p>
    <w:p w:rsidR="001E0A2A" w:rsidRDefault="00E079B6">
      <w:pPr>
        <w:numPr>
          <w:ilvl w:val="0"/>
          <w:numId w:val="19"/>
        </w:numPr>
        <w:pBdr>
          <w:top w:val="nil"/>
          <w:left w:val="nil"/>
          <w:bottom w:val="nil"/>
          <w:right w:val="nil"/>
          <w:between w:val="nil"/>
        </w:pBdr>
      </w:pPr>
      <w:r>
        <w:rPr>
          <w:color w:val="000000"/>
        </w:rPr>
        <w:t xml:space="preserve">Liga zakon. Який рівень інфляції в Україні у березні 2024 року – Держстат | бухгалтер.ua. Бухгалтер.ua - сайт для бухгалтерів | Новини бухгалтерського та податкового обліку. URL: </w:t>
      </w:r>
      <w:hyperlink r:id="rId52">
        <w:r>
          <w:rPr>
            <w:color w:val="0563C1"/>
            <w:u w:val="single"/>
          </w:rPr>
          <w:t>https://buh.ligazakon.net/news/226891_yakiy–rven–nflyats–v–ukran</w:t>
        </w:r>
        <w:r>
          <w:rPr>
            <w:color w:val="0563C1"/>
            <w:u w:val="single"/>
          </w:rPr>
          <w:t>–u–berezn–2024–roku––derzhstat</w:t>
        </w:r>
      </w:hyperlink>
      <w:r>
        <w:rPr>
          <w:color w:val="000000"/>
        </w:rPr>
        <w:t xml:space="preserve"> (дата звернення: 27.03.2024).</w:t>
      </w:r>
    </w:p>
    <w:p w:rsidR="001E0A2A" w:rsidRDefault="00E079B6">
      <w:pPr>
        <w:numPr>
          <w:ilvl w:val="0"/>
          <w:numId w:val="19"/>
        </w:numPr>
        <w:pBdr>
          <w:top w:val="nil"/>
          <w:left w:val="nil"/>
          <w:bottom w:val="nil"/>
          <w:right w:val="nil"/>
          <w:between w:val="nil"/>
        </w:pBdr>
      </w:pPr>
      <w:r>
        <w:rPr>
          <w:color w:val="000000"/>
        </w:rPr>
        <w:t xml:space="preserve">Скільки людей зараз живе в Києві. Апостроф. URL: </w:t>
      </w:r>
      <w:hyperlink r:id="rId53">
        <w:r>
          <w:rPr>
            <w:color w:val="0563C1"/>
            <w:u w:val="single"/>
          </w:rPr>
          <w:t>https://apos</w:t>
        </w:r>
        <w:r>
          <w:rPr>
            <w:color w:val="0563C1"/>
            <w:u w:val="single"/>
          </w:rPr>
          <w:t>trophe.ua/ua/news/kyiv/2023–08–13/skolko–lyudej–sejchas–zhivet–v–kieve–poyavilis–svezhie–dannye/302699</w:t>
        </w:r>
      </w:hyperlink>
      <w:r>
        <w:rPr>
          <w:color w:val="000000"/>
        </w:rPr>
        <w:t xml:space="preserve"> (дата звернення: 28.03.2024).</w:t>
      </w:r>
    </w:p>
    <w:p w:rsidR="001E0A2A" w:rsidRDefault="00E079B6">
      <w:pPr>
        <w:numPr>
          <w:ilvl w:val="0"/>
          <w:numId w:val="19"/>
        </w:numPr>
        <w:pBdr>
          <w:top w:val="nil"/>
          <w:left w:val="nil"/>
          <w:bottom w:val="nil"/>
          <w:right w:val="nil"/>
          <w:between w:val="nil"/>
        </w:pBdr>
      </w:pPr>
      <w:r>
        <w:rPr>
          <w:color w:val="000000"/>
        </w:rPr>
        <w:t xml:space="preserve">Середній вік 40 років, а тривалість життя 73 роки. Служба статистики показала факти про Київ. Суспільне новини. URL:  </w:t>
      </w:r>
      <w:hyperlink r:id="rId54">
        <w:r>
          <w:rPr>
            <w:color w:val="0563C1"/>
            <w:u w:val="single"/>
          </w:rPr>
          <w:t>https://suspilne.media/kyiv/134304–serednij–vik–40–rokiv–a–trivalist–zitta–73–roki–sluzba–statistiki–pokazala–fakti–</w:t>
        </w:r>
        <w:r>
          <w:rPr>
            <w:color w:val="0563C1"/>
            <w:u w:val="single"/>
          </w:rPr>
          <w:t>pro–kiiv/</w:t>
        </w:r>
      </w:hyperlink>
      <w:r>
        <w:rPr>
          <w:color w:val="0563C1"/>
          <w:u w:val="single"/>
        </w:rPr>
        <w:t xml:space="preserve"> </w:t>
      </w:r>
      <w:r>
        <w:rPr>
          <w:color w:val="000000"/>
        </w:rPr>
        <w:t>(дата звернення: 28.03.2024).</w:t>
      </w:r>
    </w:p>
    <w:p w:rsidR="001E0A2A" w:rsidRDefault="00E079B6">
      <w:pPr>
        <w:numPr>
          <w:ilvl w:val="0"/>
          <w:numId w:val="19"/>
        </w:numPr>
        <w:pBdr>
          <w:top w:val="nil"/>
          <w:left w:val="nil"/>
          <w:bottom w:val="nil"/>
          <w:right w:val="nil"/>
          <w:between w:val="nil"/>
        </w:pBdr>
        <w:rPr>
          <w:color w:val="000000"/>
        </w:rPr>
      </w:pPr>
      <w:r>
        <w:rPr>
          <w:color w:val="000000"/>
        </w:rPr>
        <w:t xml:space="preserve">Демографічна ситуація у м. Києві за 9 місяців 2021 року. МЕДСТАТ – Київський міський інформаційно-аналітичний центр медичної статистики. URL: </w:t>
      </w:r>
      <w:hyperlink r:id="rId55">
        <w:r>
          <w:rPr>
            <w:color w:val="0563C1"/>
            <w:u w:val="single"/>
          </w:rPr>
          <w:t>https://medstat.kiev.ua/demografichna–situaciya–u–m–kiyevi–za–9–misyaciv–2021–roku/</w:t>
        </w:r>
      </w:hyperlink>
      <w:r>
        <w:rPr>
          <w:color w:val="0563C1"/>
          <w:u w:val="single"/>
        </w:rPr>
        <w:t xml:space="preserve"> </w:t>
      </w:r>
      <w:r>
        <w:rPr>
          <w:color w:val="000000"/>
        </w:rPr>
        <w:t>(дата звернення: 28.03.2024).</w:t>
      </w:r>
    </w:p>
    <w:p w:rsidR="001E0A2A" w:rsidRDefault="00E079B6">
      <w:pPr>
        <w:numPr>
          <w:ilvl w:val="0"/>
          <w:numId w:val="19"/>
        </w:numPr>
        <w:pBdr>
          <w:top w:val="nil"/>
          <w:left w:val="nil"/>
          <w:bottom w:val="nil"/>
          <w:right w:val="nil"/>
          <w:between w:val="nil"/>
        </w:pBdr>
      </w:pPr>
      <w:r>
        <w:rPr>
          <w:color w:val="000000"/>
        </w:rPr>
        <w:t xml:space="preserve">Епл бу, вживана техніка Apple, купити Apple бу - інтернет магазин BigMag. BIG MAG. URL: </w:t>
      </w:r>
      <w:hyperlink r:id="rId56">
        <w:r>
          <w:rPr>
            <w:color w:val="0563C1"/>
            <w:u w:val="single"/>
          </w:rPr>
          <w:t>https://bigmag.ua/ua/luchshee–prilozhenie–dlya–pravilnogo–pitaniya.html</w:t>
        </w:r>
      </w:hyperlink>
      <w:r>
        <w:rPr>
          <w:color w:val="000000"/>
        </w:rPr>
        <w:t xml:space="preserve"> (дата звернення: 30.03.2024).</w:t>
      </w:r>
    </w:p>
    <w:p w:rsidR="001E0A2A" w:rsidRDefault="00E079B6">
      <w:pPr>
        <w:numPr>
          <w:ilvl w:val="0"/>
          <w:numId w:val="19"/>
        </w:numPr>
        <w:pBdr>
          <w:top w:val="nil"/>
          <w:left w:val="nil"/>
          <w:bottom w:val="nil"/>
          <w:right w:val="nil"/>
          <w:between w:val="nil"/>
        </w:pBdr>
      </w:pPr>
      <w:r>
        <w:rPr>
          <w:color w:val="000000"/>
        </w:rPr>
        <w:t>Безкоштовні додатки для правильного харчування і підраху</w:t>
      </w:r>
      <w:r>
        <w:rPr>
          <w:color w:val="000000"/>
        </w:rPr>
        <w:t>нку калорій | MIXSPORT.PRO. </w:t>
      </w:r>
      <w:r>
        <w:rPr>
          <w:i/>
          <w:color w:val="000000"/>
        </w:rPr>
        <w:t>Mixsport – спортивний портал N1</w:t>
      </w:r>
      <w:r>
        <w:rPr>
          <w:color w:val="000000"/>
        </w:rPr>
        <w:t>. URL: </w:t>
      </w:r>
      <w:hyperlink r:id="rId57">
        <w:r>
          <w:rPr>
            <w:color w:val="000000"/>
            <w:u w:val="single"/>
          </w:rPr>
          <w:t>https://mixsport.pro/blog/top–5–besplatnyh–prilozenij–dla–pravilnogo–pitani</w:t>
        </w:r>
        <w:r>
          <w:rPr>
            <w:color w:val="000000"/>
            <w:u w:val="single"/>
          </w:rPr>
          <w:t>a–i–podsceta–kalorij</w:t>
        </w:r>
      </w:hyperlink>
      <w:r>
        <w:rPr>
          <w:color w:val="000000"/>
        </w:rPr>
        <w:t> (дата звернення: 17.04.2024).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Офіційний сайт ТОВ «Клініка Оксфорд Медікал». URL:  </w:t>
      </w:r>
      <w:hyperlink r:id="rId58">
        <w:r>
          <w:rPr>
            <w:color w:val="0563C1"/>
            <w:u w:val="single"/>
          </w:rPr>
          <w:t>https://oxford–med.com.ua/ua/about/</w:t>
        </w:r>
      </w:hyperlink>
      <w:r>
        <w:rPr>
          <w:color w:val="0563C1"/>
        </w:rPr>
        <w:t xml:space="preserve"> </w:t>
      </w:r>
      <w:r>
        <w:rPr>
          <w:color w:val="000000"/>
        </w:rPr>
        <w:t>(дата звернення: 06.05.2024).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Офіційні відомості про </w:t>
      </w:r>
      <w:r>
        <w:rPr>
          <w:color w:val="000000"/>
          <w:highlight w:val="white"/>
        </w:rPr>
        <w:t>«Healthy and Happy»</w:t>
      </w:r>
      <w:r>
        <w:rPr>
          <w:rFonts w:ascii="Arial" w:eastAsia="Arial" w:hAnsi="Arial" w:cs="Arial"/>
          <w:b/>
          <w:color w:val="000000"/>
          <w:sz w:val="16"/>
          <w:szCs w:val="16"/>
          <w:highlight w:val="white"/>
        </w:rPr>
        <w:t>.</w:t>
      </w:r>
      <w:r>
        <w:rPr>
          <w:color w:val="000000"/>
        </w:rPr>
        <w:t xml:space="preserve"> URL:   </w:t>
      </w:r>
      <w:hyperlink r:id="rId59">
        <w:r>
          <w:rPr>
            <w:color w:val="000000"/>
            <w:u w:val="single"/>
          </w:rPr>
          <w:t>https://doc.ua/ua/klinika/kiev/healthy–and–happy</w:t>
        </w:r>
      </w:hyperlink>
      <w:r>
        <w:rPr>
          <w:color w:val="000000"/>
        </w:rPr>
        <w:t xml:space="preserve"> (дата звернення: 06.05.2024).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Офіційні відомості про </w:t>
      </w:r>
      <w:r>
        <w:rPr>
          <w:color w:val="000000"/>
          <w:highlight w:val="white"/>
        </w:rPr>
        <w:t>«VIVA»</w:t>
      </w:r>
      <w:r>
        <w:rPr>
          <w:rFonts w:ascii="Arial" w:eastAsia="Arial" w:hAnsi="Arial" w:cs="Arial"/>
          <w:b/>
          <w:color w:val="000000"/>
          <w:sz w:val="16"/>
          <w:szCs w:val="16"/>
          <w:highlight w:val="white"/>
        </w:rPr>
        <w:t>.</w:t>
      </w:r>
      <w:r>
        <w:rPr>
          <w:color w:val="000000"/>
        </w:rPr>
        <w:t xml:space="preserve"> URL:   </w:t>
      </w:r>
      <w:hyperlink r:id="rId60">
        <w:r>
          <w:rPr>
            <w:color w:val="000000"/>
            <w:u w:val="single"/>
          </w:rPr>
          <w:t>https://doc.ua/ua/klinika/kiev/viva–set–klinik</w:t>
        </w:r>
      </w:hyperlink>
      <w:r>
        <w:rPr>
          <w:color w:val="000000"/>
        </w:rPr>
        <w:t xml:space="preserve"> (дата звернення: 06.05.2024).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Офіційний сайт </w:t>
      </w:r>
      <w:r>
        <w:rPr>
          <w:color w:val="000000"/>
          <w:highlight w:val="white"/>
        </w:rPr>
        <w:t>«ДОБРОБУТ»</w:t>
      </w:r>
      <w:r>
        <w:rPr>
          <w:rFonts w:ascii="Arial" w:eastAsia="Arial" w:hAnsi="Arial" w:cs="Arial"/>
          <w:b/>
          <w:color w:val="000000"/>
          <w:sz w:val="16"/>
          <w:szCs w:val="16"/>
          <w:highlight w:val="white"/>
        </w:rPr>
        <w:t>.</w:t>
      </w:r>
      <w:r>
        <w:rPr>
          <w:color w:val="000000"/>
        </w:rPr>
        <w:t xml:space="preserve"> </w:t>
      </w:r>
      <w:hyperlink r:id="rId61">
        <w:r>
          <w:rPr>
            <w:color w:val="0563C1"/>
            <w:u w:val="single"/>
          </w:rPr>
          <w:t>https://dobrobut.com/ua</w:t>
        </w:r>
      </w:hyperlink>
      <w:r>
        <w:rPr>
          <w:color w:val="000000"/>
        </w:rPr>
        <w:t xml:space="preserve"> (дата звернення: 06.0</w:t>
      </w:r>
      <w:r>
        <w:rPr>
          <w:color w:val="000000"/>
        </w:rPr>
        <w:t>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Офіційний сайт </w:t>
      </w:r>
      <w:r>
        <w:rPr>
          <w:color w:val="000000"/>
          <w:highlight w:val="white"/>
        </w:rPr>
        <w:t>«YouControl»</w:t>
      </w:r>
      <w:r>
        <w:rPr>
          <w:rFonts w:ascii="Arial" w:eastAsia="Arial" w:hAnsi="Arial" w:cs="Arial"/>
          <w:b/>
          <w:color w:val="000000"/>
          <w:sz w:val="16"/>
          <w:szCs w:val="16"/>
          <w:highlight w:val="white"/>
        </w:rPr>
        <w:t>.</w:t>
      </w:r>
      <w:r>
        <w:rPr>
          <w:color w:val="000000"/>
        </w:rPr>
        <w:t xml:space="preserve"> </w:t>
      </w:r>
      <w:hyperlink r:id="rId62">
        <w:r>
          <w:rPr>
            <w:color w:val="0563C1"/>
            <w:u w:val="single"/>
          </w:rPr>
          <w:t>https://youcontrol.com.ua/</w:t>
        </w:r>
      </w:hyperlink>
      <w:r>
        <w:rPr>
          <w:color w:val="000000"/>
        </w:rPr>
        <w:t xml:space="preserve"> (дата звернення: 30.04.2024).</w:t>
      </w:r>
    </w:p>
    <w:p w:rsidR="001E0A2A" w:rsidRDefault="00E079B6">
      <w:pPr>
        <w:numPr>
          <w:ilvl w:val="0"/>
          <w:numId w:val="19"/>
        </w:numPr>
        <w:pBdr>
          <w:top w:val="nil"/>
          <w:left w:val="nil"/>
          <w:bottom w:val="nil"/>
          <w:right w:val="nil"/>
          <w:between w:val="nil"/>
        </w:pBdr>
      </w:pPr>
      <w:r>
        <w:rPr>
          <w:color w:val="000000"/>
        </w:rPr>
        <w:t>Google Maps.  URL: </w:t>
      </w:r>
      <w:hyperlink r:id="rId63">
        <w:r>
          <w:rPr>
            <w:color w:val="000000"/>
            <w:u w:val="single"/>
          </w:rPr>
          <w:t>https://www.google.com.ua/maps</w:t>
        </w:r>
      </w:hyperlink>
      <w:r>
        <w:rPr>
          <w:color w:val="000000"/>
        </w:rPr>
        <w:t> (дата звернення: 07.05.2024).</w:t>
      </w:r>
    </w:p>
    <w:p w:rsidR="001E0A2A" w:rsidRDefault="00E079B6">
      <w:pPr>
        <w:numPr>
          <w:ilvl w:val="0"/>
          <w:numId w:val="19"/>
        </w:numPr>
        <w:pBdr>
          <w:top w:val="nil"/>
          <w:left w:val="nil"/>
          <w:bottom w:val="nil"/>
          <w:right w:val="nil"/>
          <w:between w:val="nil"/>
        </w:pBdr>
      </w:pPr>
      <w:r>
        <w:rPr>
          <w:color w:val="000000"/>
        </w:rPr>
        <w:t xml:space="preserve"> Marshall A. Principles of economics. London : Palgrave Macmillan UK, 2013. URL: </w:t>
      </w:r>
      <w:hyperlink r:id="rId64">
        <w:r>
          <w:rPr>
            <w:color w:val="0563C1"/>
            <w:u w:val="single"/>
          </w:rPr>
          <w:t>https://doi.org/10.1057/9781137375261</w:t>
        </w:r>
      </w:hyperlink>
      <w:r>
        <w:rPr>
          <w:color w:val="000000"/>
        </w:rPr>
        <w:t> (date of access: 11.05.2024).</w:t>
      </w:r>
    </w:p>
    <w:p w:rsidR="001E0A2A" w:rsidRDefault="00E079B6">
      <w:pPr>
        <w:numPr>
          <w:ilvl w:val="0"/>
          <w:numId w:val="19"/>
        </w:numPr>
        <w:pBdr>
          <w:top w:val="nil"/>
          <w:left w:val="nil"/>
          <w:bottom w:val="nil"/>
          <w:right w:val="nil"/>
          <w:between w:val="nil"/>
        </w:pBdr>
      </w:pPr>
      <w:r>
        <w:rPr>
          <w:color w:val="000000"/>
        </w:rPr>
        <w:t xml:space="preserve"> Rossister J.R., Pe</w:t>
      </w:r>
      <w:r>
        <w:rPr>
          <w:color w:val="000000"/>
        </w:rPr>
        <w:t>rcy L. Advertising and Promotion Management. McGraw-Hill Series in Marketing, New Yotk, 1987. 656 p.</w:t>
      </w:r>
    </w:p>
    <w:p w:rsidR="001E0A2A" w:rsidRDefault="00E079B6">
      <w:pPr>
        <w:numPr>
          <w:ilvl w:val="0"/>
          <w:numId w:val="19"/>
        </w:numPr>
        <w:pBdr>
          <w:top w:val="nil"/>
          <w:left w:val="nil"/>
          <w:bottom w:val="nil"/>
          <w:right w:val="nil"/>
          <w:between w:val="nil"/>
        </w:pBdr>
      </w:pPr>
      <w:r>
        <w:rPr>
          <w:color w:val="000000"/>
        </w:rPr>
        <w:t xml:space="preserve"> Котлер Ф., Боуен Дж., Мейкенз Дж. Маркетинг. Гостинність. Туризм. К: КДЕУ, 2000. 787 с.</w:t>
      </w:r>
    </w:p>
    <w:p w:rsidR="001E0A2A" w:rsidRDefault="00E079B6">
      <w:pPr>
        <w:numPr>
          <w:ilvl w:val="0"/>
          <w:numId w:val="19"/>
        </w:numPr>
        <w:pBdr>
          <w:top w:val="nil"/>
          <w:left w:val="nil"/>
          <w:bottom w:val="nil"/>
          <w:right w:val="nil"/>
          <w:between w:val="nil"/>
        </w:pBdr>
      </w:pPr>
      <w:r>
        <w:rPr>
          <w:color w:val="000000"/>
        </w:rPr>
        <w:t xml:space="preserve"> Гаркавенко С. С. Маркетинг. Київ: Лібра, 2002. 823 с.</w:t>
      </w:r>
    </w:p>
    <w:p w:rsidR="001E0A2A" w:rsidRDefault="00E079B6">
      <w:pPr>
        <w:numPr>
          <w:ilvl w:val="0"/>
          <w:numId w:val="19"/>
        </w:numPr>
        <w:pBdr>
          <w:top w:val="nil"/>
          <w:left w:val="nil"/>
          <w:bottom w:val="nil"/>
          <w:right w:val="nil"/>
          <w:between w:val="nil"/>
        </w:pBdr>
      </w:pPr>
      <w:r>
        <w:rPr>
          <w:color w:val="000000"/>
        </w:rPr>
        <w:t xml:space="preserve"> Почепцов Г</w:t>
      </w:r>
      <w:r>
        <w:rPr>
          <w:color w:val="000000"/>
        </w:rPr>
        <w:t>.Г. Теорія комунікації. Київ: Видавничий центр “Київський університет”. 1999. 301 с.</w:t>
      </w:r>
    </w:p>
    <w:p w:rsidR="001E0A2A" w:rsidRDefault="00E079B6">
      <w:pPr>
        <w:numPr>
          <w:ilvl w:val="0"/>
          <w:numId w:val="19"/>
        </w:numPr>
        <w:pBdr>
          <w:top w:val="nil"/>
          <w:left w:val="nil"/>
          <w:bottom w:val="nil"/>
          <w:right w:val="nil"/>
          <w:between w:val="nil"/>
        </w:pBdr>
      </w:pPr>
      <w:r>
        <w:rPr>
          <w:color w:val="000000"/>
        </w:rPr>
        <w:t>Дослідження – concordе capital. Concordе Capital. URL: </w:t>
      </w:r>
      <w:hyperlink r:id="rId65">
        <w:r>
          <w:rPr>
            <w:color w:val="000000"/>
            <w:u w:val="single"/>
          </w:rPr>
          <w:t>https://concorde.ua/research/</w:t>
        </w:r>
      </w:hyperlink>
      <w:r>
        <w:rPr>
          <w:color w:val="000000"/>
        </w:rPr>
        <w:t> (дата звернення: 02.05.2024).</w:t>
      </w:r>
    </w:p>
    <w:p w:rsidR="001E0A2A" w:rsidRDefault="00E079B6">
      <w:pPr>
        <w:numPr>
          <w:ilvl w:val="0"/>
          <w:numId w:val="19"/>
        </w:numPr>
        <w:pBdr>
          <w:top w:val="nil"/>
          <w:left w:val="nil"/>
          <w:bottom w:val="nil"/>
          <w:right w:val="nil"/>
          <w:between w:val="nil"/>
        </w:pBdr>
      </w:pPr>
      <w:r>
        <w:rPr>
          <w:color w:val="000000"/>
        </w:rPr>
        <w:t>Солнцев</w:t>
      </w:r>
      <w:r>
        <w:rPr>
          <w:color w:val="000000"/>
        </w:rPr>
        <w:t xml:space="preserve"> С.О., Черненко О.В.. Маркетингові дослідження: Навчально-методичний комплекс [Електронний ресурс] навч. посіб. для здоб. ступ бакалавра за спец. 075 &lt;&lt; Маркетинг &gt;&gt;: Електронні текстові дані Сiкорського, К. 2020. 118 с .</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Переваги онлайн–опитувань. </w:t>
      </w:r>
      <w:r>
        <w:rPr>
          <w:i/>
          <w:color w:val="000000"/>
        </w:rPr>
        <w:t>eSurvey</w:t>
      </w:r>
      <w:r>
        <w:rPr>
          <w:i/>
          <w:color w:val="000000"/>
        </w:rPr>
        <w:t xml:space="preserve">. </w:t>
      </w:r>
      <w:r>
        <w:rPr>
          <w:color w:val="000000"/>
        </w:rPr>
        <w:t xml:space="preserve">URL: </w:t>
      </w:r>
      <w:hyperlink r:id="rId66">
        <w:r>
          <w:rPr>
            <w:color w:val="0563C1"/>
            <w:u w:val="single"/>
          </w:rPr>
          <w:t>https://esurvey.com.ua/info/</w:t>
        </w:r>
      </w:hyperlink>
      <w:r>
        <w:rPr>
          <w:color w:val="000000"/>
        </w:rPr>
        <w:t xml:space="preserve"> (дата звернення: 25.04.2024).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Методика формування вибіркової сукупності звітних одиниць у структурному обстеженні малих підприємств. </w:t>
      </w:r>
      <w:r>
        <w:rPr>
          <w:i/>
          <w:color w:val="000000"/>
        </w:rPr>
        <w:t>Ukrstat. URL:</w:t>
      </w:r>
      <w:r>
        <w:rPr>
          <w:color w:val="000000"/>
        </w:rPr>
        <w:t xml:space="preserve"> </w:t>
      </w:r>
      <w:hyperlink r:id="rId67">
        <w:r>
          <w:rPr>
            <w:color w:val="0563C1"/>
            <w:u w:val="single"/>
          </w:rPr>
          <w:t>https://ukrstat.gov.ua/metod_polog/metod_doc/2010/536/metod.htm</w:t>
        </w:r>
      </w:hyperlink>
      <w:r>
        <w:rPr>
          <w:color w:val="000000"/>
        </w:rPr>
        <w:t xml:space="preserve"> (дата звернення: 25.04.2024).</w:t>
      </w:r>
    </w:p>
    <w:p w:rsidR="001E0A2A" w:rsidRDefault="00E079B6">
      <w:pPr>
        <w:numPr>
          <w:ilvl w:val="0"/>
          <w:numId w:val="19"/>
        </w:numPr>
        <w:pBdr>
          <w:top w:val="nil"/>
          <w:left w:val="nil"/>
          <w:bottom w:val="nil"/>
          <w:right w:val="nil"/>
          <w:between w:val="nil"/>
        </w:pBdr>
        <w:rPr>
          <w:color w:val="000000"/>
        </w:rPr>
      </w:pPr>
      <w:r>
        <w:rPr>
          <w:color w:val="000000"/>
        </w:rPr>
        <w:t xml:space="preserve">Офіційний сайт «ЛазерХауз».  URL: </w:t>
      </w:r>
      <w:hyperlink r:id="rId68">
        <w:r>
          <w:rPr>
            <w:color w:val="0563C1"/>
            <w:u w:val="single"/>
          </w:rPr>
          <w:t>https://epil.laserhouse.com.ua</w:t>
        </w:r>
      </w:hyperlink>
      <w:r>
        <w:rPr>
          <w:color w:val="000000"/>
        </w:rPr>
        <w:t xml:space="preserve"> (дата звернення: 13.05.2024).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Офіційний сай</w:t>
      </w:r>
      <w:r>
        <w:rPr>
          <w:color w:val="000000"/>
        </w:rPr>
        <w:t xml:space="preserve">т </w:t>
      </w:r>
      <w:r>
        <w:rPr>
          <w:color w:val="000000"/>
          <w:highlight w:val="white"/>
        </w:rPr>
        <w:t>«ДОБРОБУТ»</w:t>
      </w:r>
      <w:r>
        <w:rPr>
          <w:rFonts w:ascii="Arial" w:eastAsia="Arial" w:hAnsi="Arial" w:cs="Arial"/>
          <w:b/>
          <w:color w:val="000000"/>
          <w:sz w:val="16"/>
          <w:szCs w:val="16"/>
          <w:highlight w:val="white"/>
        </w:rPr>
        <w:t>.</w:t>
      </w:r>
      <w:r>
        <w:rPr>
          <w:color w:val="000000"/>
        </w:rPr>
        <w:t xml:space="preserve"> URL: </w:t>
      </w:r>
      <w:hyperlink r:id="rId69">
        <w:r>
          <w:rPr>
            <w:color w:val="0563C1"/>
            <w:u w:val="single"/>
          </w:rPr>
          <w:t>https://dobrobut.com/ua</w:t>
        </w:r>
      </w:hyperlink>
      <w:r>
        <w:rPr>
          <w:color w:val="000000"/>
        </w:rPr>
        <w:t xml:space="preserve"> (дата звернення: 12.05.2024).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Офіційний сайт «Medeira». URL: </w:t>
      </w:r>
      <w:hyperlink r:id="rId70">
        <w:r>
          <w:rPr>
            <w:color w:val="0563C1"/>
            <w:u w:val="single"/>
          </w:rPr>
          <w:t>https://medeira.ua/</w:t>
        </w:r>
      </w:hyperlink>
      <w:r>
        <w:rPr>
          <w:color w:val="000000"/>
        </w:rPr>
        <w:t xml:space="preserve"> (дата звернення: 12.05.2024).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Офіційний сайт «CALM». URL: </w:t>
      </w:r>
      <w:hyperlink r:id="rId71">
        <w:r>
          <w:rPr>
            <w:color w:val="0563C1"/>
            <w:u w:val="single"/>
          </w:rPr>
          <w:t>https://calm.ua/</w:t>
        </w:r>
      </w:hyperlink>
      <w:r>
        <w:rPr>
          <w:color w:val="000000"/>
        </w:rPr>
        <w:t xml:space="preserve"> (дата звернення: 13.05.2024).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Центр прозорості реклами. Google. URL: </w:t>
      </w:r>
      <w:hyperlink r:id="rId72">
        <w:r>
          <w:rPr>
            <w:color w:val="0563C1"/>
            <w:u w:val="single"/>
          </w:rPr>
          <w:t>https://adstransparency.google.com/?regio</w:t>
        </w:r>
        <w:r>
          <w:rPr>
            <w:color w:val="0563C1"/>
            <w:u w:val="single"/>
          </w:rPr>
          <w:t>n=UA</w:t>
        </w:r>
      </w:hyperlink>
      <w:r>
        <w:rPr>
          <w:color w:val="000000"/>
        </w:rPr>
        <w:t xml:space="preserve"> (дата звернення: 14.05.2024).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 Еккерт Н. В., Полухін Н. В. Надання інформації для споживачів медичних послуг на веб–сайтах медичних організацій: проблеми та шляхи вирішення. Медичні технології. Оцінка та вибір. 2019. No 3(37). С. 62–70. URL: </w:t>
      </w:r>
      <w:hyperlink r:id="rId73">
        <w:r>
          <w:rPr>
            <w:color w:val="0563C1"/>
            <w:u w:val="single"/>
          </w:rPr>
          <w:t>https://doi.org/10.31556/2219– 0678.2019.37.3.062–070</w:t>
        </w:r>
      </w:hyperlink>
      <w:r>
        <w:rPr>
          <w:color w:val="000000"/>
        </w:rPr>
        <w:t xml:space="preserve"> (дата звернення: 16.05.2024).</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Котис Н.В., Мацик В.О.. Інноваційні підходи до організації комунікацій на ринку медичних послуг. Інноваційна економіка. 2022. Вип. 90. С. 67–73. За доступом URL: </w:t>
      </w:r>
      <w:hyperlink r:id="rId74">
        <w:r>
          <w:rPr>
            <w:color w:val="0563C1"/>
            <w:u w:val="single"/>
          </w:rPr>
          <w:t>http://www.in</w:t>
        </w:r>
        <w:r>
          <w:rPr>
            <w:color w:val="0563C1"/>
            <w:u w:val="single"/>
          </w:rPr>
          <w:t>neco.org/index.php/innecoua/article/view/890/969</w:t>
        </w:r>
      </w:hyperlink>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 Простова О.І. Інноваційні методи маркетингових комунікацій та перспективи їх використання в політичній практиці. Наукові праці. Сер.: Політологія. 2012. Т. 197, Вип. 185. С. 28–32.</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 xml:space="preserve">Крутських В. О. Вірусний </w:t>
      </w:r>
      <w:r>
        <w:rPr>
          <w:color w:val="000000"/>
        </w:rPr>
        <w:t>маркетинг як інструмент комунікативної діяльності міжнародного благодійного фонду «Таблеточки». Інформаційне суспільство. 2015. Вип. 22. С. 46–50</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Jihan Afifah Wahyu Aroyssi, Maulana Raihan Fathin, Yudis Ilmi Priabas. Marketing Innovation in the Digital Com</w:t>
      </w:r>
      <w:r>
        <w:rPr>
          <w:color w:val="000000"/>
        </w:rPr>
        <w:t>munication Era. Міжнародний журнал досліджень і прикладних технологій (INJURATECH), 2022. Vol 3 No 2. С. 240–246</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Білоусько Т. Інформаційні технології в маркетинговій діяльності. Економіка та суспільство. 2023. №53. URL: https://economyandsociety.in.ua/inde</w:t>
      </w:r>
      <w:r>
        <w:rPr>
          <w:color w:val="000000"/>
        </w:rPr>
        <w:t>x.php/journal/article/view/2660/2576 .</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Мозгова Г.В., Хомутова О.О. Основні тенденції в розвитку маркетингових комунікацій. Глобальні та національні проблеми економіки. 2018. № 21. С. 339–343.</w:t>
      </w:r>
    </w:p>
    <w:p w:rsidR="001E0A2A" w:rsidRDefault="00E079B6">
      <w:pPr>
        <w:widowControl w:val="0"/>
        <w:numPr>
          <w:ilvl w:val="0"/>
          <w:numId w:val="19"/>
        </w:numPr>
        <w:pBdr>
          <w:top w:val="nil"/>
          <w:left w:val="nil"/>
          <w:bottom w:val="nil"/>
          <w:right w:val="nil"/>
          <w:between w:val="nil"/>
        </w:pBdr>
        <w:tabs>
          <w:tab w:val="left" w:pos="1134"/>
        </w:tabs>
        <w:rPr>
          <w:color w:val="000000"/>
        </w:rPr>
      </w:pPr>
      <w:r>
        <w:rPr>
          <w:color w:val="000000"/>
        </w:rPr>
        <w:t>Скільки коштує реклама в Instagram у 2024 році?. BannerBoo. URL:</w:t>
      </w:r>
      <w:r>
        <w:rPr>
          <w:color w:val="000000"/>
        </w:rPr>
        <w:t> </w:t>
      </w:r>
      <w:hyperlink r:id="rId75">
        <w:r>
          <w:rPr>
            <w:color w:val="000000"/>
            <w:u w:val="single"/>
          </w:rPr>
          <w:t>https://bannerboo.com/ua/blog/skilky-koshtuye-reklama-v-instagram/</w:t>
        </w:r>
      </w:hyperlink>
      <w:r>
        <w:rPr>
          <w:color w:val="000000"/>
        </w:rPr>
        <w:t> (дата звернення: 29.05.2024).</w:t>
      </w:r>
    </w:p>
    <w:p w:rsidR="001E0A2A" w:rsidRDefault="00E079B6">
      <w:pPr>
        <w:widowControl w:val="0"/>
        <w:numPr>
          <w:ilvl w:val="0"/>
          <w:numId w:val="19"/>
        </w:numPr>
        <w:pBdr>
          <w:top w:val="nil"/>
          <w:left w:val="nil"/>
          <w:bottom w:val="nil"/>
          <w:right w:val="nil"/>
          <w:between w:val="nil"/>
        </w:pBdr>
        <w:tabs>
          <w:tab w:val="left" w:pos="1134"/>
        </w:tabs>
      </w:pPr>
      <w:r>
        <w:rPr>
          <w:color w:val="000000"/>
        </w:rPr>
        <w:t xml:space="preserve">Скільки коштує реклама в «Інстагарам». elitweb. URL: </w:t>
      </w:r>
      <w:hyperlink r:id="rId76">
        <w:r>
          <w:rPr>
            <w:color w:val="0563C1"/>
            <w:u w:val="single"/>
          </w:rPr>
          <w:t>https://elit-web.ua/ua/blog/skolko-stoit-reklama-v-instagrame</w:t>
        </w:r>
      </w:hyperlink>
      <w:r>
        <w:rPr>
          <w:color w:val="000000"/>
        </w:rPr>
        <w:t xml:space="preserve"> (дата звернення: 29.05.2024).</w:t>
      </w:r>
    </w:p>
    <w:p w:rsidR="001E0A2A" w:rsidRDefault="00E079B6">
      <w:pPr>
        <w:widowControl w:val="0"/>
        <w:numPr>
          <w:ilvl w:val="0"/>
          <w:numId w:val="19"/>
        </w:numPr>
        <w:pBdr>
          <w:top w:val="nil"/>
          <w:left w:val="nil"/>
          <w:bottom w:val="nil"/>
          <w:right w:val="nil"/>
          <w:between w:val="nil"/>
        </w:pBdr>
        <w:tabs>
          <w:tab w:val="left" w:pos="1134"/>
        </w:tabs>
      </w:pPr>
      <w:r>
        <w:rPr>
          <w:color w:val="000000"/>
        </w:rPr>
        <w:t>Чупир О. М., Сичова О. Є. Аналіз інструментів маркетингової комунікаційної політики підприємства в сис</w:t>
      </w:r>
      <w:r>
        <w:rPr>
          <w:color w:val="000000"/>
        </w:rPr>
        <w:t xml:space="preserve">темі менеджменту організації. Вісник економіки транспорту і промисловості. 2017. № 57. URL: </w:t>
      </w:r>
      <w:hyperlink r:id="rId77">
        <w:r>
          <w:rPr>
            <w:color w:val="0563C1"/>
            <w:u w:val="single"/>
          </w:rPr>
          <w:t>https://doi.org/10.18664/338.47:338.45.v0i57.101600</w:t>
        </w:r>
      </w:hyperlink>
      <w:r>
        <w:rPr>
          <w:color w:val="000000"/>
        </w:rPr>
        <w:t xml:space="preserve"> .</w:t>
      </w:r>
    </w:p>
    <w:p w:rsidR="001E0A2A" w:rsidRDefault="00E079B6">
      <w:pPr>
        <w:widowControl w:val="0"/>
        <w:numPr>
          <w:ilvl w:val="0"/>
          <w:numId w:val="19"/>
        </w:numPr>
        <w:pBdr>
          <w:top w:val="nil"/>
          <w:left w:val="nil"/>
          <w:bottom w:val="nil"/>
          <w:right w:val="nil"/>
          <w:between w:val="nil"/>
        </w:pBdr>
        <w:tabs>
          <w:tab w:val="left" w:pos="1134"/>
        </w:tabs>
      </w:pPr>
      <w:r>
        <w:rPr>
          <w:color w:val="000000"/>
        </w:rPr>
        <w:t xml:space="preserve"> 2020 influencer marketing report: a marketer’s perspective - socialpubli.com. Social Publi Blog. URL: </w:t>
      </w:r>
      <w:hyperlink r:id="rId78">
        <w:r>
          <w:rPr>
            <w:color w:val="0563C1"/>
            <w:u w:val="single"/>
          </w:rPr>
          <w:t>https://socialpubli.com/blog/2020-influencer-ma</w:t>
        </w:r>
        <w:r>
          <w:rPr>
            <w:color w:val="0563C1"/>
            <w:u w:val="single"/>
          </w:rPr>
          <w:t>rketing-report-a-marketers-perspective/</w:t>
        </w:r>
      </w:hyperlink>
      <w:r>
        <w:rPr>
          <w:color w:val="000000"/>
        </w:rPr>
        <w:t xml:space="preserve">  (date of access: 29.05.2024).</w:t>
      </w:r>
    </w:p>
    <w:p w:rsidR="001E0A2A" w:rsidRDefault="00E079B6">
      <w:pPr>
        <w:widowControl w:val="0"/>
        <w:numPr>
          <w:ilvl w:val="0"/>
          <w:numId w:val="19"/>
        </w:numPr>
        <w:pBdr>
          <w:top w:val="nil"/>
          <w:left w:val="nil"/>
          <w:bottom w:val="nil"/>
          <w:right w:val="nil"/>
          <w:between w:val="nil"/>
        </w:pBdr>
        <w:tabs>
          <w:tab w:val="left" w:pos="1134"/>
        </w:tabs>
      </w:pPr>
      <w:r>
        <w:rPr>
          <w:color w:val="000000"/>
        </w:rPr>
        <w:t>Реклама у блогерів в Інстаграмі: скільки коштує і як замовити - Wezom. IT-компания полного цикла разработки программных продуктов WEZOM - Киев, Украина. URL: </w:t>
      </w:r>
      <w:hyperlink r:id="rId79">
        <w:r>
          <w:rPr>
            <w:color w:val="0563C1"/>
            <w:u w:val="single"/>
          </w:rPr>
          <w:t>https://wezom.com.ua/ua/blog/kak-zapustit-reklamu-u-blogerov-v-instagrame</w:t>
        </w:r>
      </w:hyperlink>
      <w:r>
        <w:rPr>
          <w:color w:val="000000"/>
        </w:rPr>
        <w:t xml:space="preserve">  (дата звернення: 28.05.2024).</w:t>
      </w:r>
    </w:p>
    <w:p w:rsidR="001E0A2A" w:rsidRDefault="00E079B6">
      <w:pPr>
        <w:widowControl w:val="0"/>
        <w:numPr>
          <w:ilvl w:val="0"/>
          <w:numId w:val="19"/>
        </w:numPr>
        <w:pBdr>
          <w:top w:val="nil"/>
          <w:left w:val="nil"/>
          <w:bottom w:val="nil"/>
          <w:right w:val="nil"/>
          <w:between w:val="nil"/>
        </w:pBdr>
        <w:tabs>
          <w:tab w:val="left" w:pos="1134"/>
        </w:tabs>
      </w:pPr>
      <w:r>
        <w:rPr>
          <w:color w:val="000000"/>
        </w:rPr>
        <w:t>Рублюк А.О. Жигалкевич Ж. М. Актуальність впровадження ІТ продуктів у маркетингові ко</w:t>
      </w:r>
      <w:r>
        <w:rPr>
          <w:color w:val="000000"/>
        </w:rPr>
        <w:t>мунікації. Бізнес, інновації, менеджмент: проблеми та перспективи: зб. тез доп. V Міжнар. наук.-практ. конф., м. Київ: КПІ ім. Ігоря Сікорського, 2024. 236 с.</w:t>
      </w:r>
    </w:p>
    <w:p w:rsidR="001E0A2A" w:rsidRDefault="00E079B6">
      <w:pPr>
        <w:widowControl w:val="0"/>
        <w:numPr>
          <w:ilvl w:val="0"/>
          <w:numId w:val="19"/>
        </w:numPr>
        <w:pBdr>
          <w:top w:val="nil"/>
          <w:left w:val="nil"/>
          <w:bottom w:val="nil"/>
          <w:right w:val="nil"/>
          <w:between w:val="nil"/>
        </w:pBdr>
        <w:tabs>
          <w:tab w:val="left" w:pos="1134"/>
        </w:tabs>
      </w:pPr>
      <w:r>
        <w:rPr>
          <w:color w:val="000000"/>
        </w:rPr>
        <w:t>Жигалкевич Ж. Бізнес-планування: навчальний посібник до виконання розрахункової роботи для студен</w:t>
      </w:r>
      <w:r>
        <w:rPr>
          <w:color w:val="000000"/>
        </w:rPr>
        <w:t>тів першого (бакалаврського) рівня галузі знань 07 «Управління та адміністрування» спеціальності 073 «Менеджмент» освітньо-професійної програми «Менеджмент і бізнес-адміністрування» першого. Київ : КПІ ім. Ігоря Сікорського, 2021. 36 с.</w:t>
      </w:r>
    </w:p>
    <w:p w:rsidR="001E0A2A" w:rsidRDefault="00E079B6">
      <w:pPr>
        <w:ind w:firstLine="0"/>
        <w:jc w:val="left"/>
        <w:rPr>
          <w:b/>
          <w:smallCaps/>
          <w:sz w:val="32"/>
          <w:szCs w:val="32"/>
        </w:rPr>
      </w:pPr>
      <w:r>
        <w:br w:type="page"/>
      </w:r>
    </w:p>
    <w:p w:rsidR="001E0A2A" w:rsidRDefault="00E079B6">
      <w:pPr>
        <w:pStyle w:val="1"/>
        <w:spacing w:before="0"/>
      </w:pPr>
      <w:bookmarkStart w:id="20" w:name="_heading=h.3j2qqm3" w:colFirst="0" w:colLast="0"/>
      <w:bookmarkEnd w:id="20"/>
      <w:r>
        <w:t>Додатки</w:t>
      </w:r>
    </w:p>
    <w:p w:rsidR="001E0A2A" w:rsidRDefault="00E079B6">
      <w:pPr>
        <w:ind w:firstLine="0"/>
        <w:jc w:val="center"/>
        <w:rPr>
          <w:b/>
        </w:rPr>
      </w:pPr>
      <w:r>
        <w:rPr>
          <w:b/>
        </w:rPr>
        <w:t>Додаток А</w:t>
      </w:r>
    </w:p>
    <w:p w:rsidR="001E0A2A" w:rsidRDefault="00E079B6">
      <w:pPr>
        <w:ind w:firstLine="0"/>
        <w:jc w:val="center"/>
      </w:pPr>
      <w:r>
        <w:rPr>
          <w:noProof/>
          <w:lang w:val="en-US"/>
        </w:rPr>
        <w:drawing>
          <wp:inline distT="0" distB="0" distL="0" distR="0">
            <wp:extent cx="6151157" cy="7660720"/>
            <wp:effectExtent l="0" t="0" r="0" b="0"/>
            <wp:docPr id="19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80"/>
                    <a:srcRect t="2597" b="9295"/>
                    <a:stretch>
                      <a:fillRect/>
                    </a:stretch>
                  </pic:blipFill>
                  <pic:spPr>
                    <a:xfrm>
                      <a:off x="0" y="0"/>
                      <a:ext cx="6151157" cy="7660720"/>
                    </a:xfrm>
                    <a:prstGeom prst="rect">
                      <a:avLst/>
                    </a:prstGeom>
                    <a:ln/>
                  </pic:spPr>
                </pic:pic>
              </a:graphicData>
            </a:graphic>
          </wp:inline>
        </w:drawing>
      </w:r>
    </w:p>
    <w:p w:rsidR="001E0A2A" w:rsidRDefault="00E079B6">
      <w:pPr>
        <w:jc w:val="left"/>
      </w:pPr>
      <w:r>
        <w:t>Продовження додатку А</w:t>
      </w:r>
    </w:p>
    <w:p w:rsidR="001E0A2A" w:rsidRDefault="00E079B6">
      <w:pPr>
        <w:ind w:firstLine="0"/>
        <w:jc w:val="center"/>
      </w:pPr>
      <w:r>
        <w:rPr>
          <w:noProof/>
          <w:lang w:val="en-US"/>
        </w:rPr>
        <w:drawing>
          <wp:inline distT="0" distB="0" distL="0" distR="0">
            <wp:extent cx="5688859" cy="8041296"/>
            <wp:effectExtent l="0" t="0" r="0" b="0"/>
            <wp:docPr id="19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81"/>
                    <a:srcRect/>
                    <a:stretch>
                      <a:fillRect/>
                    </a:stretch>
                  </pic:blipFill>
                  <pic:spPr>
                    <a:xfrm>
                      <a:off x="0" y="0"/>
                      <a:ext cx="5688859" cy="8041296"/>
                    </a:xfrm>
                    <a:prstGeom prst="rect">
                      <a:avLst/>
                    </a:prstGeom>
                    <a:ln/>
                  </pic:spPr>
                </pic:pic>
              </a:graphicData>
            </a:graphic>
          </wp:inline>
        </w:drawing>
      </w:r>
    </w:p>
    <w:p w:rsidR="001E0A2A" w:rsidRDefault="00E079B6">
      <w:pPr>
        <w:ind w:firstLine="0"/>
        <w:jc w:val="center"/>
        <w:rPr>
          <w:b/>
        </w:rPr>
      </w:pPr>
      <w:r>
        <w:rPr>
          <w:b/>
        </w:rPr>
        <w:t>Додаток Б</w:t>
      </w:r>
    </w:p>
    <w:p w:rsidR="001E0A2A" w:rsidRDefault="00E079B6">
      <w:pPr>
        <w:ind w:firstLine="0"/>
        <w:jc w:val="center"/>
        <w:rPr>
          <w:b/>
        </w:rPr>
      </w:pPr>
      <w:r>
        <w:rPr>
          <w:b/>
        </w:rPr>
        <w:t>Розрахунок обсягу вибірки</w:t>
      </w:r>
    </w:p>
    <w:p w:rsidR="001E0A2A" w:rsidRDefault="00E079B6">
      <w:r>
        <w:t xml:space="preserve">За генеральну вибірку візьмемо приблизну кількість 2500 клієнтів естетичної медицини з внутрішньої бази медичного центру. Щоб розрахувати обсяг вибірки для генеральної сукупності, використаємо спрощену формулу для розміру генеральної сукупності меншого за </w:t>
      </w:r>
      <w:r>
        <w:t>10 000. При розрахунку необхідно врахувати відсоткове співвідношення різних груп в генеральній сукупності (у цьому випадку, 30% чоловіків і 70% жінок).Спочатку розрахуємо обсяг вибірки для кожної страти в генеральній сукупності, а потім об'єднаємо їх.</w:t>
      </w:r>
    </w:p>
    <w:p w:rsidR="001E0A2A" w:rsidRDefault="00E079B6">
      <w:pPr>
        <w:rPr>
          <w:i/>
        </w:rPr>
      </w:pPr>
      <w:r>
        <w:rPr>
          <w:i/>
        </w:rPr>
        <w:t xml:space="preserve">Для </w:t>
      </w:r>
      <w:r>
        <w:rPr>
          <w:i/>
        </w:rPr>
        <w:t>чоловіків:</w:t>
      </w:r>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r>
                    <w:rPr>
                      <w:rFonts w:ascii="Cambria Math" w:eastAsia="Cambria Math" w:hAnsi="Cambria Math" w:cs="Cambria Math"/>
                    </w:rPr>
                    <m:t>Z</m:t>
                  </m:r>
                </m:e>
                <m:sup>
                  <m:r>
                    <w:rPr>
                      <w:rFonts w:ascii="Cambria Math" w:eastAsia="Cambria Math" w:hAnsi="Cambria Math" w:cs="Cambria Math"/>
                    </w:rPr>
                    <m:t>2</m:t>
                  </m:r>
                </m:sup>
              </m:sSup>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1</m:t>
                  </m:r>
                </m:sub>
              </m:sSub>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1</m:t>
                      </m:r>
                    </m:sub>
                  </m:sSub>
                </m:e>
              </m:d>
            </m:num>
            <m:den>
              <m:sSup>
                <m:sSupPr>
                  <m:ctrlPr>
                    <w:rPr>
                      <w:rFonts w:ascii="Cambria Math" w:eastAsia="Cambria Math" w:hAnsi="Cambria Math" w:cs="Cambria Math"/>
                    </w:rPr>
                  </m:ctrlPr>
                </m:sSupPr>
                <m:e>
                  <m:r>
                    <w:rPr>
                      <w:rFonts w:ascii="Cambria Math" w:eastAsia="Cambria Math" w:hAnsi="Cambria Math" w:cs="Cambria Math"/>
                    </w:rPr>
                    <m:t>E</m:t>
                  </m:r>
                </m:e>
                <m:sup>
                  <m:r>
                    <w:rPr>
                      <w:rFonts w:ascii="Cambria Math" w:eastAsia="Cambria Math" w:hAnsi="Cambria Math" w:cs="Cambria Math"/>
                    </w:rPr>
                    <m:t>2</m:t>
                  </m:r>
                </m:sup>
              </m:sSup>
            </m:den>
          </m:f>
          <m:r>
            <w:rPr>
              <w:rFonts w:ascii="Cambria Math" w:eastAsia="Cambria Math" w:hAnsi="Cambria Math" w:cs="Cambria Math"/>
            </w:rPr>
            <m:t>,</m:t>
          </m:r>
        </m:oMath>
      </m:oMathPara>
    </w:p>
    <w:p w:rsidR="001E0A2A" w:rsidRDefault="00E079B6">
      <w:r>
        <w:t>де:</w:t>
      </w:r>
    </w:p>
    <w:p w:rsidR="001E0A2A" w:rsidRDefault="00E079B6">
      <w:pPr>
        <w:numPr>
          <w:ilvl w:val="0"/>
          <w:numId w:val="30"/>
        </w:numPr>
        <w:pBdr>
          <w:top w:val="nil"/>
          <w:left w:val="nil"/>
          <w:bottom w:val="nil"/>
          <w:right w:val="nil"/>
          <w:between w:val="nil"/>
        </w:pBd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1</m:t>
            </m:r>
          </m:sub>
        </m:sSub>
      </m:oMath>
      <w:r>
        <w:rPr>
          <w:color w:val="000000"/>
        </w:rPr>
        <w:t xml:space="preserve"> – обсяг вибірки для чоловіків</w:t>
      </w:r>
    </w:p>
    <w:p w:rsidR="001E0A2A" w:rsidRDefault="00E079B6">
      <w:pPr>
        <w:numPr>
          <w:ilvl w:val="0"/>
          <w:numId w:val="30"/>
        </w:numPr>
        <w:pBdr>
          <w:top w:val="nil"/>
          <w:left w:val="nil"/>
          <w:bottom w:val="nil"/>
          <w:right w:val="nil"/>
          <w:between w:val="nil"/>
        </w:pBdr>
      </w:pPr>
      <w:r>
        <w:rPr>
          <w:i/>
          <w:color w:val="000000"/>
        </w:rPr>
        <w:t>Z</w:t>
      </w:r>
      <w:r>
        <w:rPr>
          <w:color w:val="000000"/>
        </w:rPr>
        <w:t xml:space="preserve"> – z–значення для 90% довіри (нехай 1.91)</w:t>
      </w:r>
    </w:p>
    <w:p w:rsidR="001E0A2A" w:rsidRDefault="00E079B6">
      <w:pPr>
        <w:numPr>
          <w:ilvl w:val="0"/>
          <w:numId w:val="30"/>
        </w:numPr>
        <w:pBdr>
          <w:top w:val="nil"/>
          <w:left w:val="nil"/>
          <w:bottom w:val="nil"/>
          <w:right w:val="nil"/>
          <w:between w:val="nil"/>
        </w:pBd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w:rPr>
                <w:rFonts w:ascii="Cambria Math" w:eastAsia="Cambria Math" w:hAnsi="Cambria Math" w:cs="Cambria Math"/>
                <w:color w:val="000000"/>
              </w:rPr>
              <m:t>1</m:t>
            </m:r>
          </m:sub>
        </m:sSub>
      </m:oMath>
      <w:r>
        <w:rPr>
          <w:color w:val="000000"/>
        </w:rPr>
        <w:t xml:space="preserve"> – відсоток чоловіків в генеральній сукупності (30% або 0.3)</w:t>
      </w:r>
    </w:p>
    <w:p w:rsidR="001E0A2A" w:rsidRDefault="00E079B6">
      <w:pPr>
        <w:numPr>
          <w:ilvl w:val="0"/>
          <w:numId w:val="30"/>
        </w:numPr>
        <w:pBdr>
          <w:top w:val="nil"/>
          <w:left w:val="nil"/>
          <w:bottom w:val="nil"/>
          <w:right w:val="nil"/>
          <w:between w:val="nil"/>
        </w:pBdr>
      </w:pPr>
      <w:r>
        <w:rPr>
          <w:i/>
          <w:color w:val="000000"/>
        </w:rPr>
        <w:t xml:space="preserve">E </w:t>
      </w:r>
      <w:r>
        <w:rPr>
          <w:color w:val="000000"/>
        </w:rPr>
        <w:t>– допустима похибка (10% або 0.1)</w:t>
      </w:r>
    </w:p>
    <w:p w:rsidR="001E0A2A" w:rsidRDefault="00E079B6">
      <w:r>
        <w:t>Підставимо значення:</w:t>
      </w:r>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r>
                    <w:rPr>
                      <w:rFonts w:ascii="Cambria Math" w:eastAsia="Cambria Math" w:hAnsi="Cambria Math" w:cs="Cambria Math"/>
                    </w:rPr>
                    <m:t>1,91</m:t>
                  </m:r>
                </m:e>
                <m:sup>
                  <m:r>
                    <w:rPr>
                      <w:rFonts w:ascii="Cambria Math" w:eastAsia="Cambria Math" w:hAnsi="Cambria Math" w:cs="Cambria Math"/>
                    </w:rPr>
                    <m:t>2</m:t>
                  </m:r>
                </m:sup>
              </m:sSup>
              <m:r>
                <w:rPr>
                  <w:rFonts w:ascii="Cambria Math" w:eastAsia="Cambria Math" w:hAnsi="Cambria Math" w:cs="Cambria Math"/>
                </w:rPr>
                <m:t>⋅</m:t>
              </m:r>
              <m:r>
                <w:rPr>
                  <w:rFonts w:ascii="Cambria Math" w:eastAsia="Cambria Math" w:hAnsi="Cambria Math" w:cs="Cambria Math"/>
                </w:rPr>
                <m:t>0,3⋅</m:t>
              </m:r>
              <m:d>
                <m:dPr>
                  <m:ctrlPr>
                    <w:rPr>
                      <w:rFonts w:ascii="Cambria Math" w:eastAsia="Cambria Math" w:hAnsi="Cambria Math" w:cs="Cambria Math"/>
                    </w:rPr>
                  </m:ctrlPr>
                </m:dPr>
                <m:e>
                  <m:r>
                    <w:rPr>
                      <w:rFonts w:ascii="Cambria Math" w:eastAsia="Cambria Math" w:hAnsi="Cambria Math" w:cs="Cambria Math"/>
                    </w:rPr>
                    <m:t>1-0,3</m:t>
                  </m:r>
                </m:e>
              </m:d>
            </m:num>
            <m:den>
              <m:sSup>
                <m:sSupPr>
                  <m:ctrlPr>
                    <w:rPr>
                      <w:rFonts w:ascii="Cambria Math" w:eastAsia="Cambria Math" w:hAnsi="Cambria Math" w:cs="Cambria Math"/>
                    </w:rPr>
                  </m:ctrlPr>
                </m:sSupPr>
                <m:e>
                  <m:r>
                    <w:rPr>
                      <w:rFonts w:ascii="Cambria Math" w:eastAsia="Cambria Math" w:hAnsi="Cambria Math" w:cs="Cambria Math"/>
                    </w:rPr>
                    <m:t>0,1</m:t>
                  </m:r>
                </m:e>
                <m:sup>
                  <m:r>
                    <w:rPr>
                      <w:rFonts w:ascii="Cambria Math" w:eastAsia="Cambria Math" w:hAnsi="Cambria Math" w:cs="Cambria Math"/>
                    </w:rPr>
                    <m:t>2</m:t>
                  </m:r>
                </m:sup>
              </m:sSup>
            </m:den>
          </m:f>
        </m:oMath>
      </m:oMathPara>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3,6481⋅0,3⋅0,7</m:t>
              </m:r>
            </m:num>
            <m:den>
              <m:r>
                <w:rPr>
                  <w:rFonts w:ascii="Cambria Math" w:eastAsia="Cambria Math" w:hAnsi="Cambria Math" w:cs="Cambria Math"/>
                </w:rPr>
                <m:t>0,01</m:t>
              </m:r>
            </m:den>
          </m:f>
        </m:oMath>
      </m:oMathPara>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0,766101</m:t>
              </m:r>
            </m:num>
            <m:den>
              <m:r>
                <w:rPr>
                  <w:rFonts w:ascii="Cambria Math" w:eastAsia="Cambria Math" w:hAnsi="Cambria Math" w:cs="Cambria Math"/>
                </w:rPr>
                <m:t>0,01</m:t>
              </m:r>
            </m:den>
          </m:f>
        </m:oMath>
      </m:oMathPara>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=76,6101</m:t>
          </m:r>
        </m:oMath>
      </m:oMathPara>
    </w:p>
    <w:p w:rsidR="001E0A2A" w:rsidRDefault="00E079B6">
      <w:r>
        <w:t xml:space="preserve">Округлимо до найближчого цілого числа: </w:t>
      </w:r>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oMath>
      <w:r>
        <w:t>= 77.</w:t>
      </w:r>
    </w:p>
    <w:p w:rsidR="001E0A2A" w:rsidRDefault="001E0A2A">
      <w:pPr>
        <w:rPr>
          <w:i/>
        </w:rPr>
      </w:pPr>
    </w:p>
    <w:p w:rsidR="001E0A2A" w:rsidRDefault="001E0A2A">
      <w:pPr>
        <w:rPr>
          <w:i/>
        </w:rPr>
      </w:pPr>
    </w:p>
    <w:p w:rsidR="001E0A2A" w:rsidRDefault="00E079B6">
      <w:pPr>
        <w:jc w:val="left"/>
      </w:pPr>
      <w:r>
        <w:t>Продовження додатку Б</w:t>
      </w:r>
    </w:p>
    <w:p w:rsidR="001E0A2A" w:rsidRDefault="001E0A2A">
      <w:pPr>
        <w:rPr>
          <w:i/>
        </w:rPr>
      </w:pPr>
    </w:p>
    <w:p w:rsidR="001E0A2A" w:rsidRDefault="00E079B6">
      <w:pPr>
        <w:rPr>
          <w:i/>
        </w:rPr>
      </w:pPr>
      <w:r>
        <w:rPr>
          <w:i/>
        </w:rPr>
        <w:t>Для жінок:</w:t>
      </w:r>
    </w:p>
    <w:p w:rsidR="001E0A2A" w:rsidRDefault="00E079B6">
      <w:r>
        <w:t>Аналогічно, розрахуємо обсяг вибірки для жінок:</w:t>
      </w:r>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r>
                    <w:rPr>
                      <w:rFonts w:ascii="Cambria Math" w:eastAsia="Cambria Math" w:hAnsi="Cambria Math" w:cs="Cambria Math"/>
                    </w:rPr>
                    <m:t>1,91</m:t>
                  </m:r>
                </m:e>
                <m:sup>
                  <m:r>
                    <w:rPr>
                      <w:rFonts w:ascii="Cambria Math" w:eastAsia="Cambria Math" w:hAnsi="Cambria Math" w:cs="Cambria Math"/>
                    </w:rPr>
                    <m:t>2</m:t>
                  </m:r>
                </m:sup>
              </m:sSup>
              <m:r>
                <w:rPr>
                  <w:rFonts w:ascii="Cambria Math" w:eastAsia="Cambria Math" w:hAnsi="Cambria Math" w:cs="Cambria Math"/>
                </w:rPr>
                <m:t>⋅</m:t>
              </m:r>
              <m:r>
                <w:rPr>
                  <w:rFonts w:ascii="Cambria Math" w:eastAsia="Cambria Math" w:hAnsi="Cambria Math" w:cs="Cambria Math"/>
                </w:rPr>
                <m:t>0,7⋅</m:t>
              </m:r>
              <m:d>
                <m:dPr>
                  <m:ctrlPr>
                    <w:rPr>
                      <w:rFonts w:ascii="Cambria Math" w:eastAsia="Cambria Math" w:hAnsi="Cambria Math" w:cs="Cambria Math"/>
                    </w:rPr>
                  </m:ctrlPr>
                </m:dPr>
                <m:e>
                  <m:r>
                    <w:rPr>
                      <w:rFonts w:ascii="Cambria Math" w:eastAsia="Cambria Math" w:hAnsi="Cambria Math" w:cs="Cambria Math"/>
                    </w:rPr>
                    <m:t>1-0,7</m:t>
                  </m:r>
                </m:e>
              </m:d>
            </m:num>
            <m:den>
              <m:sSup>
                <m:sSupPr>
                  <m:ctrlPr>
                    <w:rPr>
                      <w:rFonts w:ascii="Cambria Math" w:eastAsia="Cambria Math" w:hAnsi="Cambria Math" w:cs="Cambria Math"/>
                    </w:rPr>
                  </m:ctrlPr>
                </m:sSupPr>
                <m:e>
                  <m:r>
                    <w:rPr>
                      <w:rFonts w:ascii="Cambria Math" w:eastAsia="Cambria Math" w:hAnsi="Cambria Math" w:cs="Cambria Math"/>
                    </w:rPr>
                    <m:t>0,1</m:t>
                  </m:r>
                </m:e>
                <m:sup>
                  <m:r>
                    <w:rPr>
                      <w:rFonts w:ascii="Cambria Math" w:eastAsia="Cambria Math" w:hAnsi="Cambria Math" w:cs="Cambria Math"/>
                    </w:rPr>
                    <m:t>2</m:t>
                  </m:r>
                </m:sup>
              </m:sSup>
            </m:den>
          </m:f>
        </m:oMath>
      </m:oMathPara>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3,6481⋅0,7⋅0,3</m:t>
              </m:r>
            </m:num>
            <m:den>
              <m:r>
                <w:rPr>
                  <w:rFonts w:ascii="Cambria Math" w:eastAsia="Cambria Math" w:hAnsi="Cambria Math" w:cs="Cambria Math"/>
                </w:rPr>
                <m:t>0,01</m:t>
              </m:r>
            </m:den>
          </m:f>
        </m:oMath>
      </m:oMathPara>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0,766101</m:t>
              </m:r>
            </m:num>
            <m:den>
              <m:r>
                <w:rPr>
                  <w:rFonts w:ascii="Cambria Math" w:eastAsia="Cambria Math" w:hAnsi="Cambria Math" w:cs="Cambria Math"/>
                </w:rPr>
                <m:t>0,01</m:t>
              </m:r>
            </m:den>
          </m:f>
        </m:oMath>
      </m:oMathPara>
    </w:p>
    <w:p w:rsidR="001E0A2A" w:rsidRDefault="00E079B6">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r>
            <w:rPr>
              <w:rFonts w:ascii="Cambria Math" w:eastAsia="Cambria Math" w:hAnsi="Cambria Math" w:cs="Cambria Math"/>
            </w:rPr>
            <m:t>=76,6101</m:t>
          </m:r>
        </m:oMath>
      </m:oMathPara>
    </w:p>
    <w:p w:rsidR="001E0A2A" w:rsidRDefault="00E079B6">
      <w:r>
        <w:t xml:space="preserve">Округлимо до найближчого цілого числа: </w:t>
      </w:r>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oMath>
      <w:r>
        <w:t>= 77.</w:t>
      </w:r>
    </w:p>
    <w:p w:rsidR="001E0A2A" w:rsidRDefault="001E0A2A"/>
    <w:p w:rsidR="001E0A2A" w:rsidRDefault="00E079B6">
      <w:r>
        <w:rPr>
          <w:i/>
        </w:rPr>
        <w:t>Обсяг вибірки для стратифікованої вибірки:</w:t>
      </w:r>
    </w:p>
    <w:p w:rsidR="001E0A2A" w:rsidRDefault="00E079B6">
      <w:r>
        <w:t>Загальний обсяг вибірки буде сумою обсягів вибірок для чоловіків і жінок:</w:t>
      </w:r>
    </w:p>
    <w:p w:rsidR="001E0A2A" w:rsidRDefault="00E079B6">
      <w:pPr>
        <w:jc w:val="center"/>
        <w:rPr>
          <w:rFonts w:ascii="Cambria Math" w:eastAsia="Cambria Math" w:hAnsi="Cambria Math" w:cs="Cambria Math"/>
        </w:rPr>
      </w:pPr>
      <m:oMathPara>
        <m:oMath>
          <m:r>
            <w:rPr>
              <w:rFonts w:ascii="Cambria Math" w:eastAsia="Cambria Math" w:hAnsi="Cambria Math" w:cs="Cambria Math"/>
            </w:rPr>
            <m:t>n</m:t>
          </m:r>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r>
            <w:rPr>
              <w:rFonts w:ascii="Cambria Math" w:eastAsia="Cambria Math" w:hAnsi="Cambria Math" w:cs="Cambria Math"/>
            </w:rPr>
            <m:t>=77+77=154</m:t>
          </m:r>
        </m:oMath>
      </m:oMathPara>
    </w:p>
    <w:p w:rsidR="001E0A2A" w:rsidRDefault="00E079B6">
      <w:r>
        <w:t>Отже, необхідно опитати 154 клієнтів для забезпечення репрезентативності вибірки для стратифікованого дослідження з генеральної сукупності, що складається з 2500 клієнтів, при 90% довірі та 10% похибці.</w:t>
      </w:r>
    </w:p>
    <w:p w:rsidR="001E0A2A" w:rsidRDefault="001E0A2A">
      <w:pPr>
        <w:ind w:firstLine="0"/>
        <w:jc w:val="left"/>
      </w:pPr>
    </w:p>
    <w:p w:rsidR="001E0A2A" w:rsidRDefault="00E079B6">
      <w:pPr>
        <w:ind w:firstLine="0"/>
        <w:jc w:val="left"/>
      </w:pPr>
      <w:r>
        <w:br w:type="page"/>
      </w:r>
    </w:p>
    <w:p w:rsidR="001E0A2A" w:rsidRDefault="00E079B6">
      <w:pPr>
        <w:ind w:firstLine="0"/>
        <w:jc w:val="center"/>
        <w:rPr>
          <w:b/>
        </w:rPr>
      </w:pPr>
      <w:r>
        <w:rPr>
          <w:b/>
        </w:rPr>
        <w:t>Додаток В</w:t>
      </w:r>
    </w:p>
    <w:p w:rsidR="001E0A2A" w:rsidRDefault="00E079B6">
      <w:pPr>
        <w:ind w:firstLine="0"/>
        <w:jc w:val="center"/>
        <w:rPr>
          <w:b/>
        </w:rPr>
      </w:pPr>
      <w:r>
        <w:rPr>
          <w:b/>
        </w:rPr>
        <w:t>Анкета для опитування</w:t>
      </w:r>
    </w:p>
    <w:p w:rsidR="001E0A2A" w:rsidRDefault="00E079B6">
      <w:pPr>
        <w:ind w:firstLine="0"/>
        <w:jc w:val="right"/>
        <w:rPr>
          <w:b/>
        </w:rPr>
      </w:pPr>
      <w:r>
        <w:rPr>
          <w:b/>
          <w:noProof/>
          <w:lang w:val="en-US"/>
        </w:rPr>
        <w:drawing>
          <wp:inline distT="0" distB="0" distL="0" distR="0">
            <wp:extent cx="6555795" cy="7379227"/>
            <wp:effectExtent l="0" t="0" r="0" b="0"/>
            <wp:docPr id="196" name="image13.png" descr="C:\Users\adeli\AppData\Local\Microsoft\Windows\INetCache\Content.Word\Знімок екрана 2024-05-25 003518.png"/>
            <wp:cNvGraphicFramePr/>
            <a:graphic xmlns:a="http://schemas.openxmlformats.org/drawingml/2006/main">
              <a:graphicData uri="http://schemas.openxmlformats.org/drawingml/2006/picture">
                <pic:pic xmlns:pic="http://schemas.openxmlformats.org/drawingml/2006/picture">
                  <pic:nvPicPr>
                    <pic:cNvPr id="0" name="image13.png" descr="C:\Users\adeli\AppData\Local\Microsoft\Windows\INetCache\Content.Word\Знімок екрана 2024-05-25 003518.png"/>
                    <pic:cNvPicPr preferRelativeResize="0"/>
                  </pic:nvPicPr>
                  <pic:blipFill>
                    <a:blip r:embed="rId82"/>
                    <a:srcRect/>
                    <a:stretch>
                      <a:fillRect/>
                    </a:stretch>
                  </pic:blipFill>
                  <pic:spPr>
                    <a:xfrm>
                      <a:off x="0" y="0"/>
                      <a:ext cx="6555795" cy="7379227"/>
                    </a:xfrm>
                    <a:prstGeom prst="rect">
                      <a:avLst/>
                    </a:prstGeom>
                    <a:ln/>
                  </pic:spPr>
                </pic:pic>
              </a:graphicData>
            </a:graphic>
          </wp:inline>
        </w:drawing>
      </w:r>
    </w:p>
    <w:p w:rsidR="001E0A2A" w:rsidRDefault="001E0A2A">
      <w:pPr>
        <w:ind w:firstLine="0"/>
        <w:jc w:val="center"/>
        <w:rPr>
          <w:b/>
        </w:rPr>
      </w:pPr>
    </w:p>
    <w:p w:rsidR="001E0A2A" w:rsidRDefault="00E079B6">
      <w:pPr>
        <w:jc w:val="left"/>
      </w:pPr>
      <w:r>
        <w:t>Продовження дод</w:t>
      </w:r>
      <w:r>
        <w:t>атку В</w:t>
      </w:r>
    </w:p>
    <w:p w:rsidR="001E0A2A" w:rsidRDefault="00E079B6">
      <w:pPr>
        <w:ind w:firstLine="0"/>
        <w:jc w:val="center"/>
      </w:pPr>
      <w:r>
        <w:rPr>
          <w:b/>
          <w:noProof/>
          <w:lang w:val="en-US"/>
        </w:rPr>
        <w:drawing>
          <wp:inline distT="0" distB="0" distL="0" distR="0">
            <wp:extent cx="6511925" cy="7463790"/>
            <wp:effectExtent l="0" t="0" r="0" b="0"/>
            <wp:docPr id="198" name="image14.png" descr="C:\Users\adeli\AppData\Local\Microsoft\Windows\INetCache\Content.Word\Знімок екрана 2024-05-25 003553.png"/>
            <wp:cNvGraphicFramePr/>
            <a:graphic xmlns:a="http://schemas.openxmlformats.org/drawingml/2006/main">
              <a:graphicData uri="http://schemas.openxmlformats.org/drawingml/2006/picture">
                <pic:pic xmlns:pic="http://schemas.openxmlformats.org/drawingml/2006/picture">
                  <pic:nvPicPr>
                    <pic:cNvPr id="0" name="image14.png" descr="C:\Users\adeli\AppData\Local\Microsoft\Windows\INetCache\Content.Word\Знімок екрана 2024-05-25 003553.png"/>
                    <pic:cNvPicPr preferRelativeResize="0"/>
                  </pic:nvPicPr>
                  <pic:blipFill>
                    <a:blip r:embed="rId83"/>
                    <a:srcRect/>
                    <a:stretch>
                      <a:fillRect/>
                    </a:stretch>
                  </pic:blipFill>
                  <pic:spPr>
                    <a:xfrm>
                      <a:off x="0" y="0"/>
                      <a:ext cx="6511925" cy="7463790"/>
                    </a:xfrm>
                    <a:prstGeom prst="rect">
                      <a:avLst/>
                    </a:prstGeom>
                    <a:ln/>
                  </pic:spPr>
                </pic:pic>
              </a:graphicData>
            </a:graphic>
          </wp:inline>
        </w:drawing>
      </w:r>
    </w:p>
    <w:p w:rsidR="001E0A2A" w:rsidRDefault="00E079B6">
      <w:pPr>
        <w:jc w:val="left"/>
        <w:rPr>
          <w:b/>
        </w:rPr>
      </w:pPr>
      <w:r>
        <w:t>Продовження додатку В</w:t>
      </w:r>
      <w:r>
        <w:rPr>
          <w:b/>
        </w:rPr>
        <w:t xml:space="preserve"> </w:t>
      </w:r>
      <w:r>
        <w:rPr>
          <w:b/>
          <w:noProof/>
          <w:lang w:val="en-US"/>
        </w:rPr>
        <w:drawing>
          <wp:inline distT="0" distB="0" distL="0" distR="0">
            <wp:extent cx="6502400" cy="7416800"/>
            <wp:effectExtent l="0" t="0" r="0" b="0"/>
            <wp:docPr id="199" name="image17.png" descr="C:\Users\adeli\AppData\Local\Microsoft\Windows\INetCache\Content.Word\Знімок екрана 2024-05-25 003616.png"/>
            <wp:cNvGraphicFramePr/>
            <a:graphic xmlns:a="http://schemas.openxmlformats.org/drawingml/2006/main">
              <a:graphicData uri="http://schemas.openxmlformats.org/drawingml/2006/picture">
                <pic:pic xmlns:pic="http://schemas.openxmlformats.org/drawingml/2006/picture">
                  <pic:nvPicPr>
                    <pic:cNvPr id="0" name="image17.png" descr="C:\Users\adeli\AppData\Local\Microsoft\Windows\INetCache\Content.Word\Знімок екрана 2024-05-25 003616.png"/>
                    <pic:cNvPicPr preferRelativeResize="0"/>
                  </pic:nvPicPr>
                  <pic:blipFill>
                    <a:blip r:embed="rId84"/>
                    <a:srcRect/>
                    <a:stretch>
                      <a:fillRect/>
                    </a:stretch>
                  </pic:blipFill>
                  <pic:spPr>
                    <a:xfrm>
                      <a:off x="0" y="0"/>
                      <a:ext cx="6502400" cy="7416800"/>
                    </a:xfrm>
                    <a:prstGeom prst="rect">
                      <a:avLst/>
                    </a:prstGeom>
                    <a:ln/>
                  </pic:spPr>
                </pic:pic>
              </a:graphicData>
            </a:graphic>
          </wp:inline>
        </w:drawing>
      </w:r>
      <w:r>
        <w:rPr>
          <w:noProof/>
          <w:lang w:val="en-US"/>
        </w:rPr>
        <mc:AlternateContent>
          <mc:Choice Requires="wpg">
            <w:drawing>
              <wp:anchor distT="0" distB="0" distL="114300" distR="114300" simplePos="0" relativeHeight="251666432" behindDoc="0" locked="0" layoutInCell="1" hidden="0" allowOverlap="1">
                <wp:simplePos x="0" y="0"/>
                <wp:positionH relativeFrom="column">
                  <wp:posOffset>1562100</wp:posOffset>
                </wp:positionH>
                <wp:positionV relativeFrom="paragraph">
                  <wp:posOffset>5880100</wp:posOffset>
                </wp:positionV>
                <wp:extent cx="81117" cy="112420"/>
                <wp:effectExtent l="0" t="0" r="0" b="0"/>
                <wp:wrapNone/>
                <wp:docPr id="184" name="Группа 184"/>
                <wp:cNvGraphicFramePr/>
                <a:graphic xmlns:a="http://schemas.openxmlformats.org/drawingml/2006/main">
                  <a:graphicData uri="http://schemas.microsoft.com/office/word/2010/wordprocessingGroup">
                    <wpg:wgp>
                      <wpg:cNvGrpSpPr/>
                      <wpg:grpSpPr>
                        <a:xfrm>
                          <a:off x="0" y="0"/>
                          <a:ext cx="81117" cy="112420"/>
                          <a:chOff x="5305425" y="3723775"/>
                          <a:chExt cx="81150" cy="112450"/>
                        </a:xfrm>
                      </wpg:grpSpPr>
                      <wpg:grpSp>
                        <wpg:cNvPr id="16" name="Группа 16"/>
                        <wpg:cNvGrpSpPr/>
                        <wpg:grpSpPr>
                          <a:xfrm>
                            <a:off x="5305442" y="3723790"/>
                            <a:ext cx="81117" cy="112420"/>
                            <a:chOff x="0" y="0"/>
                            <a:chExt cx="81117" cy="112420"/>
                          </a:xfrm>
                        </wpg:grpSpPr>
                        <wps:wsp>
                          <wps:cNvPr id="17" name="Прямоугольник 17"/>
                          <wps:cNvSpPr/>
                          <wps:spPr>
                            <a:xfrm>
                              <a:off x="0" y="0"/>
                              <a:ext cx="81100" cy="112400"/>
                            </a:xfrm>
                            <a:prstGeom prst="rect">
                              <a:avLst/>
                            </a:prstGeom>
                            <a:noFill/>
                            <a:ln>
                              <a:noFill/>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wps:wsp>
                          <wps:cNvPr id="18" name="Овал 18"/>
                          <wps:cNvSpPr/>
                          <wps:spPr>
                            <a:xfrm>
                              <a:off x="0" y="6723"/>
                              <a:ext cx="81117" cy="105697"/>
                            </a:xfrm>
                            <a:prstGeom prst="ellipse">
                              <a:avLst/>
                            </a:prstGeom>
                            <a:solidFill>
                              <a:schemeClr val="lt1"/>
                            </a:solidFill>
                            <a:ln>
                              <a:noFill/>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wps:wsp>
                          <wps:cNvPr id="19" name="Прямая со стрелкой 19"/>
                          <wps:cNvCnPr/>
                          <wps:spPr>
                            <a:xfrm>
                              <a:off x="8965" y="0"/>
                              <a:ext cx="0" cy="93017"/>
                            </a:xfrm>
                            <a:prstGeom prst="straightConnector1">
                              <a:avLst/>
                            </a:prstGeom>
                            <a:noFill/>
                            <a:ln w="9525" cap="flat" cmpd="sng">
                              <a:solidFill>
                                <a:schemeClr val="dk1"/>
                              </a:solidFill>
                              <a:prstDash val="solid"/>
                              <a:miter lim="800000"/>
                              <a:headEnd type="none" w="sm" len="sm"/>
                              <a:tailEnd type="none" w="sm" len="sm"/>
                            </a:ln>
                          </wps:spPr>
                          <wps:bodyPr/>
                        </wps:wsp>
                        <wps:wsp>
                          <wps:cNvPr id="20" name="Прямая со стрелкой 20"/>
                          <wps:cNvCnPr/>
                          <wps:spPr>
                            <a:xfrm rot="10800000" flipH="1">
                              <a:off x="11206" y="24653"/>
                              <a:ext cx="39329" cy="38899"/>
                            </a:xfrm>
                            <a:prstGeom prst="straightConnector1">
                              <a:avLst/>
                            </a:prstGeom>
                            <a:noFill/>
                            <a:ln w="9525" cap="flat" cmpd="sng">
                              <a:solidFill>
                                <a:schemeClr val="dk1"/>
                              </a:solidFill>
                              <a:prstDash val="solid"/>
                              <a:miter lim="800000"/>
                              <a:headEnd type="none" w="sm" len="sm"/>
                              <a:tailEnd type="none" w="sm" len="sm"/>
                            </a:ln>
                          </wps:spPr>
                          <wps:bodyPr/>
                        </wps:wsp>
                        <wps:wsp>
                          <wps:cNvPr id="21" name="Прямая со стрелкой 21"/>
                          <wps:cNvCnPr/>
                          <wps:spPr>
                            <a:xfrm>
                              <a:off x="22412" y="58270"/>
                              <a:ext cx="36502" cy="34126"/>
                            </a:xfrm>
                            <a:prstGeom prst="straightConnector1">
                              <a:avLst/>
                            </a:prstGeom>
                            <a:noFill/>
                            <a:ln w="9525" cap="flat" cmpd="sng">
                              <a:solidFill>
                                <a:schemeClr val="dk1"/>
                              </a:solidFill>
                              <a:prstDash val="solid"/>
                              <a:miter lim="800000"/>
                              <a:headEnd type="none" w="sm" len="sm"/>
                              <a:tailEnd type="none" w="sm" len="sm"/>
                            </a:ln>
                          </wps:spPr>
                          <wps:bodyPr/>
                        </wps:w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1562100</wp:posOffset>
                </wp:positionH>
                <wp:positionV relativeFrom="paragraph">
                  <wp:posOffset>5880100</wp:posOffset>
                </wp:positionV>
                <wp:extent cx="81117" cy="112420"/>
                <wp:effectExtent b="0" l="0" r="0" t="0"/>
                <wp:wrapNone/>
                <wp:docPr id="184" name="image20.png"/>
                <a:graphic>
                  <a:graphicData uri="http://schemas.openxmlformats.org/drawingml/2006/picture">
                    <pic:pic>
                      <pic:nvPicPr>
                        <pic:cNvPr id="0" name="image20.png"/>
                        <pic:cNvPicPr preferRelativeResize="0"/>
                      </pic:nvPicPr>
                      <pic:blipFill>
                        <a:blip r:embed="rId85"/>
                        <a:srcRect/>
                        <a:stretch>
                          <a:fillRect/>
                        </a:stretch>
                      </pic:blipFill>
                      <pic:spPr>
                        <a:xfrm>
                          <a:off x="0" y="0"/>
                          <a:ext cx="81117" cy="112420"/>
                        </a:xfrm>
                        <a:prstGeom prst="rect"/>
                        <a:ln/>
                      </pic:spPr>
                    </pic:pic>
                  </a:graphicData>
                </a:graphic>
              </wp:anchor>
            </w:drawing>
          </mc:Fallback>
        </mc:AlternateContent>
      </w:r>
    </w:p>
    <w:p w:rsidR="001E0A2A" w:rsidRDefault="001E0A2A">
      <w:pPr>
        <w:ind w:firstLine="0"/>
        <w:jc w:val="center"/>
        <w:rPr>
          <w:b/>
        </w:rPr>
      </w:pPr>
    </w:p>
    <w:p w:rsidR="001E0A2A" w:rsidRDefault="001E0A2A">
      <w:pPr>
        <w:ind w:firstLine="0"/>
        <w:jc w:val="center"/>
        <w:rPr>
          <w:b/>
        </w:rPr>
      </w:pPr>
    </w:p>
    <w:p w:rsidR="001E0A2A" w:rsidRDefault="00E079B6">
      <w:pPr>
        <w:jc w:val="left"/>
        <w:rPr>
          <w:b/>
        </w:rPr>
      </w:pPr>
      <w:r>
        <w:t>Продовження додатку В</w:t>
      </w:r>
      <w:r>
        <w:rPr>
          <w:b/>
        </w:rPr>
        <w:t xml:space="preserve"> </w:t>
      </w:r>
      <w:r w:rsidR="00FE7789">
        <w:rPr>
          <w:b/>
        </w:rPr>
        <w:pict>
          <v:shape id="_x0000_i1027" type="#_x0000_t75" style="width:511.5pt;height:8in">
            <v:imagedata r:id="rId86" o:title="6-8" grayscale="t"/>
          </v:shape>
        </w:pict>
      </w:r>
      <w:r>
        <w:rPr>
          <w:noProof/>
          <w:lang w:val="en-US"/>
        </w:rPr>
        <mc:AlternateContent>
          <mc:Choice Requires="wpg">
            <w:drawing>
              <wp:anchor distT="0" distB="0" distL="114300" distR="114300" simplePos="0" relativeHeight="251667456" behindDoc="0" locked="0" layoutInCell="1" hidden="0" allowOverlap="1">
                <wp:simplePos x="0" y="0"/>
                <wp:positionH relativeFrom="column">
                  <wp:posOffset>1473200</wp:posOffset>
                </wp:positionH>
                <wp:positionV relativeFrom="paragraph">
                  <wp:posOffset>939800</wp:posOffset>
                </wp:positionV>
                <wp:extent cx="81117" cy="112420"/>
                <wp:effectExtent l="0" t="0" r="0" b="0"/>
                <wp:wrapNone/>
                <wp:docPr id="183" name="Группа 183"/>
                <wp:cNvGraphicFramePr/>
                <a:graphic xmlns:a="http://schemas.openxmlformats.org/drawingml/2006/main">
                  <a:graphicData uri="http://schemas.microsoft.com/office/word/2010/wordprocessingGroup">
                    <wpg:wgp>
                      <wpg:cNvGrpSpPr/>
                      <wpg:grpSpPr>
                        <a:xfrm>
                          <a:off x="0" y="0"/>
                          <a:ext cx="81117" cy="112420"/>
                          <a:chOff x="5305425" y="3723775"/>
                          <a:chExt cx="81150" cy="112450"/>
                        </a:xfrm>
                      </wpg:grpSpPr>
                      <wpg:grpSp>
                        <wpg:cNvPr id="22" name="Группа 22"/>
                        <wpg:cNvGrpSpPr/>
                        <wpg:grpSpPr>
                          <a:xfrm>
                            <a:off x="5305442" y="3723790"/>
                            <a:ext cx="81117" cy="112420"/>
                            <a:chOff x="0" y="0"/>
                            <a:chExt cx="81117" cy="112420"/>
                          </a:xfrm>
                        </wpg:grpSpPr>
                        <wps:wsp>
                          <wps:cNvPr id="23" name="Прямоугольник 23"/>
                          <wps:cNvSpPr/>
                          <wps:spPr>
                            <a:xfrm>
                              <a:off x="0" y="0"/>
                              <a:ext cx="81100" cy="112400"/>
                            </a:xfrm>
                            <a:prstGeom prst="rect">
                              <a:avLst/>
                            </a:prstGeom>
                            <a:noFill/>
                            <a:ln>
                              <a:noFill/>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wps:wsp>
                          <wps:cNvPr id="24" name="Овал 24"/>
                          <wps:cNvSpPr/>
                          <wps:spPr>
                            <a:xfrm>
                              <a:off x="0" y="6723"/>
                              <a:ext cx="81117" cy="105697"/>
                            </a:xfrm>
                            <a:prstGeom prst="ellipse">
                              <a:avLst/>
                            </a:prstGeom>
                            <a:solidFill>
                              <a:schemeClr val="lt1"/>
                            </a:solidFill>
                            <a:ln>
                              <a:noFill/>
                            </a:ln>
                          </wps:spPr>
                          <wps:txbx>
                            <w:txbxContent>
                              <w:p w:rsidR="001E0A2A" w:rsidRDefault="001E0A2A">
                                <w:pPr>
                                  <w:spacing w:line="240" w:lineRule="auto"/>
                                  <w:ind w:firstLine="0"/>
                                  <w:jc w:val="left"/>
                                  <w:textDirection w:val="btLr"/>
                                </w:pPr>
                              </w:p>
                            </w:txbxContent>
                          </wps:txbx>
                          <wps:bodyPr spcFirstLastPara="1" wrap="square" lIns="91425" tIns="91425" rIns="91425" bIns="91425" anchor="ctr" anchorCtr="0">
                            <a:noAutofit/>
                          </wps:bodyPr>
                        </wps:wsp>
                        <wps:wsp>
                          <wps:cNvPr id="25" name="Прямая со стрелкой 25"/>
                          <wps:cNvCnPr/>
                          <wps:spPr>
                            <a:xfrm>
                              <a:off x="8965" y="0"/>
                              <a:ext cx="0" cy="93017"/>
                            </a:xfrm>
                            <a:prstGeom prst="straightConnector1">
                              <a:avLst/>
                            </a:prstGeom>
                            <a:noFill/>
                            <a:ln w="9525" cap="flat" cmpd="sng">
                              <a:solidFill>
                                <a:schemeClr val="dk1"/>
                              </a:solidFill>
                              <a:prstDash val="solid"/>
                              <a:miter lim="800000"/>
                              <a:headEnd type="none" w="sm" len="sm"/>
                              <a:tailEnd type="none" w="sm" len="sm"/>
                            </a:ln>
                          </wps:spPr>
                          <wps:bodyPr/>
                        </wps:wsp>
                        <wps:wsp>
                          <wps:cNvPr id="26" name="Прямая со стрелкой 26"/>
                          <wps:cNvCnPr/>
                          <wps:spPr>
                            <a:xfrm rot="10800000" flipH="1">
                              <a:off x="11206" y="24653"/>
                              <a:ext cx="39329" cy="38899"/>
                            </a:xfrm>
                            <a:prstGeom prst="straightConnector1">
                              <a:avLst/>
                            </a:prstGeom>
                            <a:noFill/>
                            <a:ln w="9525" cap="flat" cmpd="sng">
                              <a:solidFill>
                                <a:schemeClr val="dk1"/>
                              </a:solidFill>
                              <a:prstDash val="solid"/>
                              <a:miter lim="800000"/>
                              <a:headEnd type="none" w="sm" len="sm"/>
                              <a:tailEnd type="none" w="sm" len="sm"/>
                            </a:ln>
                          </wps:spPr>
                          <wps:bodyPr/>
                        </wps:wsp>
                        <wps:wsp>
                          <wps:cNvPr id="27" name="Прямая со стрелкой 27"/>
                          <wps:cNvCnPr/>
                          <wps:spPr>
                            <a:xfrm>
                              <a:off x="22412" y="58270"/>
                              <a:ext cx="36502" cy="34126"/>
                            </a:xfrm>
                            <a:prstGeom prst="straightConnector1">
                              <a:avLst/>
                            </a:prstGeom>
                            <a:noFill/>
                            <a:ln w="9525" cap="flat" cmpd="sng">
                              <a:solidFill>
                                <a:schemeClr val="dk1"/>
                              </a:solidFill>
                              <a:prstDash val="solid"/>
                              <a:miter lim="800000"/>
                              <a:headEnd type="none" w="sm" len="sm"/>
                              <a:tailEnd type="none" w="sm" len="sm"/>
                            </a:ln>
                          </wps:spPr>
                          <wps:bodyPr/>
                        </wps:w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1473200</wp:posOffset>
                </wp:positionH>
                <wp:positionV relativeFrom="paragraph">
                  <wp:posOffset>939800</wp:posOffset>
                </wp:positionV>
                <wp:extent cx="81117" cy="112420"/>
                <wp:effectExtent b="0" l="0" r="0" t="0"/>
                <wp:wrapNone/>
                <wp:docPr id="183" name="image18.png"/>
                <a:graphic>
                  <a:graphicData uri="http://schemas.openxmlformats.org/drawingml/2006/picture">
                    <pic:pic>
                      <pic:nvPicPr>
                        <pic:cNvPr id="0" name="image18.png"/>
                        <pic:cNvPicPr preferRelativeResize="0"/>
                      </pic:nvPicPr>
                      <pic:blipFill>
                        <a:blip r:embed="rId87"/>
                        <a:srcRect/>
                        <a:stretch>
                          <a:fillRect/>
                        </a:stretch>
                      </pic:blipFill>
                      <pic:spPr>
                        <a:xfrm>
                          <a:off x="0" y="0"/>
                          <a:ext cx="81117" cy="112420"/>
                        </a:xfrm>
                        <a:prstGeom prst="rect"/>
                        <a:ln/>
                      </pic:spPr>
                    </pic:pic>
                  </a:graphicData>
                </a:graphic>
              </wp:anchor>
            </w:drawing>
          </mc:Fallback>
        </mc:AlternateContent>
      </w:r>
    </w:p>
    <w:p w:rsidR="001E0A2A" w:rsidRDefault="001E0A2A">
      <w:pPr>
        <w:ind w:firstLine="0"/>
        <w:jc w:val="center"/>
        <w:rPr>
          <w:b/>
        </w:rPr>
      </w:pPr>
    </w:p>
    <w:p w:rsidR="001E0A2A" w:rsidRDefault="001E0A2A">
      <w:pPr>
        <w:ind w:firstLine="0"/>
        <w:jc w:val="center"/>
        <w:rPr>
          <w:b/>
        </w:rPr>
      </w:pPr>
    </w:p>
    <w:p w:rsidR="001E0A2A" w:rsidRDefault="00E079B6">
      <w:pPr>
        <w:jc w:val="left"/>
      </w:pPr>
      <w:r>
        <w:t>Продовження додатку В</w:t>
      </w:r>
      <w:r>
        <w:rPr>
          <w:b/>
        </w:rPr>
        <w:t xml:space="preserve"> </w:t>
      </w:r>
      <w:r>
        <w:rPr>
          <w:b/>
          <w:noProof/>
          <w:lang w:val="en-US"/>
        </w:rPr>
        <w:drawing>
          <wp:inline distT="0" distB="0" distL="0" distR="0">
            <wp:extent cx="6502400" cy="7213600"/>
            <wp:effectExtent l="0" t="0" r="0" b="0"/>
            <wp:docPr id="200" name="image15.png" descr="C:\Users\adeli\AppData\Local\Microsoft\Windows\INetCache\Content.Word\Знімок екрана 2024-05-25 003650.png"/>
            <wp:cNvGraphicFramePr/>
            <a:graphic xmlns:a="http://schemas.openxmlformats.org/drawingml/2006/main">
              <a:graphicData uri="http://schemas.openxmlformats.org/drawingml/2006/picture">
                <pic:pic xmlns:pic="http://schemas.openxmlformats.org/drawingml/2006/picture">
                  <pic:nvPicPr>
                    <pic:cNvPr id="0" name="image15.png" descr="C:\Users\adeli\AppData\Local\Microsoft\Windows\INetCache\Content.Word\Знімок екрана 2024-05-25 003650.png"/>
                    <pic:cNvPicPr preferRelativeResize="0"/>
                  </pic:nvPicPr>
                  <pic:blipFill>
                    <a:blip r:embed="rId88"/>
                    <a:srcRect/>
                    <a:stretch>
                      <a:fillRect/>
                    </a:stretch>
                  </pic:blipFill>
                  <pic:spPr>
                    <a:xfrm>
                      <a:off x="0" y="0"/>
                      <a:ext cx="6502400" cy="7213600"/>
                    </a:xfrm>
                    <a:prstGeom prst="rect">
                      <a:avLst/>
                    </a:prstGeom>
                    <a:ln/>
                  </pic:spPr>
                </pic:pic>
              </a:graphicData>
            </a:graphic>
          </wp:inline>
        </w:drawing>
      </w:r>
      <w:r>
        <w:t xml:space="preserve"> </w:t>
      </w:r>
    </w:p>
    <w:p w:rsidR="001E0A2A" w:rsidRDefault="001E0A2A">
      <w:pPr>
        <w:ind w:firstLine="0"/>
        <w:jc w:val="center"/>
      </w:pPr>
    </w:p>
    <w:p w:rsidR="001E0A2A" w:rsidRDefault="001E0A2A">
      <w:pPr>
        <w:ind w:firstLine="0"/>
        <w:jc w:val="center"/>
      </w:pPr>
    </w:p>
    <w:p w:rsidR="001E0A2A" w:rsidRDefault="001E0A2A">
      <w:pPr>
        <w:ind w:firstLine="0"/>
        <w:jc w:val="center"/>
      </w:pPr>
    </w:p>
    <w:p w:rsidR="001E0A2A" w:rsidRDefault="00E079B6">
      <w:pPr>
        <w:jc w:val="left"/>
        <w:rPr>
          <w:b/>
        </w:rPr>
      </w:pPr>
      <w:r>
        <w:t>Продовження додатку В</w:t>
      </w:r>
      <w:r>
        <w:rPr>
          <w:b/>
        </w:rPr>
        <w:t xml:space="preserve"> </w:t>
      </w:r>
    </w:p>
    <w:p w:rsidR="001E0A2A" w:rsidRDefault="00E079B6">
      <w:pPr>
        <w:ind w:firstLine="0"/>
        <w:jc w:val="center"/>
        <w:rPr>
          <w:b/>
        </w:rPr>
      </w:pPr>
      <w:r>
        <w:rPr>
          <w:b/>
          <w:noProof/>
          <w:lang w:val="en-US"/>
        </w:rPr>
        <w:drawing>
          <wp:inline distT="0" distB="0" distL="0" distR="0">
            <wp:extent cx="6502400" cy="6934200"/>
            <wp:effectExtent l="0" t="0" r="0" b="0"/>
            <wp:docPr id="190" name="image19.png" descr="C:\Users\adeli\AppData\Local\Microsoft\Windows\INetCache\Content.Word\Знімок екрана 2024-05-25 003712.png"/>
            <wp:cNvGraphicFramePr/>
            <a:graphic xmlns:a="http://schemas.openxmlformats.org/drawingml/2006/main">
              <a:graphicData uri="http://schemas.openxmlformats.org/drawingml/2006/picture">
                <pic:pic xmlns:pic="http://schemas.openxmlformats.org/drawingml/2006/picture">
                  <pic:nvPicPr>
                    <pic:cNvPr id="0" name="image19.png" descr="C:\Users\adeli\AppData\Local\Microsoft\Windows\INetCache\Content.Word\Знімок екрана 2024-05-25 003712.png"/>
                    <pic:cNvPicPr preferRelativeResize="0"/>
                  </pic:nvPicPr>
                  <pic:blipFill>
                    <a:blip r:embed="rId89"/>
                    <a:srcRect/>
                    <a:stretch>
                      <a:fillRect/>
                    </a:stretch>
                  </pic:blipFill>
                  <pic:spPr>
                    <a:xfrm>
                      <a:off x="0" y="0"/>
                      <a:ext cx="6502400" cy="6934200"/>
                    </a:xfrm>
                    <a:prstGeom prst="rect">
                      <a:avLst/>
                    </a:prstGeom>
                    <a:ln/>
                  </pic:spPr>
                </pic:pic>
              </a:graphicData>
            </a:graphic>
          </wp:inline>
        </w:drawing>
      </w:r>
    </w:p>
    <w:p w:rsidR="001E0A2A" w:rsidRDefault="001E0A2A">
      <w:pPr>
        <w:ind w:firstLine="0"/>
        <w:jc w:val="center"/>
        <w:rPr>
          <w:b/>
        </w:rPr>
      </w:pPr>
    </w:p>
    <w:p w:rsidR="001E0A2A" w:rsidRDefault="001E0A2A">
      <w:pPr>
        <w:ind w:firstLine="0"/>
        <w:jc w:val="center"/>
        <w:rPr>
          <w:b/>
        </w:rPr>
      </w:pPr>
    </w:p>
    <w:p w:rsidR="001E0A2A" w:rsidRDefault="001E0A2A">
      <w:pPr>
        <w:ind w:firstLine="0"/>
        <w:jc w:val="center"/>
        <w:rPr>
          <w:b/>
        </w:rPr>
      </w:pPr>
    </w:p>
    <w:p w:rsidR="001E0A2A" w:rsidRDefault="001E0A2A">
      <w:pPr>
        <w:ind w:firstLine="0"/>
        <w:jc w:val="center"/>
        <w:rPr>
          <w:b/>
        </w:rPr>
      </w:pPr>
    </w:p>
    <w:p w:rsidR="001E0A2A" w:rsidRDefault="00E079B6">
      <w:pPr>
        <w:jc w:val="left"/>
        <w:rPr>
          <w:b/>
        </w:rPr>
      </w:pPr>
      <w:r>
        <w:t>Продовження додатку В</w:t>
      </w:r>
      <w:r>
        <w:rPr>
          <w:b/>
        </w:rPr>
        <w:t xml:space="preserve"> </w:t>
      </w:r>
    </w:p>
    <w:p w:rsidR="001E0A2A" w:rsidRDefault="00E079B6">
      <w:pPr>
        <w:ind w:firstLine="0"/>
        <w:jc w:val="center"/>
        <w:rPr>
          <w:b/>
        </w:rPr>
      </w:pPr>
      <w:r>
        <w:rPr>
          <w:b/>
          <w:noProof/>
          <w:lang w:val="en-US"/>
        </w:rPr>
        <w:drawing>
          <wp:inline distT="0" distB="0" distL="0" distR="0">
            <wp:extent cx="6511925" cy="6911780"/>
            <wp:effectExtent l="0" t="0" r="0" b="0"/>
            <wp:docPr id="191" name="image6.png" descr="Знімок екрана 2024-05-25 003730"/>
            <wp:cNvGraphicFramePr/>
            <a:graphic xmlns:a="http://schemas.openxmlformats.org/drawingml/2006/main">
              <a:graphicData uri="http://schemas.openxmlformats.org/drawingml/2006/picture">
                <pic:pic xmlns:pic="http://schemas.openxmlformats.org/drawingml/2006/picture">
                  <pic:nvPicPr>
                    <pic:cNvPr id="0" name="image6.png" descr="Знімок екрана 2024-05-25 003730"/>
                    <pic:cNvPicPr preferRelativeResize="0"/>
                  </pic:nvPicPr>
                  <pic:blipFill>
                    <a:blip r:embed="rId90"/>
                    <a:srcRect/>
                    <a:stretch>
                      <a:fillRect/>
                    </a:stretch>
                  </pic:blipFill>
                  <pic:spPr>
                    <a:xfrm>
                      <a:off x="0" y="0"/>
                      <a:ext cx="6511925" cy="6911780"/>
                    </a:xfrm>
                    <a:prstGeom prst="rect">
                      <a:avLst/>
                    </a:prstGeom>
                    <a:ln/>
                  </pic:spPr>
                </pic:pic>
              </a:graphicData>
            </a:graphic>
          </wp:inline>
        </w:drawing>
      </w:r>
    </w:p>
    <w:p w:rsidR="001E0A2A" w:rsidRDefault="001E0A2A">
      <w:pPr>
        <w:ind w:firstLine="0"/>
        <w:jc w:val="center"/>
        <w:rPr>
          <w:b/>
        </w:rPr>
      </w:pPr>
    </w:p>
    <w:p w:rsidR="001E0A2A" w:rsidRDefault="001E0A2A">
      <w:pPr>
        <w:ind w:firstLine="0"/>
        <w:jc w:val="center"/>
        <w:rPr>
          <w:b/>
        </w:rPr>
      </w:pPr>
    </w:p>
    <w:p w:rsidR="001E0A2A" w:rsidRDefault="001E0A2A">
      <w:pPr>
        <w:ind w:firstLine="0"/>
        <w:jc w:val="center"/>
        <w:rPr>
          <w:b/>
        </w:rPr>
      </w:pPr>
    </w:p>
    <w:p w:rsidR="001E0A2A" w:rsidRDefault="001E0A2A">
      <w:pPr>
        <w:ind w:firstLine="0"/>
        <w:jc w:val="center"/>
        <w:rPr>
          <w:b/>
        </w:rPr>
      </w:pPr>
    </w:p>
    <w:p w:rsidR="001E0A2A" w:rsidRDefault="00E079B6">
      <w:pPr>
        <w:jc w:val="left"/>
        <w:rPr>
          <w:b/>
        </w:rPr>
      </w:pPr>
      <w:r>
        <w:t>Продовження додатку В</w:t>
      </w:r>
    </w:p>
    <w:p w:rsidR="001E0A2A" w:rsidRDefault="00E079B6">
      <w:pPr>
        <w:ind w:firstLine="0"/>
        <w:jc w:val="center"/>
        <w:rPr>
          <w:b/>
        </w:rPr>
      </w:pPr>
      <w:r>
        <w:rPr>
          <w:b/>
          <w:noProof/>
          <w:lang w:val="en-US"/>
        </w:rPr>
        <w:drawing>
          <wp:inline distT="0" distB="0" distL="0" distR="0">
            <wp:extent cx="6477000" cy="5943600"/>
            <wp:effectExtent l="0" t="0" r="0" b="0"/>
            <wp:docPr id="192" name="image8.png" descr="C:\Users\adeli\AppData\Local\Microsoft\Windows\INetCache\Content.Word\Знімок екрана 2024-05-25 003746.png"/>
            <wp:cNvGraphicFramePr/>
            <a:graphic xmlns:a="http://schemas.openxmlformats.org/drawingml/2006/main">
              <a:graphicData uri="http://schemas.openxmlformats.org/drawingml/2006/picture">
                <pic:pic xmlns:pic="http://schemas.openxmlformats.org/drawingml/2006/picture">
                  <pic:nvPicPr>
                    <pic:cNvPr id="0" name="image8.png" descr="C:\Users\adeli\AppData\Local\Microsoft\Windows\INetCache\Content.Word\Знімок екрана 2024-05-25 003746.png"/>
                    <pic:cNvPicPr preferRelativeResize="0"/>
                  </pic:nvPicPr>
                  <pic:blipFill>
                    <a:blip r:embed="rId91"/>
                    <a:srcRect/>
                    <a:stretch>
                      <a:fillRect/>
                    </a:stretch>
                  </pic:blipFill>
                  <pic:spPr>
                    <a:xfrm>
                      <a:off x="0" y="0"/>
                      <a:ext cx="6477000" cy="5943600"/>
                    </a:xfrm>
                    <a:prstGeom prst="rect">
                      <a:avLst/>
                    </a:prstGeom>
                    <a:ln/>
                  </pic:spPr>
                </pic:pic>
              </a:graphicData>
            </a:graphic>
          </wp:inline>
        </w:drawing>
      </w:r>
    </w:p>
    <w:p w:rsidR="001E0A2A" w:rsidRDefault="00E079B6">
      <w:pPr>
        <w:ind w:firstLine="0"/>
        <w:jc w:val="left"/>
        <w:rPr>
          <w:b/>
        </w:rPr>
      </w:pPr>
      <w:r>
        <w:br w:type="page"/>
      </w:r>
    </w:p>
    <w:p w:rsidR="001E0A2A" w:rsidRDefault="00E079B6">
      <w:pPr>
        <w:ind w:firstLine="0"/>
        <w:jc w:val="center"/>
        <w:rPr>
          <w:b/>
        </w:rPr>
      </w:pPr>
      <w:r>
        <w:rPr>
          <w:b/>
        </w:rPr>
        <w:t>Додаток Г</w:t>
      </w:r>
    </w:p>
    <w:p w:rsidR="001E0A2A" w:rsidRDefault="00E079B6">
      <w:pPr>
        <w:ind w:firstLine="0"/>
        <w:jc w:val="center"/>
        <w:rPr>
          <w:b/>
        </w:rPr>
      </w:pPr>
      <w:r>
        <w:rPr>
          <w:b/>
        </w:rPr>
        <w:t>Розгорнутий графік проведення дослідження</w:t>
      </w:r>
    </w:p>
    <w:p w:rsidR="001E0A2A" w:rsidRDefault="00E079B6">
      <w:pPr>
        <w:ind w:firstLine="0"/>
        <w:jc w:val="center"/>
      </w:pPr>
      <w:r>
        <w:rPr>
          <w:noProof/>
          <w:lang w:val="en-US"/>
        </w:rPr>
        <w:drawing>
          <wp:inline distT="0" distB="0" distL="0" distR="0">
            <wp:extent cx="7866046" cy="4397014"/>
            <wp:effectExtent l="0" t="0" r="0" b="0"/>
            <wp:docPr id="19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2"/>
                    <a:srcRect/>
                    <a:stretch>
                      <a:fillRect/>
                    </a:stretch>
                  </pic:blipFill>
                  <pic:spPr>
                    <a:xfrm rot="16200000">
                      <a:off x="0" y="0"/>
                      <a:ext cx="7866046" cy="4397014"/>
                    </a:xfrm>
                    <a:prstGeom prst="rect">
                      <a:avLst/>
                    </a:prstGeom>
                    <a:ln/>
                  </pic:spPr>
                </pic:pic>
              </a:graphicData>
            </a:graphic>
          </wp:inline>
        </w:drawing>
      </w:r>
    </w:p>
    <w:p w:rsidR="001E0A2A" w:rsidRDefault="00E079B6">
      <w:pPr>
        <w:ind w:firstLine="0"/>
        <w:jc w:val="center"/>
        <w:rPr>
          <w:b/>
        </w:rPr>
      </w:pPr>
      <w:r>
        <w:rPr>
          <w:b/>
        </w:rPr>
        <w:t>Додаток Д</w:t>
      </w:r>
    </w:p>
    <w:p w:rsidR="001E0A2A" w:rsidRDefault="00E079B6">
      <w:pPr>
        <w:ind w:firstLine="0"/>
        <w:jc w:val="center"/>
        <w:rPr>
          <w:b/>
        </w:rPr>
      </w:pPr>
      <w:r>
        <w:rPr>
          <w:b/>
        </w:rPr>
        <w:t>Реклама в Google</w:t>
      </w:r>
    </w:p>
    <w:p w:rsidR="001E0A2A" w:rsidRDefault="00FE7789">
      <w:pPr>
        <w:ind w:firstLine="0"/>
        <w:jc w:val="center"/>
        <w:rPr>
          <w:b/>
        </w:rPr>
      </w:pPr>
      <w:r>
        <w:rPr>
          <w:b/>
        </w:rPr>
        <w:pict>
          <v:shape id="_x0000_i1028" type="#_x0000_t75" style="width:426pt;height:342.75pt">
            <v:imagedata r:id="rId93" o:title="Знімок екрана 2024-05-27 100421" cropbottom="15280f" grayscale="t"/>
          </v:shape>
        </w:pict>
      </w:r>
    </w:p>
    <w:p w:rsidR="001E0A2A" w:rsidRDefault="00FE7789">
      <w:pPr>
        <w:ind w:firstLine="0"/>
        <w:jc w:val="center"/>
      </w:pPr>
      <w:r>
        <w:rPr>
          <w:b/>
        </w:rPr>
        <w:pict>
          <v:shape id="_x0000_i1029" type="#_x0000_t75" style="width:429.75pt;height:226.5pt">
            <v:imagedata r:id="rId94" o:title="Знімок екрана 2024-05-27 100448" grayscale="t"/>
          </v:shape>
        </w:pict>
      </w:r>
    </w:p>
    <w:sectPr w:rsidR="001E0A2A">
      <w:type w:val="continuous"/>
      <w:pgSz w:w="11906" w:h="16838"/>
      <w:pgMar w:top="1134" w:right="567" w:bottom="1134" w:left="1418"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79B6" w:rsidRDefault="00E079B6">
      <w:pPr>
        <w:spacing w:line="240" w:lineRule="auto"/>
      </w:pPr>
      <w:r>
        <w:separator/>
      </w:r>
    </w:p>
  </w:endnote>
  <w:endnote w:type="continuationSeparator" w:id="0">
    <w:p w:rsidR="00E079B6" w:rsidRDefault="00E079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Gungsuh">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79B6" w:rsidRDefault="00E079B6">
      <w:pPr>
        <w:spacing w:line="240" w:lineRule="auto"/>
      </w:pPr>
      <w:r>
        <w:separator/>
      </w:r>
    </w:p>
  </w:footnote>
  <w:footnote w:type="continuationSeparator" w:id="0">
    <w:p w:rsidR="00E079B6" w:rsidRDefault="00E079B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A2A" w:rsidRDefault="001E0A2A">
    <w:pPr>
      <w:pBdr>
        <w:top w:val="nil"/>
        <w:left w:val="nil"/>
        <w:bottom w:val="nil"/>
        <w:right w:val="nil"/>
        <w:between w:val="nil"/>
      </w:pBdr>
      <w:tabs>
        <w:tab w:val="center" w:pos="4986"/>
        <w:tab w:val="right" w:pos="9973"/>
      </w:tabs>
      <w:spacing w:line="240" w:lineRule="auto"/>
      <w:ind w:firstLine="0"/>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A2A" w:rsidRDefault="001E0A2A">
    <w:pPr>
      <w:pBdr>
        <w:top w:val="nil"/>
        <w:left w:val="nil"/>
        <w:bottom w:val="nil"/>
        <w:right w:val="nil"/>
        <w:between w:val="nil"/>
      </w:pBdr>
      <w:tabs>
        <w:tab w:val="center" w:pos="4986"/>
        <w:tab w:val="right" w:pos="9973"/>
      </w:tabs>
      <w:spacing w:line="240" w:lineRule="auto"/>
      <w:ind w:firstLine="0"/>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87BE5"/>
    <w:multiLevelType w:val="multilevel"/>
    <w:tmpl w:val="AA8C307C"/>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8F138E3"/>
    <w:multiLevelType w:val="multilevel"/>
    <w:tmpl w:val="4DAAF35A"/>
    <w:lvl w:ilvl="0">
      <w:numFmt w:val="bullet"/>
      <w:lvlText w:val="–"/>
      <w:lvlJc w:val="left"/>
      <w:pPr>
        <w:ind w:left="1154" w:hanging="360"/>
      </w:pPr>
      <w:rPr>
        <w:rFonts w:ascii="Times New Roman" w:eastAsia="Times New Roman" w:hAnsi="Times New Roman" w:cs="Times New Roman"/>
      </w:rPr>
    </w:lvl>
    <w:lvl w:ilvl="1">
      <w:start w:val="1"/>
      <w:numFmt w:val="bullet"/>
      <w:lvlText w:val="o"/>
      <w:lvlJc w:val="left"/>
      <w:pPr>
        <w:ind w:left="1874" w:hanging="360"/>
      </w:pPr>
      <w:rPr>
        <w:rFonts w:ascii="Courier New" w:eastAsia="Courier New" w:hAnsi="Courier New" w:cs="Courier New"/>
      </w:rPr>
    </w:lvl>
    <w:lvl w:ilvl="2">
      <w:start w:val="1"/>
      <w:numFmt w:val="bullet"/>
      <w:lvlText w:val="▪"/>
      <w:lvlJc w:val="left"/>
      <w:pPr>
        <w:ind w:left="2594" w:hanging="360"/>
      </w:pPr>
      <w:rPr>
        <w:rFonts w:ascii="Noto Sans Symbols" w:eastAsia="Noto Sans Symbols" w:hAnsi="Noto Sans Symbols" w:cs="Noto Sans Symbols"/>
      </w:rPr>
    </w:lvl>
    <w:lvl w:ilvl="3">
      <w:start w:val="1"/>
      <w:numFmt w:val="bullet"/>
      <w:lvlText w:val="●"/>
      <w:lvlJc w:val="left"/>
      <w:pPr>
        <w:ind w:left="3314" w:hanging="360"/>
      </w:pPr>
      <w:rPr>
        <w:rFonts w:ascii="Noto Sans Symbols" w:eastAsia="Noto Sans Symbols" w:hAnsi="Noto Sans Symbols" w:cs="Noto Sans Symbols"/>
      </w:rPr>
    </w:lvl>
    <w:lvl w:ilvl="4">
      <w:start w:val="1"/>
      <w:numFmt w:val="bullet"/>
      <w:lvlText w:val="o"/>
      <w:lvlJc w:val="left"/>
      <w:pPr>
        <w:ind w:left="4034" w:hanging="360"/>
      </w:pPr>
      <w:rPr>
        <w:rFonts w:ascii="Courier New" w:eastAsia="Courier New" w:hAnsi="Courier New" w:cs="Courier New"/>
      </w:rPr>
    </w:lvl>
    <w:lvl w:ilvl="5">
      <w:start w:val="1"/>
      <w:numFmt w:val="bullet"/>
      <w:lvlText w:val="▪"/>
      <w:lvlJc w:val="left"/>
      <w:pPr>
        <w:ind w:left="4754" w:hanging="360"/>
      </w:pPr>
      <w:rPr>
        <w:rFonts w:ascii="Noto Sans Symbols" w:eastAsia="Noto Sans Symbols" w:hAnsi="Noto Sans Symbols" w:cs="Noto Sans Symbols"/>
      </w:rPr>
    </w:lvl>
    <w:lvl w:ilvl="6">
      <w:start w:val="1"/>
      <w:numFmt w:val="bullet"/>
      <w:lvlText w:val="●"/>
      <w:lvlJc w:val="left"/>
      <w:pPr>
        <w:ind w:left="5474" w:hanging="360"/>
      </w:pPr>
      <w:rPr>
        <w:rFonts w:ascii="Noto Sans Symbols" w:eastAsia="Noto Sans Symbols" w:hAnsi="Noto Sans Symbols" w:cs="Noto Sans Symbols"/>
      </w:rPr>
    </w:lvl>
    <w:lvl w:ilvl="7">
      <w:start w:val="1"/>
      <w:numFmt w:val="bullet"/>
      <w:lvlText w:val="o"/>
      <w:lvlJc w:val="left"/>
      <w:pPr>
        <w:ind w:left="6194" w:hanging="360"/>
      </w:pPr>
      <w:rPr>
        <w:rFonts w:ascii="Courier New" w:eastAsia="Courier New" w:hAnsi="Courier New" w:cs="Courier New"/>
      </w:rPr>
    </w:lvl>
    <w:lvl w:ilvl="8">
      <w:start w:val="1"/>
      <w:numFmt w:val="bullet"/>
      <w:lvlText w:val="▪"/>
      <w:lvlJc w:val="left"/>
      <w:pPr>
        <w:ind w:left="6914" w:hanging="360"/>
      </w:pPr>
      <w:rPr>
        <w:rFonts w:ascii="Noto Sans Symbols" w:eastAsia="Noto Sans Symbols" w:hAnsi="Noto Sans Symbols" w:cs="Noto Sans Symbols"/>
      </w:rPr>
    </w:lvl>
  </w:abstractNum>
  <w:abstractNum w:abstractNumId="2" w15:restartNumberingAfterBreak="0">
    <w:nsid w:val="09B80ABD"/>
    <w:multiLevelType w:val="multilevel"/>
    <w:tmpl w:val="3836E55E"/>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0ADB324C"/>
    <w:multiLevelType w:val="multilevel"/>
    <w:tmpl w:val="95B6072C"/>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0B1B3529"/>
    <w:multiLevelType w:val="multilevel"/>
    <w:tmpl w:val="5A3C0E50"/>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11534367"/>
    <w:multiLevelType w:val="multilevel"/>
    <w:tmpl w:val="FADA3D7E"/>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1690378A"/>
    <w:multiLevelType w:val="multilevel"/>
    <w:tmpl w:val="DAA8F862"/>
    <w:lvl w:ilvl="0">
      <w:start w:val="1"/>
      <w:numFmt w:val="decimal"/>
      <w:lvlText w:val="%1."/>
      <w:lvlJc w:val="left"/>
      <w:pPr>
        <w:ind w:left="1080" w:hanging="360"/>
      </w:pPr>
      <w:rPr>
        <w:b w:val="0"/>
        <w:sz w:val="28"/>
        <w:szCs w:val="28"/>
      </w:rPr>
    </w:lvl>
    <w:lvl w:ilvl="1">
      <w:numFmt w:val="bullet"/>
      <w:lvlText w:val="–"/>
      <w:lvlJc w:val="left"/>
      <w:pPr>
        <w:ind w:left="1800" w:hanging="360"/>
      </w:pPr>
      <w:rPr>
        <w:rFonts w:ascii="Times New Roman" w:eastAsia="Times New Roman" w:hAnsi="Times New Roman" w:cs="Times New Roman"/>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19227233"/>
    <w:multiLevelType w:val="multilevel"/>
    <w:tmpl w:val="B986FF22"/>
    <w:lvl w:ilvl="0">
      <w:numFmt w:val="bullet"/>
      <w:lvlText w:val="–"/>
      <w:lvlJc w:val="left"/>
      <w:pPr>
        <w:ind w:left="1154" w:hanging="360"/>
      </w:pPr>
      <w:rPr>
        <w:rFonts w:ascii="Times New Roman" w:eastAsia="Times New Roman" w:hAnsi="Times New Roman" w:cs="Times New Roman"/>
      </w:rPr>
    </w:lvl>
    <w:lvl w:ilvl="1">
      <w:start w:val="1"/>
      <w:numFmt w:val="bullet"/>
      <w:lvlText w:val="o"/>
      <w:lvlJc w:val="left"/>
      <w:pPr>
        <w:ind w:left="1874" w:hanging="360"/>
      </w:pPr>
      <w:rPr>
        <w:rFonts w:ascii="Courier New" w:eastAsia="Courier New" w:hAnsi="Courier New" w:cs="Courier New"/>
      </w:rPr>
    </w:lvl>
    <w:lvl w:ilvl="2">
      <w:start w:val="1"/>
      <w:numFmt w:val="bullet"/>
      <w:lvlText w:val="▪"/>
      <w:lvlJc w:val="left"/>
      <w:pPr>
        <w:ind w:left="2594" w:hanging="360"/>
      </w:pPr>
      <w:rPr>
        <w:rFonts w:ascii="Noto Sans Symbols" w:eastAsia="Noto Sans Symbols" w:hAnsi="Noto Sans Symbols" w:cs="Noto Sans Symbols"/>
      </w:rPr>
    </w:lvl>
    <w:lvl w:ilvl="3">
      <w:start w:val="1"/>
      <w:numFmt w:val="bullet"/>
      <w:lvlText w:val="●"/>
      <w:lvlJc w:val="left"/>
      <w:pPr>
        <w:ind w:left="3314" w:hanging="360"/>
      </w:pPr>
      <w:rPr>
        <w:rFonts w:ascii="Noto Sans Symbols" w:eastAsia="Noto Sans Symbols" w:hAnsi="Noto Sans Symbols" w:cs="Noto Sans Symbols"/>
      </w:rPr>
    </w:lvl>
    <w:lvl w:ilvl="4">
      <w:start w:val="1"/>
      <w:numFmt w:val="bullet"/>
      <w:lvlText w:val="o"/>
      <w:lvlJc w:val="left"/>
      <w:pPr>
        <w:ind w:left="4034" w:hanging="360"/>
      </w:pPr>
      <w:rPr>
        <w:rFonts w:ascii="Courier New" w:eastAsia="Courier New" w:hAnsi="Courier New" w:cs="Courier New"/>
      </w:rPr>
    </w:lvl>
    <w:lvl w:ilvl="5">
      <w:start w:val="1"/>
      <w:numFmt w:val="bullet"/>
      <w:lvlText w:val="▪"/>
      <w:lvlJc w:val="left"/>
      <w:pPr>
        <w:ind w:left="4754" w:hanging="360"/>
      </w:pPr>
      <w:rPr>
        <w:rFonts w:ascii="Noto Sans Symbols" w:eastAsia="Noto Sans Symbols" w:hAnsi="Noto Sans Symbols" w:cs="Noto Sans Symbols"/>
      </w:rPr>
    </w:lvl>
    <w:lvl w:ilvl="6">
      <w:start w:val="1"/>
      <w:numFmt w:val="bullet"/>
      <w:lvlText w:val="●"/>
      <w:lvlJc w:val="left"/>
      <w:pPr>
        <w:ind w:left="5474" w:hanging="360"/>
      </w:pPr>
      <w:rPr>
        <w:rFonts w:ascii="Noto Sans Symbols" w:eastAsia="Noto Sans Symbols" w:hAnsi="Noto Sans Symbols" w:cs="Noto Sans Symbols"/>
      </w:rPr>
    </w:lvl>
    <w:lvl w:ilvl="7">
      <w:start w:val="1"/>
      <w:numFmt w:val="bullet"/>
      <w:lvlText w:val="o"/>
      <w:lvlJc w:val="left"/>
      <w:pPr>
        <w:ind w:left="6194" w:hanging="360"/>
      </w:pPr>
      <w:rPr>
        <w:rFonts w:ascii="Courier New" w:eastAsia="Courier New" w:hAnsi="Courier New" w:cs="Courier New"/>
      </w:rPr>
    </w:lvl>
    <w:lvl w:ilvl="8">
      <w:start w:val="1"/>
      <w:numFmt w:val="bullet"/>
      <w:lvlText w:val="▪"/>
      <w:lvlJc w:val="left"/>
      <w:pPr>
        <w:ind w:left="6914" w:hanging="360"/>
      </w:pPr>
      <w:rPr>
        <w:rFonts w:ascii="Noto Sans Symbols" w:eastAsia="Noto Sans Symbols" w:hAnsi="Noto Sans Symbols" w:cs="Noto Sans Symbols"/>
      </w:rPr>
    </w:lvl>
  </w:abstractNum>
  <w:abstractNum w:abstractNumId="8" w15:restartNumberingAfterBreak="0">
    <w:nsid w:val="1A81741C"/>
    <w:multiLevelType w:val="multilevel"/>
    <w:tmpl w:val="5D702A5C"/>
    <w:lvl w:ilvl="0">
      <w:start w:val="1"/>
      <w:numFmt w:val="decimal"/>
      <w:lvlText w:val="%1."/>
      <w:lvlJc w:val="left"/>
      <w:pPr>
        <w:ind w:left="360" w:hanging="360"/>
      </w:pPr>
      <w:rPr>
        <w:b w:val="0"/>
        <w:sz w:val="28"/>
        <w:szCs w:val="28"/>
      </w:rPr>
    </w:lvl>
    <w:lvl w:ilvl="1">
      <w:numFmt w:val="bullet"/>
      <w:lvlText w:val="–"/>
      <w:lvlJc w:val="left"/>
      <w:pPr>
        <w:ind w:left="1080" w:hanging="360"/>
      </w:pPr>
      <w:rPr>
        <w:rFonts w:ascii="Times New Roman" w:eastAsia="Times New Roman" w:hAnsi="Times New Roman" w:cs="Times New Roman"/>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1D377ABD"/>
    <w:multiLevelType w:val="multilevel"/>
    <w:tmpl w:val="0B0628DE"/>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15:restartNumberingAfterBreak="0">
    <w:nsid w:val="1E7C3ECF"/>
    <w:multiLevelType w:val="multilevel"/>
    <w:tmpl w:val="94202020"/>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1" w15:restartNumberingAfterBreak="0">
    <w:nsid w:val="23CD16C6"/>
    <w:multiLevelType w:val="multilevel"/>
    <w:tmpl w:val="C0AE58C2"/>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12" w15:restartNumberingAfterBreak="0">
    <w:nsid w:val="23ED63EB"/>
    <w:multiLevelType w:val="multilevel"/>
    <w:tmpl w:val="0A30202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251A1E3F"/>
    <w:multiLevelType w:val="multilevel"/>
    <w:tmpl w:val="2A52EA38"/>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4" w15:restartNumberingAfterBreak="0">
    <w:nsid w:val="27757D13"/>
    <w:multiLevelType w:val="multilevel"/>
    <w:tmpl w:val="28DE150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15:restartNumberingAfterBreak="0">
    <w:nsid w:val="27FD60DF"/>
    <w:multiLevelType w:val="multilevel"/>
    <w:tmpl w:val="138C605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 w15:restartNumberingAfterBreak="0">
    <w:nsid w:val="2A9E2102"/>
    <w:multiLevelType w:val="multilevel"/>
    <w:tmpl w:val="E18650B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2B146C67"/>
    <w:multiLevelType w:val="multilevel"/>
    <w:tmpl w:val="D6923FC0"/>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2C532C04"/>
    <w:multiLevelType w:val="multilevel"/>
    <w:tmpl w:val="7E945D18"/>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19" w15:restartNumberingAfterBreak="0">
    <w:nsid w:val="31B82D09"/>
    <w:multiLevelType w:val="multilevel"/>
    <w:tmpl w:val="F7E82984"/>
    <w:lvl w:ilvl="0">
      <w:numFmt w:val="bullet"/>
      <w:lvlText w:val="–"/>
      <w:lvlJc w:val="left"/>
      <w:pPr>
        <w:ind w:left="1080" w:hanging="360"/>
      </w:pPr>
      <w:rPr>
        <w:rFonts w:ascii="Times New Roman" w:eastAsia="Times New Roman"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35BF277E"/>
    <w:multiLevelType w:val="multilevel"/>
    <w:tmpl w:val="8F08D1E6"/>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21" w15:restartNumberingAfterBreak="0">
    <w:nsid w:val="374E6C08"/>
    <w:multiLevelType w:val="multilevel"/>
    <w:tmpl w:val="645464A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22" w15:restartNumberingAfterBreak="0">
    <w:nsid w:val="3968188E"/>
    <w:multiLevelType w:val="multilevel"/>
    <w:tmpl w:val="7466D486"/>
    <w:lvl w:ilvl="0">
      <w:numFmt w:val="bullet"/>
      <w:lvlText w:val="–"/>
      <w:lvlJc w:val="left"/>
      <w:pPr>
        <w:ind w:left="360" w:hanging="360"/>
      </w:pPr>
      <w:rPr>
        <w:rFonts w:ascii="Times New Roman" w:eastAsia="Times New Roman" w:hAnsi="Times New Roman" w:cs="Times New Roman"/>
        <w:b w:val="0"/>
        <w:sz w:val="28"/>
        <w:szCs w:val="28"/>
      </w:rPr>
    </w:lvl>
    <w:lvl w:ilvl="1">
      <w:numFmt w:val="bullet"/>
      <w:lvlText w:val="–"/>
      <w:lvlJc w:val="left"/>
      <w:pPr>
        <w:ind w:left="1080" w:hanging="360"/>
      </w:pPr>
      <w:rPr>
        <w:rFonts w:ascii="Times New Roman" w:eastAsia="Times New Roman" w:hAnsi="Times New Roman" w:cs="Times New Roman"/>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39886227"/>
    <w:multiLevelType w:val="multilevel"/>
    <w:tmpl w:val="5F4C80E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15:restartNumberingAfterBreak="0">
    <w:nsid w:val="3DE54CB0"/>
    <w:multiLevelType w:val="multilevel"/>
    <w:tmpl w:val="9628EB88"/>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5" w15:restartNumberingAfterBreak="0">
    <w:nsid w:val="3F64101A"/>
    <w:multiLevelType w:val="multilevel"/>
    <w:tmpl w:val="F41424D6"/>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6" w15:restartNumberingAfterBreak="0">
    <w:nsid w:val="3FA61537"/>
    <w:multiLevelType w:val="multilevel"/>
    <w:tmpl w:val="12A8FA46"/>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7" w15:restartNumberingAfterBreak="0">
    <w:nsid w:val="41116922"/>
    <w:multiLevelType w:val="multilevel"/>
    <w:tmpl w:val="1772AE32"/>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28" w15:restartNumberingAfterBreak="0">
    <w:nsid w:val="42A56655"/>
    <w:multiLevelType w:val="multilevel"/>
    <w:tmpl w:val="39026E54"/>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9" w15:restartNumberingAfterBreak="0">
    <w:nsid w:val="43926ED7"/>
    <w:multiLevelType w:val="multilevel"/>
    <w:tmpl w:val="18EEE46A"/>
    <w:lvl w:ilvl="0">
      <w:start w:val="1"/>
      <w:numFmt w:val="decimal"/>
      <w:lvlText w:val="%1."/>
      <w:lvlJc w:val="left"/>
      <w:pPr>
        <w:ind w:left="1080" w:hanging="360"/>
      </w:pPr>
    </w:lvl>
    <w:lvl w:ilvl="1">
      <w:numFmt w:val="bullet"/>
      <w:lvlText w:val="-"/>
      <w:lvlJc w:val="left"/>
      <w:pPr>
        <w:ind w:left="1800" w:hanging="360"/>
      </w:pPr>
      <w:rPr>
        <w:rFonts w:ascii="Times New Roman" w:eastAsia="Times New Roman" w:hAnsi="Times New Roman" w:cs="Times New Roman"/>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45AD3ABC"/>
    <w:multiLevelType w:val="multilevel"/>
    <w:tmpl w:val="04C2F1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70D79E2"/>
    <w:multiLevelType w:val="multilevel"/>
    <w:tmpl w:val="4AD07A8E"/>
    <w:lvl w:ilvl="0">
      <w:numFmt w:val="bullet"/>
      <w:lvlText w:val="–"/>
      <w:lvlJc w:val="left"/>
      <w:pPr>
        <w:ind w:left="360" w:hanging="360"/>
      </w:pPr>
      <w:rPr>
        <w:rFonts w:ascii="Times New Roman" w:eastAsia="Times New Roman" w:hAnsi="Times New Roman" w:cs="Times New Roman"/>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2" w15:restartNumberingAfterBreak="0">
    <w:nsid w:val="47373EF5"/>
    <w:multiLevelType w:val="multilevel"/>
    <w:tmpl w:val="0B3ECE6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47D50448"/>
    <w:multiLevelType w:val="multilevel"/>
    <w:tmpl w:val="BF20AD34"/>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4" w15:restartNumberingAfterBreak="0">
    <w:nsid w:val="4A8E5C3E"/>
    <w:multiLevelType w:val="multilevel"/>
    <w:tmpl w:val="FC166808"/>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5" w15:restartNumberingAfterBreak="0">
    <w:nsid w:val="50075EAE"/>
    <w:multiLevelType w:val="multilevel"/>
    <w:tmpl w:val="E6D894FE"/>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36" w15:restartNumberingAfterBreak="0">
    <w:nsid w:val="54E1757F"/>
    <w:multiLevelType w:val="multilevel"/>
    <w:tmpl w:val="92FA0470"/>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37" w15:restartNumberingAfterBreak="0">
    <w:nsid w:val="575807F5"/>
    <w:multiLevelType w:val="multilevel"/>
    <w:tmpl w:val="D762445E"/>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8" w15:restartNumberingAfterBreak="0">
    <w:nsid w:val="62A10BC4"/>
    <w:multiLevelType w:val="multilevel"/>
    <w:tmpl w:val="13982F3C"/>
    <w:lvl w:ilvl="0">
      <w:numFmt w:val="bullet"/>
      <w:lvlText w:val="–"/>
      <w:lvlJc w:val="left"/>
      <w:pPr>
        <w:ind w:left="360" w:hanging="360"/>
      </w:pPr>
      <w:rPr>
        <w:rFonts w:ascii="Times New Roman" w:eastAsia="Times New Roman" w:hAnsi="Times New Roman" w:cs="Times New Roman"/>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9" w15:restartNumberingAfterBreak="0">
    <w:nsid w:val="64305C71"/>
    <w:multiLevelType w:val="multilevel"/>
    <w:tmpl w:val="578E4862"/>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40" w15:restartNumberingAfterBreak="0">
    <w:nsid w:val="657F7856"/>
    <w:multiLevelType w:val="multilevel"/>
    <w:tmpl w:val="A56C9278"/>
    <w:lvl w:ilvl="0">
      <w:numFmt w:val="bullet"/>
      <w:lvlText w:val="–"/>
      <w:lvlJc w:val="left"/>
      <w:pPr>
        <w:ind w:left="360" w:hanging="360"/>
      </w:pPr>
      <w:rPr>
        <w:rFonts w:ascii="Times New Roman" w:eastAsia="Times New Roman" w:hAnsi="Times New Roman" w:cs="Times New Roman"/>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1" w15:restartNumberingAfterBreak="0">
    <w:nsid w:val="667F63A4"/>
    <w:multiLevelType w:val="multilevel"/>
    <w:tmpl w:val="9F2A7F6A"/>
    <w:lvl w:ilvl="0">
      <w:start w:val="1"/>
      <w:numFmt w:val="decimal"/>
      <w:lvlText w:val="%1."/>
      <w:lvlJc w:val="left"/>
      <w:pPr>
        <w:ind w:left="1080" w:hanging="360"/>
      </w:pPr>
    </w:lvl>
    <w:lvl w:ilvl="1">
      <w:start w:val="1"/>
      <w:numFmt w:val="decimal"/>
      <w:lvlText w:val="%1.%2"/>
      <w:lvlJc w:val="left"/>
      <w:pPr>
        <w:ind w:left="1140" w:hanging="420"/>
      </w:pPr>
    </w:lvl>
    <w:lvl w:ilvl="2">
      <w:start w:val="1"/>
      <w:numFmt w:val="decimal"/>
      <w:lvlText w:val="%1.%2.%3"/>
      <w:lvlJc w:val="left"/>
      <w:pPr>
        <w:ind w:left="1440" w:hanging="720"/>
      </w:pPr>
    </w:lvl>
    <w:lvl w:ilvl="3">
      <w:start w:val="1"/>
      <w:numFmt w:val="decimal"/>
      <w:lvlText w:val="%1.%2.%3.%4"/>
      <w:lvlJc w:val="left"/>
      <w:pPr>
        <w:ind w:left="1800" w:hanging="1080"/>
      </w:pPr>
    </w:lvl>
    <w:lvl w:ilvl="4">
      <w:start w:val="1"/>
      <w:numFmt w:val="decimal"/>
      <w:lvlText w:val="%1.%2.%3.%4.%5"/>
      <w:lvlJc w:val="left"/>
      <w:pPr>
        <w:ind w:left="1800" w:hanging="1080"/>
      </w:pPr>
    </w:lvl>
    <w:lvl w:ilvl="5">
      <w:start w:val="1"/>
      <w:numFmt w:val="decimal"/>
      <w:lvlText w:val="%1.%2.%3.%4.%5.%6"/>
      <w:lvlJc w:val="left"/>
      <w:pPr>
        <w:ind w:left="2160" w:hanging="1440"/>
      </w:pPr>
    </w:lvl>
    <w:lvl w:ilvl="6">
      <w:start w:val="1"/>
      <w:numFmt w:val="decimal"/>
      <w:lvlText w:val="%1.%2.%3.%4.%5.%6.%7"/>
      <w:lvlJc w:val="left"/>
      <w:pPr>
        <w:ind w:left="2160" w:hanging="1440"/>
      </w:pPr>
    </w:lvl>
    <w:lvl w:ilvl="7">
      <w:start w:val="1"/>
      <w:numFmt w:val="decimal"/>
      <w:lvlText w:val="%1.%2.%3.%4.%5.%6.%7.%8"/>
      <w:lvlJc w:val="left"/>
      <w:pPr>
        <w:ind w:left="2520" w:hanging="1800"/>
      </w:pPr>
    </w:lvl>
    <w:lvl w:ilvl="8">
      <w:start w:val="1"/>
      <w:numFmt w:val="decimal"/>
      <w:lvlText w:val="%1.%2.%3.%4.%5.%6.%7.%8.%9"/>
      <w:lvlJc w:val="left"/>
      <w:pPr>
        <w:ind w:left="2880" w:hanging="2160"/>
      </w:pPr>
    </w:lvl>
  </w:abstractNum>
  <w:abstractNum w:abstractNumId="42" w15:restartNumberingAfterBreak="0">
    <w:nsid w:val="6EC07E2B"/>
    <w:multiLevelType w:val="multilevel"/>
    <w:tmpl w:val="FBC2CB12"/>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3" w15:restartNumberingAfterBreak="0">
    <w:nsid w:val="791273A4"/>
    <w:multiLevelType w:val="multilevel"/>
    <w:tmpl w:val="5E3C8FDC"/>
    <w:lvl w:ilvl="0">
      <w:start w:val="1"/>
      <w:numFmt w:val="decimal"/>
      <w:lvlText w:val="%1."/>
      <w:lvlJc w:val="left"/>
      <w:pPr>
        <w:ind w:left="1154" w:hanging="360"/>
      </w:pPr>
    </w:lvl>
    <w:lvl w:ilvl="1">
      <w:start w:val="1"/>
      <w:numFmt w:val="lowerLetter"/>
      <w:lvlText w:val="%2."/>
      <w:lvlJc w:val="left"/>
      <w:pPr>
        <w:ind w:left="1874" w:hanging="360"/>
      </w:pPr>
    </w:lvl>
    <w:lvl w:ilvl="2">
      <w:start w:val="1"/>
      <w:numFmt w:val="lowerRoman"/>
      <w:lvlText w:val="%3."/>
      <w:lvlJc w:val="right"/>
      <w:pPr>
        <w:ind w:left="2594" w:hanging="180"/>
      </w:pPr>
    </w:lvl>
    <w:lvl w:ilvl="3">
      <w:start w:val="1"/>
      <w:numFmt w:val="decimal"/>
      <w:lvlText w:val="%4."/>
      <w:lvlJc w:val="left"/>
      <w:pPr>
        <w:ind w:left="3314" w:hanging="360"/>
      </w:pPr>
    </w:lvl>
    <w:lvl w:ilvl="4">
      <w:start w:val="1"/>
      <w:numFmt w:val="lowerLetter"/>
      <w:lvlText w:val="%5."/>
      <w:lvlJc w:val="left"/>
      <w:pPr>
        <w:ind w:left="4034" w:hanging="360"/>
      </w:pPr>
    </w:lvl>
    <w:lvl w:ilvl="5">
      <w:start w:val="1"/>
      <w:numFmt w:val="lowerRoman"/>
      <w:lvlText w:val="%6."/>
      <w:lvlJc w:val="right"/>
      <w:pPr>
        <w:ind w:left="4754" w:hanging="180"/>
      </w:pPr>
    </w:lvl>
    <w:lvl w:ilvl="6">
      <w:start w:val="1"/>
      <w:numFmt w:val="decimal"/>
      <w:lvlText w:val="%7."/>
      <w:lvlJc w:val="left"/>
      <w:pPr>
        <w:ind w:left="5474" w:hanging="360"/>
      </w:pPr>
    </w:lvl>
    <w:lvl w:ilvl="7">
      <w:start w:val="1"/>
      <w:numFmt w:val="lowerLetter"/>
      <w:lvlText w:val="%8."/>
      <w:lvlJc w:val="left"/>
      <w:pPr>
        <w:ind w:left="6194" w:hanging="360"/>
      </w:pPr>
    </w:lvl>
    <w:lvl w:ilvl="8">
      <w:start w:val="1"/>
      <w:numFmt w:val="lowerRoman"/>
      <w:lvlText w:val="%9."/>
      <w:lvlJc w:val="right"/>
      <w:pPr>
        <w:ind w:left="6914" w:hanging="180"/>
      </w:pPr>
    </w:lvl>
  </w:abstractNum>
  <w:abstractNum w:abstractNumId="44" w15:restartNumberingAfterBreak="0">
    <w:nsid w:val="7A3464FB"/>
    <w:multiLevelType w:val="multilevel"/>
    <w:tmpl w:val="88328F44"/>
    <w:lvl w:ilvl="0">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5" w15:restartNumberingAfterBreak="0">
    <w:nsid w:val="7BC57AEC"/>
    <w:multiLevelType w:val="multilevel"/>
    <w:tmpl w:val="F9C48512"/>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6" w15:restartNumberingAfterBreak="0">
    <w:nsid w:val="7C3F5578"/>
    <w:multiLevelType w:val="multilevel"/>
    <w:tmpl w:val="45D09268"/>
    <w:lvl w:ilvl="0">
      <w:start w:val="1"/>
      <w:numFmt w:val="decimal"/>
      <w:lvlText w:val="%1."/>
      <w:lvlJc w:val="left"/>
      <w:pPr>
        <w:ind w:left="1080" w:hanging="360"/>
      </w:pPr>
    </w:lvl>
    <w:lvl w:ilvl="1">
      <w:numFmt w:val="bullet"/>
      <w:lvlText w:val="-"/>
      <w:lvlJc w:val="left"/>
      <w:pPr>
        <w:ind w:left="1800" w:hanging="360"/>
      </w:pPr>
      <w:rPr>
        <w:rFonts w:ascii="Times New Roman" w:eastAsia="Times New Roman" w:hAnsi="Times New Roman" w:cs="Times New Roman"/>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15:restartNumberingAfterBreak="0">
    <w:nsid w:val="7EF72446"/>
    <w:multiLevelType w:val="multilevel"/>
    <w:tmpl w:val="7AEC342E"/>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num w:numId="1">
    <w:abstractNumId w:val="17"/>
  </w:num>
  <w:num w:numId="2">
    <w:abstractNumId w:val="46"/>
  </w:num>
  <w:num w:numId="3">
    <w:abstractNumId w:val="5"/>
  </w:num>
  <w:num w:numId="4">
    <w:abstractNumId w:val="20"/>
  </w:num>
  <w:num w:numId="5">
    <w:abstractNumId w:val="45"/>
  </w:num>
  <w:num w:numId="6">
    <w:abstractNumId w:val="36"/>
  </w:num>
  <w:num w:numId="7">
    <w:abstractNumId w:val="35"/>
  </w:num>
  <w:num w:numId="8">
    <w:abstractNumId w:val="26"/>
  </w:num>
  <w:num w:numId="9">
    <w:abstractNumId w:val="47"/>
  </w:num>
  <w:num w:numId="10">
    <w:abstractNumId w:val="11"/>
  </w:num>
  <w:num w:numId="11">
    <w:abstractNumId w:val="19"/>
  </w:num>
  <w:num w:numId="12">
    <w:abstractNumId w:val="8"/>
  </w:num>
  <w:num w:numId="13">
    <w:abstractNumId w:val="18"/>
  </w:num>
  <w:num w:numId="14">
    <w:abstractNumId w:val="41"/>
  </w:num>
  <w:num w:numId="15">
    <w:abstractNumId w:val="22"/>
  </w:num>
  <w:num w:numId="16">
    <w:abstractNumId w:val="39"/>
  </w:num>
  <w:num w:numId="17">
    <w:abstractNumId w:val="21"/>
  </w:num>
  <w:num w:numId="18">
    <w:abstractNumId w:val="6"/>
  </w:num>
  <w:num w:numId="19">
    <w:abstractNumId w:val="30"/>
  </w:num>
  <w:num w:numId="20">
    <w:abstractNumId w:val="16"/>
  </w:num>
  <w:num w:numId="21">
    <w:abstractNumId w:val="38"/>
  </w:num>
  <w:num w:numId="22">
    <w:abstractNumId w:val="29"/>
  </w:num>
  <w:num w:numId="23">
    <w:abstractNumId w:val="14"/>
  </w:num>
  <w:num w:numId="24">
    <w:abstractNumId w:val="40"/>
  </w:num>
  <w:num w:numId="25">
    <w:abstractNumId w:val="34"/>
  </w:num>
  <w:num w:numId="26">
    <w:abstractNumId w:val="33"/>
  </w:num>
  <w:num w:numId="27">
    <w:abstractNumId w:val="15"/>
  </w:num>
  <w:num w:numId="28">
    <w:abstractNumId w:val="9"/>
  </w:num>
  <w:num w:numId="29">
    <w:abstractNumId w:val="3"/>
  </w:num>
  <w:num w:numId="30">
    <w:abstractNumId w:val="25"/>
  </w:num>
  <w:num w:numId="31">
    <w:abstractNumId w:val="37"/>
  </w:num>
  <w:num w:numId="32">
    <w:abstractNumId w:val="4"/>
  </w:num>
  <w:num w:numId="33">
    <w:abstractNumId w:val="31"/>
  </w:num>
  <w:num w:numId="34">
    <w:abstractNumId w:val="10"/>
  </w:num>
  <w:num w:numId="35">
    <w:abstractNumId w:val="42"/>
  </w:num>
  <w:num w:numId="36">
    <w:abstractNumId w:val="44"/>
  </w:num>
  <w:num w:numId="37">
    <w:abstractNumId w:val="28"/>
  </w:num>
  <w:num w:numId="38">
    <w:abstractNumId w:val="0"/>
  </w:num>
  <w:num w:numId="39">
    <w:abstractNumId w:val="24"/>
  </w:num>
  <w:num w:numId="40">
    <w:abstractNumId w:val="12"/>
  </w:num>
  <w:num w:numId="41">
    <w:abstractNumId w:val="27"/>
  </w:num>
  <w:num w:numId="42">
    <w:abstractNumId w:val="7"/>
  </w:num>
  <w:num w:numId="43">
    <w:abstractNumId w:val="13"/>
  </w:num>
  <w:num w:numId="44">
    <w:abstractNumId w:val="1"/>
  </w:num>
  <w:num w:numId="45">
    <w:abstractNumId w:val="23"/>
  </w:num>
  <w:num w:numId="46">
    <w:abstractNumId w:val="43"/>
  </w:num>
  <w:num w:numId="47">
    <w:abstractNumId w:val="32"/>
  </w:num>
  <w:num w:numId="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A2A"/>
    <w:rsid w:val="001E0A2A"/>
    <w:rsid w:val="00E079B6"/>
    <w:rsid w:val="00FE77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4A9EF743-0FE0-46E7-B583-A3596B284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uk-UA" w:eastAsia="en-US" w:bidi="ar-SA"/>
      </w:rPr>
    </w:rPrDefault>
    <w:pPrDefault>
      <w:pPr>
        <w:spacing w:line="36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7089"/>
  </w:style>
  <w:style w:type="paragraph" w:styleId="1">
    <w:name w:val="heading 1"/>
    <w:basedOn w:val="a"/>
    <w:next w:val="a"/>
    <w:link w:val="10"/>
    <w:uiPriority w:val="9"/>
    <w:qFormat/>
    <w:rsid w:val="00ED7A60"/>
    <w:pPr>
      <w:keepNext/>
      <w:keepLines/>
      <w:spacing w:before="240"/>
      <w:ind w:firstLine="0"/>
      <w:jc w:val="center"/>
      <w:outlineLvl w:val="0"/>
    </w:pPr>
    <w:rPr>
      <w:rFonts w:eastAsiaTheme="majorEastAsia" w:cstheme="majorBidi"/>
      <w:b/>
      <w:caps/>
      <w:szCs w:val="32"/>
    </w:rPr>
  </w:style>
  <w:style w:type="paragraph" w:styleId="2">
    <w:name w:val="heading 2"/>
    <w:basedOn w:val="a"/>
    <w:next w:val="a"/>
    <w:link w:val="20"/>
    <w:autoRedefine/>
    <w:uiPriority w:val="9"/>
    <w:unhideWhenUsed/>
    <w:qFormat/>
    <w:rsid w:val="00CA089F"/>
    <w:pPr>
      <w:keepNext/>
      <w:keepLines/>
      <w:spacing w:before="40"/>
      <w:ind w:left="851" w:hanging="142"/>
      <w:jc w:val="left"/>
      <w:outlineLvl w:val="1"/>
    </w:pPr>
    <w:rPr>
      <w:rFonts w:eastAsiaTheme="majorEastAsia" w:cstheme="majorBidi"/>
      <w:b/>
      <w:szCs w:val="26"/>
    </w:rPr>
  </w:style>
  <w:style w:type="paragraph" w:styleId="3">
    <w:name w:val="heading 3"/>
    <w:basedOn w:val="a"/>
    <w:next w:val="a"/>
    <w:link w:val="30"/>
    <w:uiPriority w:val="9"/>
    <w:semiHidden/>
    <w:unhideWhenUsed/>
    <w:qFormat/>
    <w:rsid w:val="005A739B"/>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E1F6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E123B6"/>
    <w:pPr>
      <w:spacing w:line="240" w:lineRule="auto"/>
      <w:contextualSpacing/>
    </w:pPr>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uiPriority w:val="9"/>
    <w:rsid w:val="00ED7A60"/>
    <w:rPr>
      <w:rFonts w:ascii="Times New Roman" w:eastAsiaTheme="majorEastAsia" w:hAnsi="Times New Roman" w:cstheme="majorBidi"/>
      <w:b/>
      <w:caps/>
      <w:sz w:val="28"/>
      <w:szCs w:val="32"/>
      <w:lang w:val="uk-UA"/>
    </w:rPr>
  </w:style>
  <w:style w:type="paragraph" w:styleId="a5">
    <w:name w:val="TOC Heading"/>
    <w:basedOn w:val="1"/>
    <w:next w:val="a"/>
    <w:uiPriority w:val="39"/>
    <w:unhideWhenUsed/>
    <w:qFormat/>
    <w:rsid w:val="007F4B1F"/>
    <w:pPr>
      <w:spacing w:line="259" w:lineRule="auto"/>
      <w:jc w:val="left"/>
      <w:outlineLvl w:val="9"/>
    </w:pPr>
    <w:rPr>
      <w:rFonts w:asciiTheme="majorHAnsi" w:hAnsiTheme="majorHAnsi"/>
      <w:b w:val="0"/>
      <w:color w:val="2E74B5" w:themeColor="accent1" w:themeShade="BF"/>
      <w:lang w:val="en-US"/>
    </w:rPr>
  </w:style>
  <w:style w:type="paragraph" w:styleId="11">
    <w:name w:val="toc 1"/>
    <w:basedOn w:val="a"/>
    <w:next w:val="a"/>
    <w:autoRedefine/>
    <w:uiPriority w:val="39"/>
    <w:unhideWhenUsed/>
    <w:rsid w:val="00EB083E"/>
    <w:pPr>
      <w:tabs>
        <w:tab w:val="right" w:leader="dot" w:pos="10245"/>
      </w:tabs>
      <w:contextualSpacing/>
    </w:pPr>
  </w:style>
  <w:style w:type="character" w:styleId="a6">
    <w:name w:val="Hyperlink"/>
    <w:basedOn w:val="a0"/>
    <w:uiPriority w:val="99"/>
    <w:unhideWhenUsed/>
    <w:rsid w:val="007F4B1F"/>
    <w:rPr>
      <w:color w:val="0563C1" w:themeColor="hyperlink"/>
      <w:u w:val="single"/>
    </w:rPr>
  </w:style>
  <w:style w:type="paragraph" w:customStyle="1" w:styleId="12">
    <w:name w:val="Обычный1"/>
    <w:rsid w:val="00291D4F"/>
    <w:pPr>
      <w:widowControl w:val="0"/>
    </w:pPr>
    <w:rPr>
      <w:snapToGrid w:val="0"/>
      <w:szCs w:val="20"/>
      <w:lang w:val="ru-RU" w:eastAsia="ru-RU"/>
    </w:rPr>
  </w:style>
  <w:style w:type="character" w:customStyle="1" w:styleId="20">
    <w:name w:val="Заголовок 2 Знак"/>
    <w:basedOn w:val="a0"/>
    <w:link w:val="2"/>
    <w:uiPriority w:val="9"/>
    <w:rsid w:val="00CA089F"/>
    <w:rPr>
      <w:rFonts w:ascii="Times New Roman" w:eastAsiaTheme="majorEastAsia" w:hAnsi="Times New Roman" w:cstheme="majorBidi"/>
      <w:b/>
      <w:sz w:val="28"/>
      <w:szCs w:val="26"/>
      <w:lang w:val="uk-UA"/>
    </w:rPr>
  </w:style>
  <w:style w:type="paragraph" w:styleId="a7">
    <w:name w:val="List Paragraph"/>
    <w:basedOn w:val="a"/>
    <w:link w:val="a8"/>
    <w:uiPriority w:val="34"/>
    <w:qFormat/>
    <w:rsid w:val="000B5D64"/>
    <w:pPr>
      <w:ind w:left="720"/>
      <w:contextualSpacing/>
    </w:pPr>
  </w:style>
  <w:style w:type="paragraph" w:customStyle="1" w:styleId="110">
    <w:name w:val="Обычный11"/>
    <w:rsid w:val="00607E33"/>
    <w:pPr>
      <w:widowControl w:val="0"/>
    </w:pPr>
    <w:rPr>
      <w:snapToGrid w:val="0"/>
      <w:szCs w:val="20"/>
      <w:lang w:val="ru-RU" w:eastAsia="ru-RU"/>
    </w:rPr>
  </w:style>
  <w:style w:type="character" w:customStyle="1" w:styleId="21">
    <w:name w:val="Основной текст (2)_"/>
    <w:link w:val="210"/>
    <w:rsid w:val="007C4F3C"/>
    <w:rPr>
      <w:b/>
      <w:bCs/>
      <w:shd w:val="clear" w:color="auto" w:fill="FFFFFF"/>
    </w:rPr>
  </w:style>
  <w:style w:type="paragraph" w:customStyle="1" w:styleId="210">
    <w:name w:val="Основной текст (2)1"/>
    <w:basedOn w:val="a"/>
    <w:link w:val="21"/>
    <w:rsid w:val="007C4F3C"/>
    <w:pPr>
      <w:widowControl w:val="0"/>
      <w:shd w:val="clear" w:color="auto" w:fill="FFFFFF"/>
      <w:spacing w:line="312" w:lineRule="exact"/>
      <w:ind w:firstLine="0"/>
      <w:jc w:val="left"/>
    </w:pPr>
    <w:rPr>
      <w:rFonts w:asciiTheme="minorHAnsi" w:hAnsiTheme="minorHAnsi"/>
      <w:b/>
      <w:bCs/>
      <w:sz w:val="22"/>
      <w:lang w:val="en-US"/>
    </w:rPr>
  </w:style>
  <w:style w:type="character" w:customStyle="1" w:styleId="rvts23">
    <w:name w:val="rvts23"/>
    <w:basedOn w:val="a0"/>
    <w:rsid w:val="007C4F3C"/>
  </w:style>
  <w:style w:type="table" w:styleId="a9">
    <w:name w:val="Table Grid"/>
    <w:basedOn w:val="a1"/>
    <w:uiPriority w:val="39"/>
    <w:rsid w:val="007C4F3C"/>
    <w:pPr>
      <w:spacing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ert-success">
    <w:name w:val="alert-success"/>
    <w:basedOn w:val="a0"/>
    <w:rsid w:val="007C4F3C"/>
  </w:style>
  <w:style w:type="paragraph" w:styleId="22">
    <w:name w:val="toc 2"/>
    <w:basedOn w:val="a"/>
    <w:next w:val="a"/>
    <w:autoRedefine/>
    <w:uiPriority w:val="39"/>
    <w:unhideWhenUsed/>
    <w:rsid w:val="00192B8C"/>
    <w:pPr>
      <w:spacing w:after="100"/>
      <w:ind w:left="280"/>
    </w:pPr>
  </w:style>
  <w:style w:type="character" w:customStyle="1" w:styleId="a4">
    <w:name w:val="Заголовок Знак"/>
    <w:basedOn w:val="a0"/>
    <w:link w:val="a3"/>
    <w:uiPriority w:val="10"/>
    <w:rsid w:val="00E123B6"/>
    <w:rPr>
      <w:rFonts w:asciiTheme="majorHAnsi" w:eastAsiaTheme="majorEastAsia" w:hAnsiTheme="majorHAnsi" w:cstheme="majorBidi"/>
      <w:noProof/>
      <w:spacing w:val="-10"/>
      <w:kern w:val="28"/>
      <w:sz w:val="56"/>
      <w:szCs w:val="56"/>
      <w:lang w:val="uk-UA"/>
    </w:rPr>
  </w:style>
  <w:style w:type="paragraph" w:styleId="aa">
    <w:name w:val="header"/>
    <w:basedOn w:val="a"/>
    <w:link w:val="ab"/>
    <w:uiPriority w:val="99"/>
    <w:unhideWhenUsed/>
    <w:rsid w:val="00E123B6"/>
    <w:pPr>
      <w:tabs>
        <w:tab w:val="center" w:pos="4986"/>
        <w:tab w:val="right" w:pos="9973"/>
      </w:tabs>
      <w:spacing w:line="240" w:lineRule="auto"/>
    </w:pPr>
  </w:style>
  <w:style w:type="character" w:customStyle="1" w:styleId="ab">
    <w:name w:val="Верхний колонтитул Знак"/>
    <w:basedOn w:val="a0"/>
    <w:link w:val="aa"/>
    <w:uiPriority w:val="99"/>
    <w:rsid w:val="00E123B6"/>
    <w:rPr>
      <w:rFonts w:ascii="Times New Roman" w:hAnsi="Times New Roman"/>
      <w:noProof/>
      <w:sz w:val="28"/>
      <w:lang w:val="uk-UA"/>
    </w:rPr>
  </w:style>
  <w:style w:type="paragraph" w:styleId="ac">
    <w:name w:val="footer"/>
    <w:basedOn w:val="a"/>
    <w:link w:val="ad"/>
    <w:uiPriority w:val="99"/>
    <w:unhideWhenUsed/>
    <w:rsid w:val="00E123B6"/>
    <w:pPr>
      <w:tabs>
        <w:tab w:val="center" w:pos="4986"/>
        <w:tab w:val="right" w:pos="9973"/>
      </w:tabs>
      <w:spacing w:line="240" w:lineRule="auto"/>
    </w:pPr>
  </w:style>
  <w:style w:type="character" w:customStyle="1" w:styleId="ad">
    <w:name w:val="Нижний колонтитул Знак"/>
    <w:basedOn w:val="a0"/>
    <w:link w:val="ac"/>
    <w:uiPriority w:val="99"/>
    <w:rsid w:val="00E123B6"/>
    <w:rPr>
      <w:rFonts w:ascii="Times New Roman" w:hAnsi="Times New Roman"/>
      <w:noProof/>
      <w:sz w:val="28"/>
      <w:lang w:val="uk-UA"/>
    </w:rPr>
  </w:style>
  <w:style w:type="paragraph" w:styleId="ae">
    <w:name w:val="Normal (Web)"/>
    <w:basedOn w:val="a"/>
    <w:uiPriority w:val="99"/>
    <w:semiHidden/>
    <w:unhideWhenUsed/>
    <w:rsid w:val="007B2C42"/>
    <w:rPr>
      <w:sz w:val="24"/>
      <w:szCs w:val="24"/>
    </w:rPr>
  </w:style>
  <w:style w:type="paragraph" w:customStyle="1" w:styleId="23">
    <w:name w:val="Обычный2"/>
    <w:rsid w:val="00F77D46"/>
    <w:pPr>
      <w:widowControl w:val="0"/>
    </w:pPr>
    <w:rPr>
      <w:snapToGrid w:val="0"/>
      <w:szCs w:val="20"/>
      <w:lang w:val="ru-RU" w:eastAsia="ru-RU"/>
    </w:rPr>
  </w:style>
  <w:style w:type="character" w:styleId="af">
    <w:name w:val="FollowedHyperlink"/>
    <w:basedOn w:val="a0"/>
    <w:uiPriority w:val="99"/>
    <w:semiHidden/>
    <w:unhideWhenUsed/>
    <w:rsid w:val="00F47025"/>
    <w:rPr>
      <w:color w:val="954F72" w:themeColor="followedHyperlink"/>
      <w:u w:val="single"/>
    </w:rPr>
  </w:style>
  <w:style w:type="character" w:customStyle="1" w:styleId="40">
    <w:name w:val="Заголовок 4 Знак"/>
    <w:basedOn w:val="a0"/>
    <w:link w:val="4"/>
    <w:uiPriority w:val="9"/>
    <w:semiHidden/>
    <w:rsid w:val="007E1F61"/>
    <w:rPr>
      <w:rFonts w:asciiTheme="majorHAnsi" w:eastAsiaTheme="majorEastAsia" w:hAnsiTheme="majorHAnsi" w:cstheme="majorBidi"/>
      <w:i/>
      <w:iCs/>
      <w:color w:val="2E74B5" w:themeColor="accent1" w:themeShade="BF"/>
      <w:sz w:val="28"/>
      <w:lang w:val="uk-UA"/>
    </w:rPr>
  </w:style>
  <w:style w:type="character" w:styleId="af0">
    <w:name w:val="Placeholder Text"/>
    <w:basedOn w:val="a0"/>
    <w:uiPriority w:val="99"/>
    <w:semiHidden/>
    <w:rsid w:val="0097054E"/>
    <w:rPr>
      <w:color w:val="808080"/>
    </w:rPr>
  </w:style>
  <w:style w:type="character" w:customStyle="1" w:styleId="a8">
    <w:name w:val="Абзац списка Знак"/>
    <w:link w:val="a7"/>
    <w:uiPriority w:val="34"/>
    <w:locked/>
    <w:rsid w:val="001A5F50"/>
    <w:rPr>
      <w:rFonts w:ascii="Times New Roman" w:hAnsi="Times New Roman"/>
      <w:sz w:val="28"/>
      <w:lang w:val="uk-UA"/>
    </w:rPr>
  </w:style>
  <w:style w:type="paragraph" w:styleId="af1">
    <w:name w:val="Body Text"/>
    <w:basedOn w:val="a"/>
    <w:link w:val="af2"/>
    <w:uiPriority w:val="1"/>
    <w:qFormat/>
    <w:rsid w:val="00E4157D"/>
    <w:pPr>
      <w:widowControl w:val="0"/>
      <w:autoSpaceDE w:val="0"/>
      <w:autoSpaceDN w:val="0"/>
      <w:spacing w:line="240" w:lineRule="auto"/>
      <w:ind w:firstLine="709"/>
    </w:pPr>
    <w:rPr>
      <w:rFonts w:eastAsia="Cambria" w:cs="Cambria"/>
    </w:rPr>
  </w:style>
  <w:style w:type="character" w:customStyle="1" w:styleId="af2">
    <w:name w:val="Основной текст Знак"/>
    <w:basedOn w:val="a0"/>
    <w:link w:val="af1"/>
    <w:uiPriority w:val="1"/>
    <w:rsid w:val="00E4157D"/>
    <w:rPr>
      <w:rFonts w:ascii="Times New Roman" w:eastAsia="Cambria" w:hAnsi="Times New Roman" w:cs="Cambria"/>
      <w:sz w:val="28"/>
      <w:szCs w:val="28"/>
      <w:lang w:val="uk-UA"/>
    </w:rPr>
  </w:style>
  <w:style w:type="character" w:customStyle="1" w:styleId="30">
    <w:name w:val="Заголовок 3 Знак"/>
    <w:basedOn w:val="a0"/>
    <w:link w:val="3"/>
    <w:uiPriority w:val="9"/>
    <w:semiHidden/>
    <w:rsid w:val="005A739B"/>
    <w:rPr>
      <w:rFonts w:asciiTheme="majorHAnsi" w:eastAsiaTheme="majorEastAsia" w:hAnsiTheme="majorHAnsi" w:cstheme="majorBidi"/>
      <w:color w:val="1F4D78" w:themeColor="accent1" w:themeShade="7F"/>
      <w:sz w:val="24"/>
      <w:szCs w:val="24"/>
      <w:lang w:val="uk-UA"/>
    </w:rPr>
  </w:style>
  <w:style w:type="paragraph" w:styleId="af3">
    <w:name w:val="Subtitle"/>
    <w:basedOn w:val="a"/>
    <w:next w:val="a"/>
    <w:pPr>
      <w:keepNext/>
      <w:keepLines/>
      <w:spacing w:before="360" w:after="80"/>
    </w:pPr>
    <w:rPr>
      <w:rFonts w:ascii="Georgia" w:eastAsia="Georgia" w:hAnsi="Georgia" w:cs="Georgia"/>
      <w:i/>
      <w:color w:val="666666"/>
      <w:sz w:val="48"/>
      <w:szCs w:val="48"/>
    </w:rPr>
  </w:style>
  <w:style w:type="table" w:customStyle="1" w:styleId="af4">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115" w:type="dxa"/>
        <w:bottom w:w="0" w:type="dxa"/>
        <w:right w:w="115" w:type="dxa"/>
      </w:tblCellMar>
    </w:tblPr>
  </w:style>
  <w:style w:type="table" w:customStyle="1" w:styleId="af6">
    <w:basedOn w:val="TableNormal"/>
    <w:tblPr>
      <w:tblStyleRowBandSize w:val="1"/>
      <w:tblStyleColBandSize w:val="1"/>
      <w:tblCellMar>
        <w:top w:w="0" w:type="dxa"/>
        <w:left w:w="40" w:type="dxa"/>
        <w:bottom w:w="0" w:type="dxa"/>
        <w:right w:w="40" w:type="dxa"/>
      </w:tblCellMar>
    </w:tblPr>
  </w:style>
  <w:style w:type="table" w:customStyle="1" w:styleId="af7">
    <w:basedOn w:val="TableNormal"/>
    <w:tblPr>
      <w:tblStyleRowBandSize w:val="1"/>
      <w:tblStyleColBandSize w:val="1"/>
      <w:tblCellMar>
        <w:top w:w="0" w:type="dxa"/>
        <w:left w:w="40" w:type="dxa"/>
        <w:bottom w:w="0" w:type="dxa"/>
        <w:right w:w="40" w:type="dxa"/>
      </w:tblCellMar>
    </w:tblPr>
  </w:style>
  <w:style w:type="table" w:customStyle="1" w:styleId="af8">
    <w:basedOn w:val="TableNormal"/>
    <w:tblPr>
      <w:tblStyleRowBandSize w:val="1"/>
      <w:tblStyleColBandSize w:val="1"/>
      <w:tblCellMar>
        <w:top w:w="0" w:type="dxa"/>
        <w:left w:w="40" w:type="dxa"/>
        <w:bottom w:w="0" w:type="dxa"/>
        <w:right w:w="40" w:type="dxa"/>
      </w:tblCellMar>
    </w:tblPr>
  </w:style>
  <w:style w:type="table" w:customStyle="1" w:styleId="af9">
    <w:basedOn w:val="TableNormal"/>
    <w:tblPr>
      <w:tblStyleRowBandSize w:val="1"/>
      <w:tblStyleColBandSize w:val="1"/>
      <w:tblCellMar>
        <w:top w:w="0" w:type="dxa"/>
        <w:left w:w="40" w:type="dxa"/>
        <w:bottom w:w="0" w:type="dxa"/>
        <w:right w:w="40" w:type="dxa"/>
      </w:tblCellMar>
    </w:tblPr>
  </w:style>
  <w:style w:type="table" w:customStyle="1" w:styleId="afa">
    <w:basedOn w:val="TableNormal"/>
    <w:tblPr>
      <w:tblStyleRowBandSize w:val="1"/>
      <w:tblStyleColBandSize w:val="1"/>
      <w:tblCellMar>
        <w:top w:w="0" w:type="dxa"/>
        <w:left w:w="40" w:type="dxa"/>
        <w:bottom w:w="0" w:type="dxa"/>
        <w:right w:w="40" w:type="dxa"/>
      </w:tblCellMar>
    </w:tblPr>
  </w:style>
  <w:style w:type="table" w:customStyle="1" w:styleId="afb">
    <w:basedOn w:val="TableNormal"/>
    <w:tblPr>
      <w:tblStyleRowBandSize w:val="1"/>
      <w:tblStyleColBandSize w:val="1"/>
      <w:tblCellMar>
        <w:top w:w="0" w:type="dxa"/>
        <w:left w:w="40" w:type="dxa"/>
        <w:bottom w:w="0" w:type="dxa"/>
        <w:right w:w="40" w:type="dxa"/>
      </w:tblCellMar>
    </w:tblPr>
  </w:style>
  <w:style w:type="table" w:customStyle="1" w:styleId="afc">
    <w:basedOn w:val="TableNormal"/>
    <w:tblPr>
      <w:tblStyleRowBandSize w:val="1"/>
      <w:tblStyleColBandSize w:val="1"/>
      <w:tblCellMar>
        <w:top w:w="0" w:type="dxa"/>
        <w:left w:w="40" w:type="dxa"/>
        <w:bottom w:w="0" w:type="dxa"/>
        <w:right w:w="40" w:type="dxa"/>
      </w:tblCellMar>
    </w:tblPr>
  </w:style>
  <w:style w:type="table" w:customStyle="1" w:styleId="afd">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tblPr>
      <w:tblStyleRowBandSize w:val="1"/>
      <w:tblStyleColBandSize w:val="1"/>
      <w:tblCellMar>
        <w:top w:w="0" w:type="dxa"/>
        <w:left w:w="115" w:type="dxa"/>
        <w:bottom w:w="0" w:type="dxa"/>
        <w:right w:w="115" w:type="dxa"/>
      </w:tblCellMar>
    </w:tblPr>
  </w:style>
  <w:style w:type="table" w:customStyle="1" w:styleId="aff">
    <w:basedOn w:val="TableNormal"/>
    <w:tblPr>
      <w:tblStyleRowBandSize w:val="1"/>
      <w:tblStyleColBandSize w:val="1"/>
      <w:tblCellMar>
        <w:top w:w="0" w:type="dxa"/>
        <w:left w:w="115" w:type="dxa"/>
        <w:bottom w:w="0" w:type="dxa"/>
        <w:right w:w="115" w:type="dxa"/>
      </w:tblCellMar>
    </w:tblPr>
  </w:style>
  <w:style w:type="table" w:customStyle="1" w:styleId="aff0">
    <w:basedOn w:val="TableNormal"/>
    <w:tblPr>
      <w:tblStyleRowBandSize w:val="1"/>
      <w:tblStyleColBandSize w:val="1"/>
      <w:tblCellMar>
        <w:top w:w="0" w:type="dxa"/>
        <w:left w:w="115" w:type="dxa"/>
        <w:bottom w:w="0" w:type="dxa"/>
        <w:right w:w="115" w:type="dxa"/>
      </w:tblCellMar>
    </w:tblPr>
  </w:style>
  <w:style w:type="table" w:customStyle="1" w:styleId="aff1">
    <w:basedOn w:val="TableNormal"/>
    <w:tblPr>
      <w:tblStyleRowBandSize w:val="1"/>
      <w:tblStyleColBandSize w:val="1"/>
      <w:tblCellMar>
        <w:top w:w="0" w:type="dxa"/>
        <w:left w:w="115" w:type="dxa"/>
        <w:bottom w:w="0" w:type="dxa"/>
        <w:right w:w="115" w:type="dxa"/>
      </w:tblCellMar>
    </w:tblPr>
  </w:style>
  <w:style w:type="table" w:customStyle="1" w:styleId="aff2">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3">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4">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5">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6">
    <w:basedOn w:val="TableNormal"/>
    <w:tblPr>
      <w:tblStyleRowBandSize w:val="1"/>
      <w:tblStyleColBandSize w:val="1"/>
      <w:tblCellMar>
        <w:top w:w="0" w:type="dxa"/>
        <w:left w:w="115" w:type="dxa"/>
        <w:bottom w:w="0" w:type="dxa"/>
        <w:right w:w="115" w:type="dxa"/>
      </w:tblCellMar>
    </w:tblPr>
  </w:style>
  <w:style w:type="table" w:customStyle="1" w:styleId="aff7">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8">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9">
    <w:basedOn w:val="TableNormal"/>
    <w:pPr>
      <w:spacing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22.png"/><Relationship Id="rId26" Type="http://schemas.openxmlformats.org/officeDocument/2006/relationships/chart" Target="charts/chart3.xml"/><Relationship Id="rId39" Type="http://schemas.openxmlformats.org/officeDocument/2006/relationships/chart" Target="charts/chart16.xml"/><Relationship Id="rId21" Type="http://schemas.openxmlformats.org/officeDocument/2006/relationships/image" Target="media/image23.png"/><Relationship Id="rId34" Type="http://schemas.openxmlformats.org/officeDocument/2006/relationships/chart" Target="charts/chart11.xml"/><Relationship Id="rId42" Type="http://schemas.openxmlformats.org/officeDocument/2006/relationships/hyperlink" Target="https://mediland.ua/ua/o-klinike" TargetMode="External"/><Relationship Id="rId47" Type="http://schemas.openxmlformats.org/officeDocument/2006/relationships/hyperlink" Target="https://mixsport.pro/blog/top%E2%80%935%E2%80%93besplatnyh%E2%80%93prilozenij%E2%80%93dla%E2%80%93pravilnogo%E2%80%93pitania%E2%80%93i%E2%80%93podsceta%E2%80%93kalorij" TargetMode="External"/><Relationship Id="rId50" Type="http://schemas.openxmlformats.org/officeDocument/2006/relationships/hyperlink" Target="https://tsn.ua/exclusive/hto-u-kiyevi-otrimuye-ponad-72-tisyachi-griven-oglyad-aktualnih-vakansiy-ta-zarplat-2496229.html" TargetMode="External"/><Relationship Id="rId55" Type="http://schemas.openxmlformats.org/officeDocument/2006/relationships/hyperlink" Target="https://medstat.kiev.ua/demografichna-situaciya-u-m-kiyevi-za-9-misyaciv-2021-roku/" TargetMode="External"/><Relationship Id="rId63" Type="http://schemas.openxmlformats.org/officeDocument/2006/relationships/hyperlink" Target="https://www.google.com.ua/maps" TargetMode="External"/><Relationship Id="rId68" Type="http://schemas.openxmlformats.org/officeDocument/2006/relationships/hyperlink" Target="https://epil.laserhouse.com.ua/newlanding/index.php?cityes=33&amp;discount=30&amp;theme=5&amp;banner=ads_name&amp;gad_source=1&amp;gclid=Cj0KCQjwu8uyBhC6ARIsAKwBGpQfE6aRjfDGM9C3BSnVP21iGmXE5goHvqG9VFP59YWlEeujRMDohDwaAhD8EALw_wcB" TargetMode="External"/><Relationship Id="rId76" Type="http://schemas.openxmlformats.org/officeDocument/2006/relationships/hyperlink" Target="https://elit-web.ua/ua/blog/skolko-stoit-reklama-v-instagrame" TargetMode="External"/><Relationship Id="rId84" Type="http://schemas.openxmlformats.org/officeDocument/2006/relationships/image" Target="media/image11.png"/><Relationship Id="rId89" Type="http://schemas.openxmlformats.org/officeDocument/2006/relationships/image" Target="media/image14.png"/><Relationship Id="rId7" Type="http://schemas.openxmlformats.org/officeDocument/2006/relationships/endnotes" Target="endnotes.xml"/><Relationship Id="rId71" Type="http://schemas.openxmlformats.org/officeDocument/2006/relationships/hyperlink" Target="https://calm.ua/" TargetMode="External"/><Relationship Id="rId92" Type="http://schemas.openxmlformats.org/officeDocument/2006/relationships/image" Target="media/image19.png"/><Relationship Id="rId2" Type="http://schemas.openxmlformats.org/officeDocument/2006/relationships/numbering" Target="numbering.xml"/><Relationship Id="rId29" Type="http://schemas.openxmlformats.org/officeDocument/2006/relationships/chart" Target="charts/chart6.xml"/><Relationship Id="rId11" Type="http://schemas.openxmlformats.org/officeDocument/2006/relationships/header" Target="header2.xml"/><Relationship Id="rId24" Type="http://schemas.openxmlformats.org/officeDocument/2006/relationships/image" Target="media/image5.png"/><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image" Target="media/image6.wmf"/><Relationship Id="rId45" Type="http://schemas.openxmlformats.org/officeDocument/2006/relationships/hyperlink" Target="https://youcontrol.com.ua/ru/catalog/company_details/31444479/" TargetMode="External"/><Relationship Id="rId53" Type="http://schemas.openxmlformats.org/officeDocument/2006/relationships/hyperlink" Target="https://apostrophe.ua/ua/news/kyiv/2023-08-13/skolko-lyudej-sejchas-zhivet-v-kieve-poyavilis-svezhie-dannye/302699" TargetMode="External"/><Relationship Id="rId58" Type="http://schemas.openxmlformats.org/officeDocument/2006/relationships/hyperlink" Target="https://oxford-med.com.ua/ua/about/" TargetMode="External"/><Relationship Id="rId66" Type="http://schemas.openxmlformats.org/officeDocument/2006/relationships/hyperlink" Target="https://esurvey.com.ua/info/%D0%BF%D0%BE%D1%80%D0%B0%D0%B4%D0%B8-%D1%89%D0%BE%D0%B4%D0%BE-%D0%BE%D0%BF%D0%B8%D1%82%D1%83%D0%B2%D0%B0%D0%BD%D0%BD%D1%8F/%D0%BF%D0%B5%D1%80%D0%B5%D0%B2%D0%B0%D0%B3%D0%B8-%D0%BE%D0%BD%D0%BB%D0%B0%D0%B9%D0%BD-%D0%BE%D0%BF%D0%B8%D1%82%D1%83%D0%B2%D0%B0%D0%BD%D1%8C-11" TargetMode="External"/><Relationship Id="rId74" Type="http://schemas.openxmlformats.org/officeDocument/2006/relationships/hyperlink" Target="http://www.inneco.org/index.php/innecoua/article/view/890/969" TargetMode="External"/><Relationship Id="rId79" Type="http://schemas.openxmlformats.org/officeDocument/2006/relationships/hyperlink" Target="https://wezom.com.ua/ua/blog/kak-zapustit-reklamu-u-blogerov-v-instagrame" TargetMode="External"/><Relationship Id="rId87" Type="http://schemas.openxmlformats.org/officeDocument/2006/relationships/image" Target="media/image18.png"/><Relationship Id="rId5" Type="http://schemas.openxmlformats.org/officeDocument/2006/relationships/webSettings" Target="webSettings.xml"/><Relationship Id="rId61" Type="http://schemas.openxmlformats.org/officeDocument/2006/relationships/hyperlink" Target="https://dobrobut.com/ua" TargetMode="External"/><Relationship Id="rId82" Type="http://schemas.openxmlformats.org/officeDocument/2006/relationships/image" Target="media/image9.png"/><Relationship Id="rId90" Type="http://schemas.openxmlformats.org/officeDocument/2006/relationships/image" Target="media/image15.png"/><Relationship Id="rId95" Type="http://schemas.openxmlformats.org/officeDocument/2006/relationships/fontTable" Target="fontTable.xml"/><Relationship Id="rId19" Type="http://schemas.openxmlformats.org/officeDocument/2006/relationships/image" Target="media/image16.png"/><Relationship Id="rId22" Type="http://schemas.openxmlformats.org/officeDocument/2006/relationships/image" Target="media/image21.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hyperlink" Target="https://mediland.ua/ua/services" TargetMode="External"/><Relationship Id="rId48" Type="http://schemas.openxmlformats.org/officeDocument/2006/relationships/hyperlink" Target="https://bigmag.ua/ua/luchshee%E2%80%93prilozhenie%E2%80%93dlya%E2%80%93pravilnogo%E2%80%93pitaniya.html" TargetMode="External"/><Relationship Id="rId56" Type="http://schemas.openxmlformats.org/officeDocument/2006/relationships/hyperlink" Target="https://bigmag.ua/ua/luchshee%E2%80%93prilozhenie%E2%80%93dlya%E2%80%93pravilnogo%E2%80%93pitaniya.html" TargetMode="External"/><Relationship Id="rId64" Type="http://schemas.openxmlformats.org/officeDocument/2006/relationships/hyperlink" Target="https://doi.org/10.1057/9781137375261" TargetMode="External"/><Relationship Id="rId69" Type="http://schemas.openxmlformats.org/officeDocument/2006/relationships/hyperlink" Target="https://dobrobut.com/ua" TargetMode="External"/><Relationship Id="rId77" Type="http://schemas.openxmlformats.org/officeDocument/2006/relationships/hyperlink" Target="https://doi.org/10.18664/338.47:338.45.v0i57.101600" TargetMode="External"/><Relationship Id="rId8" Type="http://schemas.openxmlformats.org/officeDocument/2006/relationships/header" Target="header1.xml"/><Relationship Id="rId51" Type="http://schemas.openxmlformats.org/officeDocument/2006/relationships/hyperlink" Target="https://suspilne.media/639608-kiivrada-uhvalila-budzet-na-2024-rik/" TargetMode="External"/><Relationship Id="rId72" Type="http://schemas.openxmlformats.org/officeDocument/2006/relationships/hyperlink" Target="https://adstransparency.google.com/?region=UA" TargetMode="External"/><Relationship Id="rId80" Type="http://schemas.openxmlformats.org/officeDocument/2006/relationships/image" Target="media/image7.png"/><Relationship Id="rId85" Type="http://schemas.openxmlformats.org/officeDocument/2006/relationships/image" Target="media/image20.png"/><Relationship Id="rId93" Type="http://schemas.openxmlformats.org/officeDocument/2006/relationships/image" Target="media/image25.png"/><Relationship Id="rId3" Type="http://schemas.openxmlformats.org/officeDocument/2006/relationships/styles" Target="styles.xml"/><Relationship Id="rId12" Type="http://schemas.openxmlformats.org/officeDocument/2006/relationships/image" Target="media/image3.emf"/><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hyperlink" Target="https://zakon.rada.gov.ua/laws/show/2801-12" TargetMode="External"/><Relationship Id="rId59" Type="http://schemas.openxmlformats.org/officeDocument/2006/relationships/hyperlink" Target="https://doc.ua/ua/klinika/kiev/healthy-and-happy" TargetMode="External"/><Relationship Id="rId67" Type="http://schemas.openxmlformats.org/officeDocument/2006/relationships/hyperlink" Target="https://ukrstat.gov.ua/metod_polog/metod_doc/2010/536/metod.htm" TargetMode="External"/><Relationship Id="rId20" Type="http://schemas.openxmlformats.org/officeDocument/2006/relationships/image" Target="media/image24.png"/><Relationship Id="rId41" Type="http://schemas.openxmlformats.org/officeDocument/2006/relationships/oleObject" Target="embeddings/oleObject1.bin"/><Relationship Id="rId54" Type="http://schemas.openxmlformats.org/officeDocument/2006/relationships/hyperlink" Target="https://suspilne.media/kyiv/134304-serednij-vik-40-rokiv-a-trivalist-zitta-73-roki-sluzba-statistiki-pokazala-fakti-pro-kiiv/" TargetMode="External"/><Relationship Id="rId62" Type="http://schemas.openxmlformats.org/officeDocument/2006/relationships/hyperlink" Target="https://youcontrol.com.ua/" TargetMode="External"/><Relationship Id="rId70" Type="http://schemas.openxmlformats.org/officeDocument/2006/relationships/hyperlink" Target="https://medeira.ua/" TargetMode="External"/><Relationship Id="rId75" Type="http://schemas.openxmlformats.org/officeDocument/2006/relationships/hyperlink" Target="https://bannerboo.com/ua/blog/skilky-koshtuye-reklama-v-instagram/" TargetMode="External"/><Relationship Id="rId83" Type="http://schemas.openxmlformats.org/officeDocument/2006/relationships/image" Target="media/image10.png"/><Relationship Id="rId88" Type="http://schemas.openxmlformats.org/officeDocument/2006/relationships/image" Target="media/image13.png"/><Relationship Id="rId91" Type="http://schemas.openxmlformats.org/officeDocument/2006/relationships/image" Target="media/image17.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1.xml"/><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hyperlink" Target="https://zakon.rada.gov.ua/laws/show/285-2016-%D0%BF" TargetMode="External"/><Relationship Id="rId57" Type="http://schemas.openxmlformats.org/officeDocument/2006/relationships/hyperlink" Target="https://mixsport.pro/blog/top-5-besplatnyh-prilozenij-dla-pravilnogo-pitania-i-podsceta-kalorij" TargetMode="External"/><Relationship Id="rId10" Type="http://schemas.openxmlformats.org/officeDocument/2006/relationships/image" Target="media/image2.png"/><Relationship Id="rId31" Type="http://schemas.openxmlformats.org/officeDocument/2006/relationships/chart" Target="charts/chart8.xml"/><Relationship Id="rId44" Type="http://schemas.openxmlformats.org/officeDocument/2006/relationships/hyperlink" Target="https://mediland.ua/ua/new-shkola1" TargetMode="External"/><Relationship Id="rId52" Type="http://schemas.openxmlformats.org/officeDocument/2006/relationships/hyperlink" Target="https://buh.ligazakon.net/news/226891_yakiy%E2%80%93rven%E2%80%93nflyats%E2%80%93v%E2%80%93ukran%E2%80%93u%E2%80%93berezn%E2%80%932024%E2%80%93roku%E2%80%93%E2%80%93derzhstat" TargetMode="External"/><Relationship Id="rId60" Type="http://schemas.openxmlformats.org/officeDocument/2006/relationships/hyperlink" Target="https://doc.ua/ua/klinika/kiev/viva-set-klinik" TargetMode="External"/><Relationship Id="rId65" Type="http://schemas.openxmlformats.org/officeDocument/2006/relationships/hyperlink" Target="https://concorde.ua/research/" TargetMode="External"/><Relationship Id="rId73" Type="http://schemas.openxmlformats.org/officeDocument/2006/relationships/hyperlink" Target="https://doi.org/10.31556/2219-%200678.2019.37.3.062-070" TargetMode="External"/><Relationship Id="rId78" Type="http://schemas.openxmlformats.org/officeDocument/2006/relationships/hyperlink" Target="https://socialpubli.com/blog/2020-influencer-marketing-report-a-marketers-perspective/" TargetMode="External"/><Relationship Id="rId81" Type="http://schemas.openxmlformats.org/officeDocument/2006/relationships/image" Target="media/image8.png"/><Relationship Id="rId86" Type="http://schemas.openxmlformats.org/officeDocument/2006/relationships/image" Target="media/image12.png"/><Relationship Id="rId94"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88;&#1086;&#1073;&#1086;&#1095;&#111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88;&#1086;&#1073;&#1086;&#1095;&#111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chartUserShapes" Target="../drawings/drawing1.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88;&#1086;&#1073;&#1086;&#1095;&#1110;.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88;&#1086;&#1073;&#1086;&#1095;&#1110;.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76;&#1110;&#1072;&#1075;&#1088;&#1072;&#1084;&#1080;.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deli\OneDrive\&#1056;&#1086;&#1073;&#1086;&#1095;&#1080;&#1081;%20&#1089;&#1090;&#1110;&#1083;\&#1040;&#9829;%20&#1082;&#1087;&#1080;\&#1044;&#1048;&#1055;&#1051;&#1054;&#1052;\&#1074;&#1077;&#1088;&#1089;&#1110;&#1111;\&#1088;&#1086;&#1073;&#1086;&#1095;&#1110;.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356602260005679"/>
          <c:y val="0.11732171802204477"/>
          <c:w val="0.75224045352061686"/>
          <c:h val="0.79065990558813493"/>
        </c:manualLayout>
      </c:layout>
      <c:barChart>
        <c:barDir val="bar"/>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'інтс сторіз'!$I$3:$I$6</c:f>
              <c:strCache>
                <c:ptCount val="4"/>
                <c:pt idx="0">
                  <c:v>TikTok</c:v>
                </c:pt>
                <c:pt idx="1">
                  <c:v>Facebook</c:v>
                </c:pt>
                <c:pt idx="2">
                  <c:v>Instagram</c:v>
                </c:pt>
                <c:pt idx="3">
                  <c:v>Stories</c:v>
                </c:pt>
              </c:strCache>
            </c:strRef>
          </c:cat>
          <c:val>
            <c:numRef>
              <c:f>'інтс сторіз'!$J$3:$J$6</c:f>
              <c:numCache>
                <c:formatCode>General</c:formatCode>
                <c:ptCount val="4"/>
                <c:pt idx="0">
                  <c:v>8</c:v>
                </c:pt>
                <c:pt idx="1">
                  <c:v>11</c:v>
                </c:pt>
                <c:pt idx="2">
                  <c:v>13</c:v>
                </c:pt>
                <c:pt idx="3">
                  <c:v>40</c:v>
                </c:pt>
              </c:numCache>
            </c:numRef>
          </c:val>
          <c:extLst>
            <c:ext xmlns:c16="http://schemas.microsoft.com/office/drawing/2014/chart" uri="{C3380CC4-5D6E-409C-BE32-E72D297353CC}">
              <c16:uniqueId val="{00000000-CE00-4134-8E7D-31B88FA31878}"/>
            </c:ext>
          </c:extLst>
        </c:ser>
        <c:dLbls>
          <c:dLblPos val="outEnd"/>
          <c:showLegendKey val="0"/>
          <c:showVal val="1"/>
          <c:showCatName val="0"/>
          <c:showSerName val="0"/>
          <c:showPercent val="0"/>
          <c:showBubbleSize val="0"/>
        </c:dLbls>
        <c:gapWidth val="25"/>
        <c:axId val="407455072"/>
        <c:axId val="407452120"/>
      </c:barChart>
      <c:catAx>
        <c:axId val="407455072"/>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7452120"/>
        <c:crosses val="autoZero"/>
        <c:auto val="1"/>
        <c:lblAlgn val="ctr"/>
        <c:lblOffset val="100"/>
        <c:noMultiLvlLbl val="0"/>
      </c:catAx>
      <c:valAx>
        <c:axId val="407452120"/>
        <c:scaling>
          <c:orientation val="minMax"/>
        </c:scaling>
        <c:delete val="1"/>
        <c:axPos val="b"/>
        <c:numFmt formatCode="General" sourceLinked="1"/>
        <c:majorTickMark val="out"/>
        <c:minorTickMark val="none"/>
        <c:tickLblPos val="nextTo"/>
        <c:crossAx val="407455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'задов контентом'!$A$23:$A$27</c:f>
              <c:numCache>
                <c:formatCode>General</c:formatCode>
                <c:ptCount val="5"/>
                <c:pt idx="0">
                  <c:v>1</c:v>
                </c:pt>
                <c:pt idx="1">
                  <c:v>2</c:v>
                </c:pt>
                <c:pt idx="2">
                  <c:v>3</c:v>
                </c:pt>
                <c:pt idx="3">
                  <c:v>4</c:v>
                </c:pt>
                <c:pt idx="4">
                  <c:v>5</c:v>
                </c:pt>
              </c:numCache>
            </c:numRef>
          </c:cat>
          <c:val>
            <c:numRef>
              <c:f>'задов контентом'!$B$23:$B$27</c:f>
              <c:numCache>
                <c:formatCode>0.0%</c:formatCode>
                <c:ptCount val="5"/>
                <c:pt idx="0">
                  <c:v>3.7999999999999999E-2</c:v>
                </c:pt>
                <c:pt idx="1">
                  <c:v>0.115</c:v>
                </c:pt>
                <c:pt idx="2">
                  <c:v>0.308</c:v>
                </c:pt>
                <c:pt idx="3">
                  <c:v>0.308</c:v>
                </c:pt>
                <c:pt idx="4">
                  <c:v>0.23100000000000001</c:v>
                </c:pt>
              </c:numCache>
            </c:numRef>
          </c:val>
          <c:extLst>
            <c:ext xmlns:c16="http://schemas.microsoft.com/office/drawing/2014/chart" uri="{C3380CC4-5D6E-409C-BE32-E72D297353CC}">
              <c16:uniqueId val="{00000000-C4AC-42AB-A4C7-B45A004F5BCE}"/>
            </c:ext>
          </c:extLst>
        </c:ser>
        <c:dLbls>
          <c:dLblPos val="outEnd"/>
          <c:showLegendKey val="0"/>
          <c:showVal val="1"/>
          <c:showCatName val="0"/>
          <c:showSerName val="0"/>
          <c:showPercent val="0"/>
          <c:showBubbleSize val="0"/>
        </c:dLbls>
        <c:gapWidth val="50"/>
        <c:axId val="418191104"/>
        <c:axId val="418190448"/>
      </c:barChart>
      <c:catAx>
        <c:axId val="41819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18190448"/>
        <c:crosses val="autoZero"/>
        <c:auto val="1"/>
        <c:lblAlgn val="ctr"/>
        <c:lblOffset val="100"/>
        <c:noMultiLvlLbl val="0"/>
      </c:catAx>
      <c:valAx>
        <c:axId val="418190448"/>
        <c:scaling>
          <c:orientation val="minMax"/>
        </c:scaling>
        <c:delete val="1"/>
        <c:axPos val="l"/>
        <c:numFmt formatCode="0.0%" sourceLinked="1"/>
        <c:majorTickMark val="none"/>
        <c:minorTickMark val="none"/>
        <c:tickLblPos val="nextTo"/>
        <c:crossAx val="418191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'цікавий контент'!$A$1:$A$10</c:f>
              <c:strCache>
                <c:ptCount val="10"/>
                <c:pt idx="0">
                  <c:v>Конкурси та розіграші</c:v>
                </c:pt>
                <c:pt idx="1">
                  <c:v>Розважальний</c:v>
                </c:pt>
                <c:pt idx="2">
                  <c:v>Освітній контент</c:v>
                </c:pt>
                <c:pt idx="3">
                  <c:v>Спеціальні пропозиції та знижки</c:v>
                </c:pt>
                <c:pt idx="4">
                  <c:v>Огляди апаратів чи препаратів</c:v>
                </c:pt>
                <c:pt idx="5">
                  <c:v>Наукові статті та дослідження</c:v>
                </c:pt>
                <c:pt idx="6">
                  <c:v>Відео проведення процедур</c:v>
                </c:pt>
                <c:pt idx="7">
                  <c:v>Інтерв’ю з лікарями</c:v>
                </c:pt>
                <c:pt idx="8">
                  <c:v>Відповіді на питання FAQ</c:v>
                </c:pt>
                <c:pt idx="9">
                  <c:v>Фото до/після процедур</c:v>
                </c:pt>
              </c:strCache>
            </c:strRef>
          </c:cat>
          <c:val>
            <c:numRef>
              <c:f>'цікавий контент'!$B$1:$B$10</c:f>
              <c:numCache>
                <c:formatCode>General</c:formatCode>
                <c:ptCount val="10"/>
                <c:pt idx="0">
                  <c:v>12</c:v>
                </c:pt>
                <c:pt idx="1">
                  <c:v>24</c:v>
                </c:pt>
                <c:pt idx="2">
                  <c:v>36</c:v>
                </c:pt>
                <c:pt idx="3">
                  <c:v>42</c:v>
                </c:pt>
                <c:pt idx="4">
                  <c:v>48</c:v>
                </c:pt>
                <c:pt idx="5">
                  <c:v>48</c:v>
                </c:pt>
                <c:pt idx="6">
                  <c:v>60</c:v>
                </c:pt>
                <c:pt idx="7">
                  <c:v>66</c:v>
                </c:pt>
                <c:pt idx="8">
                  <c:v>72</c:v>
                </c:pt>
                <c:pt idx="9">
                  <c:v>108</c:v>
                </c:pt>
              </c:numCache>
            </c:numRef>
          </c:val>
          <c:extLst>
            <c:ext xmlns:c16="http://schemas.microsoft.com/office/drawing/2014/chart" uri="{C3380CC4-5D6E-409C-BE32-E72D297353CC}">
              <c16:uniqueId val="{00000000-9695-444C-9E0D-068CE1C140F2}"/>
            </c:ext>
          </c:extLst>
        </c:ser>
        <c:dLbls>
          <c:dLblPos val="outEnd"/>
          <c:showLegendKey val="0"/>
          <c:showVal val="1"/>
          <c:showCatName val="0"/>
          <c:showSerName val="0"/>
          <c:showPercent val="0"/>
          <c:showBubbleSize val="0"/>
        </c:dLbls>
        <c:gapWidth val="50"/>
        <c:axId val="421143688"/>
        <c:axId val="421144016"/>
      </c:barChart>
      <c:catAx>
        <c:axId val="421143688"/>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1144016"/>
        <c:crosses val="autoZero"/>
        <c:auto val="1"/>
        <c:lblAlgn val="ctr"/>
        <c:lblOffset val="100"/>
        <c:noMultiLvlLbl val="0"/>
      </c:catAx>
      <c:valAx>
        <c:axId val="421144016"/>
        <c:scaling>
          <c:orientation val="minMax"/>
        </c:scaling>
        <c:delete val="1"/>
        <c:axPos val="b"/>
        <c:numFmt formatCode="General" sourceLinked="1"/>
        <c:majorTickMark val="none"/>
        <c:minorTickMark val="none"/>
        <c:tickLblPos val="nextTo"/>
        <c:crossAx val="421143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805555555555553"/>
          <c:y val="0.11342592592592593"/>
          <c:w val="0.46388888888888891"/>
          <c:h val="0.77314814814814814"/>
        </c:manualLayout>
      </c:layout>
      <c:pieChart>
        <c:varyColors val="1"/>
        <c:ser>
          <c:idx val="0"/>
          <c:order val="0"/>
          <c:explosion val="2"/>
          <c:dPt>
            <c:idx val="0"/>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1-3EC9-47D1-B2B0-D586B50922C7}"/>
              </c:ext>
            </c:extLst>
          </c:dPt>
          <c:dPt>
            <c:idx val="1"/>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3-3EC9-47D1-B2B0-D586B50922C7}"/>
              </c:ext>
            </c:extLst>
          </c:dPt>
          <c:dLbls>
            <c:dLbl>
              <c:idx val="0"/>
              <c:layout>
                <c:manualLayout>
                  <c:x val="5.0395669291338478E-2"/>
                  <c:y val="-6.25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8956583552055992"/>
                      <c:h val="0.25604695246427528"/>
                    </c:manualLayout>
                  </c15:layout>
                </c:ext>
                <c:ext xmlns:c16="http://schemas.microsoft.com/office/drawing/2014/chart" uri="{C3380CC4-5D6E-409C-BE32-E72D297353CC}">
                  <c16:uniqueId val="{00000001-3EC9-47D1-B2B0-D586B50922C7}"/>
                </c:ext>
              </c:extLst>
            </c:dLbl>
            <c:dLbl>
              <c:idx val="1"/>
              <c:layout>
                <c:manualLayout>
                  <c:x val="-5.2777777777777778E-2"/>
                  <c:y val="1.388888888888886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EC9-47D1-B2B0-D586B50922C7}"/>
                </c:ext>
              </c:extLst>
            </c:dLbl>
            <c:numFmt formatCode="0.0%" sourceLinked="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'текст-візуал'!$A$1:$A$2</c:f>
              <c:strCache>
                <c:ptCount val="2"/>
                <c:pt idx="0">
                  <c:v>Візуальний: фото та відео</c:v>
                </c:pt>
                <c:pt idx="1">
                  <c:v>Текстовий</c:v>
                </c:pt>
              </c:strCache>
            </c:strRef>
          </c:cat>
          <c:val>
            <c:numRef>
              <c:f>'текст-візуал'!$B$1:$B$2</c:f>
              <c:numCache>
                <c:formatCode>0.0%</c:formatCode>
                <c:ptCount val="2"/>
                <c:pt idx="0">
                  <c:v>0.73099999999999998</c:v>
                </c:pt>
                <c:pt idx="1">
                  <c:v>0.26900000000000002</c:v>
                </c:pt>
              </c:numCache>
            </c:numRef>
          </c:val>
          <c:extLst>
            <c:ext xmlns:c16="http://schemas.microsoft.com/office/drawing/2014/chart" uri="{C3380CC4-5D6E-409C-BE32-E72D297353CC}">
              <c16:uniqueId val="{00000004-3EC9-47D1-B2B0-D586B50922C7}"/>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798600174978126"/>
          <c:y val="7.7062915679229432E-2"/>
          <c:w val="0.50347244094488186"/>
          <c:h val="0.87985475116581302"/>
        </c:manualLayout>
      </c:layout>
      <c:pieChart>
        <c:varyColors val="1"/>
        <c:ser>
          <c:idx val="0"/>
          <c:order val="0"/>
          <c:explosion val="2"/>
          <c:dPt>
            <c:idx val="0"/>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1-CABE-4FA9-9884-659C02292923}"/>
              </c:ext>
            </c:extLst>
          </c:dPt>
          <c:dPt>
            <c:idx val="1"/>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3-CABE-4FA9-9884-659C02292923}"/>
              </c:ext>
            </c:extLst>
          </c:dPt>
          <c:dLbls>
            <c:dLbl>
              <c:idx val="0"/>
              <c:layout>
                <c:manualLayout>
                  <c:x val="4.4444444444444446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ABE-4FA9-9884-659C02292923}"/>
                </c:ext>
              </c:extLst>
            </c:dLbl>
            <c:dLbl>
              <c:idx val="1"/>
              <c:layout>
                <c:manualLayout>
                  <c:x val="-4.4444444444444446E-2"/>
                  <c:y val="-8.4875562720133283E-1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ABE-4FA9-9884-659C0229292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акцій!$A$3:$A$4</c:f>
              <c:strCache>
                <c:ptCount val="2"/>
                <c:pt idx="0">
                  <c:v>Так</c:v>
                </c:pt>
                <c:pt idx="1">
                  <c:v>Ні</c:v>
                </c:pt>
              </c:strCache>
            </c:strRef>
          </c:cat>
          <c:val>
            <c:numRef>
              <c:f>акцій!$B$3:$B$4</c:f>
              <c:numCache>
                <c:formatCode>General</c:formatCode>
                <c:ptCount val="2"/>
                <c:pt idx="0">
                  <c:v>66</c:v>
                </c:pt>
                <c:pt idx="1">
                  <c:v>90</c:v>
                </c:pt>
              </c:numCache>
            </c:numRef>
          </c:val>
          <c:extLst>
            <c:ext xmlns:c16="http://schemas.microsoft.com/office/drawing/2014/chart" uri="{C3380CC4-5D6E-409C-BE32-E72D297353CC}">
              <c16:uniqueId val="{00000004-CABE-4FA9-9884-659C02292923}"/>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555555555555555E-2"/>
          <c:y val="5.0925925925925923E-2"/>
          <c:w val="0.93888888888888888"/>
          <c:h val="0.64555004619550449"/>
        </c:manualLayout>
      </c:layout>
      <c:barChart>
        <c:barDir val="col"/>
        <c:grouping val="clustered"/>
        <c:varyColors val="0"/>
        <c:ser>
          <c:idx val="0"/>
          <c:order val="0"/>
          <c:spPr>
            <a:solidFill>
              <a:schemeClr val="bg1">
                <a:lumMod val="85000"/>
              </a:schemeClr>
            </a:solidFill>
            <a:ln>
              <a:noFill/>
            </a:ln>
            <a:effectLst/>
          </c:spPr>
          <c:invertIfNegative val="0"/>
          <c:dPt>
            <c:idx val="0"/>
            <c:invertIfNegative val="0"/>
            <c:bubble3D val="0"/>
            <c:spPr>
              <a:solidFill>
                <a:schemeClr val="bg1">
                  <a:lumMod val="65000"/>
                </a:schemeClr>
              </a:solidFill>
              <a:ln>
                <a:noFill/>
              </a:ln>
              <a:effectLst/>
            </c:spPr>
            <c:extLst>
              <c:ext xmlns:c16="http://schemas.microsoft.com/office/drawing/2014/chart" uri="{C3380CC4-5D6E-409C-BE32-E72D297353CC}">
                <c16:uniqueId val="{00000001-1D86-485E-B630-BC81CA071C2A}"/>
              </c:ext>
            </c:extLst>
          </c:dPt>
          <c:dPt>
            <c:idx val="1"/>
            <c:invertIfNegative val="0"/>
            <c:bubble3D val="0"/>
            <c:spPr>
              <a:solidFill>
                <a:schemeClr val="bg1">
                  <a:lumMod val="65000"/>
                </a:schemeClr>
              </a:solidFill>
              <a:ln>
                <a:noFill/>
              </a:ln>
              <a:effectLst/>
            </c:spPr>
            <c:extLst>
              <c:ext xmlns:c16="http://schemas.microsoft.com/office/drawing/2014/chart" uri="{C3380CC4-5D6E-409C-BE32-E72D297353CC}">
                <c16:uniqueId val="{00000003-1D86-485E-B630-BC81CA071C2A}"/>
              </c:ext>
            </c:extLst>
          </c:dPt>
          <c:dLbls>
            <c:dLbl>
              <c:idx val="0"/>
              <c:tx>
                <c:rich>
                  <a:bodyPr/>
                  <a:lstStyle/>
                  <a:p>
                    <a:fld id="{D585A01A-2B6C-4109-89AC-7FF86A12865A}" type="CELLRANGE">
                      <a:rPr lang="en-US"/>
                      <a:pPr/>
                      <a:t>[ДИАПАЗОН ЯЧЕЕК]</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1D86-485E-B630-BC81CA071C2A}"/>
                </c:ext>
              </c:extLst>
            </c:dLbl>
            <c:dLbl>
              <c:idx val="1"/>
              <c:tx>
                <c:rich>
                  <a:bodyPr/>
                  <a:lstStyle/>
                  <a:p>
                    <a:fld id="{199141EF-A785-48B4-9E9C-B8A71EA57B50}" type="CELLRANGE">
                      <a:rPr lang="en-US"/>
                      <a:pPr/>
                      <a:t>[ДИАПАЗОН ЯЧЕЕК]</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1D86-485E-B630-BC81CA071C2A}"/>
                </c:ext>
              </c:extLst>
            </c:dLbl>
            <c:dLbl>
              <c:idx val="2"/>
              <c:tx>
                <c:rich>
                  <a:bodyPr/>
                  <a:lstStyle/>
                  <a:p>
                    <a:fld id="{45BD68C3-040E-4BC3-82E8-495402CC96BD}" type="CELLRANGE">
                      <a:rPr lang="en-US"/>
                      <a:pPr/>
                      <a:t>[ДИАПАЗОН ЯЧЕЕК]</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1D86-485E-B630-BC81CA071C2A}"/>
                </c:ext>
              </c:extLst>
            </c:dLbl>
            <c:dLbl>
              <c:idx val="3"/>
              <c:tx>
                <c:rich>
                  <a:bodyPr/>
                  <a:lstStyle/>
                  <a:p>
                    <a:fld id="{CA4CCB84-5F9D-43F4-9895-167FB36A10B0}" type="CELLRANGE">
                      <a:rPr lang="en-US"/>
                      <a:pPr/>
                      <a:t>[ДИАПАЗОН ЯЧЕЕК]</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1D86-485E-B630-BC81CA071C2A}"/>
                </c:ext>
              </c:extLst>
            </c:dLbl>
            <c:dLbl>
              <c:idx val="4"/>
              <c:tx>
                <c:rich>
                  <a:bodyPr/>
                  <a:lstStyle/>
                  <a:p>
                    <a:fld id="{D6FDF6B6-2C0B-4ECA-9547-CC92E130E40D}" type="CELLRANGE">
                      <a:rPr lang="en-US"/>
                      <a:pPr/>
                      <a:t>[ДИАПАЗОН ЯЧЕЕК]</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1D86-485E-B630-BC81CA071C2A}"/>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акцій!$A$19:$A$23</c:f>
              <c:numCache>
                <c:formatCode>General</c:formatCode>
                <c:ptCount val="5"/>
                <c:pt idx="0">
                  <c:v>1</c:v>
                </c:pt>
                <c:pt idx="1">
                  <c:v>2</c:v>
                </c:pt>
                <c:pt idx="2">
                  <c:v>3</c:v>
                </c:pt>
                <c:pt idx="3">
                  <c:v>4</c:v>
                </c:pt>
                <c:pt idx="4">
                  <c:v>5</c:v>
                </c:pt>
              </c:numCache>
            </c:numRef>
          </c:cat>
          <c:val>
            <c:numRef>
              <c:f>акцій!$B$19:$B$23</c:f>
              <c:numCache>
                <c:formatCode>General</c:formatCode>
                <c:ptCount val="5"/>
                <c:pt idx="0">
                  <c:v>24</c:v>
                </c:pt>
                <c:pt idx="1">
                  <c:v>6</c:v>
                </c:pt>
                <c:pt idx="2">
                  <c:v>36</c:v>
                </c:pt>
                <c:pt idx="3">
                  <c:v>59</c:v>
                </c:pt>
                <c:pt idx="4">
                  <c:v>29</c:v>
                </c:pt>
              </c:numCache>
            </c:numRef>
          </c:val>
          <c:extLst>
            <c:ext xmlns:c15="http://schemas.microsoft.com/office/drawing/2012/chart" uri="{02D57815-91ED-43cb-92C2-25804820EDAC}">
              <c15:datalabelsRange>
                <c15:f>акцій!$C$19:$C$23</c15:f>
                <c15:dlblRangeCache>
                  <c:ptCount val="5"/>
                  <c:pt idx="0">
                    <c:v>15,6%</c:v>
                  </c:pt>
                  <c:pt idx="1">
                    <c:v>3,9%</c:v>
                  </c:pt>
                  <c:pt idx="2">
                    <c:v>23,4%</c:v>
                  </c:pt>
                  <c:pt idx="3">
                    <c:v>38,3%</c:v>
                  </c:pt>
                  <c:pt idx="4">
                    <c:v>18,8%</c:v>
                  </c:pt>
                </c15:dlblRangeCache>
              </c15:datalabelsRange>
            </c:ext>
            <c:ext xmlns:c16="http://schemas.microsoft.com/office/drawing/2014/chart" uri="{C3380CC4-5D6E-409C-BE32-E72D297353CC}">
              <c16:uniqueId val="{00000007-1D86-485E-B630-BC81CA071C2A}"/>
            </c:ext>
          </c:extLst>
        </c:ser>
        <c:dLbls>
          <c:dLblPos val="outEnd"/>
          <c:showLegendKey val="0"/>
          <c:showVal val="1"/>
          <c:showCatName val="0"/>
          <c:showSerName val="0"/>
          <c:showPercent val="0"/>
          <c:showBubbleSize val="0"/>
        </c:dLbls>
        <c:gapWidth val="50"/>
        <c:axId val="421663168"/>
        <c:axId val="421659560"/>
      </c:barChart>
      <c:catAx>
        <c:axId val="4216631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1659560"/>
        <c:crosses val="autoZero"/>
        <c:auto val="1"/>
        <c:lblAlgn val="ctr"/>
        <c:lblOffset val="100"/>
        <c:noMultiLvlLbl val="0"/>
      </c:catAx>
      <c:valAx>
        <c:axId val="421659560"/>
        <c:scaling>
          <c:orientation val="minMax"/>
        </c:scaling>
        <c:delete val="1"/>
        <c:axPos val="l"/>
        <c:numFmt formatCode="General" sourceLinked="1"/>
        <c:majorTickMark val="none"/>
        <c:minorTickMark val="none"/>
        <c:tickLblPos val="nextTo"/>
        <c:crossAx val="421663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638888888888891"/>
          <c:y val="0.18135307713401499"/>
          <c:w val="0.45277777777777778"/>
          <c:h val="0.75462962962962965"/>
        </c:manualLayout>
      </c:layout>
      <c:pieChart>
        <c:varyColors val="1"/>
        <c:ser>
          <c:idx val="0"/>
          <c:order val="0"/>
          <c:spPr>
            <a:solidFill>
              <a:schemeClr val="bg1">
                <a:lumMod val="85000"/>
              </a:schemeClr>
            </a:solidFill>
          </c:spPr>
          <c:explosion val="2"/>
          <c:dPt>
            <c:idx val="0"/>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1-8B5E-4BC4-9643-B184D93F501F}"/>
              </c:ext>
            </c:extLst>
          </c:dPt>
          <c:dPt>
            <c:idx val="1"/>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3-8B5E-4BC4-9643-B184D93F501F}"/>
              </c:ext>
            </c:extLst>
          </c:dPt>
          <c:dPt>
            <c:idx val="2"/>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5-8B5E-4BC4-9643-B184D93F501F}"/>
              </c:ext>
            </c:extLst>
          </c:dPt>
          <c:dPt>
            <c:idx val="3"/>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7-8B5E-4BC4-9643-B184D93F501F}"/>
              </c:ext>
            </c:extLst>
          </c:dPt>
          <c:dLbls>
            <c:dLbl>
              <c:idx val="0"/>
              <c:layout>
                <c:manualLayout>
                  <c:x val="7.6296225191288258E-2"/>
                  <c:y val="5.0873275907625644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5617653153957326"/>
                      <c:h val="0.18032843629445647"/>
                    </c:manualLayout>
                  </c15:layout>
                </c:ext>
                <c:ext xmlns:c16="http://schemas.microsoft.com/office/drawing/2014/chart" uri="{C3380CC4-5D6E-409C-BE32-E72D297353CC}">
                  <c16:uniqueId val="{00000001-8B5E-4BC4-9643-B184D93F501F}"/>
                </c:ext>
              </c:extLst>
            </c:dLbl>
            <c:dLbl>
              <c:idx val="1"/>
              <c:layout>
                <c:manualLayout>
                  <c:x val="2.5000000000000001E-2"/>
                  <c:y val="4.6296296296296294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B5E-4BC4-9643-B184D93F501F}"/>
                </c:ext>
              </c:extLst>
            </c:dLbl>
            <c:dLbl>
              <c:idx val="2"/>
              <c:layout>
                <c:manualLayout>
                  <c:x val="-6.1734185357398864E-2"/>
                  <c:y val="-9.9778047878243403E-3"/>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8137239510208769"/>
                      <c:h val="0.19482904402050416"/>
                    </c:manualLayout>
                  </c15:layout>
                </c:ext>
                <c:ext xmlns:c16="http://schemas.microsoft.com/office/drawing/2014/chart" uri="{C3380CC4-5D6E-409C-BE32-E72D297353CC}">
                  <c16:uniqueId val="{00000005-8B5E-4BC4-9643-B184D93F501F}"/>
                </c:ext>
              </c:extLst>
            </c:dLbl>
            <c:dLbl>
              <c:idx val="3"/>
              <c:layout>
                <c:manualLayout>
                  <c:x val="-6.5417606942037479E-2"/>
                  <c:y val="1.388883337059038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8B5E-4BC4-9643-B184D93F501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харчування!$B$2:$B$5</c:f>
              <c:strCache>
                <c:ptCount val="4"/>
                <c:pt idx="0">
                  <c:v>Завжди планую своє харчування</c:v>
                </c:pt>
                <c:pt idx="1">
                  <c:v>Намагають планувати</c:v>
                </c:pt>
                <c:pt idx="2">
                  <c:v>Рідко планую заздалегідь</c:v>
                </c:pt>
                <c:pt idx="3">
                  <c:v>Ніколи не планую</c:v>
                </c:pt>
              </c:strCache>
            </c:strRef>
          </c:cat>
          <c:val>
            <c:numRef>
              <c:f>харчування!$C$2:$C$5</c:f>
              <c:numCache>
                <c:formatCode>0.0%</c:formatCode>
                <c:ptCount val="4"/>
                <c:pt idx="0">
                  <c:v>0.115</c:v>
                </c:pt>
                <c:pt idx="1">
                  <c:v>0.42299999999999999</c:v>
                </c:pt>
                <c:pt idx="2">
                  <c:v>0.23100000000000001</c:v>
                </c:pt>
                <c:pt idx="3">
                  <c:v>0.23100000000000001</c:v>
                </c:pt>
              </c:numCache>
            </c:numRef>
          </c:val>
          <c:extLst>
            <c:ext xmlns:c16="http://schemas.microsoft.com/office/drawing/2014/chart" uri="{C3380CC4-5D6E-409C-BE32-E72D297353CC}">
              <c16:uniqueId val="{00000008-8B5E-4BC4-9643-B184D93F501F}"/>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Pt>
            <c:idx val="0"/>
            <c:invertIfNegative val="0"/>
            <c:bubble3D val="0"/>
            <c:spPr>
              <a:solidFill>
                <a:schemeClr val="bg1">
                  <a:lumMod val="85000"/>
                </a:schemeClr>
              </a:solidFill>
              <a:ln>
                <a:noFill/>
              </a:ln>
              <a:effectLst/>
            </c:spPr>
            <c:extLst>
              <c:ext xmlns:c16="http://schemas.microsoft.com/office/drawing/2014/chart" uri="{C3380CC4-5D6E-409C-BE32-E72D297353CC}">
                <c16:uniqueId val="{00000001-9159-44BD-81E7-B3E0CE792C57}"/>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[робочі.xlsx]харчування!$B$10:$B$12</c:f>
              <c:strCache>
                <c:ptCount val="3"/>
                <c:pt idx="0">
                  <c:v>Рахую кожну калорію</c:v>
                </c:pt>
                <c:pt idx="1">
                  <c:v>Просто намагаюсь дотримуватися норми БЖВ</c:v>
                </c:pt>
                <c:pt idx="2">
                  <c:v>Їм що заманеться</c:v>
                </c:pt>
              </c:strCache>
            </c:strRef>
          </c:cat>
          <c:val>
            <c:numRef>
              <c:f>[робочі.xlsx]харчування!$C$10:$C$12</c:f>
              <c:numCache>
                <c:formatCode>0%</c:formatCode>
                <c:ptCount val="3"/>
                <c:pt idx="0">
                  <c:v>0.08</c:v>
                </c:pt>
                <c:pt idx="1">
                  <c:v>0.44</c:v>
                </c:pt>
                <c:pt idx="2">
                  <c:v>0.48</c:v>
                </c:pt>
              </c:numCache>
            </c:numRef>
          </c:val>
          <c:extLst>
            <c:ext xmlns:c16="http://schemas.microsoft.com/office/drawing/2014/chart" uri="{C3380CC4-5D6E-409C-BE32-E72D297353CC}">
              <c16:uniqueId val="{00000002-9159-44BD-81E7-B3E0CE792C57}"/>
            </c:ext>
          </c:extLst>
        </c:ser>
        <c:dLbls>
          <c:dLblPos val="outEnd"/>
          <c:showLegendKey val="0"/>
          <c:showVal val="1"/>
          <c:showCatName val="0"/>
          <c:showSerName val="0"/>
          <c:showPercent val="0"/>
          <c:showBubbleSize val="0"/>
        </c:dLbls>
        <c:gapWidth val="50"/>
        <c:axId val="510577824"/>
        <c:axId val="396284808"/>
      </c:barChart>
      <c:catAx>
        <c:axId val="5105778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96284808"/>
        <c:crosses val="autoZero"/>
        <c:auto val="1"/>
        <c:lblAlgn val="ctr"/>
        <c:lblOffset val="100"/>
        <c:noMultiLvlLbl val="0"/>
      </c:catAx>
      <c:valAx>
        <c:axId val="396284808"/>
        <c:scaling>
          <c:orientation val="minMax"/>
        </c:scaling>
        <c:delete val="1"/>
        <c:axPos val="b"/>
        <c:numFmt formatCode="0%" sourceLinked="1"/>
        <c:majorTickMark val="none"/>
        <c:minorTickMark val="none"/>
        <c:tickLblPos val="nextTo"/>
        <c:crossAx val="510577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260120553928332"/>
          <c:y val="4.8541316868598534E-2"/>
          <c:w val="0.52653028365196208"/>
          <c:h val="0.88895902659448389"/>
        </c:manualLayout>
      </c:layout>
      <c:pieChart>
        <c:varyColors val="1"/>
        <c:ser>
          <c:idx val="0"/>
          <c:order val="0"/>
          <c:spPr>
            <a:solidFill>
              <a:schemeClr val="bg1">
                <a:lumMod val="85000"/>
              </a:schemeClr>
            </a:solidFill>
          </c:spPr>
          <c:explosion val="2"/>
          <c:dPt>
            <c:idx val="0"/>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1-32F3-483C-BC8A-71900DD76023}"/>
              </c:ext>
            </c:extLst>
          </c:dPt>
          <c:dPt>
            <c:idx val="1"/>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3-32F3-483C-BC8A-71900DD76023}"/>
              </c:ext>
            </c:extLst>
          </c:dPt>
          <c:dLbls>
            <c:dLbl>
              <c:idx val="0"/>
              <c:layout>
                <c:manualLayout>
                  <c:x val="0.19566469360041697"/>
                  <c:y val="6.5138918452155678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32F3-483C-BC8A-71900DD76023}"/>
                </c:ext>
              </c:extLst>
            </c:dLbl>
            <c:dLbl>
              <c:idx val="1"/>
              <c:layout>
                <c:manualLayout>
                  <c:x val="-0.15708292303132068"/>
                  <c:y val="-3.7222239115517537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32F3-483C-BC8A-71900DD76023}"/>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демографія!$A$2:$A$3</c:f>
              <c:strCache>
                <c:ptCount val="2"/>
                <c:pt idx="0">
                  <c:v>Чоловіча</c:v>
                </c:pt>
                <c:pt idx="1">
                  <c:v>Жіноча</c:v>
                </c:pt>
              </c:strCache>
            </c:strRef>
          </c:cat>
          <c:val>
            <c:numRef>
              <c:f>демографія!$B$2:$B$3</c:f>
              <c:numCache>
                <c:formatCode>0.0%</c:formatCode>
                <c:ptCount val="2"/>
                <c:pt idx="0">
                  <c:v>8.5999999999999993E-2</c:v>
                </c:pt>
                <c:pt idx="1">
                  <c:v>0.91400000000000003</c:v>
                </c:pt>
              </c:numCache>
            </c:numRef>
          </c:val>
          <c:extLst>
            <c:ext xmlns:c16="http://schemas.microsoft.com/office/drawing/2014/chart" uri="{C3380CC4-5D6E-409C-BE32-E72D297353CC}">
              <c16:uniqueId val="{00000004-32F3-483C-BC8A-71900DD76023}"/>
            </c:ext>
          </c:extLst>
        </c:ser>
        <c:dLbls>
          <c:dLblPos val="ctr"/>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solidFill>
              <a:schemeClr val="bg1">
                <a:lumMod val="65000"/>
              </a:schemeClr>
            </a:solidFill>
            <a:ln>
              <a:noFill/>
            </a:ln>
            <a:effectLst/>
          </c:spPr>
          <c:invertIfNegative val="0"/>
          <c:dPt>
            <c:idx val="0"/>
            <c:invertIfNegative val="0"/>
            <c:bubble3D val="0"/>
            <c:spPr>
              <a:solidFill>
                <a:schemeClr val="bg1">
                  <a:lumMod val="85000"/>
                </a:schemeClr>
              </a:solidFill>
              <a:ln>
                <a:noFill/>
              </a:ln>
              <a:effectLst/>
            </c:spPr>
            <c:extLst>
              <c:ext xmlns:c16="http://schemas.microsoft.com/office/drawing/2014/chart" uri="{C3380CC4-5D6E-409C-BE32-E72D297353CC}">
                <c16:uniqueId val="{00000001-7CBD-47A3-8CA8-8E4768B39AAF}"/>
              </c:ext>
            </c:extLst>
          </c:dPt>
          <c:dPt>
            <c:idx val="1"/>
            <c:invertIfNegative val="0"/>
            <c:bubble3D val="0"/>
            <c:spPr>
              <a:solidFill>
                <a:schemeClr val="bg1">
                  <a:lumMod val="85000"/>
                </a:schemeClr>
              </a:solidFill>
              <a:ln>
                <a:noFill/>
              </a:ln>
              <a:effectLst/>
            </c:spPr>
            <c:extLst>
              <c:ext xmlns:c16="http://schemas.microsoft.com/office/drawing/2014/chart" uri="{C3380CC4-5D6E-409C-BE32-E72D297353CC}">
                <c16:uniqueId val="{00000003-7CBD-47A3-8CA8-8E4768B39AAF}"/>
              </c:ext>
            </c:extLst>
          </c:dPt>
          <c:dLbls>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1-7CBD-47A3-8CA8-8E4768B39AAF}"/>
                </c:ext>
              </c:extLst>
            </c:dLbl>
            <c:dLbl>
              <c:idx val="1"/>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3-7CBD-47A3-8CA8-8E4768B39AAF}"/>
                </c:ext>
              </c:extLst>
            </c:dLbl>
            <c:dLbl>
              <c:idx val="2"/>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4-7CBD-47A3-8CA8-8E4768B39AAF}"/>
                </c:ext>
              </c:extLst>
            </c:dLbl>
            <c:dLbl>
              <c:idx val="3"/>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5-7CBD-47A3-8CA8-8E4768B39AA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демографія!$A$6:$A$9</c:f>
              <c:strCache>
                <c:ptCount val="4"/>
                <c:pt idx="0">
                  <c:v>18 - 24 роки</c:v>
                </c:pt>
                <c:pt idx="1">
                  <c:v>25 - 34 роки</c:v>
                </c:pt>
                <c:pt idx="2">
                  <c:v>35 - 44 роки</c:v>
                </c:pt>
                <c:pt idx="3">
                  <c:v>45 років і старше</c:v>
                </c:pt>
              </c:strCache>
            </c:strRef>
          </c:cat>
          <c:val>
            <c:numRef>
              <c:f>демографія!$D$6:$D$9</c:f>
              <c:numCache>
                <c:formatCode>0.0%</c:formatCode>
                <c:ptCount val="4"/>
                <c:pt idx="0">
                  <c:v>0.42199999999999999</c:v>
                </c:pt>
                <c:pt idx="1">
                  <c:v>0.27300000000000002</c:v>
                </c:pt>
                <c:pt idx="2">
                  <c:v>0.23400000000000001</c:v>
                </c:pt>
                <c:pt idx="3">
                  <c:v>7.0999999999999994E-2</c:v>
                </c:pt>
              </c:numCache>
            </c:numRef>
          </c:val>
          <c:extLst>
            <c:ext xmlns:c16="http://schemas.microsoft.com/office/drawing/2014/chart" uri="{C3380CC4-5D6E-409C-BE32-E72D297353CC}">
              <c16:uniqueId val="{00000006-7CBD-47A3-8CA8-8E4768B39AAF}"/>
            </c:ext>
          </c:extLst>
        </c:ser>
        <c:dLbls>
          <c:showLegendKey val="0"/>
          <c:showVal val="1"/>
          <c:showCatName val="0"/>
          <c:showSerName val="0"/>
          <c:showPercent val="0"/>
          <c:showBubbleSize val="0"/>
        </c:dLbls>
        <c:gapWidth val="50"/>
        <c:overlap val="100"/>
        <c:axId val="540843736"/>
        <c:axId val="540844064"/>
      </c:barChart>
      <c:catAx>
        <c:axId val="540843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40844064"/>
        <c:crosses val="autoZero"/>
        <c:auto val="1"/>
        <c:lblAlgn val="ctr"/>
        <c:lblOffset val="100"/>
        <c:noMultiLvlLbl val="0"/>
      </c:catAx>
      <c:valAx>
        <c:axId val="540844064"/>
        <c:scaling>
          <c:orientation val="minMax"/>
        </c:scaling>
        <c:delete val="1"/>
        <c:axPos val="l"/>
        <c:numFmt formatCode="0.0%" sourceLinked="1"/>
        <c:majorTickMark val="none"/>
        <c:minorTickMark val="none"/>
        <c:tickLblPos val="nextTo"/>
        <c:crossAx val="540843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Pt>
            <c:idx val="2"/>
            <c:invertIfNegative val="0"/>
            <c:bubble3D val="0"/>
            <c:spPr>
              <a:solidFill>
                <a:schemeClr val="bg1">
                  <a:lumMod val="85000"/>
                </a:schemeClr>
              </a:solidFill>
              <a:ln>
                <a:noFill/>
              </a:ln>
              <a:effectLst/>
            </c:spPr>
            <c:extLst>
              <c:ext xmlns:c16="http://schemas.microsoft.com/office/drawing/2014/chart" uri="{C3380CC4-5D6E-409C-BE32-E72D297353CC}">
                <c16:uniqueId val="{00000001-3D40-49C1-B329-34139B2A1057}"/>
              </c:ext>
            </c:extLst>
          </c:dPt>
          <c:dPt>
            <c:idx val="3"/>
            <c:invertIfNegative val="0"/>
            <c:bubble3D val="0"/>
            <c:spPr>
              <a:solidFill>
                <a:schemeClr val="bg1">
                  <a:lumMod val="85000"/>
                </a:schemeClr>
              </a:solidFill>
              <a:ln>
                <a:noFill/>
              </a:ln>
              <a:effectLst/>
            </c:spPr>
            <c:extLst>
              <c:ext xmlns:c16="http://schemas.microsoft.com/office/drawing/2014/chart" uri="{C3380CC4-5D6E-409C-BE32-E72D297353CC}">
                <c16:uniqueId val="{00000003-3D40-49C1-B329-34139B2A1057}"/>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'типи послуг'!$A$2:$A$5</c:f>
              <c:strCache>
                <c:ptCount val="4"/>
                <c:pt idx="0">
                  <c:v>Ін'єкційні процедури</c:v>
                </c:pt>
                <c:pt idx="1">
                  <c:v>Хірургічні втручання</c:v>
                </c:pt>
                <c:pt idx="2">
                  <c:v>Лазерна терапія</c:v>
                </c:pt>
                <c:pt idx="3">
                  <c:v>Дерматологічні процедури</c:v>
                </c:pt>
              </c:strCache>
            </c:strRef>
          </c:cat>
          <c:val>
            <c:numRef>
              <c:f>'типи послуг'!$B$2:$B$5</c:f>
              <c:numCache>
                <c:formatCode>General</c:formatCode>
                <c:ptCount val="4"/>
                <c:pt idx="0">
                  <c:v>41</c:v>
                </c:pt>
                <c:pt idx="1">
                  <c:v>41</c:v>
                </c:pt>
                <c:pt idx="2">
                  <c:v>72</c:v>
                </c:pt>
                <c:pt idx="3">
                  <c:v>96</c:v>
                </c:pt>
              </c:numCache>
            </c:numRef>
          </c:val>
          <c:extLst>
            <c:ext xmlns:c16="http://schemas.microsoft.com/office/drawing/2014/chart" uri="{C3380CC4-5D6E-409C-BE32-E72D297353CC}">
              <c16:uniqueId val="{00000004-3D40-49C1-B329-34139B2A1057}"/>
            </c:ext>
          </c:extLst>
        </c:ser>
        <c:dLbls>
          <c:dLblPos val="outEnd"/>
          <c:showLegendKey val="0"/>
          <c:showVal val="1"/>
          <c:showCatName val="0"/>
          <c:showSerName val="0"/>
          <c:showPercent val="0"/>
          <c:showBubbleSize val="0"/>
        </c:dLbls>
        <c:gapWidth val="50"/>
        <c:axId val="343708824"/>
        <c:axId val="343709152"/>
      </c:barChart>
      <c:catAx>
        <c:axId val="3437088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43709152"/>
        <c:crosses val="autoZero"/>
        <c:auto val="1"/>
        <c:lblAlgn val="ctr"/>
        <c:lblOffset val="100"/>
        <c:noMultiLvlLbl val="0"/>
      </c:catAx>
      <c:valAx>
        <c:axId val="343709152"/>
        <c:scaling>
          <c:orientation val="minMax"/>
        </c:scaling>
        <c:delete val="1"/>
        <c:axPos val="b"/>
        <c:numFmt formatCode="General" sourceLinked="1"/>
        <c:majorTickMark val="none"/>
        <c:minorTickMark val="none"/>
        <c:tickLblPos val="nextTo"/>
        <c:crossAx val="343708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Pt>
            <c:idx val="0"/>
            <c:invertIfNegative val="0"/>
            <c:bubble3D val="0"/>
            <c:spPr>
              <a:solidFill>
                <a:schemeClr val="bg1">
                  <a:lumMod val="85000"/>
                </a:schemeClr>
              </a:solidFill>
              <a:ln>
                <a:noFill/>
              </a:ln>
              <a:effectLst/>
            </c:spPr>
            <c:extLst>
              <c:ext xmlns:c16="http://schemas.microsoft.com/office/drawing/2014/chart" uri="{C3380CC4-5D6E-409C-BE32-E72D297353CC}">
                <c16:uniqueId val="{00000001-D963-4D16-8801-E9AFC95AE4F6}"/>
              </c:ext>
            </c:extLst>
          </c:dPt>
          <c:dPt>
            <c:idx val="1"/>
            <c:invertIfNegative val="0"/>
            <c:bubble3D val="0"/>
            <c:spPr>
              <a:solidFill>
                <a:schemeClr val="bg1">
                  <a:lumMod val="85000"/>
                </a:schemeClr>
              </a:solidFill>
              <a:ln>
                <a:noFill/>
              </a:ln>
              <a:effectLst/>
            </c:spPr>
            <c:extLst>
              <c:ext xmlns:c16="http://schemas.microsoft.com/office/drawing/2014/chart" uri="{C3380CC4-5D6E-409C-BE32-E72D297353CC}">
                <c16:uniqueId val="{00000003-D963-4D16-8801-E9AFC95AE4F6}"/>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чинники!$D$21:$D$26</c:f>
              <c:strCache>
                <c:ptCount val="6"/>
                <c:pt idx="0">
                  <c:v>Реклама</c:v>
                </c:pt>
                <c:pt idx="1">
                  <c:v>Розташування</c:v>
                </c:pt>
                <c:pt idx="2">
                  <c:v>Ціна</c:v>
                </c:pt>
                <c:pt idx="3">
                  <c:v>Портфоліо результатів</c:v>
                </c:pt>
                <c:pt idx="4">
                  <c:v>Відгуки</c:v>
                </c:pt>
                <c:pt idx="5">
                  <c:v>Кваліфікація та досвід персоналу</c:v>
                </c:pt>
              </c:strCache>
            </c:strRef>
          </c:cat>
          <c:val>
            <c:numRef>
              <c:f>чинники!$E$21:$E$26</c:f>
              <c:numCache>
                <c:formatCode>0.0</c:formatCode>
                <c:ptCount val="6"/>
                <c:pt idx="0">
                  <c:v>60.3</c:v>
                </c:pt>
                <c:pt idx="1">
                  <c:v>81</c:v>
                </c:pt>
                <c:pt idx="2">
                  <c:v>100.80000000000001</c:v>
                </c:pt>
                <c:pt idx="3">
                  <c:v>105.3</c:v>
                </c:pt>
                <c:pt idx="4">
                  <c:v>108</c:v>
                </c:pt>
                <c:pt idx="5">
                  <c:v>120.60000000000001</c:v>
                </c:pt>
              </c:numCache>
            </c:numRef>
          </c:val>
          <c:extLst>
            <c:ext xmlns:c16="http://schemas.microsoft.com/office/drawing/2014/chart" uri="{C3380CC4-5D6E-409C-BE32-E72D297353CC}">
              <c16:uniqueId val="{00000004-D963-4D16-8801-E9AFC95AE4F6}"/>
            </c:ext>
          </c:extLst>
        </c:ser>
        <c:dLbls>
          <c:dLblPos val="outEnd"/>
          <c:showLegendKey val="0"/>
          <c:showVal val="1"/>
          <c:showCatName val="0"/>
          <c:showSerName val="0"/>
          <c:showPercent val="0"/>
          <c:showBubbleSize val="0"/>
        </c:dLbls>
        <c:gapWidth val="50"/>
        <c:axId val="399916800"/>
        <c:axId val="401990488"/>
      </c:barChart>
      <c:catAx>
        <c:axId val="3999168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1990488"/>
        <c:crosses val="autoZero"/>
        <c:auto val="1"/>
        <c:lblAlgn val="ctr"/>
        <c:lblOffset val="100"/>
        <c:noMultiLvlLbl val="0"/>
      </c:catAx>
      <c:valAx>
        <c:axId val="401990488"/>
        <c:scaling>
          <c:orientation val="minMax"/>
        </c:scaling>
        <c:delete val="1"/>
        <c:axPos val="b"/>
        <c:numFmt formatCode="0.0" sourceLinked="1"/>
        <c:majorTickMark val="none"/>
        <c:minorTickMark val="none"/>
        <c:tickLblPos val="nextTo"/>
        <c:crossAx val="399916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85000"/>
              </a:schemeClr>
            </a:solidFill>
            <a:ln>
              <a:noFill/>
            </a:ln>
            <a:effectLst/>
          </c:spPr>
          <c:invertIfNegative val="0"/>
          <c:dPt>
            <c:idx val="3"/>
            <c:invertIfNegative val="0"/>
            <c:bubble3D val="0"/>
            <c:spPr>
              <a:solidFill>
                <a:schemeClr val="bg1">
                  <a:lumMod val="65000"/>
                </a:schemeClr>
              </a:solidFill>
              <a:ln>
                <a:noFill/>
              </a:ln>
              <a:effectLst/>
            </c:spPr>
            <c:extLst>
              <c:ext xmlns:c16="http://schemas.microsoft.com/office/drawing/2014/chart" uri="{C3380CC4-5D6E-409C-BE32-E72D297353CC}">
                <c16:uniqueId val="{00000001-5A3B-40DD-A0E7-6E46D205E666}"/>
              </c:ext>
            </c:extLst>
          </c:dPt>
          <c:dPt>
            <c:idx val="4"/>
            <c:invertIfNegative val="0"/>
            <c:bubble3D val="0"/>
            <c:spPr>
              <a:solidFill>
                <a:schemeClr val="bg1">
                  <a:lumMod val="65000"/>
                </a:schemeClr>
              </a:solidFill>
              <a:ln>
                <a:noFill/>
              </a:ln>
              <a:effectLst/>
            </c:spPr>
            <c:extLst>
              <c:ext xmlns:c16="http://schemas.microsoft.com/office/drawing/2014/chart" uri="{C3380CC4-5D6E-409C-BE32-E72D297353CC}">
                <c16:uniqueId val="{00000003-5A3B-40DD-A0E7-6E46D205E666}"/>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звідки!$A$2:$A$6</c:f>
              <c:strCache>
                <c:ptCount val="5"/>
                <c:pt idx="0">
                  <c:v>TikTok</c:v>
                </c:pt>
                <c:pt idx="1">
                  <c:v>Facebook</c:v>
                </c:pt>
                <c:pt idx="2">
                  <c:v>Instagram</c:v>
                </c:pt>
                <c:pt idx="3">
                  <c:v>Google</c:v>
                </c:pt>
                <c:pt idx="4">
                  <c:v>Рекомендація знайомого</c:v>
                </c:pt>
              </c:strCache>
            </c:strRef>
          </c:cat>
          <c:val>
            <c:numRef>
              <c:f>звідки!$C$2:$C$6</c:f>
              <c:numCache>
                <c:formatCode>0.0</c:formatCode>
                <c:ptCount val="5"/>
                <c:pt idx="0">
                  <c:v>3.2467532467532467</c:v>
                </c:pt>
                <c:pt idx="1">
                  <c:v>7.7922077922077921</c:v>
                </c:pt>
                <c:pt idx="2">
                  <c:v>7.7922077922077921</c:v>
                </c:pt>
                <c:pt idx="3">
                  <c:v>26.623376623376622</c:v>
                </c:pt>
                <c:pt idx="4">
                  <c:v>54.545454545454547</c:v>
                </c:pt>
              </c:numCache>
            </c:numRef>
          </c:val>
          <c:extLst>
            <c:ext xmlns:c16="http://schemas.microsoft.com/office/drawing/2014/chart" uri="{C3380CC4-5D6E-409C-BE32-E72D297353CC}">
              <c16:uniqueId val="{00000004-5A3B-40DD-A0E7-6E46D205E666}"/>
            </c:ext>
          </c:extLst>
        </c:ser>
        <c:dLbls>
          <c:dLblPos val="outEnd"/>
          <c:showLegendKey val="0"/>
          <c:showVal val="1"/>
          <c:showCatName val="0"/>
          <c:showSerName val="0"/>
          <c:showPercent val="0"/>
          <c:showBubbleSize val="0"/>
        </c:dLbls>
        <c:gapWidth val="50"/>
        <c:axId val="404565632"/>
        <c:axId val="404566944"/>
      </c:barChart>
      <c:catAx>
        <c:axId val="4045656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4566944"/>
        <c:crosses val="autoZero"/>
        <c:auto val="1"/>
        <c:lblAlgn val="ctr"/>
        <c:lblOffset val="100"/>
        <c:noMultiLvlLbl val="0"/>
      </c:catAx>
      <c:valAx>
        <c:axId val="404566944"/>
        <c:scaling>
          <c:orientation val="minMax"/>
        </c:scaling>
        <c:delete val="1"/>
        <c:axPos val="b"/>
        <c:numFmt formatCode="0.0" sourceLinked="1"/>
        <c:majorTickMark val="none"/>
        <c:minorTickMark val="none"/>
        <c:tickLblPos val="nextTo"/>
        <c:crossAx val="404565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конкуренти!$B$10:$B$14</c:f>
              <c:strCache>
                <c:ptCount val="5"/>
                <c:pt idx="0">
                  <c:v>CALM</c:v>
                </c:pt>
                <c:pt idx="1">
                  <c:v>Medeira</c:v>
                </c:pt>
                <c:pt idx="2">
                  <c:v>ЛазерХауз</c:v>
                </c:pt>
                <c:pt idx="3">
                  <c:v>Добробут</c:v>
                </c:pt>
                <c:pt idx="4">
                  <c:v>не слідкую </c:v>
                </c:pt>
              </c:strCache>
            </c:strRef>
          </c:cat>
          <c:val>
            <c:numRef>
              <c:f>конкуренти!$C$10:$C$14</c:f>
              <c:numCache>
                <c:formatCode>0%</c:formatCode>
                <c:ptCount val="5"/>
                <c:pt idx="0">
                  <c:v>7.6999999999999999E-2</c:v>
                </c:pt>
                <c:pt idx="1">
                  <c:v>0.192</c:v>
                </c:pt>
                <c:pt idx="2">
                  <c:v>0.26900000000000002</c:v>
                </c:pt>
                <c:pt idx="3">
                  <c:v>0.308</c:v>
                </c:pt>
                <c:pt idx="4">
                  <c:v>0.42299999999999999</c:v>
                </c:pt>
              </c:numCache>
            </c:numRef>
          </c:val>
          <c:extLst>
            <c:ext xmlns:c16="http://schemas.microsoft.com/office/drawing/2014/chart" uri="{C3380CC4-5D6E-409C-BE32-E72D297353CC}">
              <c16:uniqueId val="{00000000-C463-47B7-A5C6-1D9417CB61B9}"/>
            </c:ext>
          </c:extLst>
        </c:ser>
        <c:dLbls>
          <c:dLblPos val="outEnd"/>
          <c:showLegendKey val="0"/>
          <c:showVal val="1"/>
          <c:showCatName val="0"/>
          <c:showSerName val="0"/>
          <c:showPercent val="0"/>
          <c:showBubbleSize val="0"/>
        </c:dLbls>
        <c:gapWidth val="50"/>
        <c:axId val="549928328"/>
        <c:axId val="549927344"/>
      </c:barChart>
      <c:catAx>
        <c:axId val="5499283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49927344"/>
        <c:crosses val="autoZero"/>
        <c:auto val="1"/>
        <c:lblAlgn val="ctr"/>
        <c:lblOffset val="100"/>
        <c:noMultiLvlLbl val="0"/>
      </c:catAx>
      <c:valAx>
        <c:axId val="549927344"/>
        <c:scaling>
          <c:orientation val="minMax"/>
        </c:scaling>
        <c:delete val="1"/>
        <c:axPos val="b"/>
        <c:numFmt formatCode="0%" sourceLinked="1"/>
        <c:majorTickMark val="none"/>
        <c:minorTickMark val="none"/>
        <c:tickLblPos val="nextTo"/>
        <c:crossAx val="549928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Pt>
            <c:idx val="1"/>
            <c:invertIfNegative val="0"/>
            <c:bubble3D val="0"/>
            <c:spPr>
              <a:solidFill>
                <a:schemeClr val="bg1">
                  <a:lumMod val="85000"/>
                </a:schemeClr>
              </a:solidFill>
              <a:ln>
                <a:noFill/>
              </a:ln>
              <a:effectLst/>
            </c:spPr>
            <c:extLst>
              <c:ext xmlns:c16="http://schemas.microsoft.com/office/drawing/2014/chart" uri="{C3380CC4-5D6E-409C-BE32-E72D297353CC}">
                <c16:uniqueId val="{00000001-48B9-4A78-A459-97140844D868}"/>
              </c:ext>
            </c:extLst>
          </c:dPt>
          <c:dPt>
            <c:idx val="4"/>
            <c:invertIfNegative val="0"/>
            <c:bubble3D val="0"/>
            <c:spPr>
              <a:solidFill>
                <a:schemeClr val="bg1">
                  <a:lumMod val="85000"/>
                </a:schemeClr>
              </a:solidFill>
              <a:ln>
                <a:noFill/>
              </a:ln>
              <a:effectLst/>
            </c:spPr>
            <c:extLst>
              <c:ext xmlns:c16="http://schemas.microsoft.com/office/drawing/2014/chart" uri="{C3380CC4-5D6E-409C-BE32-E72D297353CC}">
                <c16:uniqueId val="{00000003-48B9-4A78-A459-97140844D868}"/>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'оцінка конкурентів'!$A$1:$A$5</c:f>
              <c:numCache>
                <c:formatCode>General</c:formatCode>
                <c:ptCount val="5"/>
                <c:pt idx="0">
                  <c:v>1</c:v>
                </c:pt>
                <c:pt idx="1">
                  <c:v>2</c:v>
                </c:pt>
                <c:pt idx="2">
                  <c:v>3</c:v>
                </c:pt>
                <c:pt idx="3">
                  <c:v>4</c:v>
                </c:pt>
                <c:pt idx="4">
                  <c:v>5</c:v>
                </c:pt>
              </c:numCache>
            </c:numRef>
          </c:cat>
          <c:val>
            <c:numRef>
              <c:f>'оцінка конкурентів'!$B$1:$B$5</c:f>
              <c:numCache>
                <c:formatCode>0.0%</c:formatCode>
                <c:ptCount val="5"/>
                <c:pt idx="0">
                  <c:v>0</c:v>
                </c:pt>
                <c:pt idx="1">
                  <c:v>7.6999999999999999E-2</c:v>
                </c:pt>
                <c:pt idx="2">
                  <c:v>0.42299999999999999</c:v>
                </c:pt>
                <c:pt idx="3">
                  <c:v>0.38500000000000001</c:v>
                </c:pt>
                <c:pt idx="4">
                  <c:v>0.115</c:v>
                </c:pt>
              </c:numCache>
            </c:numRef>
          </c:val>
          <c:extLst>
            <c:ext xmlns:c16="http://schemas.microsoft.com/office/drawing/2014/chart" uri="{C3380CC4-5D6E-409C-BE32-E72D297353CC}">
              <c16:uniqueId val="{00000004-48B9-4A78-A459-97140844D868}"/>
            </c:ext>
          </c:extLst>
        </c:ser>
        <c:dLbls>
          <c:dLblPos val="outEnd"/>
          <c:showLegendKey val="0"/>
          <c:showVal val="1"/>
          <c:showCatName val="0"/>
          <c:showSerName val="0"/>
          <c:showPercent val="0"/>
          <c:showBubbleSize val="0"/>
        </c:dLbls>
        <c:gapWidth val="50"/>
        <c:axId val="410054496"/>
        <c:axId val="410057448"/>
      </c:barChart>
      <c:catAx>
        <c:axId val="410054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10057448"/>
        <c:crosses val="autoZero"/>
        <c:auto val="1"/>
        <c:lblAlgn val="ctr"/>
        <c:lblOffset val="100"/>
        <c:noMultiLvlLbl val="0"/>
      </c:catAx>
      <c:valAx>
        <c:axId val="410057448"/>
        <c:scaling>
          <c:orientation val="minMax"/>
        </c:scaling>
        <c:delete val="1"/>
        <c:axPos val="l"/>
        <c:numFmt formatCode="0.0%" sourceLinked="1"/>
        <c:majorTickMark val="none"/>
        <c:minorTickMark val="none"/>
        <c:tickLblPos val="nextTo"/>
        <c:crossAx val="410054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'задов контентом'!$A$2:$A$6</c:f>
              <c:numCache>
                <c:formatCode>General</c:formatCode>
                <c:ptCount val="5"/>
                <c:pt idx="0">
                  <c:v>1</c:v>
                </c:pt>
                <c:pt idx="1">
                  <c:v>2</c:v>
                </c:pt>
                <c:pt idx="2">
                  <c:v>3</c:v>
                </c:pt>
                <c:pt idx="3">
                  <c:v>4</c:v>
                </c:pt>
                <c:pt idx="4">
                  <c:v>5</c:v>
                </c:pt>
              </c:numCache>
            </c:numRef>
          </c:cat>
          <c:val>
            <c:numRef>
              <c:f>'задов контентом'!$B$2:$B$6</c:f>
              <c:numCache>
                <c:formatCode>0.0%</c:formatCode>
                <c:ptCount val="5"/>
                <c:pt idx="0">
                  <c:v>0</c:v>
                </c:pt>
                <c:pt idx="1">
                  <c:v>0.115</c:v>
                </c:pt>
                <c:pt idx="2">
                  <c:v>0.26900000000000002</c:v>
                </c:pt>
                <c:pt idx="3">
                  <c:v>0.34599999999999997</c:v>
                </c:pt>
                <c:pt idx="4">
                  <c:v>0.26900000000000002</c:v>
                </c:pt>
              </c:numCache>
            </c:numRef>
          </c:val>
          <c:extLst>
            <c:ext xmlns:c16="http://schemas.microsoft.com/office/drawing/2014/chart" uri="{C3380CC4-5D6E-409C-BE32-E72D297353CC}">
              <c16:uniqueId val="{00000000-E61A-4594-9ECA-551585A18FAF}"/>
            </c:ext>
          </c:extLst>
        </c:ser>
        <c:dLbls>
          <c:dLblPos val="outEnd"/>
          <c:showLegendKey val="0"/>
          <c:showVal val="1"/>
          <c:showCatName val="0"/>
          <c:showSerName val="0"/>
          <c:showPercent val="0"/>
          <c:showBubbleSize val="0"/>
        </c:dLbls>
        <c:gapWidth val="50"/>
        <c:axId val="418191104"/>
        <c:axId val="418190448"/>
      </c:barChart>
      <c:catAx>
        <c:axId val="41819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18190448"/>
        <c:crosses val="autoZero"/>
        <c:auto val="1"/>
        <c:lblAlgn val="ctr"/>
        <c:lblOffset val="100"/>
        <c:noMultiLvlLbl val="0"/>
      </c:catAx>
      <c:valAx>
        <c:axId val="418190448"/>
        <c:scaling>
          <c:orientation val="minMax"/>
        </c:scaling>
        <c:delete val="1"/>
        <c:axPos val="l"/>
        <c:numFmt formatCode="0.0%" sourceLinked="1"/>
        <c:majorTickMark val="none"/>
        <c:minorTickMark val="none"/>
        <c:tickLblPos val="nextTo"/>
        <c:crossAx val="418191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0.00155</cdr:x>
      <cdr:y>0.79805</cdr:y>
    </cdr:from>
    <cdr:to>
      <cdr:x>0.25248</cdr:x>
      <cdr:y>0.9659</cdr:y>
    </cdr:to>
    <cdr:sp macro="" textlink="">
      <cdr:nvSpPr>
        <cdr:cNvPr id="3" name="TextBox 2"/>
        <cdr:cNvSpPr txBox="1"/>
      </cdr:nvSpPr>
      <cdr:spPr>
        <a:xfrm xmlns:a="http://schemas.openxmlformats.org/drawingml/2006/main">
          <a:off x="7614" y="2496316"/>
          <a:ext cx="1233295" cy="52501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200">
              <a:solidFill>
                <a:schemeClr val="tx1">
                  <a:lumMod val="65000"/>
                  <a:lumOff val="35000"/>
                </a:schemeClr>
              </a:solidFill>
              <a:latin typeface="Times New Roman" panose="02020603050405020304" pitchFamily="18" charset="0"/>
              <a:cs typeface="Times New Roman" panose="02020603050405020304" pitchFamily="18" charset="0"/>
            </a:rPr>
            <a:t>Абсолютно </a:t>
          </a:r>
        </a:p>
        <a:p xmlns:a="http://schemas.openxmlformats.org/drawingml/2006/main">
          <a:pPr algn="ctr"/>
          <a:r>
            <a:rPr lang="uk-UA" sz="1200">
              <a:solidFill>
                <a:schemeClr val="tx1">
                  <a:lumMod val="65000"/>
                  <a:lumOff val="35000"/>
                </a:schemeClr>
              </a:solidFill>
              <a:latin typeface="Times New Roman" panose="02020603050405020304" pitchFamily="18" charset="0"/>
              <a:cs typeface="Times New Roman" panose="02020603050405020304" pitchFamily="18" charset="0"/>
            </a:rPr>
            <a:t>не зрозуміло</a:t>
          </a:r>
          <a:endParaRPr lang="en-US" sz="1200">
            <a:solidFill>
              <a:schemeClr val="tx1">
                <a:lumMod val="65000"/>
                <a:lumOff val="35000"/>
              </a:schemeClr>
            </a:solidFill>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0.74907</cdr:x>
      <cdr:y>0.80065</cdr:y>
    </cdr:from>
    <cdr:to>
      <cdr:x>1</cdr:x>
      <cdr:y>0.96849</cdr:y>
    </cdr:to>
    <cdr:sp macro="" textlink="">
      <cdr:nvSpPr>
        <cdr:cNvPr id="4" name="TextBox 1"/>
        <cdr:cNvSpPr txBox="1"/>
      </cdr:nvSpPr>
      <cdr:spPr>
        <a:xfrm xmlns:a="http://schemas.openxmlformats.org/drawingml/2006/main">
          <a:off x="3681599" y="2504440"/>
          <a:ext cx="1233295" cy="52501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uk-UA" sz="1200">
              <a:solidFill>
                <a:schemeClr val="tx1">
                  <a:lumMod val="65000"/>
                  <a:lumOff val="35000"/>
                </a:schemeClr>
              </a:solidFill>
              <a:latin typeface="Times New Roman" panose="02020603050405020304" pitchFamily="18" charset="0"/>
              <a:cs typeface="Times New Roman" panose="02020603050405020304" pitchFamily="18" charset="0"/>
            </a:rPr>
            <a:t>Абсолютно </a:t>
          </a:r>
        </a:p>
        <a:p xmlns:a="http://schemas.openxmlformats.org/drawingml/2006/main">
          <a:pPr algn="ctr"/>
          <a:r>
            <a:rPr lang="uk-UA" sz="1200">
              <a:solidFill>
                <a:schemeClr val="tx1">
                  <a:lumMod val="65000"/>
                  <a:lumOff val="35000"/>
                </a:schemeClr>
              </a:solidFill>
              <a:latin typeface="Times New Roman" panose="02020603050405020304" pitchFamily="18" charset="0"/>
              <a:cs typeface="Times New Roman" panose="02020603050405020304" pitchFamily="18" charset="0"/>
            </a:rPr>
            <a:t>зрозуміло</a:t>
          </a:r>
          <a:endParaRPr lang="en-US" sz="1200">
            <a:solidFill>
              <a:schemeClr val="tx1">
                <a:lumMod val="65000"/>
                <a:lumOff val="35000"/>
              </a:schemeClr>
            </a:solidFill>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tZLopz8iDzAIXKwQ1zagcEo1QQ==">CgMxLjAaFAoBMBIPCg0IB0IJEgdHdW5nc3VoGhQKATESDwoNCAdCCRIHR3VuZ3N1aD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gAciExeXk4QmFZQy1KUllmd1JIVXBPWWp1TnNwRDVlTVFqOG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112</Pages>
  <Words>29743</Words>
  <Characters>169538</Characters>
  <Application>Microsoft Office Word</Application>
  <DocSecurity>0</DocSecurity>
  <Lines>1412</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Rubliuk</dc:creator>
  <cp:lastModifiedBy>Larisa</cp:lastModifiedBy>
  <cp:revision>2</cp:revision>
  <dcterms:created xsi:type="dcterms:W3CDTF">2024-06-26T12:51:00Z</dcterms:created>
  <dcterms:modified xsi:type="dcterms:W3CDTF">2024-06-26T12:51:00Z</dcterms:modified>
</cp:coreProperties>
</file>