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B19" w:rsidRPr="00E2794A" w:rsidRDefault="00C11B19" w:rsidP="00C11B19">
      <w:pPr>
        <w:spacing w:after="0" w:line="240" w:lineRule="auto"/>
        <w:jc w:val="center"/>
        <w:rPr>
          <w:rFonts w:ascii="Times New Roman" w:hAnsi="Times New Roman" w:cs="Times New Roman"/>
          <w:b/>
          <w:bCs/>
          <w:sz w:val="28"/>
          <w:szCs w:val="28"/>
          <w:lang w:val="uk-UA"/>
        </w:rPr>
      </w:pPr>
      <w:r w:rsidRPr="00E2794A">
        <w:rPr>
          <w:rFonts w:ascii="Times New Roman" w:hAnsi="Times New Roman" w:cs="Times New Roman"/>
          <w:b/>
          <w:bCs/>
          <w:sz w:val="28"/>
          <w:szCs w:val="28"/>
          <w:lang w:val="uk-UA"/>
        </w:rPr>
        <w:t xml:space="preserve">ОСВІДУВАНИЯ </w:t>
      </w:r>
      <w:r w:rsidR="00494F2A">
        <w:rPr>
          <w:rFonts w:ascii="Times New Roman" w:hAnsi="Times New Roman" w:cs="Times New Roman"/>
          <w:b/>
          <w:bCs/>
          <w:sz w:val="28"/>
          <w:szCs w:val="28"/>
          <w:lang w:val="uk-UA"/>
        </w:rPr>
        <w:t>В СИСТЕМІ ЗАСОБІВ ПЕРЕВІРКИ ІНФОРМАЦІЇ ПРО КРИМІНАЛЬНІ ПРОСТУПКИ</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b/>
          <w:bCs/>
          <w:i/>
          <w:iCs/>
          <w:sz w:val="28"/>
          <w:szCs w:val="28"/>
          <w:lang w:val="uk-UA"/>
        </w:rPr>
        <w:t xml:space="preserve">Б.Є. </w:t>
      </w:r>
      <w:proofErr w:type="spellStart"/>
      <w:r w:rsidRPr="00E2794A">
        <w:rPr>
          <w:rFonts w:ascii="Times New Roman" w:hAnsi="Times New Roman" w:cs="Times New Roman"/>
          <w:b/>
          <w:bCs/>
          <w:i/>
          <w:iCs/>
          <w:sz w:val="28"/>
          <w:szCs w:val="28"/>
          <w:lang w:val="uk-UA"/>
        </w:rPr>
        <w:t>Лук’янчиков</w:t>
      </w:r>
      <w:proofErr w:type="spellEnd"/>
      <w:r w:rsidRPr="00E2794A">
        <w:rPr>
          <w:rFonts w:ascii="Times New Roman" w:hAnsi="Times New Roman" w:cs="Times New Roman"/>
          <w:i/>
          <w:iCs/>
          <w:sz w:val="28"/>
          <w:szCs w:val="28"/>
          <w:lang w:val="uk-UA"/>
        </w:rPr>
        <w:t xml:space="preserve">, </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i/>
          <w:iCs/>
          <w:sz w:val="28"/>
          <w:szCs w:val="28"/>
          <w:lang w:val="uk-UA"/>
        </w:rPr>
        <w:t>доцент, КПІ ім. Ігоря Сікорського</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i/>
          <w:iCs/>
          <w:sz w:val="28"/>
          <w:szCs w:val="28"/>
          <w:lang w:val="uk-UA"/>
        </w:rPr>
        <w:t xml:space="preserve">кандидат юридичних наук, доцент, </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b/>
          <w:bCs/>
          <w:i/>
          <w:iCs/>
          <w:sz w:val="28"/>
          <w:szCs w:val="28"/>
          <w:lang w:val="uk-UA"/>
        </w:rPr>
        <w:t xml:space="preserve">Є.Д. </w:t>
      </w:r>
      <w:proofErr w:type="spellStart"/>
      <w:r w:rsidRPr="00E2794A">
        <w:rPr>
          <w:rFonts w:ascii="Times New Roman" w:hAnsi="Times New Roman" w:cs="Times New Roman"/>
          <w:b/>
          <w:bCs/>
          <w:i/>
          <w:iCs/>
          <w:sz w:val="28"/>
          <w:szCs w:val="28"/>
          <w:lang w:val="uk-UA"/>
        </w:rPr>
        <w:t>Лук’янчиков</w:t>
      </w:r>
      <w:proofErr w:type="spellEnd"/>
      <w:r w:rsidRPr="00E2794A">
        <w:rPr>
          <w:rFonts w:ascii="Times New Roman" w:hAnsi="Times New Roman" w:cs="Times New Roman"/>
          <w:i/>
          <w:iCs/>
          <w:sz w:val="28"/>
          <w:szCs w:val="28"/>
          <w:lang w:val="uk-UA"/>
        </w:rPr>
        <w:t xml:space="preserve">, </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i/>
          <w:iCs/>
          <w:sz w:val="28"/>
          <w:szCs w:val="28"/>
          <w:lang w:val="uk-UA"/>
        </w:rPr>
        <w:t>професор, КПІ ім. Ігоря Сікорського</w:t>
      </w:r>
    </w:p>
    <w:p w:rsidR="00C11B19" w:rsidRPr="00E2794A" w:rsidRDefault="00C11B19" w:rsidP="00C11B19">
      <w:pPr>
        <w:spacing w:after="0" w:line="240" w:lineRule="auto"/>
        <w:jc w:val="right"/>
        <w:rPr>
          <w:rFonts w:ascii="Times New Roman" w:hAnsi="Times New Roman" w:cs="Times New Roman"/>
          <w:i/>
          <w:iCs/>
          <w:sz w:val="28"/>
          <w:szCs w:val="28"/>
          <w:lang w:val="uk-UA"/>
        </w:rPr>
      </w:pPr>
      <w:r w:rsidRPr="00E2794A">
        <w:rPr>
          <w:rFonts w:ascii="Times New Roman" w:hAnsi="Times New Roman" w:cs="Times New Roman"/>
          <w:i/>
          <w:iCs/>
          <w:sz w:val="28"/>
          <w:szCs w:val="28"/>
          <w:lang w:val="uk-UA"/>
        </w:rPr>
        <w:t xml:space="preserve">доктор юридичних наук, професор </w:t>
      </w:r>
    </w:p>
    <w:p w:rsidR="00C11B19" w:rsidRPr="00C11B19" w:rsidRDefault="00C11B19" w:rsidP="00C11B19">
      <w:pPr>
        <w:spacing w:after="0" w:line="360" w:lineRule="auto"/>
        <w:ind w:firstLine="709"/>
        <w:jc w:val="both"/>
        <w:rPr>
          <w:rFonts w:ascii="Times New Roman" w:hAnsi="Times New Roman" w:cs="Times New Roman"/>
          <w:sz w:val="28"/>
          <w:szCs w:val="28"/>
        </w:rPr>
      </w:pPr>
    </w:p>
    <w:p w:rsidR="00494F2A" w:rsidRDefault="00494F2A" w:rsidP="00C11B19">
      <w:pPr>
        <w:pStyle w:val="a3"/>
        <w:spacing w:after="0" w:line="360" w:lineRule="auto"/>
        <w:ind w:firstLine="709"/>
        <w:jc w:val="both"/>
        <w:rPr>
          <w:color w:val="333333"/>
          <w:sz w:val="28"/>
          <w:szCs w:val="28"/>
          <w:lang w:val="uk-UA"/>
        </w:rPr>
      </w:pPr>
      <w:r>
        <w:rPr>
          <w:sz w:val="28"/>
          <w:szCs w:val="28"/>
          <w:lang w:val="uk-UA"/>
        </w:rPr>
        <w:t>Відповідно до ч. 2 ст. 214КПК України досудове розслідування, а відповідно і дізнання, як одна з його форм, розпочинається з моменту внесення відомостей про правопорушення до Єдиного реєстру досудових розслідувань</w:t>
      </w:r>
      <w:r w:rsidR="00F227A0">
        <w:rPr>
          <w:sz w:val="28"/>
          <w:szCs w:val="28"/>
          <w:lang w:val="uk-UA"/>
        </w:rPr>
        <w:t xml:space="preserve"> (далі ЄРДР). В наступній частині цієї статті наголошується, що за загальним правилом здійснення досудового розслідування до внесення відомостей до реєстру або без такого внесення не допускається</w:t>
      </w:r>
      <w:r w:rsidR="00687072">
        <w:rPr>
          <w:sz w:val="28"/>
          <w:szCs w:val="28"/>
          <w:lang w:val="uk-UA"/>
        </w:rPr>
        <w:t xml:space="preserve"> і тягне за собою передбачену законом відповідальність</w:t>
      </w:r>
      <w:r w:rsidR="00F227A0">
        <w:rPr>
          <w:sz w:val="28"/>
          <w:szCs w:val="28"/>
          <w:lang w:val="uk-UA"/>
        </w:rPr>
        <w:t>.</w:t>
      </w:r>
      <w:r w:rsidR="00F227A0" w:rsidRPr="00F227A0">
        <w:rPr>
          <w:color w:val="333333"/>
          <w:sz w:val="28"/>
          <w:szCs w:val="28"/>
          <w:lang w:val="uk-UA"/>
        </w:rPr>
        <w:t xml:space="preserve"> У невідкладних випадках до внесення відомостей до Є</w:t>
      </w:r>
      <w:r w:rsidR="00F227A0">
        <w:rPr>
          <w:color w:val="333333"/>
          <w:sz w:val="28"/>
          <w:szCs w:val="28"/>
          <w:lang w:val="uk-UA"/>
        </w:rPr>
        <w:t>РДР</w:t>
      </w:r>
      <w:r w:rsidR="00F227A0" w:rsidRPr="00F227A0">
        <w:rPr>
          <w:color w:val="333333"/>
          <w:sz w:val="28"/>
          <w:szCs w:val="28"/>
          <w:lang w:val="uk-UA"/>
        </w:rPr>
        <w:t xml:space="preserve"> може бути проведений огляд місця події (відомості вносяться невідкладно після завершення огляду)</w:t>
      </w:r>
      <w:r w:rsidR="00F227A0">
        <w:rPr>
          <w:color w:val="333333"/>
          <w:sz w:val="28"/>
          <w:szCs w:val="28"/>
          <w:lang w:val="uk-UA"/>
        </w:rPr>
        <w:t>.</w:t>
      </w:r>
    </w:p>
    <w:p w:rsidR="00F227A0" w:rsidRPr="00F227A0" w:rsidRDefault="00687072" w:rsidP="00687072">
      <w:pPr>
        <w:pStyle w:val="a3"/>
        <w:spacing w:after="0" w:line="360" w:lineRule="auto"/>
        <w:ind w:firstLine="709"/>
        <w:jc w:val="both"/>
        <w:rPr>
          <w:color w:val="333333"/>
          <w:sz w:val="28"/>
          <w:szCs w:val="28"/>
          <w:lang w:val="uk-UA"/>
        </w:rPr>
      </w:pPr>
      <w:r>
        <w:rPr>
          <w:color w:val="333333"/>
          <w:sz w:val="28"/>
          <w:szCs w:val="28"/>
          <w:lang w:val="uk-UA"/>
        </w:rPr>
        <w:t>Цією ж нормою законодавець передбачає виняток із загального правила початку досудового розслідування (дізнання) для кримінальних проступків, для з’ясування обставин яких до внесення відомостей до ЄРДР може бути:</w:t>
      </w:r>
    </w:p>
    <w:p w:rsidR="00F227A0" w:rsidRPr="00F227A0" w:rsidRDefault="00F227A0" w:rsidP="00F227A0">
      <w:pPr>
        <w:pStyle w:val="rvps2"/>
        <w:shd w:val="clear" w:color="auto" w:fill="FFFFFF"/>
        <w:spacing w:before="0" w:beforeAutospacing="0" w:after="0" w:afterAutospacing="0" w:line="360" w:lineRule="auto"/>
        <w:ind w:firstLine="448"/>
        <w:jc w:val="both"/>
        <w:rPr>
          <w:color w:val="333333"/>
          <w:sz w:val="28"/>
          <w:szCs w:val="28"/>
          <w:lang w:val="uk-UA"/>
        </w:rPr>
      </w:pPr>
      <w:bookmarkStart w:id="0" w:name="n6697"/>
      <w:bookmarkEnd w:id="0"/>
      <w:r w:rsidRPr="00F227A0">
        <w:rPr>
          <w:color w:val="333333"/>
          <w:sz w:val="28"/>
          <w:szCs w:val="28"/>
          <w:lang w:val="uk-UA"/>
        </w:rPr>
        <w:t>1) відібрано пояснення;</w:t>
      </w:r>
    </w:p>
    <w:p w:rsidR="00F227A0" w:rsidRPr="00F227A0" w:rsidRDefault="00F227A0" w:rsidP="00F227A0">
      <w:pPr>
        <w:pStyle w:val="rvps2"/>
        <w:shd w:val="clear" w:color="auto" w:fill="FFFFFF"/>
        <w:spacing w:before="0" w:beforeAutospacing="0" w:after="0" w:afterAutospacing="0" w:line="360" w:lineRule="auto"/>
        <w:ind w:firstLine="448"/>
        <w:jc w:val="both"/>
        <w:rPr>
          <w:color w:val="333333"/>
          <w:sz w:val="28"/>
          <w:szCs w:val="28"/>
          <w:lang w:val="uk-UA"/>
        </w:rPr>
      </w:pPr>
      <w:bookmarkStart w:id="1" w:name="n6698"/>
      <w:bookmarkEnd w:id="1"/>
      <w:r w:rsidRPr="00F227A0">
        <w:rPr>
          <w:color w:val="333333"/>
          <w:sz w:val="28"/>
          <w:szCs w:val="28"/>
          <w:lang w:val="uk-UA"/>
        </w:rPr>
        <w:t>2) проведено медичне освідування;</w:t>
      </w:r>
    </w:p>
    <w:p w:rsidR="00F227A0" w:rsidRPr="00F227A0" w:rsidRDefault="00F227A0" w:rsidP="00F227A0">
      <w:pPr>
        <w:pStyle w:val="rvps2"/>
        <w:shd w:val="clear" w:color="auto" w:fill="FFFFFF"/>
        <w:spacing w:before="0" w:beforeAutospacing="0" w:after="0" w:afterAutospacing="0" w:line="360" w:lineRule="auto"/>
        <w:ind w:firstLine="448"/>
        <w:jc w:val="both"/>
        <w:rPr>
          <w:color w:val="333333"/>
          <w:sz w:val="28"/>
          <w:szCs w:val="28"/>
          <w:lang w:val="uk-UA"/>
        </w:rPr>
      </w:pPr>
      <w:bookmarkStart w:id="2" w:name="n6699"/>
      <w:bookmarkEnd w:id="2"/>
      <w:r w:rsidRPr="00F227A0">
        <w:rPr>
          <w:color w:val="333333"/>
          <w:sz w:val="28"/>
          <w:szCs w:val="28"/>
          <w:lang w:val="uk-UA"/>
        </w:rPr>
        <w:t>3) отримано висновок спеціаліста і знято показання технічних приладів та технічних засобів, що мають функції фото- і кінозйомки, відеозапису, чи засобів фото- і кінозйомки, відеозапису;</w:t>
      </w:r>
    </w:p>
    <w:p w:rsidR="00F227A0" w:rsidRPr="00F227A0" w:rsidRDefault="00F227A0" w:rsidP="00F227A0">
      <w:pPr>
        <w:pStyle w:val="rvps2"/>
        <w:shd w:val="clear" w:color="auto" w:fill="FFFFFF"/>
        <w:spacing w:before="0" w:beforeAutospacing="0" w:after="0" w:afterAutospacing="0" w:line="360" w:lineRule="auto"/>
        <w:ind w:firstLine="448"/>
        <w:jc w:val="both"/>
        <w:rPr>
          <w:color w:val="333333"/>
          <w:sz w:val="28"/>
          <w:szCs w:val="28"/>
          <w:lang w:val="uk-UA"/>
        </w:rPr>
      </w:pPr>
      <w:bookmarkStart w:id="3" w:name="n6700"/>
      <w:bookmarkEnd w:id="3"/>
      <w:r w:rsidRPr="00F227A0">
        <w:rPr>
          <w:color w:val="333333"/>
          <w:sz w:val="28"/>
          <w:szCs w:val="28"/>
          <w:lang w:val="uk-UA"/>
        </w:rPr>
        <w:t>4) вилучено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r w:rsidR="00687072">
        <w:rPr>
          <w:color w:val="333333"/>
          <w:sz w:val="28"/>
          <w:szCs w:val="28"/>
          <w:lang w:val="uk-UA"/>
        </w:rPr>
        <w:t xml:space="preserve"> (ч. 3 ст. 214 КПК)</w:t>
      </w:r>
      <w:r w:rsidRPr="00F227A0">
        <w:rPr>
          <w:color w:val="333333"/>
          <w:sz w:val="28"/>
          <w:szCs w:val="28"/>
          <w:lang w:val="uk-UA"/>
        </w:rPr>
        <w:t>.</w:t>
      </w:r>
    </w:p>
    <w:p w:rsidR="00494F2A" w:rsidRDefault="00687072" w:rsidP="00C11B19">
      <w:pPr>
        <w:pStyle w:val="a3"/>
        <w:spacing w:after="0" w:line="360" w:lineRule="auto"/>
        <w:ind w:firstLine="709"/>
        <w:jc w:val="both"/>
        <w:rPr>
          <w:sz w:val="28"/>
          <w:szCs w:val="28"/>
          <w:lang w:val="uk-UA"/>
        </w:rPr>
      </w:pPr>
      <w:r>
        <w:rPr>
          <w:sz w:val="28"/>
          <w:szCs w:val="28"/>
          <w:lang w:val="uk-UA"/>
        </w:rPr>
        <w:t>Зазначені способи отримання інформації для з’ясування обставин кримінального проступку</w:t>
      </w:r>
      <w:r w:rsidR="00857E4B">
        <w:rPr>
          <w:sz w:val="28"/>
          <w:szCs w:val="28"/>
          <w:lang w:val="uk-UA"/>
        </w:rPr>
        <w:t xml:space="preserve"> та прийняття рішення про необхідність розпочати дізнання,</w:t>
      </w:r>
      <w:r>
        <w:rPr>
          <w:sz w:val="28"/>
          <w:szCs w:val="28"/>
          <w:lang w:val="uk-UA"/>
        </w:rPr>
        <w:t xml:space="preserve"> слід визнати процесуальними</w:t>
      </w:r>
      <w:r w:rsidR="00F5614E">
        <w:rPr>
          <w:sz w:val="28"/>
          <w:szCs w:val="28"/>
          <w:lang w:val="uk-UA"/>
        </w:rPr>
        <w:t xml:space="preserve"> діями</w:t>
      </w:r>
      <w:r w:rsidR="00857E4B">
        <w:rPr>
          <w:sz w:val="28"/>
          <w:szCs w:val="28"/>
          <w:lang w:val="uk-UA"/>
        </w:rPr>
        <w:t xml:space="preserve"> </w:t>
      </w:r>
      <w:r w:rsidR="00F5614E">
        <w:rPr>
          <w:sz w:val="28"/>
          <w:szCs w:val="28"/>
          <w:lang w:val="uk-UA"/>
        </w:rPr>
        <w:t>(</w:t>
      </w:r>
      <w:r w:rsidR="00857E4B">
        <w:rPr>
          <w:sz w:val="28"/>
          <w:szCs w:val="28"/>
          <w:lang w:val="uk-UA"/>
        </w:rPr>
        <w:t>засобами</w:t>
      </w:r>
      <w:r w:rsidR="00F5614E">
        <w:rPr>
          <w:sz w:val="28"/>
          <w:szCs w:val="28"/>
          <w:lang w:val="uk-UA"/>
        </w:rPr>
        <w:t>)</w:t>
      </w:r>
      <w:r w:rsidR="00857E4B">
        <w:rPr>
          <w:sz w:val="28"/>
          <w:szCs w:val="28"/>
          <w:lang w:val="uk-UA"/>
        </w:rPr>
        <w:t xml:space="preserve"> формування доказів у </w:t>
      </w:r>
      <w:r w:rsidR="00857E4B">
        <w:rPr>
          <w:sz w:val="28"/>
          <w:szCs w:val="28"/>
          <w:lang w:val="uk-UA"/>
        </w:rPr>
        <w:lastRenderedPageBreak/>
        <w:t>провадженні.</w:t>
      </w:r>
      <w:r w:rsidR="00F5614E">
        <w:rPr>
          <w:sz w:val="28"/>
          <w:szCs w:val="28"/>
          <w:lang w:val="uk-UA"/>
        </w:rPr>
        <w:t xml:space="preserve"> За загальним правилом засоби формування судових доказів мають визначену законом процесуальну форму. На жаль, такої форми не передбачено для процесуальних дій з перевірки інформації про кримінальні проступки. Лише вилученню речей і документів присвячено самостійну статтю 298-3, редакція якої має метою приховати дійсну слідчу дію</w:t>
      </w:r>
      <w:r w:rsidR="00FB6F63">
        <w:rPr>
          <w:sz w:val="28"/>
          <w:szCs w:val="28"/>
          <w:lang w:val="uk-UA"/>
        </w:rPr>
        <w:t>, яку дозволено проводити до внесення відомостей в ЄРДР. І у першій і у другій частині цієї статті йдеться про вилучення речей і документів під час обшуку затриманої особи, що не викликає жодних сумнівів та заперечень. З цього слід зробити висновок, що під час дізнання до внесення відомостей до ЄРДР</w:t>
      </w:r>
      <w:r w:rsidR="00D72246">
        <w:rPr>
          <w:sz w:val="28"/>
          <w:szCs w:val="28"/>
          <w:lang w:val="uk-UA"/>
        </w:rPr>
        <w:t>, у невідкладних випадках,</w:t>
      </w:r>
      <w:r w:rsidR="00FB6F63">
        <w:rPr>
          <w:sz w:val="28"/>
          <w:szCs w:val="28"/>
          <w:lang w:val="uk-UA"/>
        </w:rPr>
        <w:t xml:space="preserve"> може проводитися не </w:t>
      </w:r>
      <w:r w:rsidR="00D72246">
        <w:rPr>
          <w:sz w:val="28"/>
          <w:szCs w:val="28"/>
          <w:lang w:val="uk-UA"/>
        </w:rPr>
        <w:t>тільки огляд місця події, але і обшук затриманої особи з метою вилучення речей і документів.</w:t>
      </w:r>
      <w:r w:rsidR="00FB6F63">
        <w:rPr>
          <w:sz w:val="28"/>
          <w:szCs w:val="28"/>
          <w:lang w:val="uk-UA"/>
        </w:rPr>
        <w:t xml:space="preserve"> Певні сумніви виникають щодо сутності інших перевірочних дій</w:t>
      </w:r>
      <w:r w:rsidR="00D72246">
        <w:rPr>
          <w:sz w:val="28"/>
          <w:szCs w:val="28"/>
          <w:lang w:val="uk-UA"/>
        </w:rPr>
        <w:t>,</w:t>
      </w:r>
      <w:r w:rsidR="00FB6F63">
        <w:rPr>
          <w:sz w:val="28"/>
          <w:szCs w:val="28"/>
          <w:lang w:val="uk-UA"/>
        </w:rPr>
        <w:t xml:space="preserve"> порядку їх проведення</w:t>
      </w:r>
      <w:r w:rsidR="00FB6F63" w:rsidRPr="00FB6F63">
        <w:rPr>
          <w:sz w:val="28"/>
          <w:szCs w:val="28"/>
          <w:lang w:val="uk-UA"/>
        </w:rPr>
        <w:t xml:space="preserve"> </w:t>
      </w:r>
      <w:r w:rsidR="00FB6F63">
        <w:rPr>
          <w:sz w:val="28"/>
          <w:szCs w:val="28"/>
          <w:lang w:val="uk-UA"/>
        </w:rPr>
        <w:t xml:space="preserve">та оформлення результатів (процесуальної форми), що потребує окремого дослідження. У даному разі </w:t>
      </w:r>
      <w:r w:rsidR="00D72246">
        <w:rPr>
          <w:sz w:val="28"/>
          <w:szCs w:val="28"/>
          <w:lang w:val="uk-UA"/>
        </w:rPr>
        <w:t>вважа</w:t>
      </w:r>
      <w:r w:rsidR="00FB6F63">
        <w:rPr>
          <w:sz w:val="28"/>
          <w:szCs w:val="28"/>
          <w:lang w:val="uk-UA"/>
        </w:rPr>
        <w:t>є</w:t>
      </w:r>
      <w:r w:rsidR="00D72246">
        <w:rPr>
          <w:sz w:val="28"/>
          <w:szCs w:val="28"/>
          <w:lang w:val="uk-UA"/>
        </w:rPr>
        <w:t>мо</w:t>
      </w:r>
      <w:r w:rsidR="00FB6F63">
        <w:rPr>
          <w:sz w:val="28"/>
          <w:szCs w:val="28"/>
          <w:lang w:val="uk-UA"/>
        </w:rPr>
        <w:t xml:space="preserve"> </w:t>
      </w:r>
      <w:r w:rsidR="00D72246">
        <w:rPr>
          <w:sz w:val="28"/>
          <w:szCs w:val="28"/>
          <w:lang w:val="uk-UA"/>
        </w:rPr>
        <w:t>за м</w:t>
      </w:r>
      <w:r w:rsidR="00FB6F63">
        <w:rPr>
          <w:sz w:val="28"/>
          <w:szCs w:val="28"/>
          <w:lang w:val="uk-UA"/>
        </w:rPr>
        <w:t>о</w:t>
      </w:r>
      <w:r w:rsidR="00D72246">
        <w:rPr>
          <w:sz w:val="28"/>
          <w:szCs w:val="28"/>
          <w:lang w:val="uk-UA"/>
        </w:rPr>
        <w:t>жливе</w:t>
      </w:r>
      <w:r w:rsidR="00FB6F63">
        <w:rPr>
          <w:sz w:val="28"/>
          <w:szCs w:val="28"/>
          <w:lang w:val="uk-UA"/>
        </w:rPr>
        <w:t xml:space="preserve"> зупинитися на проведенні медичного освідування, як способі перевірки</w:t>
      </w:r>
      <w:r w:rsidR="00D72246">
        <w:rPr>
          <w:sz w:val="28"/>
          <w:szCs w:val="28"/>
          <w:lang w:val="uk-UA"/>
        </w:rPr>
        <w:t xml:space="preserve"> відомостей</w:t>
      </w:r>
      <w:r w:rsidR="00FB6F63">
        <w:rPr>
          <w:sz w:val="28"/>
          <w:szCs w:val="28"/>
          <w:lang w:val="uk-UA"/>
        </w:rPr>
        <w:t xml:space="preserve"> про кримінальний проступок.</w:t>
      </w:r>
    </w:p>
    <w:p w:rsidR="00D72246" w:rsidRDefault="00D72246" w:rsidP="00C11B19">
      <w:pPr>
        <w:pStyle w:val="a3"/>
        <w:spacing w:after="0" w:line="360" w:lineRule="auto"/>
        <w:ind w:firstLine="709"/>
        <w:jc w:val="both"/>
        <w:rPr>
          <w:sz w:val="28"/>
          <w:szCs w:val="28"/>
          <w:lang w:val="uk-UA"/>
        </w:rPr>
      </w:pPr>
      <w:r>
        <w:rPr>
          <w:sz w:val="28"/>
          <w:szCs w:val="28"/>
          <w:lang w:val="uk-UA"/>
        </w:rPr>
        <w:t xml:space="preserve">Оскільки чинний КПК не визначає порядок його проведення, звернімося до недалекої історії. Так, КПК України 1960 року закріплював два види освідування: слідче та судово-медичне (ст. 193). </w:t>
      </w:r>
      <w:r w:rsidR="000F633F">
        <w:rPr>
          <w:sz w:val="28"/>
          <w:szCs w:val="28"/>
          <w:lang w:val="uk-UA"/>
        </w:rPr>
        <w:t>Перше проводилося слідчим відповідно з винесеною ним постановою. Друге проводилося судовомедичним експертом або лікарем за вказівкою слідчого. У даній нормі визначалися способи  фіксації результатів освідування. Слідчий мав скласти протокол, який підписував сам та освідуваний. Судовомедичний експерт складав акт, а лікар видавав довідку.</w:t>
      </w:r>
    </w:p>
    <w:p w:rsidR="000F633F" w:rsidRDefault="00D22215" w:rsidP="00C11B19">
      <w:pPr>
        <w:pStyle w:val="a3"/>
        <w:spacing w:after="0" w:line="360" w:lineRule="auto"/>
        <w:ind w:firstLine="709"/>
        <w:jc w:val="both"/>
        <w:rPr>
          <w:sz w:val="28"/>
          <w:szCs w:val="28"/>
          <w:lang w:val="uk-UA"/>
        </w:rPr>
      </w:pPr>
      <w:r>
        <w:rPr>
          <w:sz w:val="28"/>
          <w:szCs w:val="28"/>
          <w:lang w:val="uk-UA"/>
        </w:rPr>
        <w:t>Чинний КПК України (ст. 241) передбачає один вид освідування – слідче і проводиться воно на підставі постанови прокурора. До участі в освідуванні може залучатися судово-медичний експерт</w:t>
      </w:r>
      <w:r w:rsidR="00D91CA5">
        <w:rPr>
          <w:sz w:val="28"/>
          <w:szCs w:val="28"/>
          <w:lang w:val="uk-UA"/>
        </w:rPr>
        <w:t xml:space="preserve">, лікар або інший спеціаліст, залежно від мети та обставин освідування. Законодавець не визначає, в яких документах мають відображатися результати освідування. Оскільки освідування є різновидом слідчого огляду, специфіка якого обумовлюється його об’єктом – тіло живої людини, має бути однозначний висновок про відображення його </w:t>
      </w:r>
      <w:r w:rsidR="00D91CA5">
        <w:rPr>
          <w:sz w:val="28"/>
          <w:szCs w:val="28"/>
          <w:lang w:val="uk-UA"/>
        </w:rPr>
        <w:lastRenderedPageBreak/>
        <w:t xml:space="preserve">результатів у протоколі, правом складання якого наділений слідчий (дізнавач) (ст. 106 КПК). </w:t>
      </w:r>
      <w:r w:rsidR="006B0EC4">
        <w:rPr>
          <w:sz w:val="28"/>
          <w:szCs w:val="28"/>
          <w:lang w:val="uk-UA"/>
        </w:rPr>
        <w:t>У такому випадку виникає запитання про процесуальний документ, в якому мають знайти відображення результати освідування судово-медичним експертом або лікарем.</w:t>
      </w:r>
    </w:p>
    <w:p w:rsidR="006B0EC4" w:rsidRDefault="006B0EC4" w:rsidP="00C11B19">
      <w:pPr>
        <w:pStyle w:val="a3"/>
        <w:spacing w:after="0" w:line="360" w:lineRule="auto"/>
        <w:ind w:firstLine="709"/>
        <w:jc w:val="both"/>
        <w:rPr>
          <w:sz w:val="28"/>
          <w:szCs w:val="28"/>
          <w:lang w:val="uk-UA"/>
        </w:rPr>
      </w:pPr>
      <w:r>
        <w:rPr>
          <w:sz w:val="28"/>
          <w:szCs w:val="28"/>
          <w:lang w:val="uk-UA"/>
        </w:rPr>
        <w:t>Не вирішено питання з правовою підставою медичного освідування, колом осіб, які можуть бути піддані такому освідуванню та мети його проведення. Якщо за загальним правилом освідування особи проводиться за постановою прокурора, скоріше за усе і медичне освідування має проводитися за аналогічною постановою. Даний спосіб формування доказів у кримінальному провадженні становить суттєве втручання в право особи на недоторканність, а тому має бути чітко визначена підстава його застосування.</w:t>
      </w:r>
    </w:p>
    <w:p w:rsidR="006B0EC4" w:rsidRDefault="006B0EC4" w:rsidP="00C11B19">
      <w:pPr>
        <w:pStyle w:val="a3"/>
        <w:spacing w:after="0" w:line="360" w:lineRule="auto"/>
        <w:ind w:firstLine="709"/>
        <w:jc w:val="both"/>
        <w:rPr>
          <w:sz w:val="28"/>
          <w:szCs w:val="28"/>
          <w:lang w:val="uk-UA"/>
        </w:rPr>
      </w:pPr>
      <w:r>
        <w:rPr>
          <w:sz w:val="28"/>
          <w:szCs w:val="28"/>
          <w:lang w:val="uk-UA"/>
        </w:rPr>
        <w:t>По-друге, в КПК не визначено коло осіб, які можуть бути піддані медичному освідуванню. Відповідно до загального правила, освідуванню можуть бути піддані</w:t>
      </w:r>
      <w:r w:rsidR="001824C5">
        <w:rPr>
          <w:sz w:val="28"/>
          <w:szCs w:val="28"/>
          <w:lang w:val="uk-UA"/>
        </w:rPr>
        <w:t xml:space="preserve"> підозрюваний, свідок, потерпілий (ч. 1 ст. 241 КПК). На даному етапі провадження щодо кримінальних проступків, осіб які набули такого статусу бути не може. Постає питання про забезпечення прав на недоторканність гарантованих Конституцією України (ст. ст. 3, 28, 29).</w:t>
      </w:r>
    </w:p>
    <w:p w:rsidR="002A16DC" w:rsidRDefault="002A16DC" w:rsidP="00C11B19">
      <w:pPr>
        <w:pStyle w:val="a3"/>
        <w:spacing w:after="0" w:line="360" w:lineRule="auto"/>
        <w:ind w:firstLine="709"/>
        <w:jc w:val="both"/>
        <w:rPr>
          <w:sz w:val="28"/>
          <w:szCs w:val="28"/>
          <w:lang w:val="uk-UA"/>
        </w:rPr>
      </w:pPr>
      <w:r>
        <w:rPr>
          <w:sz w:val="28"/>
          <w:szCs w:val="28"/>
          <w:lang w:val="uk-UA"/>
        </w:rPr>
        <w:t>Законодавством деяких сусідніх країн здійснено спробу для вирішення цього питання. Поряд з традиційними учасниками (підозрюваний, потерпілий, свідок), що можуть бути піддані освідуванню, до цього переліку віднесено заявника та особу, на яку прямо вказав заявник як на того, хто вчинив кримінальне правопорушення (ст. 223 КПК Республіки Казахстан).</w:t>
      </w:r>
    </w:p>
    <w:p w:rsidR="000537AB" w:rsidRDefault="000537AB" w:rsidP="00C11B19">
      <w:pPr>
        <w:pStyle w:val="a3"/>
        <w:spacing w:after="0" w:line="360" w:lineRule="auto"/>
        <w:ind w:firstLine="709"/>
        <w:jc w:val="both"/>
        <w:rPr>
          <w:sz w:val="28"/>
          <w:szCs w:val="28"/>
          <w:lang w:val="uk-UA"/>
        </w:rPr>
      </w:pPr>
      <w:r>
        <w:rPr>
          <w:sz w:val="28"/>
          <w:szCs w:val="28"/>
          <w:lang w:val="uk-UA"/>
        </w:rPr>
        <w:t>Не вирішеним залишається питання про можливість медичного освідування в примусовому порядку. Звичайно, у більшості випадків слідчі дії проводяться за особистим волевиявлення осіб, які до них залучаються. Проте не можна виключати випадки, коли особа відмовляється пройти медичне освідування.</w:t>
      </w:r>
      <w:r w:rsidR="00F51CC3">
        <w:rPr>
          <w:sz w:val="28"/>
          <w:szCs w:val="28"/>
          <w:lang w:val="uk-UA"/>
        </w:rPr>
        <w:t xml:space="preserve"> Для таких випадків законодавець окремих країн передбачає можливість проведення освідування у примусовому порядку (ч. 2 ст. 223 КПК Республіки Казахстан, ч. 2 ст. 206 КПК Республіки Беларусь).</w:t>
      </w:r>
    </w:p>
    <w:p w:rsidR="00F51CC3" w:rsidRDefault="00F51CC3" w:rsidP="00C11B19">
      <w:pPr>
        <w:pStyle w:val="a3"/>
        <w:spacing w:after="0" w:line="360" w:lineRule="auto"/>
        <w:ind w:firstLine="709"/>
        <w:jc w:val="both"/>
        <w:rPr>
          <w:sz w:val="28"/>
          <w:szCs w:val="28"/>
          <w:lang w:val="uk-UA"/>
        </w:rPr>
      </w:pPr>
      <w:r>
        <w:rPr>
          <w:sz w:val="28"/>
          <w:szCs w:val="28"/>
          <w:lang w:val="uk-UA"/>
        </w:rPr>
        <w:lastRenderedPageBreak/>
        <w:t xml:space="preserve">Не можна обійти увагою визначення мети медичного освідування. Слід зазначити, що законодавець різних країн </w:t>
      </w:r>
      <w:r w:rsidR="00630CC8">
        <w:rPr>
          <w:sz w:val="28"/>
          <w:szCs w:val="28"/>
          <w:lang w:val="uk-UA"/>
        </w:rPr>
        <w:t>неоднозначно підходить до вирішення цього питання. Відповідно до ч. 1 ст. 241 КПК України метою освідування є виявлення на тілі підозрюваного, потерпілого, свідка слідів кримінального правопорушення або особливих прикмет. Подібна мета освідування передбачена КПК Республіки Вірменія (ст. 220) та Республіки Молдова (ст. 119).</w:t>
      </w:r>
    </w:p>
    <w:p w:rsidR="00630CC8" w:rsidRDefault="00630CC8" w:rsidP="00C11B19">
      <w:pPr>
        <w:pStyle w:val="a3"/>
        <w:spacing w:after="0" w:line="360" w:lineRule="auto"/>
        <w:ind w:firstLine="709"/>
        <w:jc w:val="both"/>
        <w:rPr>
          <w:sz w:val="28"/>
          <w:szCs w:val="28"/>
          <w:lang w:val="uk-UA"/>
        </w:rPr>
      </w:pPr>
      <w:r>
        <w:rPr>
          <w:sz w:val="28"/>
          <w:szCs w:val="28"/>
          <w:lang w:val="uk-UA"/>
        </w:rPr>
        <w:t>Законодавець інших країн</w:t>
      </w:r>
      <w:r w:rsidR="00716565">
        <w:rPr>
          <w:sz w:val="28"/>
          <w:szCs w:val="28"/>
          <w:lang w:val="uk-UA"/>
        </w:rPr>
        <w:t xml:space="preserve"> розширює завдання освідування та, окрім названих раніше, відносить до них виявлення стану сп’яніння та інших властивостей і ознак, що мають значення для справи (ст. 179 КПК РФ, ст. 206 КПК Республіки Беларусь, ст. 223 КПК Республіки Казахстан). При цьому у цих нормах зазначається, якщо для цього не потрібно проводити експертизу.</w:t>
      </w:r>
    </w:p>
    <w:p w:rsidR="00F5614E" w:rsidRDefault="00C57C7D" w:rsidP="00C11B19">
      <w:pPr>
        <w:pStyle w:val="a3"/>
        <w:spacing w:after="0" w:line="360" w:lineRule="auto"/>
        <w:ind w:firstLine="709"/>
        <w:jc w:val="both"/>
        <w:rPr>
          <w:sz w:val="28"/>
          <w:szCs w:val="28"/>
          <w:lang w:val="uk-UA"/>
        </w:rPr>
      </w:pPr>
      <w:r>
        <w:rPr>
          <w:sz w:val="28"/>
          <w:szCs w:val="28"/>
          <w:lang w:val="uk-UA"/>
        </w:rPr>
        <w:t xml:space="preserve">Віднесення до завдань освідування, як різновиду огляду, встановлення станів і властивостей організму людини, на нашу думку, є даниною майже вікової традиції. У той час до завдань освідування відносили визначення фізіологічного стану (вагітності), віку або психічного стану </w:t>
      </w:r>
      <w:r w:rsidRPr="00C57C7D">
        <w:rPr>
          <w:sz w:val="28"/>
          <w:szCs w:val="28"/>
        </w:rPr>
        <w:t>[</w:t>
      </w:r>
      <w:r w:rsidR="00431338">
        <w:rPr>
          <w:sz w:val="28"/>
          <w:szCs w:val="28"/>
          <w:lang w:val="uk-UA"/>
        </w:rPr>
        <w:t>1</w:t>
      </w:r>
      <w:r>
        <w:rPr>
          <w:sz w:val="28"/>
          <w:szCs w:val="28"/>
          <w:lang w:val="uk-UA"/>
        </w:rPr>
        <w:t>, с. 267</w:t>
      </w:r>
      <w:r w:rsidRPr="00C57C7D">
        <w:rPr>
          <w:sz w:val="28"/>
          <w:szCs w:val="28"/>
        </w:rPr>
        <w:t>]</w:t>
      </w:r>
      <w:bookmarkStart w:id="4" w:name="_GoBack"/>
      <w:bookmarkEnd w:id="4"/>
      <w:r>
        <w:rPr>
          <w:sz w:val="28"/>
          <w:szCs w:val="28"/>
          <w:lang w:val="uk-UA"/>
        </w:rPr>
        <w:t>.</w:t>
      </w:r>
    </w:p>
    <w:p w:rsidR="001E01C9" w:rsidRPr="00C57C7D" w:rsidRDefault="001E01C9" w:rsidP="00C11B19">
      <w:pPr>
        <w:pStyle w:val="a3"/>
        <w:spacing w:after="0" w:line="360" w:lineRule="auto"/>
        <w:ind w:firstLine="709"/>
        <w:jc w:val="both"/>
        <w:rPr>
          <w:sz w:val="28"/>
          <w:szCs w:val="28"/>
          <w:lang w:val="uk-UA"/>
        </w:rPr>
      </w:pPr>
      <w:r>
        <w:rPr>
          <w:sz w:val="28"/>
          <w:szCs w:val="28"/>
          <w:lang w:val="uk-UA"/>
        </w:rPr>
        <w:t>Віднесення до завдань освідування встановлення станів людини не набуло підтримки науковців та практиків. Так, С. А. </w:t>
      </w:r>
      <w:proofErr w:type="spellStart"/>
      <w:r>
        <w:rPr>
          <w:sz w:val="28"/>
          <w:szCs w:val="28"/>
          <w:lang w:val="uk-UA"/>
        </w:rPr>
        <w:t>Шейфер</w:t>
      </w:r>
      <w:proofErr w:type="spellEnd"/>
      <w:r>
        <w:rPr>
          <w:sz w:val="28"/>
          <w:szCs w:val="28"/>
          <w:lang w:val="uk-UA"/>
        </w:rPr>
        <w:t xml:space="preserve"> слушно зазначає, що звичайним спостереженням, навіть із застосуванням технічних засобів, не завжди можливо виявити у людини стан сп’яніння, оскільки його ознаки: запах алкоголю, невпевнена хода, плутана мова, червоний колір обличчя і т. п. – багатозначні і можуть бути притаманні іншим станам людини: хворобі, що супроводжується  прийманням медичних препаратів, втомленості, страху тощо. У подібних ситуаціях </w:t>
      </w:r>
      <w:r w:rsidR="00FE3222">
        <w:rPr>
          <w:sz w:val="28"/>
          <w:szCs w:val="28"/>
          <w:lang w:val="uk-UA"/>
        </w:rPr>
        <w:t xml:space="preserve">особу слід направити до медичної установи, де з використанням прийомів судово-медичного дослідження спеціаліст зробить висновок та сформулює відповідь на конкретне запитання </w:t>
      </w:r>
      <w:r w:rsidR="00FE3222" w:rsidRPr="00FE3222">
        <w:rPr>
          <w:sz w:val="28"/>
          <w:szCs w:val="28"/>
        </w:rPr>
        <w:t>[</w:t>
      </w:r>
      <w:r w:rsidR="00431338">
        <w:rPr>
          <w:sz w:val="28"/>
          <w:szCs w:val="28"/>
          <w:lang w:val="uk-UA"/>
        </w:rPr>
        <w:t>2</w:t>
      </w:r>
      <w:r w:rsidR="00FE3222">
        <w:rPr>
          <w:sz w:val="28"/>
          <w:szCs w:val="28"/>
          <w:lang w:val="uk-UA"/>
        </w:rPr>
        <w:t>, с. 92</w:t>
      </w:r>
      <w:r w:rsidR="00FE3222" w:rsidRPr="00FE3222">
        <w:rPr>
          <w:sz w:val="28"/>
          <w:szCs w:val="28"/>
        </w:rPr>
        <w:t>]</w:t>
      </w:r>
      <w:r w:rsidR="00FE3222">
        <w:rPr>
          <w:sz w:val="28"/>
          <w:szCs w:val="28"/>
          <w:lang w:val="uk-UA"/>
        </w:rPr>
        <w:t>.</w:t>
      </w:r>
    </w:p>
    <w:p w:rsidR="00C11B19" w:rsidRDefault="00FE3222" w:rsidP="00C11B19">
      <w:pPr>
        <w:pStyle w:val="a3"/>
        <w:spacing w:after="0" w:line="360" w:lineRule="auto"/>
        <w:ind w:firstLine="709"/>
        <w:jc w:val="both"/>
        <w:rPr>
          <w:sz w:val="28"/>
          <w:szCs w:val="28"/>
          <w:lang w:val="uk-UA"/>
        </w:rPr>
      </w:pPr>
      <w:r>
        <w:rPr>
          <w:sz w:val="28"/>
          <w:szCs w:val="28"/>
          <w:lang w:val="uk-UA"/>
        </w:rPr>
        <w:t xml:space="preserve">Принципово поділяючи дану думку зазначимо, що визначення стану людини, зокрема сп’яніння, вживання наркотиків, потребує використання спеціальних знань і має вирішуватися </w:t>
      </w:r>
      <w:r w:rsidR="003D4BFF">
        <w:rPr>
          <w:sz w:val="28"/>
          <w:szCs w:val="28"/>
          <w:lang w:val="uk-UA"/>
        </w:rPr>
        <w:t xml:space="preserve">проведенням судово-медичної </w:t>
      </w:r>
      <w:r w:rsidR="003D4BFF">
        <w:rPr>
          <w:sz w:val="28"/>
          <w:szCs w:val="28"/>
          <w:lang w:val="uk-UA"/>
        </w:rPr>
        <w:lastRenderedPageBreak/>
        <w:t>експертизи. Освідування, як слідча дія, не передбачає і не може передбачати будь-яких досліджень над людиною.</w:t>
      </w:r>
    </w:p>
    <w:p w:rsidR="003D4BFF" w:rsidRDefault="003D4BFF" w:rsidP="00C11B19">
      <w:pPr>
        <w:pStyle w:val="a3"/>
        <w:spacing w:after="0" w:line="360" w:lineRule="auto"/>
        <w:ind w:firstLine="709"/>
        <w:jc w:val="both"/>
        <w:rPr>
          <w:sz w:val="28"/>
          <w:szCs w:val="28"/>
          <w:lang w:val="uk-UA"/>
        </w:rPr>
      </w:pPr>
      <w:r>
        <w:rPr>
          <w:sz w:val="28"/>
          <w:szCs w:val="28"/>
          <w:lang w:val="uk-UA"/>
        </w:rPr>
        <w:t>На завершення слід зазначити, що порядок і форма проведення перевірочних дій у кримінальних провадженнях про кримінальні проступки потребує подальших досліджень з метою нормативного врегулювання цієї діяльності і приведення у відповідність до загальних правил забезпечення прав та інтересів особи, у тому числі і на її тілесну недоторканність.</w:t>
      </w:r>
    </w:p>
    <w:p w:rsidR="003D4BFF" w:rsidRPr="003D4BFF" w:rsidRDefault="003D4BFF" w:rsidP="003D4BFF">
      <w:pPr>
        <w:pStyle w:val="a3"/>
        <w:spacing w:after="0" w:line="360" w:lineRule="auto"/>
        <w:ind w:firstLine="709"/>
        <w:jc w:val="center"/>
        <w:rPr>
          <w:b/>
          <w:bCs/>
          <w:sz w:val="28"/>
          <w:szCs w:val="28"/>
          <w:lang w:val="uk-UA"/>
        </w:rPr>
      </w:pPr>
      <w:r w:rsidRPr="003D4BFF">
        <w:rPr>
          <w:b/>
          <w:bCs/>
          <w:sz w:val="28"/>
          <w:szCs w:val="28"/>
          <w:lang w:val="uk-UA"/>
        </w:rPr>
        <w:t>СПИСОК ВИКОРИСТАНИХ ДЖЕРЕЛ</w:t>
      </w:r>
    </w:p>
    <w:p w:rsidR="003D4BFF" w:rsidRDefault="003D4BFF" w:rsidP="00C11B19">
      <w:pPr>
        <w:pStyle w:val="a3"/>
        <w:spacing w:after="0" w:line="360" w:lineRule="auto"/>
        <w:ind w:firstLine="709"/>
        <w:jc w:val="both"/>
        <w:rPr>
          <w:sz w:val="28"/>
          <w:szCs w:val="28"/>
          <w:lang w:val="uk-UA"/>
        </w:rPr>
      </w:pPr>
      <w:r>
        <w:rPr>
          <w:sz w:val="28"/>
          <w:szCs w:val="28"/>
          <w:lang w:val="uk-UA"/>
        </w:rPr>
        <w:t>1.</w:t>
      </w:r>
      <w:r w:rsidRPr="003D4BFF">
        <w:rPr>
          <w:sz w:val="28"/>
          <w:szCs w:val="28"/>
          <w:lang w:val="uk-UA"/>
        </w:rPr>
        <w:t xml:space="preserve"> </w:t>
      </w:r>
      <w:proofErr w:type="spellStart"/>
      <w:r w:rsidRPr="00C57C7D">
        <w:rPr>
          <w:sz w:val="28"/>
          <w:szCs w:val="28"/>
          <w:lang w:val="uk-UA"/>
        </w:rPr>
        <w:t>Чельцов</w:t>
      </w:r>
      <w:proofErr w:type="spellEnd"/>
      <w:r w:rsidRPr="00C57C7D">
        <w:rPr>
          <w:sz w:val="28"/>
          <w:szCs w:val="28"/>
          <w:lang w:val="uk-UA"/>
        </w:rPr>
        <w:t xml:space="preserve"> М. А.</w:t>
      </w:r>
      <w:r>
        <w:rPr>
          <w:sz w:val="28"/>
          <w:szCs w:val="28"/>
          <w:lang w:val="uk-UA"/>
        </w:rPr>
        <w:t xml:space="preserve"> </w:t>
      </w:r>
      <w:proofErr w:type="spellStart"/>
      <w:r>
        <w:rPr>
          <w:sz w:val="28"/>
          <w:szCs w:val="28"/>
          <w:lang w:val="uk-UA"/>
        </w:rPr>
        <w:t>Советский</w:t>
      </w:r>
      <w:proofErr w:type="spellEnd"/>
      <w:r>
        <w:rPr>
          <w:sz w:val="28"/>
          <w:szCs w:val="28"/>
          <w:lang w:val="uk-UA"/>
        </w:rPr>
        <w:t xml:space="preserve"> </w:t>
      </w:r>
      <w:proofErr w:type="spellStart"/>
      <w:r>
        <w:rPr>
          <w:sz w:val="28"/>
          <w:szCs w:val="28"/>
          <w:lang w:val="uk-UA"/>
        </w:rPr>
        <w:t>уголовн</w:t>
      </w:r>
      <w:r>
        <w:rPr>
          <w:sz w:val="28"/>
          <w:szCs w:val="28"/>
        </w:rPr>
        <w:t>ый</w:t>
      </w:r>
      <w:proofErr w:type="spellEnd"/>
      <w:r>
        <w:rPr>
          <w:sz w:val="28"/>
          <w:szCs w:val="28"/>
        </w:rPr>
        <w:t xml:space="preserve"> процесс: учебник. М.: Гос.</w:t>
      </w:r>
      <w:r>
        <w:rPr>
          <w:sz w:val="28"/>
          <w:szCs w:val="28"/>
          <w:lang w:val="uk-UA"/>
        </w:rPr>
        <w:t xml:space="preserve"> </w:t>
      </w:r>
      <w:proofErr w:type="spellStart"/>
      <w:r>
        <w:rPr>
          <w:sz w:val="28"/>
          <w:szCs w:val="28"/>
        </w:rPr>
        <w:t>издат</w:t>
      </w:r>
      <w:proofErr w:type="spellEnd"/>
      <w:r>
        <w:rPr>
          <w:sz w:val="28"/>
          <w:szCs w:val="28"/>
        </w:rPr>
        <w:t>.</w:t>
      </w:r>
      <w:r>
        <w:rPr>
          <w:sz w:val="28"/>
          <w:szCs w:val="28"/>
          <w:lang w:val="uk-UA"/>
        </w:rPr>
        <w:t xml:space="preserve"> </w:t>
      </w:r>
      <w:r>
        <w:rPr>
          <w:sz w:val="28"/>
          <w:szCs w:val="28"/>
        </w:rPr>
        <w:t>юр.</w:t>
      </w:r>
      <w:r>
        <w:rPr>
          <w:sz w:val="28"/>
          <w:szCs w:val="28"/>
          <w:lang w:val="uk-UA"/>
        </w:rPr>
        <w:t xml:space="preserve"> </w:t>
      </w:r>
      <w:r>
        <w:rPr>
          <w:sz w:val="28"/>
          <w:szCs w:val="28"/>
        </w:rPr>
        <w:t>лит., 1951. 511 с.</w:t>
      </w:r>
    </w:p>
    <w:p w:rsidR="003D4BFF" w:rsidRPr="00716565" w:rsidRDefault="003D4BFF" w:rsidP="00C11B19">
      <w:pPr>
        <w:pStyle w:val="a3"/>
        <w:spacing w:after="0" w:line="360" w:lineRule="auto"/>
        <w:ind w:firstLine="709"/>
        <w:jc w:val="both"/>
        <w:rPr>
          <w:sz w:val="28"/>
          <w:szCs w:val="28"/>
          <w:lang w:val="uk-UA"/>
        </w:rPr>
      </w:pPr>
      <w:r>
        <w:rPr>
          <w:sz w:val="28"/>
          <w:szCs w:val="28"/>
          <w:lang w:val="uk-UA"/>
        </w:rPr>
        <w:t>2.</w:t>
      </w:r>
      <w:r w:rsidRPr="003D4BFF">
        <w:rPr>
          <w:sz w:val="28"/>
          <w:szCs w:val="28"/>
        </w:rPr>
        <w:t xml:space="preserve"> </w:t>
      </w:r>
      <w:r w:rsidRPr="00C11B19">
        <w:rPr>
          <w:sz w:val="28"/>
          <w:szCs w:val="28"/>
        </w:rPr>
        <w:t xml:space="preserve">Шейфер С. А. Проблемы развития системы следственных действий. </w:t>
      </w:r>
      <w:r w:rsidRPr="00C11B19">
        <w:rPr>
          <w:i/>
          <w:sz w:val="28"/>
          <w:szCs w:val="28"/>
        </w:rPr>
        <w:t>Уголовное право</w:t>
      </w:r>
      <w:r w:rsidRPr="00C11B19">
        <w:rPr>
          <w:sz w:val="28"/>
          <w:szCs w:val="28"/>
        </w:rPr>
        <w:t>. - 2002. - № 3. - С. 90-92.</w:t>
      </w:r>
    </w:p>
    <w:sectPr w:rsidR="003D4BFF" w:rsidRPr="00716565" w:rsidSect="00C11B19">
      <w:endnotePr>
        <w:numFmt w:val="decimal"/>
      </w:endnotePr>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37DAB" w:rsidRDefault="00437DAB" w:rsidP="00C57C7D">
      <w:pPr>
        <w:spacing w:after="0" w:line="240" w:lineRule="auto"/>
      </w:pPr>
      <w:r>
        <w:separator/>
      </w:r>
    </w:p>
  </w:endnote>
  <w:endnote w:type="continuationSeparator" w:id="0">
    <w:p w:rsidR="00437DAB" w:rsidRDefault="00437DAB" w:rsidP="00C57C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37DAB" w:rsidRDefault="00437DAB" w:rsidP="00C57C7D">
      <w:pPr>
        <w:spacing w:after="0" w:line="240" w:lineRule="auto"/>
      </w:pPr>
      <w:r>
        <w:separator/>
      </w:r>
    </w:p>
  </w:footnote>
  <w:footnote w:type="continuationSeparator" w:id="0">
    <w:p w:rsidR="00437DAB" w:rsidRDefault="00437DAB" w:rsidP="00C57C7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footnotePr>
    <w:footnote w:id="-1"/>
    <w:footnote w:id="0"/>
  </w:footnotePr>
  <w:endnotePr>
    <w:numFmt w:val="decimal"/>
    <w:endnote w:id="-1"/>
    <w:endnote w:id="0"/>
  </w:endnotePr>
  <w:compat/>
  <w:rsids>
    <w:rsidRoot w:val="00C11B19"/>
    <w:rsid w:val="000537AB"/>
    <w:rsid w:val="000F633F"/>
    <w:rsid w:val="001824C5"/>
    <w:rsid w:val="001E01C9"/>
    <w:rsid w:val="002A16DC"/>
    <w:rsid w:val="003D4BFF"/>
    <w:rsid w:val="00431338"/>
    <w:rsid w:val="00437DAB"/>
    <w:rsid w:val="00481AFC"/>
    <w:rsid w:val="00494F2A"/>
    <w:rsid w:val="0058689F"/>
    <w:rsid w:val="00630CC8"/>
    <w:rsid w:val="00687072"/>
    <w:rsid w:val="006B0EC4"/>
    <w:rsid w:val="00716565"/>
    <w:rsid w:val="00857E4B"/>
    <w:rsid w:val="008C3FC7"/>
    <w:rsid w:val="009E642C"/>
    <w:rsid w:val="00AF07AD"/>
    <w:rsid w:val="00BD5304"/>
    <w:rsid w:val="00C11B19"/>
    <w:rsid w:val="00C57C7D"/>
    <w:rsid w:val="00C601EB"/>
    <w:rsid w:val="00D22215"/>
    <w:rsid w:val="00D51924"/>
    <w:rsid w:val="00D72246"/>
    <w:rsid w:val="00D91CA5"/>
    <w:rsid w:val="00E2794A"/>
    <w:rsid w:val="00F227A0"/>
    <w:rsid w:val="00F36C5E"/>
    <w:rsid w:val="00F51CC3"/>
    <w:rsid w:val="00F5614E"/>
    <w:rsid w:val="00FB6F63"/>
    <w:rsid w:val="00FE32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B1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nhideWhenUsed/>
    <w:rsid w:val="00C11B19"/>
    <w:pPr>
      <w:spacing w:after="120" w:line="240" w:lineRule="auto"/>
    </w:pPr>
    <w:rPr>
      <w:rFonts w:ascii="Times New Roman" w:eastAsia="Times New Roman" w:hAnsi="Times New Roman" w:cs="Times New Roman"/>
      <w:sz w:val="20"/>
      <w:szCs w:val="20"/>
      <w:lang w:eastAsia="uk-UA"/>
    </w:rPr>
  </w:style>
  <w:style w:type="character" w:customStyle="1" w:styleId="a4">
    <w:name w:val="Основной текст Знак"/>
    <w:basedOn w:val="a0"/>
    <w:link w:val="a3"/>
    <w:rsid w:val="00C11B19"/>
    <w:rPr>
      <w:rFonts w:ascii="Times New Roman" w:eastAsia="Times New Roman" w:hAnsi="Times New Roman" w:cs="Times New Roman"/>
      <w:sz w:val="20"/>
      <w:szCs w:val="20"/>
      <w:lang w:eastAsia="uk-UA"/>
    </w:rPr>
  </w:style>
  <w:style w:type="paragraph" w:customStyle="1" w:styleId="rvps2">
    <w:name w:val="rvps2"/>
    <w:basedOn w:val="a"/>
    <w:rsid w:val="00F227A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endnote text"/>
    <w:basedOn w:val="a"/>
    <w:link w:val="a6"/>
    <w:uiPriority w:val="99"/>
    <w:semiHidden/>
    <w:unhideWhenUsed/>
    <w:rsid w:val="00C57C7D"/>
    <w:pPr>
      <w:spacing w:after="0" w:line="240" w:lineRule="auto"/>
    </w:pPr>
    <w:rPr>
      <w:sz w:val="20"/>
      <w:szCs w:val="20"/>
    </w:rPr>
  </w:style>
  <w:style w:type="character" w:customStyle="1" w:styleId="a6">
    <w:name w:val="Текст концевой сноски Знак"/>
    <w:basedOn w:val="a0"/>
    <w:link w:val="a5"/>
    <w:uiPriority w:val="99"/>
    <w:semiHidden/>
    <w:rsid w:val="00C57C7D"/>
    <w:rPr>
      <w:sz w:val="20"/>
      <w:szCs w:val="20"/>
    </w:rPr>
  </w:style>
  <w:style w:type="character" w:styleId="a7">
    <w:name w:val="endnote reference"/>
    <w:basedOn w:val="a0"/>
    <w:uiPriority w:val="99"/>
    <w:semiHidden/>
    <w:unhideWhenUsed/>
    <w:rsid w:val="00C57C7D"/>
    <w:rPr>
      <w:vertAlign w:val="superscript"/>
    </w:rPr>
  </w:style>
</w:styles>
</file>

<file path=word/webSettings.xml><?xml version="1.0" encoding="utf-8"?>
<w:webSettings xmlns:r="http://schemas.openxmlformats.org/officeDocument/2006/relationships" xmlns:w="http://schemas.openxmlformats.org/wordprocessingml/2006/main">
  <w:divs>
    <w:div w:id="1547139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7DCE23-F861-4FDA-B3EE-41350E6CD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1278</Words>
  <Characters>7288</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2021-01-17T10:58:00Z</dcterms:created>
  <dcterms:modified xsi:type="dcterms:W3CDTF">2021-01-17T10:58:00Z</dcterms:modified>
</cp:coreProperties>
</file>