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979" w:rsidRPr="00EF3A38" w:rsidRDefault="00E33979" w:rsidP="00DC1F6A">
      <w:pPr>
        <w:shd w:val="clear" w:color="auto" w:fill="FFFFFF"/>
        <w:spacing w:before="100" w:beforeAutospacing="1" w:after="100" w:afterAutospacing="1" w:line="240" w:lineRule="auto"/>
        <w:ind w:left="426"/>
        <w:rPr>
          <w:rFonts w:ascii="Arial" w:hAnsi="Arial" w:cs="Arial"/>
          <w:b/>
          <w:color w:val="000000"/>
          <w:sz w:val="32"/>
          <w:szCs w:val="32"/>
          <w:lang w:eastAsia="ru-RU"/>
        </w:rPr>
      </w:pPr>
      <w:r w:rsidRPr="00EF3A38">
        <w:rPr>
          <w:rFonts w:ascii="Arial" w:hAnsi="Arial" w:cs="Arial"/>
          <w:b/>
          <w:color w:val="000000"/>
          <w:sz w:val="32"/>
          <w:szCs w:val="32"/>
          <w:lang w:eastAsia="ru-RU"/>
        </w:rPr>
        <w:t xml:space="preserve">Materialy X mezinarodni vedencko-praktika konference  </w:t>
      </w:r>
    </w:p>
    <w:p w:rsidR="00E33979" w:rsidRPr="00EF3A38" w:rsidRDefault="00E33979" w:rsidP="00DC1F6A">
      <w:pPr>
        <w:shd w:val="clear" w:color="auto" w:fill="FFFFFF"/>
        <w:spacing w:before="100" w:beforeAutospacing="1" w:after="100" w:afterAutospacing="1" w:line="240" w:lineRule="auto"/>
        <w:ind w:left="426"/>
        <w:rPr>
          <w:rFonts w:ascii="Arial" w:hAnsi="Arial" w:cs="Arial"/>
          <w:b/>
          <w:color w:val="000000"/>
          <w:sz w:val="32"/>
          <w:szCs w:val="32"/>
          <w:lang w:eastAsia="ru-RU"/>
        </w:rPr>
      </w:pPr>
      <w:r w:rsidRPr="00EF3A38">
        <w:rPr>
          <w:rFonts w:ascii="Arial" w:hAnsi="Arial" w:cs="Arial"/>
          <w:b/>
          <w:color w:val="000000"/>
          <w:sz w:val="32"/>
          <w:szCs w:val="32"/>
          <w:lang w:eastAsia="ru-RU"/>
        </w:rPr>
        <w:t xml:space="preserve">          "</w:t>
      </w:r>
      <w:r>
        <w:rPr>
          <w:rFonts w:ascii="Arial" w:hAnsi="Arial" w:cs="Arial"/>
          <w:b/>
          <w:color w:val="000000"/>
          <w:sz w:val="32"/>
          <w:szCs w:val="32"/>
          <w:lang w:eastAsia="ru-RU"/>
        </w:rPr>
        <w:t>Т</w:t>
      </w:r>
      <w:r w:rsidRPr="00EF3A38">
        <w:rPr>
          <w:rFonts w:ascii="Arial" w:hAnsi="Arial" w:cs="Arial"/>
          <w:b/>
          <w:color w:val="000000"/>
          <w:sz w:val="32"/>
          <w:szCs w:val="32"/>
          <w:lang w:eastAsia="ru-RU"/>
        </w:rPr>
        <w:t>енденції соврем</w:t>
      </w:r>
      <w:r>
        <w:rPr>
          <w:rFonts w:ascii="Arial" w:hAnsi="Arial" w:cs="Arial"/>
          <w:b/>
          <w:color w:val="000000"/>
          <w:sz w:val="32"/>
          <w:szCs w:val="32"/>
          <w:lang w:eastAsia="ru-RU"/>
        </w:rPr>
        <w:t>е</w:t>
      </w:r>
      <w:r w:rsidRPr="00EF3A38">
        <w:rPr>
          <w:rFonts w:ascii="Arial" w:hAnsi="Arial" w:cs="Arial"/>
          <w:b/>
          <w:color w:val="000000"/>
          <w:sz w:val="32"/>
          <w:szCs w:val="32"/>
          <w:lang w:eastAsia="ru-RU"/>
        </w:rPr>
        <w:t xml:space="preserve">нной науки-2014", </w:t>
      </w:r>
    </w:p>
    <w:p w:rsidR="00E33979" w:rsidRPr="00EF3A38" w:rsidRDefault="00E33979" w:rsidP="00DC1F6A">
      <w:pPr>
        <w:shd w:val="clear" w:color="auto" w:fill="FFFFFF"/>
        <w:spacing w:before="100" w:beforeAutospacing="1" w:after="100" w:afterAutospacing="1" w:line="240" w:lineRule="auto"/>
        <w:ind w:left="426"/>
        <w:rPr>
          <w:rFonts w:ascii="Arial" w:hAnsi="Arial" w:cs="Arial"/>
          <w:b/>
          <w:color w:val="000000"/>
          <w:sz w:val="32"/>
          <w:szCs w:val="32"/>
          <w:lang w:eastAsia="ru-RU"/>
        </w:rPr>
      </w:pPr>
      <w:r w:rsidRPr="00EF3A38">
        <w:rPr>
          <w:rFonts w:ascii="Arial" w:hAnsi="Arial" w:cs="Arial"/>
          <w:b/>
          <w:color w:val="000000"/>
          <w:sz w:val="32"/>
          <w:szCs w:val="32"/>
          <w:lang w:eastAsia="ru-RU"/>
        </w:rPr>
        <w:t xml:space="preserve">          Dil 18. Telovychova a sport. Hudba a zivot. </w:t>
      </w:r>
    </w:p>
    <w:p w:rsidR="00E33979" w:rsidRPr="00EF3A38" w:rsidRDefault="00E33979" w:rsidP="00DC1F6A">
      <w:pPr>
        <w:shd w:val="clear" w:color="auto" w:fill="FFFFFF"/>
        <w:spacing w:before="100" w:beforeAutospacing="1" w:after="100" w:afterAutospacing="1" w:line="240" w:lineRule="auto"/>
        <w:ind w:left="426"/>
        <w:rPr>
          <w:rFonts w:ascii="Arial" w:hAnsi="Arial" w:cs="Arial"/>
          <w:b/>
          <w:color w:val="000000"/>
          <w:sz w:val="32"/>
          <w:szCs w:val="32"/>
          <w:lang w:eastAsia="ru-RU"/>
        </w:rPr>
      </w:pPr>
      <w:r w:rsidRPr="00EF3A38">
        <w:rPr>
          <w:rFonts w:ascii="Arial" w:hAnsi="Arial" w:cs="Arial"/>
          <w:b/>
          <w:color w:val="000000"/>
          <w:sz w:val="32"/>
          <w:szCs w:val="32"/>
          <w:lang w:eastAsia="ru-RU"/>
        </w:rPr>
        <w:t xml:space="preserve">                         </w:t>
      </w:r>
      <w:r>
        <w:rPr>
          <w:rFonts w:ascii="Arial" w:hAnsi="Arial" w:cs="Arial"/>
          <w:b/>
          <w:color w:val="000000"/>
          <w:sz w:val="32"/>
          <w:szCs w:val="32"/>
          <w:lang w:eastAsia="ru-RU"/>
        </w:rPr>
        <w:t xml:space="preserve">       </w:t>
      </w:r>
      <w:r w:rsidRPr="00EF3A38">
        <w:rPr>
          <w:rFonts w:ascii="Arial" w:hAnsi="Arial" w:cs="Arial"/>
          <w:b/>
          <w:color w:val="000000"/>
          <w:sz w:val="32"/>
          <w:szCs w:val="32"/>
          <w:lang w:eastAsia="ru-RU"/>
        </w:rPr>
        <w:t xml:space="preserve">   Praga 2014. </w:t>
      </w:r>
    </w:p>
    <w:p w:rsidR="00E33979" w:rsidRDefault="00E33979" w:rsidP="00464013">
      <w:pPr>
        <w:spacing w:after="0" w:line="449" w:lineRule="atLeast"/>
        <w:jc w:val="center"/>
        <w:rPr>
          <w:rFonts w:ascii="Times New Roman" w:hAnsi="Times New Roman"/>
          <w:color w:val="000000"/>
          <w:sz w:val="27"/>
          <w:szCs w:val="27"/>
          <w:lang w:eastAsia="ru-RU"/>
        </w:rPr>
      </w:pPr>
    </w:p>
    <w:p w:rsidR="00E33979" w:rsidRDefault="00E33979" w:rsidP="00464013">
      <w:pPr>
        <w:spacing w:after="0" w:line="449" w:lineRule="atLeast"/>
        <w:jc w:val="center"/>
        <w:rPr>
          <w:rFonts w:ascii="Times New Roman" w:hAnsi="Times New Roman"/>
          <w:color w:val="000000"/>
          <w:sz w:val="27"/>
          <w:szCs w:val="27"/>
          <w:lang w:eastAsia="ru-RU"/>
        </w:rPr>
      </w:pPr>
    </w:p>
    <w:p w:rsidR="00E33979" w:rsidRPr="00911443" w:rsidRDefault="00E33979" w:rsidP="00464013">
      <w:pPr>
        <w:spacing w:after="0" w:line="449" w:lineRule="atLeast"/>
        <w:jc w:val="center"/>
        <w:rPr>
          <w:rFonts w:ascii="Times New Roman" w:hAnsi="Times New Roman"/>
          <w:b/>
          <w:color w:val="000000"/>
          <w:sz w:val="27"/>
          <w:szCs w:val="27"/>
          <w:lang w:eastAsia="ru-RU"/>
        </w:rPr>
      </w:pPr>
      <w:r w:rsidRPr="00911443">
        <w:rPr>
          <w:rFonts w:ascii="Times New Roman" w:hAnsi="Times New Roman"/>
          <w:b/>
          <w:color w:val="000000"/>
          <w:sz w:val="27"/>
          <w:szCs w:val="27"/>
          <w:lang w:eastAsia="ru-RU"/>
        </w:rPr>
        <w:t>Физическая культура и спорт /1. Физическая культура и спорт, проблемы исследования, предложения</w:t>
      </w:r>
    </w:p>
    <w:p w:rsidR="00E33979" w:rsidRPr="00464013" w:rsidRDefault="00E33979" w:rsidP="00464013">
      <w:pPr>
        <w:spacing w:before="240" w:after="60" w:line="240" w:lineRule="auto"/>
        <w:jc w:val="center"/>
        <w:outlineLvl w:val="1"/>
        <w:rPr>
          <w:rFonts w:ascii="Arial" w:hAnsi="Arial" w:cs="Arial"/>
          <w:b/>
          <w:bCs/>
          <w:i/>
          <w:iCs/>
          <w:color w:val="000000"/>
          <w:sz w:val="28"/>
          <w:szCs w:val="28"/>
          <w:lang w:eastAsia="ru-RU"/>
        </w:rPr>
      </w:pPr>
      <w:r w:rsidRPr="00464013">
        <w:rPr>
          <w:rFonts w:ascii="Times New Roman" w:hAnsi="Times New Roman"/>
          <w:b/>
          <w:bCs/>
          <w:color w:val="000000"/>
          <w:sz w:val="28"/>
          <w:szCs w:val="28"/>
          <w:lang w:eastAsia="ru-RU"/>
        </w:rPr>
        <w:t>С.Н. Битко, </w:t>
      </w:r>
      <w:r w:rsidRPr="00464013">
        <w:rPr>
          <w:rFonts w:ascii="Times New Roman" w:hAnsi="Times New Roman"/>
          <w:b/>
          <w:bCs/>
          <w:color w:val="000000"/>
          <w:sz w:val="28"/>
          <w:szCs w:val="28"/>
          <w:lang w:val="uk-UA" w:eastAsia="ru-RU"/>
        </w:rPr>
        <w:t> О.В. Кузенков</w:t>
      </w:r>
    </w:p>
    <w:p w:rsidR="00E33979" w:rsidRPr="00464013" w:rsidRDefault="00E33979" w:rsidP="00464013">
      <w:pPr>
        <w:spacing w:after="0" w:line="449" w:lineRule="atLeast"/>
        <w:jc w:val="center"/>
        <w:rPr>
          <w:rFonts w:ascii="Times New Roman" w:hAnsi="Times New Roman"/>
          <w:color w:val="000000"/>
          <w:sz w:val="27"/>
          <w:szCs w:val="27"/>
          <w:lang w:eastAsia="ru-RU"/>
        </w:rPr>
      </w:pPr>
      <w:r w:rsidRPr="00464013">
        <w:rPr>
          <w:rFonts w:ascii="Times New Roman" w:hAnsi="Times New Roman"/>
          <w:i/>
          <w:iCs/>
          <w:color w:val="000000"/>
          <w:sz w:val="28"/>
          <w:szCs w:val="28"/>
          <w:lang w:val="uk-UA" w:eastAsia="ru-RU"/>
        </w:rPr>
        <w:t>Національний Технічний  університет України, Київ</w:t>
      </w:r>
    </w:p>
    <w:p w:rsidR="00E33979" w:rsidRPr="00464013" w:rsidRDefault="00E33979" w:rsidP="00464013">
      <w:pPr>
        <w:spacing w:after="0" w:line="240" w:lineRule="auto"/>
        <w:ind w:firstLine="720"/>
        <w:jc w:val="right"/>
        <w:rPr>
          <w:rFonts w:ascii="Times New Roman" w:hAnsi="Times New Roman"/>
          <w:color w:val="000000"/>
          <w:sz w:val="27"/>
          <w:szCs w:val="27"/>
          <w:lang w:eastAsia="ru-RU"/>
        </w:rPr>
      </w:pPr>
      <w:r w:rsidRPr="00464013">
        <w:rPr>
          <w:rFonts w:ascii="Times New Roman" w:hAnsi="Times New Roman"/>
          <w:color w:val="000000"/>
          <w:sz w:val="28"/>
          <w:szCs w:val="28"/>
          <w:lang w:val="uk-UA" w:eastAsia="ru-RU"/>
        </w:rPr>
        <w:t> </w:t>
      </w:r>
    </w:p>
    <w:p w:rsidR="00E33979" w:rsidRPr="00464013" w:rsidRDefault="00E33979" w:rsidP="00464013">
      <w:pPr>
        <w:spacing w:after="0" w:line="240" w:lineRule="auto"/>
        <w:ind w:firstLine="720"/>
        <w:jc w:val="center"/>
        <w:rPr>
          <w:rFonts w:ascii="Times New Roman" w:hAnsi="Times New Roman"/>
          <w:color w:val="000000"/>
          <w:sz w:val="27"/>
          <w:szCs w:val="27"/>
          <w:lang w:eastAsia="ru-RU"/>
        </w:rPr>
      </w:pPr>
      <w:r w:rsidRPr="00464013">
        <w:rPr>
          <w:rFonts w:ascii="Arial" w:hAnsi="Arial" w:cs="Arial"/>
          <w:b/>
          <w:bCs/>
          <w:color w:val="000000"/>
          <w:sz w:val="32"/>
          <w:szCs w:val="32"/>
          <w:lang w:eastAsia="ru-RU"/>
        </w:rPr>
        <w:t>ВОЗДЕЙСТВИЯ ЭФИРНОГО МАСЛА ЛАВАНДЫ (ЭМЛ) НА ПОКАЗАТЕЛИ ИГРОВОЙ ДЕЯТЕЛЬНОСТИ И АДАПТ</w:t>
      </w:r>
      <w:r>
        <w:rPr>
          <w:rFonts w:ascii="Arial" w:hAnsi="Arial" w:cs="Arial"/>
          <w:b/>
          <w:bCs/>
          <w:color w:val="000000"/>
          <w:sz w:val="32"/>
          <w:szCs w:val="32"/>
          <w:lang w:eastAsia="ru-RU"/>
        </w:rPr>
        <w:t>А</w:t>
      </w:r>
      <w:r w:rsidRPr="00464013">
        <w:rPr>
          <w:rFonts w:ascii="Arial" w:hAnsi="Arial" w:cs="Arial"/>
          <w:b/>
          <w:bCs/>
          <w:color w:val="000000"/>
          <w:sz w:val="32"/>
          <w:szCs w:val="32"/>
          <w:lang w:eastAsia="ru-RU"/>
        </w:rPr>
        <w:t>ЦИЮ У БАСКЕТБОЛИСТОВ.</w:t>
      </w:r>
    </w:p>
    <w:p w:rsidR="00E33979" w:rsidRDefault="00E33979" w:rsidP="00464013">
      <w:pPr>
        <w:spacing w:after="0" w:line="240" w:lineRule="auto"/>
        <w:ind w:firstLine="720"/>
        <w:jc w:val="center"/>
        <w:rPr>
          <w:rFonts w:ascii="Times New Roman" w:hAnsi="Times New Roman"/>
          <w:b/>
          <w:bCs/>
          <w:color w:val="000000"/>
          <w:sz w:val="27"/>
          <w:szCs w:val="27"/>
          <w:lang w:eastAsia="ru-RU"/>
        </w:rPr>
      </w:pPr>
      <w:r>
        <w:rPr>
          <w:rFonts w:ascii="Times New Roman" w:hAnsi="Times New Roman"/>
          <w:b/>
          <w:bCs/>
          <w:color w:val="000000"/>
          <w:sz w:val="27"/>
          <w:szCs w:val="27"/>
          <w:lang w:eastAsia="ru-RU"/>
        </w:rPr>
        <w:t xml:space="preserve">                                                                                                             </w:t>
      </w:r>
    </w:p>
    <w:p w:rsidR="00E33979" w:rsidRPr="003B7557" w:rsidRDefault="00E33979" w:rsidP="00464013">
      <w:pPr>
        <w:spacing w:after="0" w:line="240" w:lineRule="auto"/>
        <w:ind w:firstLine="720"/>
        <w:jc w:val="center"/>
        <w:rPr>
          <w:rFonts w:ascii="Times New Roman" w:hAnsi="Times New Roman"/>
          <w:color w:val="000000"/>
          <w:sz w:val="27"/>
          <w:szCs w:val="27"/>
          <w:lang w:eastAsia="ru-RU"/>
        </w:rPr>
      </w:pPr>
      <w:r>
        <w:rPr>
          <w:rFonts w:ascii="Times New Roman" w:hAnsi="Times New Roman"/>
          <w:b/>
          <w:bCs/>
          <w:color w:val="000000"/>
          <w:sz w:val="27"/>
          <w:szCs w:val="27"/>
          <w:lang w:eastAsia="ru-RU"/>
        </w:rPr>
        <w:t xml:space="preserve">                                                                                                              </w:t>
      </w:r>
      <w:r w:rsidRPr="00464013">
        <w:rPr>
          <w:rFonts w:ascii="Times New Roman" w:hAnsi="Times New Roman"/>
          <w:b/>
          <w:bCs/>
          <w:color w:val="000000"/>
          <w:sz w:val="27"/>
          <w:szCs w:val="27"/>
          <w:lang w:eastAsia="ru-RU"/>
        </w:rPr>
        <w:t> </w:t>
      </w:r>
      <w:r w:rsidRPr="003B7557">
        <w:rPr>
          <w:rFonts w:ascii="Arial" w:hAnsi="Arial" w:cs="Arial"/>
          <w:color w:val="000000"/>
          <w:sz w:val="32"/>
          <w:szCs w:val="32"/>
          <w:lang w:eastAsia="ru-RU"/>
        </w:rPr>
        <w:t>c.36-42</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i/>
          <w:iCs/>
          <w:color w:val="000000"/>
          <w:sz w:val="27"/>
          <w:szCs w:val="27"/>
          <w:lang w:eastAsia="ru-RU"/>
        </w:rPr>
        <w:t>Изучали влияние пролонгированного воздействия эфирного масла лаванды (ЭМЛ) на адаптацию к тренировочным нагрузкам у баскетболистов уровня мастера спорта (МС).ЭМЛ распыляли протяжении 30 дней в терапевтических дозах 30 минут до тренировки.  Анализировали особенности игровой деятельности, регуляцию работы сердца (метод Р.М.Баевского), время восстановления после стандартной нагрузки. Наблюдали  улучшение игровых показателей, адаптация сердечно-сосудистой системы осуществляется по более экономичному типу.</w:t>
      </w:r>
    </w:p>
    <w:p w:rsidR="00E33979" w:rsidRPr="00464013" w:rsidRDefault="00E33979" w:rsidP="00464013">
      <w:pPr>
        <w:spacing w:after="0" w:line="240" w:lineRule="auto"/>
        <w:ind w:firstLine="720"/>
        <w:jc w:val="both"/>
        <w:rPr>
          <w:rFonts w:ascii="Times New Roman" w:hAnsi="Times New Roman"/>
          <w:color w:val="000000"/>
          <w:sz w:val="27"/>
          <w:szCs w:val="27"/>
          <w:lang w:val="en-US" w:eastAsia="ru-RU"/>
        </w:rPr>
      </w:pPr>
      <w:r w:rsidRPr="00464013">
        <w:rPr>
          <w:rFonts w:ascii="Times New Roman" w:hAnsi="Times New Roman"/>
          <w:i/>
          <w:iCs/>
          <w:color w:val="000000"/>
          <w:sz w:val="27"/>
          <w:szCs w:val="27"/>
          <w:lang w:val="en-US" w:eastAsia="ru-RU"/>
        </w:rPr>
        <w:t>The influence of lavender essential oil (LEO) prolonged effect on adaptation to training loads in basket-ball planers of master of sports (MS) level was studied. LEO was sprayed for 30 days in treatment doses 30 minutes before training sessions.</w:t>
      </w:r>
    </w:p>
    <w:p w:rsidR="00E33979" w:rsidRPr="00464013" w:rsidRDefault="00E33979" w:rsidP="00464013">
      <w:pPr>
        <w:spacing w:after="0" w:line="240" w:lineRule="auto"/>
        <w:ind w:firstLine="720"/>
        <w:jc w:val="both"/>
        <w:rPr>
          <w:rFonts w:ascii="Times New Roman" w:hAnsi="Times New Roman"/>
          <w:color w:val="000000"/>
          <w:sz w:val="27"/>
          <w:szCs w:val="27"/>
          <w:lang w:val="en-US" w:eastAsia="ru-RU"/>
        </w:rPr>
      </w:pPr>
      <w:r w:rsidRPr="00464013">
        <w:rPr>
          <w:rFonts w:ascii="Times New Roman" w:hAnsi="Times New Roman"/>
          <w:i/>
          <w:iCs/>
          <w:color w:val="000000"/>
          <w:sz w:val="27"/>
          <w:szCs w:val="27"/>
          <w:lang w:val="en-US" w:eastAsia="ru-RU"/>
        </w:rPr>
        <w:t>The features of plan activity, cardiac activity regulation (R.M.Bayevsky’s method), and rehabilitation time after standard load were analyzed.  Improved play indices were observed. Cardiovascular system adapted more economically</w:t>
      </w:r>
      <w:r w:rsidRPr="00464013">
        <w:rPr>
          <w:rFonts w:ascii="Times New Roman" w:hAnsi="Times New Roman"/>
          <w:color w:val="000000"/>
          <w:sz w:val="27"/>
          <w:szCs w:val="27"/>
          <w:lang w:val="en-US" w:eastAsia="ru-RU"/>
        </w:rPr>
        <w:t>.</w:t>
      </w:r>
    </w:p>
    <w:p w:rsidR="00E33979" w:rsidRPr="00464013" w:rsidRDefault="00E33979" w:rsidP="00464013">
      <w:pPr>
        <w:spacing w:after="0" w:line="240" w:lineRule="auto"/>
        <w:ind w:firstLine="720"/>
        <w:jc w:val="both"/>
        <w:rPr>
          <w:rFonts w:ascii="Times New Roman" w:hAnsi="Times New Roman"/>
          <w:color w:val="000000"/>
          <w:sz w:val="27"/>
          <w:szCs w:val="27"/>
          <w:lang w:val="en-US" w:eastAsia="ru-RU"/>
        </w:rPr>
      </w:pPr>
      <w:r w:rsidRPr="00464013">
        <w:rPr>
          <w:rFonts w:ascii="Times New Roman" w:hAnsi="Times New Roman"/>
          <w:color w:val="000000"/>
          <w:sz w:val="27"/>
          <w:szCs w:val="27"/>
          <w:lang w:val="en-US" w:eastAsia="ru-RU"/>
        </w:rPr>
        <w:t> </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Вступление.</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Большие физические нагрузки в тренировочном процессе и соревновательной деятельности предъявляют высокие требования к управлению всеми жизненными процессами в организме спортсмена. Одна из предпосылок качественной отдачи в игровых видах спорта - высокий уровень управляющего воздействия центральной нервной системы (ЦНС), как доминирующего звена адаптации, в том числе и ССС, к быстро изменяющимся условиям на площадке [1]. Баскетболист в процессе игры сталкивается с необходимостью решения многих частных задач, связанных с быстрой и точной оценкой игровых ситуаций, прогнозированием возможных действий партнеров и соперников, анализом и коррекцией своей деятельности в условиях высоких физических нагрузок и дефицита времени [2, 3].</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Важным ограничивающим компонентом в период тренировки и восстановления является адекватность функционального состояния сердца как фактора, уменьшающего объём тренировок и удлиняющего время восстановления. Адаптивные возможности сердца во многом зависят от характера процессов возбуждения и торможения в высоких вегетативных отделах центральной нервной системы. Известно, что биологически активные вещества (БАВ) растительного происхождения  в зависимости от состава и дозы в значительной степени способны влиять на тонус центральной нервной системы, изменять реализацию вегетативных реакций [4, 5]. Среди различных БАВ наиболее доступными для хранения и употребления являются эфирные масла (ЭМ).</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Клинические наблюдения и экспериментальные данные свидетельствуют, что (ЭМ) масла в диапазоне естественных доз от (0,05 до 0,5 мг/м) обладают общефитонцидными свойствами, т.е. способны губительно действовать на патогенную микрофлору, не оказывая в то же время вредного влияния на многоклеточный организм. В зависимости от состава и дозы ЭМ  изменяется эффект влияния на  состояние центральной нервной системы. Так, терапевтические дозы эфирного масла лаванды (ЭМЛ) оказывают мягкий стимулирующий эффект, повышая, по мнению ряда авторов, тонус центральной нервной системы.</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 свою очередь рядом авторов [6, 7] показано, что пролонгированное вдыхание терапевтических доз ЭМЛ улучшает хронометрические показатели трудовой деятельности, нормализует ЧСС и АД.</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 нестандартных условиях игровой деятельности особое значение приобретают скорость восприятия, динамичность восприятия, скорость реакции, оперативная память – процессы обеспечивающие переработку информации и принятия.</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 Используя эти и другие данные как основу, мы применяли эфирное масло лаванды для коррекции функционального состояния баскетболистов.</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Целью</w:t>
      </w:r>
      <w:r w:rsidRPr="00464013">
        <w:rPr>
          <w:rFonts w:ascii="Times New Roman" w:hAnsi="Times New Roman"/>
          <w:color w:val="000000"/>
          <w:sz w:val="27"/>
          <w:szCs w:val="27"/>
          <w:lang w:eastAsia="ru-RU"/>
        </w:rPr>
        <w:t> нашей работы было изучить возможность применения ЭМЛ для оптимизации регуляторных систем организма высококвалифицированных баскетболистов при подготовке к соревнованиям.</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Методика: </w:t>
      </w:r>
      <w:r w:rsidRPr="00464013">
        <w:rPr>
          <w:rFonts w:ascii="Times New Roman" w:hAnsi="Times New Roman"/>
          <w:color w:val="000000"/>
          <w:sz w:val="27"/>
          <w:szCs w:val="27"/>
          <w:lang w:eastAsia="ru-RU"/>
        </w:rPr>
        <w:t>Перед тренировкой 5 раз в неделю, на протяжении 30 дней, группа спортсменов в течение 30 минут вдыхала распыленное в помещении эфирное масло лаванды ЭМЛ   концентрации 0,1 - 0,15 мг/м</w:t>
      </w:r>
      <w:r w:rsidRPr="00464013">
        <w:rPr>
          <w:rFonts w:ascii="Times New Roman" w:hAnsi="Times New Roman"/>
          <w:color w:val="000000"/>
          <w:sz w:val="27"/>
          <w:szCs w:val="27"/>
          <w:vertAlign w:val="superscript"/>
          <w:lang w:eastAsia="ru-RU"/>
        </w:rPr>
        <w:t>3 </w:t>
      </w:r>
      <w:r w:rsidRPr="00464013">
        <w:rPr>
          <w:rFonts w:ascii="Times New Roman" w:hAnsi="Times New Roman"/>
          <w:color w:val="000000"/>
          <w:sz w:val="27"/>
          <w:szCs w:val="27"/>
          <w:lang w:eastAsia="ru-RU"/>
        </w:rPr>
        <w:t>.</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С целью изучения влияния терапевтических доз эфирного масла на эффективность игровых действий баскетболистов нами были сформированы экспериментальная и контрольная группы в количестве 11 человек каждая.</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Сравнение испытуемых групп проводили по следующим методикам:</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а) показателям – анализ регуляции сердечного ритма по Р.М.Баевскому [8], зарегистрированным до и после 30 дневного цикла применения;</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б) времени восстановления пульса после стандартной нагрузки во время каждой тренировки;</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 в) спортивно - педагогическим методикам, принятым в баскетболе</w:t>
      </w:r>
      <w:r w:rsidRPr="00464013">
        <w:rPr>
          <w:rFonts w:ascii="Times New Roman" w:hAnsi="Times New Roman"/>
          <w:color w:val="000000"/>
          <w:sz w:val="27"/>
          <w:szCs w:val="27"/>
          <w:lang w:val="uk-UA" w:eastAsia="ru-RU"/>
        </w:rPr>
        <w:t>,</w:t>
      </w:r>
      <w:r w:rsidRPr="00464013">
        <w:rPr>
          <w:rFonts w:ascii="Times New Roman" w:hAnsi="Times New Roman"/>
          <w:color w:val="000000"/>
          <w:sz w:val="27"/>
          <w:szCs w:val="27"/>
          <w:lang w:eastAsia="ru-RU"/>
        </w:rPr>
        <w:t> - целому ряду показателей</w:t>
      </w:r>
      <w:r w:rsidRPr="00464013">
        <w:rPr>
          <w:rFonts w:ascii="Times New Roman" w:hAnsi="Times New Roman"/>
          <w:color w:val="000000"/>
          <w:sz w:val="27"/>
          <w:szCs w:val="27"/>
          <w:lang w:val="uk-UA" w:eastAsia="ru-RU"/>
        </w:rPr>
        <w:t>,</w:t>
      </w:r>
      <w:r w:rsidRPr="00464013">
        <w:rPr>
          <w:rFonts w:ascii="Times New Roman" w:hAnsi="Times New Roman"/>
          <w:color w:val="000000"/>
          <w:sz w:val="27"/>
          <w:szCs w:val="27"/>
          <w:lang w:eastAsia="ru-RU"/>
        </w:rPr>
        <w:t> отражающих различные стороны подготовленности.</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 основу анализа сердечного ритма легли наиболее значимые показатели регуляции : среднее (Δх, с ), коэффициент вариации (КВ); асимметрия (А); эксцесс (Э); мода (Мо, с); амплитуда моды (АМо, %); индекс напряжения (ИН, усл.ед.); К(Херста) – обобщенный показатель состояния  сердца.</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 основу педагогического анализа было положены количественные показатели тактических и технических ошибок во время игры.</w:t>
      </w:r>
    </w:p>
    <w:p w:rsidR="00E33979" w:rsidRPr="00464013" w:rsidRDefault="00E33979" w:rsidP="00464013">
      <w:pPr>
        <w:spacing w:after="0" w:line="240" w:lineRule="auto"/>
        <w:ind w:firstLine="720"/>
        <w:jc w:val="both"/>
        <w:outlineLvl w:val="0"/>
        <w:rPr>
          <w:rFonts w:ascii="Times New Roman" w:hAnsi="Times New Roman"/>
          <w:b/>
          <w:bCs/>
          <w:color w:val="000000"/>
          <w:kern w:val="36"/>
          <w:sz w:val="24"/>
          <w:szCs w:val="24"/>
          <w:lang w:eastAsia="ru-RU"/>
        </w:rPr>
      </w:pPr>
      <w:r w:rsidRPr="00464013">
        <w:rPr>
          <w:rFonts w:ascii="Times New Roman" w:hAnsi="Times New Roman"/>
          <w:b/>
          <w:bCs/>
          <w:color w:val="000000"/>
          <w:kern w:val="36"/>
          <w:sz w:val="24"/>
          <w:szCs w:val="24"/>
          <w:lang w:eastAsia="ru-RU"/>
        </w:rPr>
        <w:t>Результаты исследований и их обсуждение.</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 результате проведённых исследований были получены данные об изменении регуляторных характеристиках сердечной деятельности по показателям вариационной пульсометрии в покое при адаптации к нагрузке (тренировка) на фоне пролонгированного применения ЭМЛ.</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Исследования, проведенные, в реальных условиях предсоревновательного этапа показали, что в результате пролонгированного воздействия ЭМЛ произошли топологические изменения основных показателей кардиорегуляции, влияющих на адаптацию к предъявляемым нагрузкам.</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Результаты наиболее информативных и значимых результатов,  полученных в условиях относительного покоя</w:t>
      </w:r>
      <w:r w:rsidRPr="00464013">
        <w:rPr>
          <w:rFonts w:ascii="Times New Roman" w:hAnsi="Times New Roman"/>
          <w:color w:val="000000"/>
          <w:sz w:val="27"/>
          <w:szCs w:val="27"/>
          <w:vertAlign w:val="superscript"/>
          <w:lang w:eastAsia="ru-RU"/>
        </w:rPr>
        <w:t> </w:t>
      </w:r>
      <w:r w:rsidRPr="00464013">
        <w:rPr>
          <w:rFonts w:ascii="Times New Roman" w:hAnsi="Times New Roman"/>
          <w:color w:val="000000"/>
          <w:sz w:val="27"/>
          <w:szCs w:val="27"/>
          <w:lang w:eastAsia="ru-RU"/>
        </w:rPr>
        <w:t>у баскетболистов не фоне накопления ЭМЛ  приведены в таблице 1 .</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Так, приведённые результаты свидетельствуют, что показатели ВПМ характеризуют функциональное состояние и способность адаптироваться к нагрузке. Имеется ряд нормативных характеристик и закономерностей, характеризующих особенности показателей регуляции ритма сердца при срочной и кумулятивной адаптации к физическим нагрузкам [3, 5, 6, 7].</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val="en-US" w:eastAsia="ru-RU"/>
        </w:rPr>
        <w:t> </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val="en-US" w:eastAsia="ru-RU"/>
        </w:rPr>
        <w:t> </w:t>
      </w:r>
    </w:p>
    <w:p w:rsidR="00E33979" w:rsidRPr="00464013" w:rsidRDefault="00E33979" w:rsidP="00464013">
      <w:pPr>
        <w:spacing w:after="0" w:line="240" w:lineRule="auto"/>
        <w:jc w:val="center"/>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Таблица 1. </w:t>
      </w:r>
      <w:r w:rsidRPr="00464013">
        <w:rPr>
          <w:rFonts w:ascii="Times New Roman" w:hAnsi="Times New Roman"/>
          <w:color w:val="000000"/>
          <w:sz w:val="27"/>
          <w:szCs w:val="27"/>
          <w:lang w:eastAsia="ru-RU"/>
        </w:rPr>
        <w:t>Особенности изменения ЧСС в  покое у баскетболистов на фоне пролонгированного применения эфирного масла лаванды, </w:t>
      </w:r>
      <w:r w:rsidRPr="00464013">
        <w:rPr>
          <w:rFonts w:ascii="Times New Roman" w:hAnsi="Times New Roman"/>
          <w:color w:val="000000"/>
          <w:sz w:val="27"/>
          <w:szCs w:val="27"/>
          <w:lang w:val="en-US" w:eastAsia="ru-RU"/>
        </w:rPr>
        <w:t>M</w:t>
      </w:r>
      <w:r w:rsidRPr="00464013">
        <w:rPr>
          <w:rFonts w:ascii="Times New Roman" w:hAnsi="Times New Roman"/>
          <w:color w:val="000000"/>
          <w:sz w:val="27"/>
          <w:szCs w:val="27"/>
          <w:lang w:eastAsia="ru-RU"/>
        </w:rPr>
        <w:t>±</w:t>
      </w:r>
      <w:r w:rsidRPr="00464013">
        <w:rPr>
          <w:rFonts w:ascii="Times New Roman" w:hAnsi="Times New Roman"/>
          <w:color w:val="000000"/>
          <w:sz w:val="27"/>
          <w:szCs w:val="27"/>
          <w:lang w:val="en-US" w:eastAsia="ru-RU"/>
        </w:rPr>
        <w:t>m</w:t>
      </w:r>
    </w:p>
    <w:tbl>
      <w:tblPr>
        <w:tblW w:w="9505" w:type="dxa"/>
        <w:jc w:val="center"/>
        <w:tblInd w:w="-817" w:type="dxa"/>
        <w:tblCellMar>
          <w:left w:w="0" w:type="dxa"/>
          <w:right w:w="0" w:type="dxa"/>
        </w:tblCellMar>
        <w:tblLook w:val="00A0"/>
      </w:tblPr>
      <w:tblGrid>
        <w:gridCol w:w="2657"/>
        <w:gridCol w:w="1624"/>
        <w:gridCol w:w="1624"/>
        <w:gridCol w:w="1800"/>
        <w:gridCol w:w="1800"/>
      </w:tblGrid>
      <w:tr w:rsidR="00E33979" w:rsidRPr="00C25545" w:rsidTr="00464013">
        <w:trPr>
          <w:jc w:val="center"/>
        </w:trPr>
        <w:tc>
          <w:tcPr>
            <w:tcW w:w="2657"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Показатель</w:t>
            </w:r>
          </w:p>
        </w:tc>
        <w:tc>
          <w:tcPr>
            <w:tcW w:w="3248"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Экспериментальная группа</w:t>
            </w:r>
          </w:p>
        </w:tc>
        <w:tc>
          <w:tcPr>
            <w:tcW w:w="3600"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Контрольная группа</w:t>
            </w:r>
          </w:p>
        </w:tc>
      </w:tr>
      <w:tr w:rsidR="00E33979" w:rsidRPr="00C25545" w:rsidTr="00464013">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E33979" w:rsidRPr="00464013" w:rsidRDefault="00E33979" w:rsidP="00464013">
            <w:pPr>
              <w:spacing w:after="0" w:line="240" w:lineRule="auto"/>
              <w:rPr>
                <w:rFonts w:ascii="Times New Roman" w:hAnsi="Times New Roman"/>
                <w:sz w:val="24"/>
                <w:szCs w:val="24"/>
                <w:lang w:eastAsia="ru-RU"/>
              </w:rPr>
            </w:pP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до эксперимента</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после эксперимента</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до эксперимента</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после эксперимента</w:t>
            </w:r>
          </w:p>
        </w:tc>
      </w:tr>
      <w:tr w:rsidR="00E33979" w:rsidRPr="00C25545" w:rsidTr="00464013">
        <w:trPr>
          <w:jc w:val="center"/>
        </w:trPr>
        <w:tc>
          <w:tcPr>
            <w:tcW w:w="2657"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ЧСС ср., уд/мин</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73,1±2,1</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67,2±1,9</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72,9±2,4</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73,6±3.1</w:t>
            </w:r>
          </w:p>
        </w:tc>
      </w:tr>
      <w:tr w:rsidR="00E33979" w:rsidRPr="00C25545" w:rsidTr="00464013">
        <w:trPr>
          <w:jc w:val="center"/>
        </w:trPr>
        <w:tc>
          <w:tcPr>
            <w:tcW w:w="2657"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Вариационный размах кардиоритма,  Δ</w:t>
            </w:r>
            <w:r w:rsidRPr="00464013">
              <w:rPr>
                <w:rFonts w:ascii="Times New Roman" w:hAnsi="Times New Roman"/>
                <w:sz w:val="24"/>
                <w:szCs w:val="24"/>
                <w:lang w:val="en-US" w:eastAsia="ru-RU"/>
              </w:rPr>
              <w:t>X</w:t>
            </w:r>
            <w:r w:rsidRPr="00464013">
              <w:rPr>
                <w:rFonts w:ascii="Times New Roman" w:hAnsi="Times New Roman"/>
                <w:sz w:val="24"/>
                <w:szCs w:val="24"/>
                <w:lang w:eastAsia="ru-RU"/>
              </w:rPr>
              <w:t>, с</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0.32±0.04</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0.35±0.017</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0.31±0.041</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0.33±0.05</w:t>
            </w:r>
          </w:p>
        </w:tc>
      </w:tr>
      <w:tr w:rsidR="00E33979" w:rsidRPr="00C25545" w:rsidTr="00464013">
        <w:trPr>
          <w:jc w:val="center"/>
        </w:trPr>
        <w:tc>
          <w:tcPr>
            <w:tcW w:w="2657"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Амплитуда моды кардиоритма АМо, %</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29.7±4.11</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36.8±5.23</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31.7±4.76</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31.4±5.38</w:t>
            </w:r>
          </w:p>
        </w:tc>
      </w:tr>
      <w:tr w:rsidR="00E33979" w:rsidRPr="00C25545" w:rsidTr="00464013">
        <w:trPr>
          <w:jc w:val="center"/>
        </w:trPr>
        <w:tc>
          <w:tcPr>
            <w:tcW w:w="2657"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Коэффициент вариации кардиоритма, КВ</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28.3±3.22</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19.6±1.87</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27.9±4.62</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28.0±4.51</w:t>
            </w:r>
          </w:p>
        </w:tc>
      </w:tr>
      <w:tr w:rsidR="00E33979" w:rsidRPr="00C25545" w:rsidTr="00464013">
        <w:trPr>
          <w:jc w:val="center"/>
        </w:trPr>
        <w:tc>
          <w:tcPr>
            <w:tcW w:w="2657" w:type="dxa"/>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Индекс напряжения, ИН, усл.ед.</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49.5±5.24</w:t>
            </w:r>
          </w:p>
        </w:tc>
        <w:tc>
          <w:tcPr>
            <w:tcW w:w="1624"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31.8±3.11</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51.2±6.22</w:t>
            </w:r>
          </w:p>
        </w:tc>
        <w:tc>
          <w:tcPr>
            <w:tcW w:w="1800" w:type="dxa"/>
            <w:tcBorders>
              <w:top w:val="nil"/>
              <w:left w:val="nil"/>
              <w:bottom w:val="single" w:sz="4" w:space="0" w:color="auto"/>
              <w:right w:val="single" w:sz="4" w:space="0" w:color="auto"/>
            </w:tcBorders>
            <w:tcMar>
              <w:top w:w="0" w:type="dxa"/>
              <w:left w:w="108" w:type="dxa"/>
              <w:bottom w:w="0" w:type="dxa"/>
              <w:right w:w="108" w:type="dxa"/>
            </w:tcMar>
            <w:vAlign w:val="cente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50.3±6.08</w:t>
            </w:r>
          </w:p>
        </w:tc>
      </w:tr>
    </w:tbl>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При анализе результатов были получены следующие закономерности (рис.1). В исследуемой группе баскетболистов при накоплении ЭМЛ наблюдается стабилизация сердечного ритма. Пульс становится ровнее по частоте, наполнению, уменьшается количество отклонений ЧСС в покое. Показатель Δх (и мода) статистически достоверен на всех этапах теста, до воздействия ЭМЛ составили 0.32±0.04 (Мо 0.646 с); и снизилась до 0.31±0.041 с (Мо 0,639 с). Достоверное понижение указанного показателя регуляции ритма сердца свидетельствует о значительном уменьшении влияния гуморального канала (автономного контура) регуляции на ритм сердца.</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При пролонгированном воздействии ЭМЛ мы наблюдали снижение ЧСС в покое 67,2±1,2 (73,1±2,1 контроль) мы интерпретируем это как фактор расширения  адаптивных возможностях организма.</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Индекс напряжения (ИН) Р.М.Баевского статистически достоверен и до, и после воздействия ЭМЛ (рис.1). Эти изменения свидетельствуют об уменьшении напряжения центральных регуляторных механизмов регуляции ритма сердца. Уменьшение величины ИН указывает на  повышение адаптации, спортсменов к тренировочным нагрузкам [8].</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Из других показателей в результате анализа можно выделить тенденцию к уменьшению коэффициента вариации, степени дыхательной аритмии и асимметрии. Несмотря на их малую среднегрупповую информативность данные показатели могут быть использованы при индивидуальном анализе данных.</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Проведенные исследования показали, что у спортсменов экспериментальной группы на фоне пролонгированного воздействия ЭМЛ наблюдается тенденция к улучшению соревновательной деятельности (табл.2) по сравнению с исходным состоянием показателей выносливости, силы и быстроты перемещения на площадке. Так, эффективность бросков с ближних и средних дистанций возросла с 46,4% до 48,5%; штрафных бросков с 68,6% до 74,2%. Увеличились также показатели подбора мяча на щите, перехватов и количества наб</w:t>
      </w:r>
      <w:r w:rsidRPr="00464013">
        <w:rPr>
          <w:rFonts w:ascii="Times New Roman" w:hAnsi="Times New Roman"/>
          <w:color w:val="000000"/>
          <w:sz w:val="27"/>
          <w:szCs w:val="27"/>
          <w:lang w:eastAsia="ru-RU"/>
        </w:rPr>
        <w:softHyphen/>
        <w:t>ранных за игру очков (с 74,0 до 83,4). У спортсменов контрольной группы указанные показатели в целом остались на прежнем уровне.</w:t>
      </w:r>
    </w:p>
    <w:p w:rsidR="00E33979" w:rsidRPr="00464013" w:rsidRDefault="00E33979" w:rsidP="00464013">
      <w:pPr>
        <w:spacing w:after="0" w:line="240" w:lineRule="auto"/>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 </w:t>
      </w:r>
    </w:p>
    <w:p w:rsidR="00E33979" w:rsidRPr="00464013" w:rsidRDefault="00E33979" w:rsidP="00464013">
      <w:pPr>
        <w:spacing w:after="0" w:line="240" w:lineRule="auto"/>
        <w:jc w:val="both"/>
        <w:rPr>
          <w:rFonts w:ascii="Times New Roman" w:hAnsi="Times New Roman"/>
          <w:color w:val="000000"/>
          <w:sz w:val="27"/>
          <w:szCs w:val="27"/>
          <w:lang w:eastAsia="ru-RU"/>
        </w:rPr>
      </w:pPr>
      <w:r w:rsidRPr="00C25D02">
        <w:rPr>
          <w:rFonts w:ascii="Times New Roman" w:hAnsi="Times New Roman"/>
          <w:noProof/>
          <w:color w:val="000000"/>
          <w:sz w:val="27"/>
          <w:szCs w:val="27"/>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http://www.rusnauka.com/17_PMN_2014/Sport/1_172360.doc.files/image002.gif" style="width:498pt;height:325.5pt;visibility:visible">
            <v:imagedata r:id="rId5" o:title=""/>
          </v:shape>
        </w:pict>
      </w:r>
    </w:p>
    <w:p w:rsidR="00E33979" w:rsidRPr="00464013" w:rsidRDefault="00E33979" w:rsidP="00464013">
      <w:pPr>
        <w:spacing w:after="0" w:line="240" w:lineRule="auto"/>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Рис 1.</w:t>
      </w:r>
      <w:r w:rsidRPr="00464013">
        <w:rPr>
          <w:rFonts w:ascii="Times New Roman" w:hAnsi="Times New Roman"/>
          <w:color w:val="000000"/>
          <w:sz w:val="27"/>
          <w:szCs w:val="27"/>
          <w:lang w:eastAsia="ru-RU"/>
        </w:rPr>
        <w:t> Влияние пролонгированного воздействия ЭМЛ на показатели кардиоритма у баскетболистов.</w:t>
      </w:r>
    </w:p>
    <w:p w:rsidR="00E33979" w:rsidRPr="00464013" w:rsidRDefault="00E33979" w:rsidP="00464013">
      <w:pPr>
        <w:spacing w:after="0" w:line="240" w:lineRule="auto"/>
        <w:ind w:firstLine="720"/>
        <w:jc w:val="center"/>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 </w:t>
      </w:r>
    </w:p>
    <w:p w:rsidR="00E33979" w:rsidRPr="00464013" w:rsidRDefault="00E33979" w:rsidP="00464013">
      <w:pPr>
        <w:spacing w:after="0" w:line="240" w:lineRule="auto"/>
        <w:ind w:firstLine="720"/>
        <w:jc w:val="center"/>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Таблица 2</w:t>
      </w:r>
      <w:r w:rsidRPr="00464013">
        <w:rPr>
          <w:rFonts w:ascii="Times New Roman" w:hAnsi="Times New Roman"/>
          <w:color w:val="000000"/>
          <w:sz w:val="27"/>
          <w:szCs w:val="27"/>
          <w:lang w:eastAsia="ru-RU"/>
        </w:rPr>
        <w:t>. Соотношение тактических и технических ошибок, совершаемых баскетболистами в среднем за игру  ( </w:t>
      </w:r>
      <w:r w:rsidRPr="00464013">
        <w:rPr>
          <w:rFonts w:ascii="Times New Roman" w:hAnsi="Times New Roman"/>
          <w:color w:val="000000"/>
          <w:sz w:val="27"/>
          <w:szCs w:val="27"/>
          <w:lang w:val="en-US" w:eastAsia="ru-RU"/>
        </w:rPr>
        <w:t>n</w:t>
      </w:r>
      <w:r w:rsidRPr="00464013">
        <w:rPr>
          <w:rFonts w:ascii="Times New Roman" w:hAnsi="Times New Roman"/>
          <w:color w:val="000000"/>
          <w:sz w:val="27"/>
          <w:szCs w:val="27"/>
          <w:lang w:eastAsia="ru-RU"/>
        </w:rPr>
        <w:t> = 22 )</w:t>
      </w:r>
    </w:p>
    <w:tbl>
      <w:tblPr>
        <w:tblW w:w="0" w:type="auto"/>
        <w:tblInd w:w="108" w:type="dxa"/>
        <w:tblCellMar>
          <w:left w:w="0" w:type="dxa"/>
          <w:right w:w="0" w:type="dxa"/>
        </w:tblCellMar>
        <w:tblLook w:val="00A0"/>
      </w:tblPr>
      <w:tblGrid>
        <w:gridCol w:w="2637"/>
        <w:gridCol w:w="1265"/>
        <w:gridCol w:w="1209"/>
        <w:gridCol w:w="1265"/>
        <w:gridCol w:w="1332"/>
        <w:gridCol w:w="824"/>
        <w:gridCol w:w="931"/>
      </w:tblGrid>
      <w:tr w:rsidR="00E33979" w:rsidRPr="00C25545" w:rsidTr="00464013">
        <w:tc>
          <w:tcPr>
            <w:tcW w:w="2809"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Ошибочные действия</w:t>
            </w:r>
          </w:p>
        </w:tc>
        <w:tc>
          <w:tcPr>
            <w:tcW w:w="2552"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Тактические ошибки</w:t>
            </w:r>
          </w:p>
        </w:tc>
        <w:tc>
          <w:tcPr>
            <w:tcW w:w="2693"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Технические ошибки</w:t>
            </w:r>
          </w:p>
        </w:tc>
        <w:tc>
          <w:tcPr>
            <w:tcW w:w="1808" w:type="dxa"/>
            <w:gridSpan w:val="2"/>
            <w:tcBorders>
              <w:top w:val="single" w:sz="4" w:space="0" w:color="auto"/>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Всего</w:t>
            </w:r>
          </w:p>
        </w:tc>
      </w:tr>
      <w:tr w:rsidR="00E33979" w:rsidRPr="00C25545" w:rsidTr="00464013">
        <w:tc>
          <w:tcPr>
            <w:tcW w:w="0" w:type="auto"/>
            <w:vMerge/>
            <w:tcBorders>
              <w:top w:val="single" w:sz="4" w:space="0" w:color="auto"/>
              <w:left w:val="single" w:sz="4" w:space="0" w:color="auto"/>
              <w:bottom w:val="single" w:sz="4" w:space="0" w:color="auto"/>
              <w:right w:val="single" w:sz="4" w:space="0" w:color="auto"/>
            </w:tcBorders>
            <w:vAlign w:val="center"/>
          </w:tcPr>
          <w:p w:rsidR="00E33979" w:rsidRPr="00464013" w:rsidRDefault="00E33979" w:rsidP="00464013">
            <w:pPr>
              <w:spacing w:after="0" w:line="240" w:lineRule="auto"/>
              <w:rPr>
                <w:rFonts w:ascii="Times New Roman" w:hAnsi="Times New Roman"/>
                <w:sz w:val="24"/>
                <w:szCs w:val="24"/>
                <w:lang w:eastAsia="ru-RU"/>
              </w:rPr>
            </w:pP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val="en-US" w:eastAsia="ru-RU"/>
              </w:rPr>
              <w:t>M</w:t>
            </w:r>
            <w:r w:rsidRPr="00464013">
              <w:rPr>
                <w:rFonts w:ascii="Times New Roman" w:hAnsi="Times New Roman"/>
                <w:sz w:val="24"/>
                <w:szCs w:val="24"/>
                <w:lang w:eastAsia="ru-RU"/>
              </w:rPr>
              <w:t>±</w:t>
            </w:r>
            <w:r w:rsidRPr="00464013">
              <w:rPr>
                <w:rFonts w:ascii="Times New Roman" w:hAnsi="Times New Roman"/>
                <w:sz w:val="24"/>
                <w:szCs w:val="24"/>
                <w:lang w:val="en-US" w:eastAsia="ru-RU"/>
              </w:rPr>
              <w:t>m</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val="en-US" w:eastAsia="ru-RU"/>
              </w:rPr>
              <w:t>%</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val="en-US" w:eastAsia="ru-RU"/>
              </w:rPr>
              <w:t>M</w:t>
            </w:r>
            <w:r w:rsidRPr="00464013">
              <w:rPr>
                <w:rFonts w:ascii="Times New Roman" w:hAnsi="Times New Roman"/>
                <w:sz w:val="24"/>
                <w:szCs w:val="24"/>
                <w:lang w:eastAsia="ru-RU"/>
              </w:rPr>
              <w:t>±</w:t>
            </w:r>
            <w:r w:rsidRPr="00464013">
              <w:rPr>
                <w:rFonts w:ascii="Times New Roman" w:hAnsi="Times New Roman"/>
                <w:sz w:val="24"/>
                <w:szCs w:val="24"/>
                <w:lang w:val="en-US" w:eastAsia="ru-RU"/>
              </w:rPr>
              <w:t>m</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val="en-US" w:eastAsia="ru-RU"/>
              </w:rPr>
              <w:t>%</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val="en-US" w:eastAsia="ru-RU"/>
              </w:rPr>
              <w:t>M</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w:t>
            </w:r>
          </w:p>
        </w:tc>
      </w:tr>
      <w:tr w:rsidR="00E33979" w:rsidRPr="00C25545" w:rsidTr="00464013">
        <w:tc>
          <w:tcPr>
            <w:tcW w:w="9862" w:type="dxa"/>
            <w:gridSpan w:val="7"/>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До воздействия ЭМЛ</w:t>
            </w:r>
          </w:p>
        </w:tc>
      </w:tr>
      <w:tr w:rsidR="00E33979" w:rsidRPr="00C25545" w:rsidTr="00464013">
        <w:tc>
          <w:tcPr>
            <w:tcW w:w="2809"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В нападении</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26.1±3.3</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42.83</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8.3±0.75</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13.52</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34.6</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56.35</w:t>
            </w:r>
          </w:p>
        </w:tc>
      </w:tr>
      <w:tr w:rsidR="00E33979" w:rsidRPr="00C25545" w:rsidTr="00464013">
        <w:tc>
          <w:tcPr>
            <w:tcW w:w="2809"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В защите</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23.8±2.1</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38.76</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3.0±0.26</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4.89</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26.8</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43.65</w:t>
            </w:r>
          </w:p>
        </w:tc>
      </w:tr>
      <w:tr w:rsidR="00E33979" w:rsidRPr="00C25545" w:rsidTr="00464013">
        <w:tc>
          <w:tcPr>
            <w:tcW w:w="2809"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Всего</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50.1±3.3</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81.59</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11.3±0.26</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18.4</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61.4</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100</w:t>
            </w:r>
          </w:p>
        </w:tc>
      </w:tr>
      <w:tr w:rsidR="00E33979" w:rsidRPr="00C25545" w:rsidTr="00464013">
        <w:tc>
          <w:tcPr>
            <w:tcW w:w="9862" w:type="dxa"/>
            <w:gridSpan w:val="7"/>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После воздействия ЭМЛ</w:t>
            </w:r>
          </w:p>
        </w:tc>
      </w:tr>
      <w:tr w:rsidR="00E33979" w:rsidRPr="00C25545" w:rsidTr="00464013">
        <w:tc>
          <w:tcPr>
            <w:tcW w:w="2809"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В нападении</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23.4±1.9</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42.24</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7.8±0.68</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14.07</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31.2</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56.31</w:t>
            </w:r>
          </w:p>
        </w:tc>
      </w:tr>
      <w:tr w:rsidR="00E33979" w:rsidRPr="00C25545" w:rsidTr="00464013">
        <w:tc>
          <w:tcPr>
            <w:tcW w:w="2809"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В защите</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21.3±1.84</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38.45</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2.9±0.19</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5.23</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24.2</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43.68</w:t>
            </w:r>
          </w:p>
        </w:tc>
      </w:tr>
      <w:tr w:rsidR="00E33979" w:rsidRPr="00C25545" w:rsidTr="00464013">
        <w:tc>
          <w:tcPr>
            <w:tcW w:w="2809" w:type="dxa"/>
            <w:tcBorders>
              <w:top w:val="nil"/>
              <w:left w:val="single" w:sz="4" w:space="0" w:color="auto"/>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both"/>
              <w:rPr>
                <w:rFonts w:ascii="Times New Roman" w:hAnsi="Times New Roman"/>
                <w:sz w:val="24"/>
                <w:szCs w:val="24"/>
                <w:lang w:eastAsia="ru-RU"/>
              </w:rPr>
            </w:pPr>
            <w:r w:rsidRPr="00464013">
              <w:rPr>
                <w:rFonts w:ascii="Times New Roman" w:hAnsi="Times New Roman"/>
                <w:sz w:val="24"/>
                <w:szCs w:val="24"/>
                <w:lang w:eastAsia="ru-RU"/>
              </w:rPr>
              <w:t>Всего</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44.7±3.77</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80.68</w:t>
            </w:r>
          </w:p>
        </w:tc>
        <w:tc>
          <w:tcPr>
            <w:tcW w:w="1276"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10.7±0.89</w:t>
            </w:r>
          </w:p>
        </w:tc>
        <w:tc>
          <w:tcPr>
            <w:tcW w:w="141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19.31</w:t>
            </w:r>
          </w:p>
        </w:tc>
        <w:tc>
          <w:tcPr>
            <w:tcW w:w="851"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55.4</w:t>
            </w:r>
          </w:p>
        </w:tc>
        <w:tc>
          <w:tcPr>
            <w:tcW w:w="957" w:type="dxa"/>
            <w:tcBorders>
              <w:top w:val="nil"/>
              <w:left w:val="nil"/>
              <w:bottom w:val="single" w:sz="4" w:space="0" w:color="auto"/>
              <w:right w:val="single" w:sz="4" w:space="0" w:color="auto"/>
            </w:tcBorders>
            <w:tcMar>
              <w:top w:w="0" w:type="dxa"/>
              <w:left w:w="108" w:type="dxa"/>
              <w:bottom w:w="0" w:type="dxa"/>
              <w:right w:w="108" w:type="dxa"/>
            </w:tcMar>
          </w:tcPr>
          <w:p w:rsidR="00E33979" w:rsidRPr="00464013" w:rsidRDefault="00E33979" w:rsidP="00464013">
            <w:pPr>
              <w:spacing w:after="0" w:line="240" w:lineRule="auto"/>
              <w:jc w:val="center"/>
              <w:rPr>
                <w:rFonts w:ascii="Times New Roman" w:hAnsi="Times New Roman"/>
                <w:sz w:val="24"/>
                <w:szCs w:val="24"/>
                <w:lang w:eastAsia="ru-RU"/>
              </w:rPr>
            </w:pPr>
            <w:r w:rsidRPr="00464013">
              <w:rPr>
                <w:rFonts w:ascii="Times New Roman" w:hAnsi="Times New Roman"/>
                <w:sz w:val="24"/>
                <w:szCs w:val="24"/>
                <w:lang w:eastAsia="ru-RU"/>
              </w:rPr>
              <w:t>100</w:t>
            </w:r>
          </w:p>
        </w:tc>
      </w:tr>
    </w:tbl>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Полученные результаты позволяет констатировать достаточную степень их идентичности, что дает основание для проведения объективного эксперимента.</w:t>
      </w:r>
    </w:p>
    <w:p w:rsidR="00E33979" w:rsidRPr="00464013" w:rsidRDefault="00E33979" w:rsidP="00464013">
      <w:pPr>
        <w:spacing w:after="0" w:line="240" w:lineRule="auto"/>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Таким образом, наши исследования дают возможность предполагать, что  адаптация к  нагрузке ССС на фоне пролонгированного применения  ЭМЛ изменяет её регуляцию по парасимпатическому типу. Как видно из результатов игровой деятельности (рис.2) эти изменения регуляции носят оптимизирующий характер, стабилизируют ЦНС спортсмена на более высоком уровне, сглаживанию баланса возбуждения и торможения, наблюдается консолидации функциональных возможностей сердца.</w:t>
      </w:r>
    </w:p>
    <w:p w:rsidR="00E33979" w:rsidRPr="00464013" w:rsidRDefault="00E33979" w:rsidP="00464013">
      <w:pPr>
        <w:spacing w:after="0" w:line="240" w:lineRule="auto"/>
        <w:jc w:val="center"/>
        <w:rPr>
          <w:rFonts w:ascii="Times New Roman" w:hAnsi="Times New Roman"/>
          <w:color w:val="000000"/>
          <w:sz w:val="27"/>
          <w:szCs w:val="27"/>
          <w:lang w:eastAsia="ru-RU"/>
        </w:rPr>
      </w:pPr>
      <w:r w:rsidRPr="00464013">
        <w:rPr>
          <w:rFonts w:ascii="Times New Roman" w:hAnsi="Times New Roman"/>
          <w:color w:val="000000"/>
          <w:sz w:val="27"/>
          <w:szCs w:val="27"/>
          <w:lang w:eastAsia="ru-RU"/>
        </w:rPr>
        <w:t> </w:t>
      </w:r>
    </w:p>
    <w:p w:rsidR="00E33979" w:rsidRPr="00464013" w:rsidRDefault="00E33979" w:rsidP="00464013">
      <w:pPr>
        <w:spacing w:after="0" w:line="240" w:lineRule="auto"/>
        <w:jc w:val="center"/>
        <w:rPr>
          <w:rFonts w:ascii="Times New Roman" w:hAnsi="Times New Roman"/>
          <w:color w:val="000000"/>
          <w:sz w:val="27"/>
          <w:szCs w:val="27"/>
          <w:lang w:eastAsia="ru-RU"/>
        </w:rPr>
      </w:pPr>
      <w:r w:rsidRPr="00C25D02">
        <w:rPr>
          <w:rFonts w:ascii="Times New Roman" w:hAnsi="Times New Roman"/>
          <w:noProof/>
          <w:color w:val="000000"/>
          <w:sz w:val="27"/>
          <w:szCs w:val="27"/>
          <w:lang w:eastAsia="ru-RU"/>
        </w:rPr>
        <w:pict>
          <v:shape id="Рисунок 2" o:spid="_x0000_i1026" type="#_x0000_t75" alt="http://www.rusnauka.com/17_PMN_2014/Sport/1_172360.doc.files/image004.gif" style="width:480.75pt;height:315pt;visibility:visible">
            <v:imagedata r:id="rId6" o:title=""/>
          </v:shape>
        </w:pict>
      </w:r>
    </w:p>
    <w:p w:rsidR="00E33979" w:rsidRPr="00464013" w:rsidRDefault="00E33979" w:rsidP="00464013">
      <w:pPr>
        <w:spacing w:after="0" w:line="240" w:lineRule="auto"/>
        <w:jc w:val="center"/>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Рис 2.</w:t>
      </w:r>
      <w:r w:rsidRPr="00464013">
        <w:rPr>
          <w:rFonts w:ascii="Times New Roman" w:hAnsi="Times New Roman"/>
          <w:color w:val="000000"/>
          <w:sz w:val="27"/>
          <w:szCs w:val="27"/>
          <w:lang w:eastAsia="ru-RU"/>
        </w:rPr>
        <w:t> Изменение соотношения ошибок у баскетболистов после пролонгированного</w:t>
      </w:r>
    </w:p>
    <w:p w:rsidR="00E33979" w:rsidRPr="00464013" w:rsidRDefault="00E33979" w:rsidP="00464013">
      <w:pPr>
        <w:spacing w:after="0" w:line="240" w:lineRule="auto"/>
        <w:jc w:val="center"/>
        <w:rPr>
          <w:rFonts w:ascii="Times New Roman" w:hAnsi="Times New Roman"/>
          <w:color w:val="000000"/>
          <w:sz w:val="27"/>
          <w:szCs w:val="27"/>
          <w:lang w:eastAsia="ru-RU"/>
        </w:rPr>
      </w:pPr>
      <w:r w:rsidRPr="00464013">
        <w:rPr>
          <w:rFonts w:ascii="Times New Roman" w:hAnsi="Times New Roman"/>
          <w:color w:val="000000"/>
          <w:sz w:val="27"/>
          <w:szCs w:val="27"/>
          <w:lang w:eastAsia="ru-RU"/>
        </w:rPr>
        <w:t>воздействия ЭМЛ</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 </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Все упомянутые факторы  проявились в играх первенства вузов Украины, где команда НУФКиС на протяжении всех соревнований показала стабильную результативную игру.</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Выводы.</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1. Пролонгированное, на протяжении 30 дней, вдыхание эфирных масел лаванды у баскетболистов улучшает адаптацию к тренировочным и соревновательным нагрузкам.</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2. При пролонгированном воздействии эфирного масла лаванды игровая деятельность характеризуется улучшением точности, дифференцировки  и подвижности.</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3. На фоне пролонгированного воздействия эфирного масла лаванды адаптация к нагрузкам регуляции ССС  наблюдается по парасимпатическому (более экономичному) типу.</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 </w:t>
      </w:r>
    </w:p>
    <w:p w:rsidR="00E33979" w:rsidRPr="00464013" w:rsidRDefault="00E33979" w:rsidP="00464013">
      <w:pPr>
        <w:spacing w:after="0" w:line="240" w:lineRule="auto"/>
        <w:ind w:firstLine="720"/>
        <w:jc w:val="both"/>
        <w:rPr>
          <w:rFonts w:ascii="Times New Roman" w:hAnsi="Times New Roman"/>
          <w:color w:val="000000"/>
          <w:sz w:val="27"/>
          <w:szCs w:val="27"/>
          <w:lang w:eastAsia="ru-RU"/>
        </w:rPr>
      </w:pPr>
      <w:r w:rsidRPr="00464013">
        <w:rPr>
          <w:rFonts w:ascii="Times New Roman" w:hAnsi="Times New Roman"/>
          <w:b/>
          <w:bCs/>
          <w:color w:val="000000"/>
          <w:sz w:val="27"/>
          <w:szCs w:val="27"/>
          <w:lang w:eastAsia="ru-RU"/>
        </w:rPr>
        <w:t>Литература.</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1. Леонов А.Д. Тактическая подготовка баскетболистов (методические рекомендации). - Запорожье, ГКФИС, 1990. – 64 с.</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2. Медведев В.В.Психологические основы тактической подготовки спортсмена. - М.: ГЦОЛИФК, 1987. – 274 с.</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3. Ткачук В.Г., Битко С.Н. Пролонгированное применение эфирного масла лаванды для коррекции функционального состояния спортсменов в условиях учебно-тренировочного процесса / Материалы научно-практической конференции </w:t>
      </w:r>
      <w:r w:rsidRPr="00464013">
        <w:rPr>
          <w:rFonts w:ascii="Times New Roman" w:hAnsi="Times New Roman"/>
          <w:color w:val="000000"/>
          <w:sz w:val="27"/>
          <w:szCs w:val="27"/>
          <w:lang w:val="uk-UA" w:eastAsia="ru-RU"/>
        </w:rPr>
        <w:t>„</w:t>
      </w:r>
      <w:r w:rsidRPr="00464013">
        <w:rPr>
          <w:rFonts w:ascii="Times New Roman" w:hAnsi="Times New Roman"/>
          <w:color w:val="000000"/>
          <w:sz w:val="27"/>
          <w:szCs w:val="27"/>
          <w:lang w:eastAsia="ru-RU"/>
        </w:rPr>
        <w:t>Проблемы адаптации в спорте</w:t>
      </w:r>
      <w:r w:rsidRPr="00464013">
        <w:rPr>
          <w:rFonts w:ascii="Times New Roman" w:hAnsi="Times New Roman"/>
          <w:color w:val="000000"/>
          <w:sz w:val="27"/>
          <w:szCs w:val="27"/>
          <w:lang w:val="uk-UA" w:eastAsia="ru-RU"/>
        </w:rPr>
        <w:t>”</w:t>
      </w:r>
      <w:r w:rsidRPr="00464013">
        <w:rPr>
          <w:rFonts w:ascii="Times New Roman" w:hAnsi="Times New Roman"/>
          <w:color w:val="000000"/>
          <w:sz w:val="27"/>
          <w:szCs w:val="27"/>
          <w:lang w:eastAsia="ru-RU"/>
        </w:rPr>
        <w:t>. – Одесса, 1990. - С. 137.</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4. Бондаренко А.С., Резник С.Р., Мещеряков А.А. Иммуностимулирующие и иммунодепрессивные свойства экстрактов и эфирных масел из лекарственных растений // Тезисы докладов VIII совещания по проблеме фитонцидов. - К.: "Наукова думка", 1979. – С. 94-95</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5. Рощина В.Д. Возможные механизмы действия фитонцидов // Тезисы докладов VII совещания по проблеме фитонцидов. - К.: </w:t>
      </w:r>
      <w:r w:rsidRPr="00464013">
        <w:rPr>
          <w:rFonts w:ascii="Times New Roman" w:hAnsi="Times New Roman"/>
          <w:color w:val="000000"/>
          <w:sz w:val="27"/>
          <w:szCs w:val="27"/>
          <w:lang w:val="uk-UA" w:eastAsia="ru-RU"/>
        </w:rPr>
        <w:t>„</w:t>
      </w:r>
      <w:r w:rsidRPr="00464013">
        <w:rPr>
          <w:rFonts w:ascii="Times New Roman" w:hAnsi="Times New Roman"/>
          <w:color w:val="000000"/>
          <w:sz w:val="27"/>
          <w:szCs w:val="27"/>
          <w:lang w:eastAsia="ru-RU"/>
        </w:rPr>
        <w:t>Наукова думка</w:t>
      </w:r>
      <w:r w:rsidRPr="00464013">
        <w:rPr>
          <w:rFonts w:ascii="Times New Roman" w:hAnsi="Times New Roman"/>
          <w:color w:val="000000"/>
          <w:sz w:val="27"/>
          <w:szCs w:val="27"/>
          <w:lang w:val="uk-UA" w:eastAsia="ru-RU"/>
        </w:rPr>
        <w:t>”</w:t>
      </w:r>
      <w:r w:rsidRPr="00464013">
        <w:rPr>
          <w:rFonts w:ascii="Times New Roman" w:hAnsi="Times New Roman"/>
          <w:color w:val="000000"/>
          <w:sz w:val="27"/>
          <w:szCs w:val="27"/>
          <w:lang w:eastAsia="ru-RU"/>
        </w:rPr>
        <w:t>, 1979. – С. 83-84.</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6. Родионов А.В., Воропай В.И. Психологические основы подготовки баскетболистов. – Киев: </w:t>
      </w:r>
      <w:r w:rsidRPr="00464013">
        <w:rPr>
          <w:rFonts w:ascii="Times New Roman" w:hAnsi="Times New Roman"/>
          <w:color w:val="000000"/>
          <w:sz w:val="27"/>
          <w:szCs w:val="27"/>
          <w:lang w:val="uk-UA" w:eastAsia="ru-RU"/>
        </w:rPr>
        <w:t>„Здоров</w:t>
      </w:r>
      <w:r w:rsidRPr="00464013">
        <w:rPr>
          <w:rFonts w:ascii="Times New Roman" w:hAnsi="Times New Roman"/>
          <w:color w:val="000000"/>
          <w:sz w:val="27"/>
          <w:szCs w:val="27"/>
          <w:lang w:eastAsia="ru-RU"/>
        </w:rPr>
        <w:t>’</w:t>
      </w:r>
      <w:r w:rsidRPr="00464013">
        <w:rPr>
          <w:rFonts w:ascii="Times New Roman" w:hAnsi="Times New Roman"/>
          <w:color w:val="000000"/>
          <w:sz w:val="27"/>
          <w:szCs w:val="27"/>
          <w:lang w:val="uk-UA" w:eastAsia="ru-RU"/>
        </w:rPr>
        <w:t>я”, </w:t>
      </w:r>
      <w:r w:rsidRPr="00464013">
        <w:rPr>
          <w:rFonts w:ascii="Times New Roman" w:hAnsi="Times New Roman"/>
          <w:color w:val="000000"/>
          <w:sz w:val="27"/>
          <w:szCs w:val="27"/>
          <w:lang w:eastAsia="ru-RU"/>
        </w:rPr>
        <w:t>1989 г. </w:t>
      </w:r>
      <w:r w:rsidRPr="00464013">
        <w:rPr>
          <w:rFonts w:ascii="Times New Roman" w:hAnsi="Times New Roman"/>
          <w:color w:val="000000"/>
          <w:sz w:val="27"/>
          <w:szCs w:val="27"/>
          <w:lang w:val="uk-UA" w:eastAsia="ru-RU"/>
        </w:rPr>
        <w:t>– 274 с.</w:t>
      </w:r>
    </w:p>
    <w:p w:rsidR="00E33979" w:rsidRPr="00464013" w:rsidRDefault="00E33979" w:rsidP="00464013">
      <w:pPr>
        <w:spacing w:after="0" w:line="240" w:lineRule="auto"/>
        <w:ind w:firstLine="737"/>
        <w:jc w:val="both"/>
        <w:rPr>
          <w:rFonts w:ascii="Times New Roman" w:hAnsi="Times New Roman"/>
          <w:color w:val="000000"/>
          <w:sz w:val="27"/>
          <w:szCs w:val="27"/>
          <w:lang w:eastAsia="ru-RU"/>
        </w:rPr>
      </w:pPr>
      <w:r w:rsidRPr="00464013">
        <w:rPr>
          <w:rFonts w:ascii="Times New Roman" w:hAnsi="Times New Roman"/>
          <w:color w:val="000000"/>
          <w:sz w:val="27"/>
          <w:szCs w:val="27"/>
          <w:lang w:eastAsia="ru-RU"/>
        </w:rPr>
        <w:t>7. Чекман И.C. Фармакологическая регуляция функции миокарда в условиях коронароспазма и сердечно-сосудистой недостаточности</w:t>
      </w:r>
      <w:r w:rsidRPr="00464013">
        <w:rPr>
          <w:rFonts w:ascii="Times New Roman" w:hAnsi="Times New Roman"/>
          <w:color w:val="000000"/>
          <w:sz w:val="27"/>
          <w:szCs w:val="27"/>
          <w:lang w:val="uk-UA" w:eastAsia="ru-RU"/>
        </w:rPr>
        <w:t> //</w:t>
      </w:r>
      <w:r w:rsidRPr="00464013">
        <w:rPr>
          <w:rFonts w:ascii="Times New Roman" w:hAnsi="Times New Roman"/>
          <w:color w:val="000000"/>
          <w:sz w:val="27"/>
          <w:szCs w:val="27"/>
          <w:lang w:eastAsia="ru-RU"/>
        </w:rPr>
        <w:t> Тезисы II Всесоюзного Симпозиума "Физиология и патология сердца и коронарного кровообращения"</w:t>
      </w:r>
      <w:r w:rsidRPr="00464013">
        <w:rPr>
          <w:rFonts w:ascii="Times New Roman" w:hAnsi="Times New Roman"/>
          <w:color w:val="000000"/>
          <w:sz w:val="27"/>
          <w:szCs w:val="27"/>
          <w:lang w:val="uk-UA" w:eastAsia="ru-RU"/>
        </w:rPr>
        <w:t> -</w:t>
      </w:r>
      <w:r w:rsidRPr="00464013">
        <w:rPr>
          <w:rFonts w:ascii="Times New Roman" w:hAnsi="Times New Roman"/>
          <w:color w:val="000000"/>
          <w:sz w:val="27"/>
          <w:szCs w:val="27"/>
          <w:lang w:eastAsia="ru-RU"/>
        </w:rPr>
        <w:t> К., 1987</w:t>
      </w:r>
      <w:r w:rsidRPr="00464013">
        <w:rPr>
          <w:rFonts w:ascii="Times New Roman" w:hAnsi="Times New Roman"/>
          <w:color w:val="000000"/>
          <w:sz w:val="27"/>
          <w:szCs w:val="27"/>
          <w:lang w:val="uk-UA" w:eastAsia="ru-RU"/>
        </w:rPr>
        <w:t>. – С.</w:t>
      </w:r>
      <w:r w:rsidRPr="00464013">
        <w:rPr>
          <w:rFonts w:ascii="Times New Roman" w:hAnsi="Times New Roman"/>
          <w:color w:val="000000"/>
          <w:sz w:val="27"/>
          <w:szCs w:val="27"/>
          <w:lang w:eastAsia="ru-RU"/>
        </w:rPr>
        <w:t>180-181.</w:t>
      </w:r>
    </w:p>
    <w:p w:rsidR="00E33979" w:rsidRDefault="00E33979"/>
    <w:sectPr w:rsidR="00E33979" w:rsidSect="00F86E7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AD1B0A"/>
    <w:multiLevelType w:val="hybridMultilevel"/>
    <w:tmpl w:val="FDDEBAE4"/>
    <w:lvl w:ilvl="0" w:tplc="B2201C96">
      <w:start w:val="1"/>
      <w:numFmt w:val="decimal"/>
      <w:lvlText w:val="%1."/>
      <w:lvlJc w:val="left"/>
      <w:pPr>
        <w:ind w:left="786" w:hanging="360"/>
      </w:pPr>
      <w:rPr>
        <w:rFonts w:ascii="Arial" w:eastAsia="Times New Roman" w:hAnsi="Arial" w:cs="Arial" w:hint="default"/>
        <w:b/>
        <w:color w:val="666666"/>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64013"/>
    <w:rsid w:val="00387532"/>
    <w:rsid w:val="003B7557"/>
    <w:rsid w:val="00464013"/>
    <w:rsid w:val="004E607A"/>
    <w:rsid w:val="00680CFB"/>
    <w:rsid w:val="006C144B"/>
    <w:rsid w:val="008C505D"/>
    <w:rsid w:val="00911443"/>
    <w:rsid w:val="00C25545"/>
    <w:rsid w:val="00C25D02"/>
    <w:rsid w:val="00DC1F6A"/>
    <w:rsid w:val="00E33979"/>
    <w:rsid w:val="00E34AC9"/>
    <w:rsid w:val="00EA7DE3"/>
    <w:rsid w:val="00ED453F"/>
    <w:rsid w:val="00EF3A38"/>
    <w:rsid w:val="00F86E7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E76"/>
    <w:pPr>
      <w:spacing w:after="160" w:line="259" w:lineRule="auto"/>
    </w:pPr>
    <w:rPr>
      <w:lang w:eastAsia="en-US"/>
    </w:rPr>
  </w:style>
  <w:style w:type="paragraph" w:styleId="Heading1">
    <w:name w:val="heading 1"/>
    <w:basedOn w:val="Normal"/>
    <w:link w:val="Heading1Char"/>
    <w:uiPriority w:val="99"/>
    <w:qFormat/>
    <w:rsid w:val="00464013"/>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Heading2">
    <w:name w:val="heading 2"/>
    <w:basedOn w:val="Normal"/>
    <w:link w:val="Heading2Char"/>
    <w:uiPriority w:val="99"/>
    <w:qFormat/>
    <w:rsid w:val="00464013"/>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64013"/>
    <w:rPr>
      <w:rFonts w:ascii="Times New Roman" w:hAnsi="Times New Roman" w:cs="Times New Roman"/>
      <w:b/>
      <w:bCs/>
      <w:kern w:val="36"/>
      <w:sz w:val="48"/>
      <w:szCs w:val="48"/>
      <w:lang w:eastAsia="ru-RU"/>
    </w:rPr>
  </w:style>
  <w:style w:type="character" w:customStyle="1" w:styleId="Heading2Char">
    <w:name w:val="Heading 2 Char"/>
    <w:basedOn w:val="DefaultParagraphFont"/>
    <w:link w:val="Heading2"/>
    <w:uiPriority w:val="99"/>
    <w:locked/>
    <w:rsid w:val="00464013"/>
    <w:rPr>
      <w:rFonts w:ascii="Times New Roman" w:hAnsi="Times New Roman" w:cs="Times New Roman"/>
      <w:b/>
      <w:bCs/>
      <w:sz w:val="36"/>
      <w:szCs w:val="36"/>
      <w:lang w:eastAsia="ru-RU"/>
    </w:rPr>
  </w:style>
  <w:style w:type="paragraph" w:styleId="BodyTextIndent2">
    <w:name w:val="Body Text Indent 2"/>
    <w:basedOn w:val="Normal"/>
    <w:link w:val="BodyTextIndent2Char"/>
    <w:uiPriority w:val="99"/>
    <w:semiHidden/>
    <w:rsid w:val="0046401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odyTextIndent2Char">
    <w:name w:val="Body Text Indent 2 Char"/>
    <w:basedOn w:val="DefaultParagraphFont"/>
    <w:link w:val="BodyTextIndent2"/>
    <w:uiPriority w:val="99"/>
    <w:semiHidden/>
    <w:locked/>
    <w:rsid w:val="00464013"/>
    <w:rPr>
      <w:rFonts w:ascii="Times New Roman" w:hAnsi="Times New Roman" w:cs="Times New Roman"/>
      <w:sz w:val="24"/>
      <w:szCs w:val="24"/>
      <w:lang w:eastAsia="ru-RU"/>
    </w:rPr>
  </w:style>
  <w:style w:type="paragraph" w:styleId="BodyTextIndent">
    <w:name w:val="Body Text Indent"/>
    <w:basedOn w:val="Normal"/>
    <w:link w:val="BodyTextIndentChar"/>
    <w:uiPriority w:val="99"/>
    <w:semiHidden/>
    <w:rsid w:val="0046401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odyTextIndentChar">
    <w:name w:val="Body Text Indent Char"/>
    <w:basedOn w:val="DefaultParagraphFont"/>
    <w:link w:val="BodyTextIndent"/>
    <w:uiPriority w:val="99"/>
    <w:semiHidden/>
    <w:locked/>
    <w:rsid w:val="00464013"/>
    <w:rPr>
      <w:rFonts w:ascii="Times New Roman" w:hAnsi="Times New Roman" w:cs="Times New Roman"/>
      <w:sz w:val="24"/>
      <w:szCs w:val="24"/>
      <w:lang w:eastAsia="ru-RU"/>
    </w:rPr>
  </w:style>
  <w:style w:type="paragraph" w:styleId="BodyTextIndent3">
    <w:name w:val="Body Text Indent 3"/>
    <w:basedOn w:val="Normal"/>
    <w:link w:val="BodyTextIndent3Char"/>
    <w:uiPriority w:val="99"/>
    <w:semiHidden/>
    <w:rsid w:val="0046401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odyTextIndent3Char">
    <w:name w:val="Body Text Indent 3 Char"/>
    <w:basedOn w:val="DefaultParagraphFont"/>
    <w:link w:val="BodyTextIndent3"/>
    <w:uiPriority w:val="99"/>
    <w:semiHidden/>
    <w:locked/>
    <w:rsid w:val="00464013"/>
    <w:rPr>
      <w:rFonts w:ascii="Times New Roman" w:hAnsi="Times New Roman" w:cs="Times New Roman"/>
      <w:sz w:val="24"/>
      <w:szCs w:val="24"/>
      <w:lang w:eastAsia="ru-RU"/>
    </w:rPr>
  </w:style>
  <w:style w:type="paragraph" w:styleId="BalloonText">
    <w:name w:val="Balloon Text"/>
    <w:basedOn w:val="Normal"/>
    <w:link w:val="BalloonTextChar"/>
    <w:uiPriority w:val="99"/>
    <w:semiHidden/>
    <w:rsid w:val="004640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6401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29637239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20</TotalTime>
  <Pages>7</Pages>
  <Words>1879</Words>
  <Characters>10712</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ВАГЕТ</cp:lastModifiedBy>
  <cp:revision>7</cp:revision>
  <dcterms:created xsi:type="dcterms:W3CDTF">2018-11-18T14:28:00Z</dcterms:created>
  <dcterms:modified xsi:type="dcterms:W3CDTF">2018-11-21T11:39:00Z</dcterms:modified>
</cp:coreProperties>
</file>