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8CE55" w14:textId="77777777" w:rsidR="00FB2197" w:rsidRPr="00BA1C39" w:rsidRDefault="00FB2197" w:rsidP="002A4A99">
      <w:pPr>
        <w:spacing w:after="0" w:line="240" w:lineRule="auto"/>
        <w:jc w:val="center"/>
        <w:rPr>
          <w:rFonts w:ascii="Times New Roman" w:hAnsi="Times New Roman" w:cs="Times New Roman"/>
          <w:b/>
          <w:bCs/>
          <w:color w:val="000000" w:themeColor="text1"/>
          <w:sz w:val="28"/>
          <w:szCs w:val="28"/>
        </w:rPr>
      </w:pPr>
      <w:r w:rsidRPr="00BA1C39">
        <w:rPr>
          <w:rFonts w:ascii="Times New Roman" w:hAnsi="Times New Roman" w:cs="Times New Roman"/>
          <w:b/>
          <w:bCs/>
          <w:color w:val="000000" w:themeColor="text1"/>
          <w:sz w:val="28"/>
          <w:szCs w:val="28"/>
        </w:rPr>
        <w:t>НАЦІОНАЛЬНИЙ ТЕХНІЧНИЙ УНІВЕРСИТЕТ УКРАЇНИ</w:t>
      </w:r>
    </w:p>
    <w:p w14:paraId="10504083" w14:textId="77777777" w:rsidR="00FB2197" w:rsidRPr="00BA1C39" w:rsidRDefault="00FB2197" w:rsidP="002A4A99">
      <w:pPr>
        <w:spacing w:after="0" w:line="240" w:lineRule="auto"/>
        <w:jc w:val="center"/>
        <w:rPr>
          <w:rFonts w:ascii="Times New Roman" w:hAnsi="Times New Roman" w:cs="Times New Roman"/>
          <w:b/>
          <w:bCs/>
          <w:color w:val="000000" w:themeColor="text1"/>
          <w:sz w:val="28"/>
          <w:szCs w:val="28"/>
        </w:rPr>
      </w:pPr>
      <w:bookmarkStart w:id="0" w:name="_GoBack"/>
      <w:bookmarkEnd w:id="0"/>
      <w:r w:rsidRPr="00BA1C39">
        <w:rPr>
          <w:rFonts w:ascii="Times New Roman" w:hAnsi="Times New Roman" w:cs="Times New Roman"/>
          <w:b/>
          <w:bCs/>
          <w:color w:val="000000" w:themeColor="text1"/>
          <w:sz w:val="28"/>
          <w:szCs w:val="28"/>
        </w:rPr>
        <w:t>«КИЇВСЬКИЙ ПОЛІТЕХНІЧНИЙ ІНСТИТУТ</w:t>
      </w:r>
      <w:r w:rsidRPr="00BA1C39">
        <w:rPr>
          <w:rFonts w:ascii="Times New Roman" w:hAnsi="Times New Roman" w:cs="Times New Roman"/>
          <w:b/>
          <w:bCs/>
          <w:color w:val="000000" w:themeColor="text1"/>
          <w:sz w:val="28"/>
          <w:szCs w:val="28"/>
        </w:rPr>
        <w:br/>
        <w:t>імені ІГОРЯ СІКОРСЬКОГО»</w:t>
      </w:r>
    </w:p>
    <w:p w14:paraId="71C7ACD1" w14:textId="77777777" w:rsidR="00FB2197" w:rsidRPr="00BA1C39" w:rsidRDefault="00FB2197" w:rsidP="002A4A99">
      <w:pPr>
        <w:autoSpaceDE w:val="0"/>
        <w:autoSpaceDN w:val="0"/>
        <w:adjustRightInd w:val="0"/>
        <w:spacing w:after="0" w:line="240" w:lineRule="auto"/>
        <w:jc w:val="center"/>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Інженерно-хімічний факультет</w:t>
      </w:r>
    </w:p>
    <w:p w14:paraId="143DB5DB" w14:textId="77777777" w:rsidR="00FB2197" w:rsidRPr="00BA1C39" w:rsidRDefault="00FB2197" w:rsidP="002A4A99">
      <w:pPr>
        <w:autoSpaceDE w:val="0"/>
        <w:autoSpaceDN w:val="0"/>
        <w:adjustRightInd w:val="0"/>
        <w:spacing w:after="0" w:line="240" w:lineRule="auto"/>
        <w:jc w:val="center"/>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Кафедра екології та технології рослинних полімерів</w:t>
      </w:r>
    </w:p>
    <w:p w14:paraId="1E7643A4" w14:textId="77777777" w:rsidR="00FB2197" w:rsidRPr="00BA1C39" w:rsidRDefault="00FB2197" w:rsidP="002A4A99">
      <w:pPr>
        <w:tabs>
          <w:tab w:val="left" w:leader="underscore" w:pos="8903"/>
          <w:tab w:val="left" w:leader="underscore" w:pos="9631"/>
        </w:tabs>
        <w:spacing w:after="0" w:line="240" w:lineRule="auto"/>
        <w:jc w:val="center"/>
        <w:rPr>
          <w:rFonts w:ascii="Times New Roman" w:hAnsi="Times New Roman" w:cs="Times New Roman"/>
          <w:color w:val="000000" w:themeColor="text1"/>
          <w:sz w:val="28"/>
        </w:rPr>
      </w:pPr>
    </w:p>
    <w:tbl>
      <w:tblPr>
        <w:tblW w:w="0" w:type="auto"/>
        <w:tblLook w:val="04A0" w:firstRow="1" w:lastRow="0" w:firstColumn="1" w:lastColumn="0" w:noHBand="0" w:noVBand="1"/>
      </w:tblPr>
      <w:tblGrid>
        <w:gridCol w:w="5211"/>
        <w:gridCol w:w="3905"/>
      </w:tblGrid>
      <w:tr w:rsidR="00BA1C39" w:rsidRPr="00BA1C39" w14:paraId="4608AE8E" w14:textId="77777777" w:rsidTr="00D20EE5">
        <w:tc>
          <w:tcPr>
            <w:tcW w:w="5211" w:type="dxa"/>
          </w:tcPr>
          <w:p w14:paraId="3A0D9D15" w14:textId="77777777" w:rsidR="00FB2197" w:rsidRPr="00BA1C39" w:rsidRDefault="00FB2197" w:rsidP="002A4A99">
            <w:pPr>
              <w:tabs>
                <w:tab w:val="left" w:leader="underscore" w:pos="9631"/>
              </w:tabs>
              <w:spacing w:after="0" w:line="240" w:lineRule="auto"/>
              <w:rPr>
                <w:rFonts w:ascii="Times New Roman" w:hAnsi="Times New Roman" w:cs="Times New Roman"/>
                <w:bCs/>
                <w:color w:val="000000" w:themeColor="text1"/>
              </w:rPr>
            </w:pPr>
            <w:r w:rsidRPr="00BA1C39">
              <w:rPr>
                <w:rFonts w:ascii="Times New Roman" w:hAnsi="Times New Roman" w:cs="Times New Roman"/>
                <w:bCs/>
                <w:color w:val="000000" w:themeColor="text1"/>
              </w:rPr>
              <w:t>«На правах рукопису»</w:t>
            </w:r>
          </w:p>
          <w:p w14:paraId="374FF271" w14:textId="77777777" w:rsidR="00FB2197" w:rsidRPr="00BA1C39" w:rsidRDefault="00FB2197" w:rsidP="002A4A99">
            <w:pPr>
              <w:tabs>
                <w:tab w:val="left" w:leader="underscore" w:pos="9631"/>
              </w:tabs>
              <w:spacing w:after="0" w:line="240" w:lineRule="auto"/>
              <w:rPr>
                <w:rFonts w:ascii="Times New Roman" w:hAnsi="Times New Roman" w:cs="Times New Roman"/>
                <w:bCs/>
                <w:color w:val="000000" w:themeColor="text1"/>
              </w:rPr>
            </w:pPr>
            <w:r w:rsidRPr="00BA1C39">
              <w:rPr>
                <w:rFonts w:ascii="Times New Roman" w:hAnsi="Times New Roman" w:cs="Times New Roman"/>
                <w:bCs/>
                <w:color w:val="000000" w:themeColor="text1"/>
              </w:rPr>
              <w:t>УДК ______________</w:t>
            </w:r>
          </w:p>
        </w:tc>
        <w:tc>
          <w:tcPr>
            <w:tcW w:w="3905" w:type="dxa"/>
          </w:tcPr>
          <w:p w14:paraId="11149B4A" w14:textId="77777777" w:rsidR="00FB2197" w:rsidRPr="00BA1C39" w:rsidRDefault="00FB2197" w:rsidP="002A4A99">
            <w:pPr>
              <w:spacing w:after="0" w:line="240" w:lineRule="auto"/>
              <w:ind w:left="62"/>
              <w:rPr>
                <w:rFonts w:ascii="Times New Roman" w:hAnsi="Times New Roman" w:cs="Times New Roman"/>
                <w:color w:val="000000" w:themeColor="text1"/>
                <w:sz w:val="24"/>
              </w:rPr>
            </w:pPr>
            <w:r w:rsidRPr="00BA1C39">
              <w:rPr>
                <w:rFonts w:ascii="Times New Roman" w:hAnsi="Times New Roman" w:cs="Times New Roman"/>
                <w:color w:val="000000" w:themeColor="text1"/>
                <w:sz w:val="24"/>
              </w:rPr>
              <w:t>До захисту допущено:</w:t>
            </w:r>
          </w:p>
          <w:p w14:paraId="5E962F3C" w14:textId="77777777" w:rsidR="00FB2197" w:rsidRPr="00BA1C39" w:rsidRDefault="00FB2197" w:rsidP="002A4A99">
            <w:pPr>
              <w:spacing w:after="0" w:line="240" w:lineRule="auto"/>
              <w:ind w:left="62"/>
              <w:rPr>
                <w:rFonts w:ascii="Times New Roman" w:hAnsi="Times New Roman" w:cs="Times New Roman"/>
                <w:bCs/>
                <w:color w:val="000000" w:themeColor="text1"/>
                <w:sz w:val="24"/>
              </w:rPr>
            </w:pPr>
            <w:r w:rsidRPr="00BA1C39">
              <w:rPr>
                <w:rFonts w:ascii="Times New Roman" w:hAnsi="Times New Roman" w:cs="Times New Roman"/>
                <w:bCs/>
                <w:color w:val="000000" w:themeColor="text1"/>
                <w:sz w:val="24"/>
              </w:rPr>
              <w:t>Завідувач кафедри</w:t>
            </w:r>
          </w:p>
          <w:p w14:paraId="429F0A55" w14:textId="77777777" w:rsidR="00FB2197" w:rsidRPr="00BA1C39" w:rsidRDefault="00FB2197" w:rsidP="002A4A99">
            <w:pPr>
              <w:spacing w:after="0" w:line="240" w:lineRule="auto"/>
              <w:ind w:left="62" w:right="-31"/>
              <w:rPr>
                <w:rFonts w:ascii="Times New Roman" w:hAnsi="Times New Roman" w:cs="Times New Roman"/>
                <w:color w:val="000000" w:themeColor="text1"/>
                <w:sz w:val="24"/>
              </w:rPr>
            </w:pPr>
            <w:r w:rsidRPr="00BA1C39">
              <w:rPr>
                <w:rFonts w:ascii="Times New Roman" w:hAnsi="Times New Roman" w:cs="Times New Roman"/>
                <w:color w:val="000000" w:themeColor="text1"/>
                <w:sz w:val="24"/>
              </w:rPr>
              <w:t>________ Микола ГОМЕЛЯ</w:t>
            </w:r>
          </w:p>
          <w:p w14:paraId="6A5C2A2E" w14:textId="77777777" w:rsidR="00FB2197" w:rsidRPr="00BA1C39" w:rsidRDefault="00FB2197" w:rsidP="002A4A99">
            <w:pPr>
              <w:spacing w:after="0" w:line="240" w:lineRule="auto"/>
              <w:ind w:left="62"/>
              <w:rPr>
                <w:rFonts w:ascii="Times New Roman" w:hAnsi="Times New Roman" w:cs="Times New Roman"/>
                <w:color w:val="000000" w:themeColor="text1"/>
                <w:sz w:val="24"/>
              </w:rPr>
            </w:pPr>
            <w:r w:rsidRPr="00BA1C39">
              <w:rPr>
                <w:rFonts w:ascii="Times New Roman" w:hAnsi="Times New Roman" w:cs="Times New Roman"/>
                <w:color w:val="000000" w:themeColor="text1"/>
                <w:sz w:val="24"/>
              </w:rPr>
              <w:t>«___»_____________20__ р.</w:t>
            </w:r>
          </w:p>
          <w:p w14:paraId="6CCB159A" w14:textId="77777777" w:rsidR="00FB2197" w:rsidRPr="00BA1C39" w:rsidRDefault="00FB2197" w:rsidP="002A4A99">
            <w:pPr>
              <w:spacing w:after="0" w:line="240" w:lineRule="auto"/>
              <w:rPr>
                <w:rFonts w:ascii="Times New Roman" w:hAnsi="Times New Roman" w:cs="Times New Roman"/>
                <w:bCs/>
                <w:caps/>
                <w:color w:val="000000" w:themeColor="text1"/>
              </w:rPr>
            </w:pPr>
          </w:p>
        </w:tc>
      </w:tr>
    </w:tbl>
    <w:p w14:paraId="561D4FEE" w14:textId="77777777" w:rsidR="00FB2197" w:rsidRPr="00BA1C39" w:rsidRDefault="00FB2197" w:rsidP="002A4A99">
      <w:pPr>
        <w:tabs>
          <w:tab w:val="left" w:leader="underscore" w:pos="9631"/>
        </w:tabs>
        <w:spacing w:after="0" w:line="240" w:lineRule="auto"/>
        <w:rPr>
          <w:rFonts w:ascii="Times New Roman" w:hAnsi="Times New Roman" w:cs="Times New Roman"/>
          <w:b/>
          <w:bCs/>
          <w:caps/>
          <w:color w:val="000000" w:themeColor="text1"/>
        </w:rPr>
      </w:pPr>
    </w:p>
    <w:p w14:paraId="3D904F34" w14:textId="77777777" w:rsidR="00FB2197" w:rsidRPr="00BA1C39" w:rsidRDefault="00FB2197" w:rsidP="002A4A99">
      <w:pPr>
        <w:tabs>
          <w:tab w:val="right" w:leader="underscore" w:pos="8903"/>
        </w:tabs>
        <w:spacing w:after="0" w:line="240" w:lineRule="auto"/>
        <w:jc w:val="center"/>
        <w:rPr>
          <w:rFonts w:ascii="Times New Roman" w:hAnsi="Times New Roman" w:cs="Times New Roman"/>
          <w:b/>
          <w:color w:val="000000" w:themeColor="text1"/>
          <w:sz w:val="40"/>
          <w:szCs w:val="40"/>
        </w:rPr>
      </w:pPr>
      <w:r w:rsidRPr="00BA1C39">
        <w:rPr>
          <w:rFonts w:ascii="Times New Roman" w:hAnsi="Times New Roman" w:cs="Times New Roman"/>
          <w:b/>
          <w:color w:val="000000" w:themeColor="text1"/>
          <w:sz w:val="40"/>
          <w:szCs w:val="40"/>
        </w:rPr>
        <w:t>Магістерська дисертація</w:t>
      </w:r>
    </w:p>
    <w:p w14:paraId="643B4D63" w14:textId="77777777" w:rsidR="00FB2197" w:rsidRPr="00BA1C39" w:rsidRDefault="00FB2197" w:rsidP="002A4A99">
      <w:pPr>
        <w:spacing w:after="0" w:line="240" w:lineRule="auto"/>
        <w:jc w:val="center"/>
        <w:rPr>
          <w:rFonts w:ascii="Times New Roman" w:hAnsi="Times New Roman" w:cs="Times New Roman"/>
          <w:b/>
          <w:color w:val="000000" w:themeColor="text1"/>
          <w:sz w:val="28"/>
          <w:szCs w:val="28"/>
        </w:rPr>
      </w:pPr>
      <w:r w:rsidRPr="00BA1C39">
        <w:rPr>
          <w:rFonts w:ascii="Times New Roman" w:hAnsi="Times New Roman" w:cs="Times New Roman"/>
          <w:b/>
          <w:color w:val="000000" w:themeColor="text1"/>
          <w:sz w:val="28"/>
          <w:szCs w:val="28"/>
        </w:rPr>
        <w:t>на здобуття ступеня магістра</w:t>
      </w:r>
    </w:p>
    <w:p w14:paraId="5214C474" w14:textId="77777777" w:rsidR="00FB2197" w:rsidRPr="00BA1C39" w:rsidRDefault="00FB2197" w:rsidP="002A4A99">
      <w:pPr>
        <w:spacing w:after="0" w:line="240" w:lineRule="auto"/>
        <w:jc w:val="center"/>
        <w:rPr>
          <w:rFonts w:ascii="Times New Roman" w:hAnsi="Times New Roman" w:cs="Times New Roman"/>
          <w:b/>
          <w:color w:val="000000" w:themeColor="text1"/>
          <w:sz w:val="28"/>
          <w:szCs w:val="28"/>
        </w:rPr>
      </w:pPr>
      <w:r w:rsidRPr="00BA1C39">
        <w:rPr>
          <w:rFonts w:ascii="Times New Roman" w:hAnsi="Times New Roman" w:cs="Times New Roman"/>
          <w:b/>
          <w:color w:val="000000" w:themeColor="text1"/>
          <w:sz w:val="28"/>
          <w:szCs w:val="28"/>
        </w:rPr>
        <w:t>за освітньо-професійною програмою «Екологічна безпека»</w:t>
      </w:r>
    </w:p>
    <w:p w14:paraId="01C168CA" w14:textId="77777777" w:rsidR="00FB2197" w:rsidRPr="00BA1C39" w:rsidRDefault="00FB2197" w:rsidP="002A4A99">
      <w:pPr>
        <w:spacing w:after="0" w:line="240" w:lineRule="auto"/>
        <w:jc w:val="center"/>
        <w:rPr>
          <w:rFonts w:ascii="Times New Roman" w:hAnsi="Times New Roman" w:cs="Times New Roman"/>
          <w:b/>
          <w:color w:val="000000" w:themeColor="text1"/>
          <w:sz w:val="28"/>
          <w:szCs w:val="28"/>
        </w:rPr>
      </w:pPr>
      <w:r w:rsidRPr="00BA1C39">
        <w:rPr>
          <w:rFonts w:ascii="Times New Roman" w:hAnsi="Times New Roman" w:cs="Times New Roman"/>
          <w:b/>
          <w:color w:val="000000" w:themeColor="text1"/>
          <w:sz w:val="28"/>
          <w:szCs w:val="28"/>
        </w:rPr>
        <w:t>зі спеціальності 101 «Екологія»</w:t>
      </w:r>
    </w:p>
    <w:p w14:paraId="73DDCE45" w14:textId="77777777" w:rsidR="00FB2197" w:rsidRPr="00BA1C39" w:rsidRDefault="00FB2197" w:rsidP="002A4A99">
      <w:pPr>
        <w:pStyle w:val="aff9"/>
        <w:spacing w:before="0" w:beforeAutospacing="0" w:after="0" w:afterAutospacing="0"/>
        <w:jc w:val="center"/>
        <w:rPr>
          <w:b/>
          <w:color w:val="000000" w:themeColor="text1"/>
          <w:sz w:val="28"/>
          <w:szCs w:val="28"/>
        </w:rPr>
      </w:pPr>
      <w:r w:rsidRPr="00BA1C39">
        <w:rPr>
          <w:b/>
          <w:color w:val="000000" w:themeColor="text1"/>
          <w:sz w:val="28"/>
          <w:szCs w:val="28"/>
        </w:rPr>
        <w:t>на тему: «Закриття гірничого підприємства: екологічний аспект сталого завершення користування надрами»</w:t>
      </w:r>
    </w:p>
    <w:p w14:paraId="1F3F1273" w14:textId="77777777" w:rsidR="00FB2197" w:rsidRPr="00BA1C39" w:rsidRDefault="00FB2197" w:rsidP="002A4A99">
      <w:pPr>
        <w:spacing w:after="0" w:line="240" w:lineRule="auto"/>
        <w:rPr>
          <w:rFonts w:ascii="Times New Roman" w:hAnsi="Times New Roman" w:cs="Times New Roman"/>
          <w:bCs/>
          <w:color w:val="000000" w:themeColor="text1"/>
          <w:sz w:val="28"/>
          <w:szCs w:val="28"/>
        </w:rPr>
      </w:pPr>
    </w:p>
    <w:p w14:paraId="6F506C7D" w14:textId="77777777" w:rsidR="00FB2197" w:rsidRPr="00BA1C39" w:rsidRDefault="00FB2197" w:rsidP="002A4A99">
      <w:pPr>
        <w:spacing w:after="0" w:line="240" w:lineRule="auto"/>
        <w:rPr>
          <w:rFonts w:ascii="Times New Roman" w:hAnsi="Times New Roman" w:cs="Times New Roman"/>
          <w:bCs/>
          <w:color w:val="000000" w:themeColor="text1"/>
          <w:sz w:val="28"/>
          <w:szCs w:val="28"/>
        </w:rPr>
      </w:pPr>
    </w:p>
    <w:p w14:paraId="7B5ED9CA" w14:textId="77777777" w:rsidR="00FB2197" w:rsidRPr="00BA1C39" w:rsidRDefault="00FB2197" w:rsidP="002A4A99">
      <w:pPr>
        <w:spacing w:after="0" w:line="240" w:lineRule="auto"/>
        <w:rPr>
          <w:rFonts w:ascii="Times New Roman" w:hAnsi="Times New Roman" w:cs="Times New Roman"/>
          <w:bCs/>
          <w:color w:val="000000" w:themeColor="text1"/>
          <w:sz w:val="28"/>
          <w:szCs w:val="28"/>
        </w:rPr>
      </w:pPr>
    </w:p>
    <w:p w14:paraId="00D60742" w14:textId="77777777" w:rsidR="00FB2197" w:rsidRPr="00BA1C39" w:rsidRDefault="00FB2197" w:rsidP="002A4A99">
      <w:pPr>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 xml:space="preserve">Виконав (-ла): </w:t>
      </w:r>
    </w:p>
    <w:p w14:paraId="2DE11F9B" w14:textId="77777777" w:rsidR="00FB2197" w:rsidRPr="00BA1C39" w:rsidRDefault="00FB2197" w:rsidP="002A4A99">
      <w:pPr>
        <w:spacing w:after="0" w:line="240" w:lineRule="auto"/>
        <w:rPr>
          <w:rFonts w:ascii="Times New Roman" w:hAnsi="Times New Roman" w:cs="Times New Roman"/>
          <w:color w:val="000000" w:themeColor="text1"/>
          <w:sz w:val="28"/>
          <w:szCs w:val="28"/>
        </w:rPr>
      </w:pPr>
      <w:r w:rsidRPr="00BA1C39">
        <w:rPr>
          <w:rFonts w:ascii="Times New Roman" w:hAnsi="Times New Roman" w:cs="Times New Roman"/>
          <w:bCs/>
          <w:color w:val="000000" w:themeColor="text1"/>
          <w:sz w:val="28"/>
          <w:szCs w:val="28"/>
        </w:rPr>
        <w:t>студент (-ка) VІ курсу, групи ЛЕ-21мп</w:t>
      </w:r>
      <w:r w:rsidRPr="00BA1C39">
        <w:rPr>
          <w:rFonts w:ascii="Times New Roman" w:hAnsi="Times New Roman" w:cs="Times New Roman"/>
          <w:color w:val="000000" w:themeColor="text1"/>
          <w:sz w:val="28"/>
          <w:szCs w:val="28"/>
        </w:rPr>
        <w:t xml:space="preserve"> </w:t>
      </w:r>
    </w:p>
    <w:p w14:paraId="308652BB" w14:textId="77777777" w:rsidR="00FB2197" w:rsidRPr="00BA1C39" w:rsidRDefault="00FB2197" w:rsidP="002A4A99">
      <w:pPr>
        <w:tabs>
          <w:tab w:val="left" w:pos="7513"/>
        </w:tabs>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 xml:space="preserve">Ковальова Олена Валеріївна </w:t>
      </w:r>
      <w:r w:rsidRPr="00BA1C39">
        <w:rPr>
          <w:rFonts w:ascii="Times New Roman" w:hAnsi="Times New Roman" w:cs="Times New Roman"/>
          <w:bCs/>
          <w:color w:val="000000" w:themeColor="text1"/>
          <w:sz w:val="28"/>
          <w:szCs w:val="28"/>
        </w:rPr>
        <w:tab/>
        <w:t>__________</w:t>
      </w:r>
    </w:p>
    <w:p w14:paraId="2C20919C" w14:textId="77777777" w:rsidR="00FB2197" w:rsidRPr="00BA1C39" w:rsidRDefault="00FB2197" w:rsidP="002A4A99">
      <w:pPr>
        <w:tabs>
          <w:tab w:val="left" w:leader="underscore" w:pos="7371"/>
          <w:tab w:val="left" w:pos="7513"/>
          <w:tab w:val="left" w:leader="underscore" w:pos="8903"/>
        </w:tabs>
        <w:spacing w:after="0" w:line="240" w:lineRule="auto"/>
        <w:rPr>
          <w:rFonts w:ascii="Times New Roman" w:hAnsi="Times New Roman" w:cs="Times New Roman"/>
          <w:color w:val="000000" w:themeColor="text1"/>
          <w:sz w:val="28"/>
          <w:szCs w:val="28"/>
        </w:rPr>
      </w:pPr>
      <w:r w:rsidRPr="00BA1C39">
        <w:rPr>
          <w:rFonts w:ascii="Times New Roman" w:hAnsi="Times New Roman" w:cs="Times New Roman"/>
          <w:bCs/>
          <w:color w:val="000000" w:themeColor="text1"/>
          <w:sz w:val="28"/>
          <w:szCs w:val="28"/>
        </w:rPr>
        <w:t>Науковий керівник:</w:t>
      </w:r>
      <w:r w:rsidRPr="00BA1C39">
        <w:rPr>
          <w:rFonts w:ascii="Times New Roman" w:hAnsi="Times New Roman" w:cs="Times New Roman"/>
          <w:color w:val="000000" w:themeColor="text1"/>
          <w:sz w:val="28"/>
          <w:szCs w:val="28"/>
        </w:rPr>
        <w:t xml:space="preserve"> </w:t>
      </w:r>
    </w:p>
    <w:p w14:paraId="787EDC4E" w14:textId="16C323CA" w:rsidR="00FB2197" w:rsidRPr="00BA1C39" w:rsidRDefault="00EB03E7" w:rsidP="002A4A99">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До</w:t>
      </w:r>
      <w:r w:rsidR="00FB2197" w:rsidRPr="00BA1C39">
        <w:rPr>
          <w:rFonts w:ascii="Times New Roman" w:hAnsi="Times New Roman" w:cs="Times New Roman"/>
          <w:bCs/>
          <w:color w:val="000000" w:themeColor="text1"/>
          <w:sz w:val="28"/>
          <w:szCs w:val="28"/>
        </w:rPr>
        <w:t>ктор технічних наук, доцент,</w:t>
      </w:r>
    </w:p>
    <w:p w14:paraId="35D6A199" w14:textId="77777777" w:rsidR="00FB2197" w:rsidRPr="00BA1C39" w:rsidRDefault="00FB2197" w:rsidP="002A4A99">
      <w:pPr>
        <w:tabs>
          <w:tab w:val="left" w:pos="7513"/>
        </w:tabs>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Хохотва Олександр Петрович</w:t>
      </w:r>
      <w:r w:rsidRPr="00BA1C39">
        <w:rPr>
          <w:rFonts w:ascii="Times New Roman" w:hAnsi="Times New Roman" w:cs="Times New Roman"/>
          <w:bCs/>
          <w:color w:val="000000" w:themeColor="text1"/>
          <w:sz w:val="28"/>
          <w:szCs w:val="28"/>
        </w:rPr>
        <w:tab/>
        <w:t>__________</w:t>
      </w:r>
    </w:p>
    <w:p w14:paraId="06023331" w14:textId="77777777" w:rsidR="00FB2197" w:rsidRPr="00BA1C39" w:rsidRDefault="00FB2197" w:rsidP="002A4A99">
      <w:pPr>
        <w:tabs>
          <w:tab w:val="left" w:pos="1560"/>
          <w:tab w:val="left" w:pos="3119"/>
          <w:tab w:val="left" w:pos="3261"/>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Консультант з розділу Стартап проєкт smArtmining:</w:t>
      </w:r>
    </w:p>
    <w:p w14:paraId="1D7292A7" w14:textId="115CCBC1" w:rsidR="00FB2197" w:rsidRPr="00BA1C39" w:rsidRDefault="00EB03E7" w:rsidP="002A4A99">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К</w:t>
      </w:r>
      <w:r w:rsidR="00FB2197" w:rsidRPr="00BA1C39">
        <w:rPr>
          <w:rFonts w:ascii="Times New Roman" w:hAnsi="Times New Roman" w:cs="Times New Roman"/>
          <w:bCs/>
          <w:color w:val="000000" w:themeColor="text1"/>
          <w:sz w:val="28"/>
          <w:szCs w:val="28"/>
        </w:rPr>
        <w:t>андидат економічних наук, доцент,</w:t>
      </w:r>
    </w:p>
    <w:p w14:paraId="4F70DED1" w14:textId="77777777" w:rsidR="00FB2197" w:rsidRPr="00BA1C39" w:rsidRDefault="00FB2197" w:rsidP="002A4A99">
      <w:pPr>
        <w:tabs>
          <w:tab w:val="left" w:pos="7513"/>
        </w:tabs>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Юдіна Наталія Володимирівна</w:t>
      </w:r>
      <w:r w:rsidRPr="00BA1C39">
        <w:rPr>
          <w:rFonts w:ascii="Times New Roman" w:hAnsi="Times New Roman" w:cs="Times New Roman"/>
          <w:bCs/>
          <w:color w:val="000000" w:themeColor="text1"/>
          <w:sz w:val="28"/>
          <w:szCs w:val="28"/>
        </w:rPr>
        <w:tab/>
        <w:t>__________</w:t>
      </w:r>
    </w:p>
    <w:p w14:paraId="3820E313" w14:textId="77777777" w:rsidR="00FB2197" w:rsidRPr="00BA1C39" w:rsidRDefault="00FB2197" w:rsidP="002A4A99">
      <w:pPr>
        <w:tabs>
          <w:tab w:val="left" w:leader="underscore" w:pos="7371"/>
          <w:tab w:val="left" w:pos="7513"/>
          <w:tab w:val="left" w:leader="underscore" w:pos="8903"/>
        </w:tabs>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Рецензент:</w:t>
      </w:r>
    </w:p>
    <w:p w14:paraId="54C72F5F" w14:textId="77777777" w:rsidR="004E4F93" w:rsidRDefault="004E4F93" w:rsidP="002A4A99">
      <w:pPr>
        <w:tabs>
          <w:tab w:val="left" w:pos="7513"/>
        </w:tabs>
        <w:spacing w:after="0" w:line="240" w:lineRule="auto"/>
        <w:rPr>
          <w:rFonts w:ascii="Times New Roman" w:hAnsi="Times New Roman" w:cs="Times New Roman"/>
          <w:bCs/>
          <w:color w:val="000000" w:themeColor="text1"/>
          <w:sz w:val="28"/>
          <w:szCs w:val="28"/>
        </w:rPr>
      </w:pPr>
    </w:p>
    <w:p w14:paraId="793C8081" w14:textId="1E844E93" w:rsidR="00FB2197" w:rsidRPr="00BA1C39" w:rsidRDefault="00FB2197" w:rsidP="002A4A99">
      <w:pPr>
        <w:tabs>
          <w:tab w:val="left" w:pos="7513"/>
        </w:tabs>
        <w:spacing w:after="0" w:line="240" w:lineRule="auto"/>
        <w:rPr>
          <w:rFonts w:ascii="Times New Roman" w:hAnsi="Times New Roman" w:cs="Times New Roman"/>
          <w:bCs/>
          <w:color w:val="000000" w:themeColor="text1"/>
          <w:sz w:val="28"/>
          <w:szCs w:val="28"/>
        </w:rPr>
      </w:pPr>
      <w:r w:rsidRPr="00BA1C39">
        <w:rPr>
          <w:rFonts w:ascii="Times New Roman" w:hAnsi="Times New Roman" w:cs="Times New Roman"/>
          <w:bCs/>
          <w:color w:val="000000" w:themeColor="text1"/>
          <w:sz w:val="28"/>
          <w:szCs w:val="28"/>
        </w:rPr>
        <w:tab/>
        <w:t>__________</w:t>
      </w:r>
    </w:p>
    <w:p w14:paraId="211AD345" w14:textId="77777777" w:rsidR="00FB2197" w:rsidRPr="00BA1C39" w:rsidRDefault="00FB2197" w:rsidP="002A4A99">
      <w:pPr>
        <w:tabs>
          <w:tab w:val="left" w:pos="330"/>
        </w:tabs>
        <w:spacing w:after="0" w:line="240" w:lineRule="auto"/>
        <w:ind w:left="4536"/>
        <w:rPr>
          <w:rFonts w:ascii="Times New Roman" w:hAnsi="Times New Roman" w:cs="Times New Roman"/>
          <w:color w:val="000000" w:themeColor="text1"/>
          <w:sz w:val="28"/>
          <w:szCs w:val="28"/>
        </w:rPr>
      </w:pPr>
    </w:p>
    <w:p w14:paraId="1D27C207" w14:textId="77777777" w:rsidR="00FB2197" w:rsidRPr="00BA1C39" w:rsidRDefault="00FB2197" w:rsidP="002A4A99">
      <w:pPr>
        <w:tabs>
          <w:tab w:val="left" w:pos="330"/>
        </w:tabs>
        <w:spacing w:after="0" w:line="240" w:lineRule="auto"/>
        <w:ind w:left="4536"/>
        <w:rPr>
          <w:rFonts w:ascii="Times New Roman" w:hAnsi="Times New Roman" w:cs="Times New Roman"/>
          <w:color w:val="000000" w:themeColor="text1"/>
          <w:sz w:val="28"/>
          <w:szCs w:val="28"/>
        </w:rPr>
      </w:pPr>
    </w:p>
    <w:p w14:paraId="194B56B8" w14:textId="77777777" w:rsidR="00FB2197" w:rsidRPr="00BA1C39" w:rsidRDefault="00FB2197" w:rsidP="002A4A99">
      <w:pPr>
        <w:tabs>
          <w:tab w:val="left" w:pos="330"/>
        </w:tabs>
        <w:spacing w:after="0" w:line="240" w:lineRule="auto"/>
        <w:ind w:left="4536"/>
        <w:rPr>
          <w:rFonts w:ascii="Times New Roman" w:hAnsi="Times New Roman" w:cs="Times New Roman"/>
          <w:color w:val="000000" w:themeColor="text1"/>
          <w:sz w:val="28"/>
          <w:szCs w:val="28"/>
        </w:rPr>
      </w:pPr>
      <w:r w:rsidRPr="00BA1C39">
        <w:rPr>
          <w:rFonts w:ascii="Times New Roman" w:hAnsi="Times New Roman" w:cs="Times New Roman"/>
          <w:color w:val="000000" w:themeColor="text1"/>
          <w:sz w:val="28"/>
          <w:szCs w:val="28"/>
        </w:rPr>
        <w:t>Засвідчую, що у цій магістерській дисертації немає запозичень з праць інших авторів без відповідних посилань.</w:t>
      </w:r>
    </w:p>
    <w:p w14:paraId="7A4A91F4" w14:textId="26DDB91A" w:rsidR="00FB2197" w:rsidRPr="00BA1C39" w:rsidRDefault="00FB2197" w:rsidP="002A4A99">
      <w:pPr>
        <w:tabs>
          <w:tab w:val="left" w:pos="330"/>
        </w:tabs>
        <w:spacing w:after="0" w:line="240" w:lineRule="auto"/>
        <w:ind w:left="4536"/>
        <w:rPr>
          <w:rFonts w:ascii="Times New Roman" w:hAnsi="Times New Roman" w:cs="Times New Roman"/>
          <w:color w:val="000000" w:themeColor="text1"/>
          <w:sz w:val="28"/>
          <w:szCs w:val="28"/>
        </w:rPr>
      </w:pPr>
      <w:r w:rsidRPr="00BA1C39">
        <w:rPr>
          <w:rFonts w:ascii="Times New Roman" w:hAnsi="Times New Roman" w:cs="Times New Roman"/>
          <w:color w:val="000000" w:themeColor="text1"/>
          <w:sz w:val="28"/>
          <w:szCs w:val="28"/>
        </w:rPr>
        <w:t>Студентка _____________</w:t>
      </w:r>
    </w:p>
    <w:p w14:paraId="3236813E" w14:textId="77777777" w:rsidR="00DD6F57" w:rsidRDefault="00DD6F57" w:rsidP="002A4A99">
      <w:pPr>
        <w:spacing w:after="0" w:line="240" w:lineRule="auto"/>
        <w:rPr>
          <w:rFonts w:ascii="Times New Roman" w:hAnsi="Times New Roman" w:cs="Times New Roman"/>
          <w:color w:val="000000" w:themeColor="text1"/>
          <w:sz w:val="28"/>
          <w:szCs w:val="28"/>
        </w:rPr>
      </w:pPr>
    </w:p>
    <w:p w14:paraId="77097036" w14:textId="77777777" w:rsidR="00571559" w:rsidRDefault="00571559" w:rsidP="002A4A99">
      <w:pPr>
        <w:spacing w:after="0" w:line="240" w:lineRule="auto"/>
        <w:rPr>
          <w:rFonts w:ascii="Times New Roman" w:hAnsi="Times New Roman" w:cs="Times New Roman"/>
          <w:color w:val="000000" w:themeColor="text1"/>
          <w:sz w:val="28"/>
          <w:szCs w:val="28"/>
        </w:rPr>
      </w:pPr>
    </w:p>
    <w:p w14:paraId="2C684409" w14:textId="77777777" w:rsidR="004E4F93" w:rsidRPr="00BA1C39" w:rsidRDefault="004E4F93" w:rsidP="002A4A99">
      <w:pPr>
        <w:spacing w:after="0" w:line="240" w:lineRule="auto"/>
        <w:rPr>
          <w:rFonts w:ascii="Times New Roman" w:hAnsi="Times New Roman" w:cs="Times New Roman"/>
          <w:color w:val="000000" w:themeColor="text1"/>
          <w:sz w:val="28"/>
          <w:szCs w:val="28"/>
        </w:rPr>
      </w:pPr>
    </w:p>
    <w:p w14:paraId="6BF56898" w14:textId="4022B5B0" w:rsidR="00A204B2" w:rsidRPr="00BA1C39" w:rsidRDefault="00FB2197" w:rsidP="00571559">
      <w:pPr>
        <w:spacing w:after="0" w:line="240" w:lineRule="auto"/>
        <w:jc w:val="center"/>
        <w:rPr>
          <w:rFonts w:ascii="Times New Roman" w:hAnsi="Times New Roman" w:cs="Times New Roman"/>
          <w:color w:val="000000" w:themeColor="text1"/>
          <w:sz w:val="28"/>
          <w:szCs w:val="28"/>
        </w:rPr>
      </w:pPr>
      <w:r w:rsidRPr="007B270A">
        <w:rPr>
          <w:rFonts w:ascii="Times New Roman" w:hAnsi="Times New Roman" w:cs="Times New Roman"/>
          <w:color w:val="000000" w:themeColor="text1"/>
          <w:sz w:val="28"/>
          <w:szCs w:val="28"/>
        </w:rPr>
        <w:t>Київ – 2023 року</w:t>
      </w:r>
      <w:r w:rsidR="00A204B2" w:rsidRPr="00BA1C39">
        <w:rPr>
          <w:rFonts w:ascii="Times New Roman" w:hAnsi="Times New Roman" w:cs="Times New Roman"/>
          <w:color w:val="000000" w:themeColor="text1"/>
          <w:sz w:val="28"/>
          <w:szCs w:val="28"/>
        </w:rPr>
        <w:br w:type="page"/>
      </w:r>
    </w:p>
    <w:p w14:paraId="62ECD320" w14:textId="77777777" w:rsidR="00DD6F57" w:rsidRPr="00DD6F57" w:rsidRDefault="00DD6F57" w:rsidP="00DD6F57">
      <w:pPr>
        <w:spacing w:after="0" w:line="360" w:lineRule="auto"/>
        <w:jc w:val="center"/>
        <w:rPr>
          <w:rFonts w:ascii="Times New Roman" w:hAnsi="Times New Roman" w:cs="Times New Roman"/>
          <w:b/>
          <w:bCs/>
          <w:sz w:val="28"/>
          <w:szCs w:val="28"/>
        </w:rPr>
      </w:pPr>
      <w:r w:rsidRPr="00DD6F57">
        <w:rPr>
          <w:rFonts w:ascii="Times New Roman" w:hAnsi="Times New Roman" w:cs="Times New Roman"/>
          <w:b/>
          <w:bCs/>
          <w:sz w:val="28"/>
          <w:szCs w:val="28"/>
        </w:rPr>
        <w:lastRenderedPageBreak/>
        <w:t>Національний технічний університет України</w:t>
      </w:r>
    </w:p>
    <w:p w14:paraId="326C5515" w14:textId="77777777" w:rsidR="00DD6F57" w:rsidRPr="00DD6F57" w:rsidRDefault="00DD6F57" w:rsidP="00DD6F57">
      <w:pPr>
        <w:spacing w:after="0" w:line="360" w:lineRule="auto"/>
        <w:jc w:val="center"/>
        <w:rPr>
          <w:rFonts w:ascii="Times New Roman" w:hAnsi="Times New Roman" w:cs="Times New Roman"/>
          <w:b/>
          <w:bCs/>
          <w:sz w:val="28"/>
          <w:szCs w:val="28"/>
        </w:rPr>
      </w:pPr>
      <w:r w:rsidRPr="00DD6F57">
        <w:rPr>
          <w:rFonts w:ascii="Times New Roman" w:hAnsi="Times New Roman" w:cs="Times New Roman"/>
          <w:b/>
          <w:bCs/>
          <w:sz w:val="28"/>
          <w:szCs w:val="28"/>
        </w:rPr>
        <w:t>«Київський політехнічний інститут імені Ігоря Сікорського»</w:t>
      </w:r>
    </w:p>
    <w:p w14:paraId="0108D409" w14:textId="77777777" w:rsidR="00DD6F57" w:rsidRPr="00DD6F57" w:rsidRDefault="00DD6F57" w:rsidP="00DD6F57">
      <w:pPr>
        <w:tabs>
          <w:tab w:val="left" w:leader="underscore" w:pos="8903"/>
          <w:tab w:val="left" w:leader="underscore" w:pos="9631"/>
        </w:tabs>
        <w:spacing w:after="0" w:line="360" w:lineRule="auto"/>
        <w:jc w:val="center"/>
        <w:rPr>
          <w:rFonts w:ascii="Times New Roman" w:hAnsi="Times New Roman" w:cs="Times New Roman"/>
          <w:b/>
          <w:sz w:val="28"/>
          <w:szCs w:val="28"/>
        </w:rPr>
      </w:pPr>
      <w:r w:rsidRPr="00DD6F57">
        <w:rPr>
          <w:rFonts w:ascii="Times New Roman" w:hAnsi="Times New Roman" w:cs="Times New Roman"/>
          <w:b/>
          <w:sz w:val="28"/>
          <w:szCs w:val="28"/>
        </w:rPr>
        <w:t>Інженерно-хімічний факультет</w:t>
      </w:r>
    </w:p>
    <w:p w14:paraId="4ABB02BC" w14:textId="77777777" w:rsidR="00DD6F57" w:rsidRPr="00DD6F57" w:rsidRDefault="00DD6F57" w:rsidP="00DD6F57">
      <w:pPr>
        <w:tabs>
          <w:tab w:val="left" w:leader="underscore" w:pos="8903"/>
          <w:tab w:val="left" w:leader="underscore" w:pos="9631"/>
        </w:tabs>
        <w:spacing w:after="0" w:line="360" w:lineRule="auto"/>
        <w:jc w:val="center"/>
        <w:rPr>
          <w:rFonts w:ascii="Times New Roman" w:hAnsi="Times New Roman" w:cs="Times New Roman"/>
          <w:b/>
          <w:sz w:val="28"/>
          <w:szCs w:val="28"/>
        </w:rPr>
      </w:pPr>
      <w:r w:rsidRPr="00DD6F57">
        <w:rPr>
          <w:rFonts w:ascii="Times New Roman" w:hAnsi="Times New Roman" w:cs="Times New Roman"/>
          <w:b/>
          <w:sz w:val="28"/>
          <w:szCs w:val="28"/>
        </w:rPr>
        <w:t>Кафедра екології та технології рослинних полімерів</w:t>
      </w:r>
    </w:p>
    <w:p w14:paraId="0364B93F" w14:textId="77777777" w:rsidR="00DD6F57" w:rsidRPr="00DD6F57" w:rsidRDefault="00DD6F57" w:rsidP="00DD6F57">
      <w:pPr>
        <w:spacing w:after="0" w:line="360" w:lineRule="auto"/>
        <w:rPr>
          <w:rFonts w:ascii="Times New Roman" w:hAnsi="Times New Roman" w:cs="Times New Roman"/>
          <w:sz w:val="28"/>
          <w:szCs w:val="28"/>
        </w:rPr>
      </w:pPr>
      <w:r w:rsidRPr="00DD6F57">
        <w:rPr>
          <w:rFonts w:ascii="Times New Roman" w:hAnsi="Times New Roman" w:cs="Times New Roman"/>
          <w:sz w:val="28"/>
          <w:szCs w:val="28"/>
        </w:rPr>
        <w:t>Рівень вищої освіти – другий (магістерський) за освітньо-професійною програмою</w:t>
      </w:r>
    </w:p>
    <w:p w14:paraId="4A2367C0" w14:textId="77777777" w:rsidR="00DD6F57" w:rsidRPr="00DD6F57" w:rsidRDefault="00DD6F57" w:rsidP="00DD6F57">
      <w:pPr>
        <w:spacing w:after="0" w:line="360" w:lineRule="auto"/>
        <w:rPr>
          <w:rFonts w:ascii="Times New Roman" w:hAnsi="Times New Roman" w:cs="Times New Roman"/>
          <w:sz w:val="28"/>
          <w:szCs w:val="28"/>
        </w:rPr>
      </w:pPr>
      <w:r w:rsidRPr="00DD6F57">
        <w:rPr>
          <w:rFonts w:ascii="Times New Roman" w:hAnsi="Times New Roman" w:cs="Times New Roman"/>
          <w:sz w:val="28"/>
          <w:szCs w:val="28"/>
        </w:rPr>
        <w:t xml:space="preserve">Спеціальність – 101 «Екологія» </w:t>
      </w:r>
    </w:p>
    <w:p w14:paraId="4B4FFDA0" w14:textId="77777777" w:rsidR="00DD6F57" w:rsidRPr="00DD6F57" w:rsidRDefault="00DD6F57" w:rsidP="00DD6F57">
      <w:pPr>
        <w:spacing w:after="0" w:line="360" w:lineRule="auto"/>
        <w:rPr>
          <w:rFonts w:ascii="Times New Roman" w:hAnsi="Times New Roman" w:cs="Times New Roman"/>
          <w:sz w:val="28"/>
          <w:szCs w:val="28"/>
        </w:rPr>
      </w:pPr>
      <w:r w:rsidRPr="00DD6F57">
        <w:rPr>
          <w:rFonts w:ascii="Times New Roman" w:hAnsi="Times New Roman" w:cs="Times New Roman"/>
          <w:sz w:val="28"/>
          <w:szCs w:val="28"/>
          <w:lang w:val="ru"/>
        </w:rPr>
        <w:t xml:space="preserve">Освітня програма - </w:t>
      </w:r>
      <w:r w:rsidRPr="00DD6F57">
        <w:rPr>
          <w:rFonts w:ascii="Times New Roman" w:hAnsi="Times New Roman" w:cs="Times New Roman"/>
          <w:sz w:val="28"/>
          <w:szCs w:val="28"/>
        </w:rPr>
        <w:t>«Екологічна безпека»</w:t>
      </w:r>
    </w:p>
    <w:p w14:paraId="56C1CAE6" w14:textId="77777777" w:rsidR="00DD6F57" w:rsidRPr="00DD6F57" w:rsidRDefault="00DD6F57" w:rsidP="00DD6F57">
      <w:pPr>
        <w:tabs>
          <w:tab w:val="left" w:leader="underscore" w:pos="8931"/>
        </w:tabs>
        <w:spacing w:after="0" w:line="360" w:lineRule="auto"/>
        <w:ind w:left="539" w:hanging="539"/>
        <w:rPr>
          <w:rFonts w:ascii="Times New Roman" w:hAnsi="Times New Roman" w:cs="Times New Roman"/>
          <w:sz w:val="28"/>
          <w:szCs w:val="28"/>
        </w:rPr>
      </w:pPr>
    </w:p>
    <w:p w14:paraId="6391C959" w14:textId="77777777" w:rsidR="00DD6F57" w:rsidRPr="00DD6F57" w:rsidRDefault="00DD6F57" w:rsidP="00DD6F57">
      <w:pPr>
        <w:spacing w:after="0" w:line="360" w:lineRule="auto"/>
        <w:ind w:left="5387"/>
        <w:rPr>
          <w:rFonts w:ascii="Times New Roman" w:hAnsi="Times New Roman" w:cs="Times New Roman"/>
          <w:bCs/>
          <w:sz w:val="28"/>
          <w:szCs w:val="28"/>
        </w:rPr>
      </w:pPr>
      <w:r w:rsidRPr="00DD6F57">
        <w:rPr>
          <w:rFonts w:ascii="Times New Roman" w:hAnsi="Times New Roman" w:cs="Times New Roman"/>
          <w:bCs/>
          <w:sz w:val="28"/>
          <w:szCs w:val="28"/>
        </w:rPr>
        <w:t>ЗАТВЕРДЖУЮ</w:t>
      </w:r>
    </w:p>
    <w:p w14:paraId="6AE63578" w14:textId="77777777" w:rsidR="00DD6F57" w:rsidRPr="00DD6F57" w:rsidRDefault="00DD6F57" w:rsidP="00DD6F57">
      <w:pPr>
        <w:spacing w:after="0" w:line="360" w:lineRule="auto"/>
        <w:ind w:left="5387"/>
        <w:rPr>
          <w:rFonts w:ascii="Times New Roman" w:hAnsi="Times New Roman" w:cs="Times New Roman"/>
          <w:bCs/>
          <w:sz w:val="28"/>
          <w:szCs w:val="28"/>
        </w:rPr>
      </w:pPr>
      <w:r w:rsidRPr="00DD6F57">
        <w:rPr>
          <w:rFonts w:ascii="Times New Roman" w:hAnsi="Times New Roman" w:cs="Times New Roman"/>
          <w:bCs/>
          <w:sz w:val="28"/>
          <w:szCs w:val="28"/>
        </w:rPr>
        <w:t>Завідувач кафедри</w:t>
      </w:r>
    </w:p>
    <w:p w14:paraId="1C9E2A24" w14:textId="77777777" w:rsidR="00DD6F57" w:rsidRPr="00DD6F57" w:rsidRDefault="00DD6F57" w:rsidP="00DD6F57">
      <w:pPr>
        <w:spacing w:after="0" w:line="360" w:lineRule="auto"/>
        <w:ind w:left="5387"/>
        <w:rPr>
          <w:rFonts w:ascii="Times New Roman" w:hAnsi="Times New Roman" w:cs="Times New Roman"/>
          <w:sz w:val="28"/>
          <w:szCs w:val="28"/>
        </w:rPr>
      </w:pPr>
      <w:r w:rsidRPr="00DD6F57">
        <w:rPr>
          <w:rFonts w:ascii="Times New Roman" w:hAnsi="Times New Roman" w:cs="Times New Roman"/>
          <w:sz w:val="28"/>
          <w:szCs w:val="28"/>
        </w:rPr>
        <w:t>__________ М. Д. Гомеля</w:t>
      </w:r>
    </w:p>
    <w:p w14:paraId="7AC37021" w14:textId="77777777" w:rsidR="00DD6F57" w:rsidRPr="00DD6F57" w:rsidRDefault="00DD6F57" w:rsidP="00DD6F57">
      <w:pPr>
        <w:spacing w:after="0" w:line="360" w:lineRule="auto"/>
        <w:ind w:left="5387"/>
        <w:rPr>
          <w:rFonts w:ascii="Times New Roman" w:hAnsi="Times New Roman" w:cs="Times New Roman"/>
          <w:sz w:val="28"/>
          <w:szCs w:val="28"/>
        </w:rPr>
      </w:pPr>
      <w:r w:rsidRPr="00DD6F57">
        <w:rPr>
          <w:rFonts w:ascii="Times New Roman" w:hAnsi="Times New Roman" w:cs="Times New Roman"/>
          <w:sz w:val="28"/>
          <w:szCs w:val="28"/>
        </w:rPr>
        <w:t>«___»_____________20__ р.</w:t>
      </w:r>
    </w:p>
    <w:p w14:paraId="36B1A603" w14:textId="77777777" w:rsidR="00DD6F57" w:rsidRPr="00DD6F57" w:rsidRDefault="00DD6F57" w:rsidP="00DD6F57">
      <w:pPr>
        <w:spacing w:after="0" w:line="360" w:lineRule="auto"/>
        <w:jc w:val="center"/>
        <w:rPr>
          <w:rFonts w:ascii="Times New Roman" w:hAnsi="Times New Roman" w:cs="Times New Roman"/>
          <w:b/>
          <w:bCs/>
          <w:sz w:val="28"/>
          <w:szCs w:val="28"/>
        </w:rPr>
      </w:pPr>
    </w:p>
    <w:p w14:paraId="583A9D07" w14:textId="77777777" w:rsidR="00DD6F57" w:rsidRPr="00DD6F57" w:rsidRDefault="00DD6F57" w:rsidP="00DD6F57">
      <w:pPr>
        <w:tabs>
          <w:tab w:val="left" w:pos="720"/>
          <w:tab w:val="left" w:pos="1440"/>
          <w:tab w:val="left" w:pos="1620"/>
        </w:tabs>
        <w:spacing w:after="0" w:line="360" w:lineRule="auto"/>
        <w:ind w:left="540" w:hanging="540"/>
        <w:jc w:val="center"/>
        <w:rPr>
          <w:rFonts w:ascii="Times New Roman" w:hAnsi="Times New Roman" w:cs="Times New Roman"/>
          <w:b/>
          <w:bCs/>
          <w:sz w:val="28"/>
          <w:szCs w:val="28"/>
        </w:rPr>
      </w:pPr>
      <w:r w:rsidRPr="00DD6F57">
        <w:rPr>
          <w:rFonts w:ascii="Times New Roman" w:hAnsi="Times New Roman" w:cs="Times New Roman"/>
          <w:b/>
          <w:bCs/>
          <w:sz w:val="28"/>
          <w:szCs w:val="28"/>
        </w:rPr>
        <w:t>ЗАВДАННЯ</w:t>
      </w:r>
    </w:p>
    <w:p w14:paraId="5BA6EA83" w14:textId="77777777" w:rsidR="00DD6F57" w:rsidRPr="00DD6F57" w:rsidRDefault="00DD6F57" w:rsidP="00FE4B5A">
      <w:pPr>
        <w:tabs>
          <w:tab w:val="left" w:pos="720"/>
          <w:tab w:val="left" w:pos="1440"/>
          <w:tab w:val="left" w:pos="1620"/>
        </w:tabs>
        <w:spacing w:after="0" w:line="360" w:lineRule="auto"/>
        <w:ind w:left="539" w:hanging="539"/>
        <w:jc w:val="center"/>
        <w:rPr>
          <w:rFonts w:ascii="Times New Roman" w:hAnsi="Times New Roman" w:cs="Times New Roman"/>
          <w:b/>
          <w:bCs/>
          <w:sz w:val="28"/>
          <w:szCs w:val="28"/>
        </w:rPr>
      </w:pPr>
      <w:r w:rsidRPr="00DD6F57">
        <w:rPr>
          <w:rFonts w:ascii="Times New Roman" w:hAnsi="Times New Roman" w:cs="Times New Roman"/>
          <w:b/>
          <w:bCs/>
          <w:sz w:val="28"/>
          <w:szCs w:val="28"/>
        </w:rPr>
        <w:t>на магістерську дисертацію студенту</w:t>
      </w:r>
    </w:p>
    <w:p w14:paraId="2D7F7CAE" w14:textId="1D88615C" w:rsidR="00DD6F57" w:rsidRPr="00DD6F57" w:rsidRDefault="00535A47" w:rsidP="00FE4B5A">
      <w:pPr>
        <w:tabs>
          <w:tab w:val="left" w:pos="720"/>
          <w:tab w:val="left" w:pos="1440"/>
          <w:tab w:val="left" w:pos="1620"/>
        </w:tabs>
        <w:spacing w:after="0" w:line="360" w:lineRule="auto"/>
        <w:ind w:left="539" w:hanging="539"/>
        <w:jc w:val="center"/>
        <w:rPr>
          <w:rFonts w:ascii="Times New Roman" w:hAnsi="Times New Roman" w:cs="Times New Roman"/>
          <w:b/>
          <w:bCs/>
          <w:sz w:val="28"/>
          <w:szCs w:val="28"/>
        </w:rPr>
      </w:pPr>
      <w:r>
        <w:rPr>
          <w:rFonts w:ascii="Times New Roman" w:hAnsi="Times New Roman" w:cs="Times New Roman"/>
          <w:b/>
          <w:bCs/>
          <w:sz w:val="28"/>
          <w:szCs w:val="28"/>
        </w:rPr>
        <w:t>Ковальовій Олені Валеріївні</w:t>
      </w:r>
    </w:p>
    <w:p w14:paraId="0EDEF7EE" w14:textId="30AA009F" w:rsidR="00DD6F57" w:rsidRPr="00DD6F57" w:rsidRDefault="00DD6F57" w:rsidP="00FE4B5A">
      <w:pPr>
        <w:tabs>
          <w:tab w:val="left" w:leader="underscore" w:pos="7371"/>
          <w:tab w:val="left" w:pos="7513"/>
          <w:tab w:val="left" w:leader="underscore" w:pos="8903"/>
        </w:tabs>
        <w:spacing w:after="0" w:line="360" w:lineRule="auto"/>
        <w:jc w:val="both"/>
        <w:rPr>
          <w:rFonts w:ascii="Times New Roman" w:hAnsi="Times New Roman" w:cs="Times New Roman"/>
          <w:sz w:val="28"/>
          <w:szCs w:val="28"/>
        </w:rPr>
      </w:pPr>
      <w:r w:rsidRPr="00DD6F57">
        <w:rPr>
          <w:rFonts w:ascii="Times New Roman" w:hAnsi="Times New Roman" w:cs="Times New Roman"/>
          <w:sz w:val="28"/>
          <w:szCs w:val="28"/>
        </w:rPr>
        <w:t>1. Тема дисертації «</w:t>
      </w:r>
      <w:r w:rsidR="00535A47" w:rsidRPr="00535A47">
        <w:rPr>
          <w:rFonts w:ascii="Times New Roman" w:hAnsi="Times New Roman" w:cs="Times New Roman"/>
          <w:sz w:val="28"/>
          <w:szCs w:val="28"/>
        </w:rPr>
        <w:t>Закриття гірничого підприємства: екологічний аспект сталого завершення користування надрами</w:t>
      </w:r>
      <w:r w:rsidRPr="00535A47">
        <w:rPr>
          <w:rFonts w:ascii="Times New Roman" w:hAnsi="Times New Roman" w:cs="Times New Roman"/>
          <w:sz w:val="28"/>
          <w:szCs w:val="28"/>
        </w:rPr>
        <w:t>»,</w:t>
      </w:r>
      <w:r w:rsidRPr="00DD6F57">
        <w:rPr>
          <w:rFonts w:ascii="Times New Roman" w:hAnsi="Times New Roman" w:cs="Times New Roman"/>
          <w:sz w:val="28"/>
          <w:szCs w:val="28"/>
        </w:rPr>
        <w:t xml:space="preserve"> науковий керівник дисертації </w:t>
      </w:r>
      <w:r w:rsidR="00FE4B5A" w:rsidRPr="00BA1C39">
        <w:rPr>
          <w:rFonts w:ascii="Times New Roman" w:hAnsi="Times New Roman" w:cs="Times New Roman"/>
          <w:bCs/>
          <w:color w:val="000000" w:themeColor="text1"/>
          <w:sz w:val="28"/>
          <w:szCs w:val="28"/>
        </w:rPr>
        <w:t>Хохотва Олександр Петрович</w:t>
      </w:r>
      <w:r w:rsidR="00FE4B5A">
        <w:rPr>
          <w:rFonts w:ascii="Times New Roman" w:hAnsi="Times New Roman" w:cs="Times New Roman"/>
          <w:bCs/>
          <w:color w:val="000000" w:themeColor="text1"/>
          <w:sz w:val="28"/>
          <w:szCs w:val="28"/>
        </w:rPr>
        <w:t>, до</w:t>
      </w:r>
      <w:r w:rsidR="00FE4B5A" w:rsidRPr="00BA1C39">
        <w:rPr>
          <w:rFonts w:ascii="Times New Roman" w:hAnsi="Times New Roman" w:cs="Times New Roman"/>
          <w:bCs/>
          <w:color w:val="000000" w:themeColor="text1"/>
          <w:sz w:val="28"/>
          <w:szCs w:val="28"/>
        </w:rPr>
        <w:t>ктор технічних наук, доцент,</w:t>
      </w:r>
      <w:r w:rsidR="00FE4B5A">
        <w:rPr>
          <w:rFonts w:ascii="Times New Roman" w:hAnsi="Times New Roman" w:cs="Times New Roman"/>
          <w:bCs/>
          <w:color w:val="000000" w:themeColor="text1"/>
          <w:sz w:val="28"/>
          <w:szCs w:val="28"/>
        </w:rPr>
        <w:t xml:space="preserve"> </w:t>
      </w:r>
      <w:r w:rsidRPr="00DD6F57">
        <w:rPr>
          <w:rFonts w:ascii="Times New Roman" w:hAnsi="Times New Roman" w:cs="Times New Roman"/>
          <w:sz w:val="28"/>
          <w:szCs w:val="28"/>
        </w:rPr>
        <w:t>затверджен</w:t>
      </w:r>
      <w:r w:rsidR="005D7D8A">
        <w:rPr>
          <w:rFonts w:ascii="Times New Roman" w:hAnsi="Times New Roman" w:cs="Times New Roman"/>
          <w:sz w:val="28"/>
          <w:szCs w:val="28"/>
        </w:rPr>
        <w:t>ий</w:t>
      </w:r>
      <w:r w:rsidRPr="00DD6F57">
        <w:rPr>
          <w:rFonts w:ascii="Times New Roman" w:hAnsi="Times New Roman" w:cs="Times New Roman"/>
          <w:sz w:val="28"/>
          <w:szCs w:val="28"/>
        </w:rPr>
        <w:t xml:space="preserve"> наказом по університету від «___»_________ 20__ р. №_____</w:t>
      </w:r>
    </w:p>
    <w:p w14:paraId="1ADA1B56" w14:textId="22D1B1A6" w:rsidR="00DD6F57" w:rsidRPr="00DD6F57" w:rsidRDefault="00DD6F57" w:rsidP="00FE4B5A">
      <w:pPr>
        <w:tabs>
          <w:tab w:val="left" w:leader="underscore" w:pos="9356"/>
        </w:tabs>
        <w:spacing w:after="0" w:line="360" w:lineRule="auto"/>
        <w:jc w:val="both"/>
        <w:rPr>
          <w:rFonts w:ascii="Times New Roman" w:hAnsi="Times New Roman" w:cs="Times New Roman"/>
          <w:sz w:val="28"/>
          <w:szCs w:val="28"/>
        </w:rPr>
      </w:pPr>
      <w:r w:rsidRPr="00DD6F57">
        <w:rPr>
          <w:rFonts w:ascii="Times New Roman" w:hAnsi="Times New Roman" w:cs="Times New Roman"/>
          <w:sz w:val="28"/>
          <w:szCs w:val="28"/>
        </w:rPr>
        <w:t xml:space="preserve">2. Термін подання студентом дисертації </w:t>
      </w:r>
      <w:r w:rsidRPr="00DD6F57">
        <w:rPr>
          <w:rFonts w:ascii="Times New Roman" w:hAnsi="Times New Roman" w:cs="Times New Roman"/>
          <w:sz w:val="28"/>
          <w:szCs w:val="28"/>
          <w:u w:val="single"/>
        </w:rPr>
        <w:t>1</w:t>
      </w:r>
      <w:r w:rsidR="005D7D8A">
        <w:rPr>
          <w:rFonts w:ascii="Times New Roman" w:hAnsi="Times New Roman" w:cs="Times New Roman"/>
          <w:sz w:val="28"/>
          <w:szCs w:val="28"/>
          <w:u w:val="single"/>
        </w:rPr>
        <w:t>8</w:t>
      </w:r>
      <w:r w:rsidRPr="00DD6F57">
        <w:rPr>
          <w:rFonts w:ascii="Times New Roman" w:hAnsi="Times New Roman" w:cs="Times New Roman"/>
          <w:sz w:val="28"/>
          <w:szCs w:val="28"/>
          <w:u w:val="single"/>
        </w:rPr>
        <w:t>.</w:t>
      </w:r>
      <w:r w:rsidR="005D7D8A">
        <w:rPr>
          <w:rFonts w:ascii="Times New Roman" w:hAnsi="Times New Roman" w:cs="Times New Roman"/>
          <w:sz w:val="28"/>
          <w:szCs w:val="28"/>
          <w:u w:val="single"/>
        </w:rPr>
        <w:t>0</w:t>
      </w:r>
      <w:r w:rsidRPr="00DD6F57">
        <w:rPr>
          <w:rFonts w:ascii="Times New Roman" w:hAnsi="Times New Roman" w:cs="Times New Roman"/>
          <w:sz w:val="28"/>
          <w:szCs w:val="28"/>
          <w:u w:val="single"/>
        </w:rPr>
        <w:t>1.20</w:t>
      </w:r>
      <w:r w:rsidR="005D7D8A">
        <w:rPr>
          <w:rFonts w:ascii="Times New Roman" w:hAnsi="Times New Roman" w:cs="Times New Roman"/>
          <w:sz w:val="28"/>
          <w:szCs w:val="28"/>
          <w:u w:val="single"/>
        </w:rPr>
        <w:t>24</w:t>
      </w:r>
      <w:r w:rsidRPr="00DD6F57">
        <w:rPr>
          <w:rFonts w:ascii="Times New Roman" w:hAnsi="Times New Roman" w:cs="Times New Roman"/>
          <w:sz w:val="28"/>
          <w:szCs w:val="28"/>
          <w:u w:val="single"/>
        </w:rPr>
        <w:t xml:space="preserve"> р.</w:t>
      </w:r>
    </w:p>
    <w:p w14:paraId="3C577CB9" w14:textId="226A8EF5" w:rsidR="00DD6F57" w:rsidRPr="00DD6F57" w:rsidRDefault="00DD6F57" w:rsidP="00DD6F57">
      <w:pPr>
        <w:tabs>
          <w:tab w:val="left" w:leader="underscore" w:pos="9356"/>
        </w:tabs>
        <w:spacing w:after="0" w:line="360" w:lineRule="auto"/>
        <w:jc w:val="both"/>
        <w:rPr>
          <w:rFonts w:ascii="Times New Roman" w:hAnsi="Times New Roman" w:cs="Times New Roman"/>
          <w:sz w:val="28"/>
          <w:szCs w:val="28"/>
        </w:rPr>
      </w:pPr>
      <w:r w:rsidRPr="00DD6F57">
        <w:rPr>
          <w:rFonts w:ascii="Times New Roman" w:hAnsi="Times New Roman" w:cs="Times New Roman"/>
          <w:sz w:val="28"/>
          <w:szCs w:val="28"/>
        </w:rPr>
        <w:t xml:space="preserve">3. </w:t>
      </w:r>
      <w:r w:rsidRPr="00DD6F57">
        <w:rPr>
          <w:rFonts w:ascii="Times New Roman" w:hAnsi="Times New Roman" w:cs="Times New Roman"/>
          <w:bCs/>
          <w:sz w:val="28"/>
          <w:szCs w:val="28"/>
        </w:rPr>
        <w:t>Об’єкт дослідження</w:t>
      </w:r>
      <w:r w:rsidRPr="00DD6F57">
        <w:rPr>
          <w:rFonts w:ascii="Times New Roman" w:hAnsi="Times New Roman" w:cs="Times New Roman"/>
          <w:sz w:val="28"/>
          <w:szCs w:val="28"/>
        </w:rPr>
        <w:t xml:space="preserve">: </w:t>
      </w:r>
      <w:r w:rsidR="001A36BE" w:rsidRPr="00D6276F">
        <w:rPr>
          <w:rFonts w:ascii="Times New Roman" w:eastAsia="Times New Roman" w:hAnsi="Times New Roman" w:cs="Times New Roman"/>
          <w:sz w:val="28"/>
          <w:szCs w:val="28"/>
        </w:rPr>
        <w:t>застосування принципів сталого розвитку у видобувній галузі</w:t>
      </w:r>
      <w:r w:rsidRPr="00DD6F57">
        <w:rPr>
          <w:rFonts w:ascii="Times New Roman" w:hAnsi="Times New Roman" w:cs="Times New Roman"/>
          <w:sz w:val="28"/>
          <w:szCs w:val="28"/>
        </w:rPr>
        <w:t>.</w:t>
      </w:r>
    </w:p>
    <w:p w14:paraId="03588DD1" w14:textId="6A50E8FD" w:rsidR="00DD6F57" w:rsidRPr="00DD6F57" w:rsidRDefault="00DD6F57" w:rsidP="00DD6F57">
      <w:pPr>
        <w:tabs>
          <w:tab w:val="left" w:leader="underscore" w:pos="9356"/>
        </w:tabs>
        <w:spacing w:after="0" w:line="360" w:lineRule="auto"/>
        <w:jc w:val="both"/>
        <w:rPr>
          <w:rFonts w:ascii="Times New Roman" w:hAnsi="Times New Roman" w:cs="Times New Roman"/>
          <w:sz w:val="28"/>
          <w:szCs w:val="28"/>
        </w:rPr>
      </w:pPr>
      <w:r w:rsidRPr="00DD6F57">
        <w:rPr>
          <w:rFonts w:ascii="Times New Roman" w:hAnsi="Times New Roman" w:cs="Times New Roman"/>
          <w:sz w:val="28"/>
          <w:szCs w:val="28"/>
        </w:rPr>
        <w:t xml:space="preserve">4. Предмет </w:t>
      </w:r>
      <w:r w:rsidRPr="00DD6F57">
        <w:rPr>
          <w:rFonts w:ascii="Times New Roman" w:hAnsi="Times New Roman" w:cs="Times New Roman"/>
          <w:bCs/>
          <w:sz w:val="28"/>
          <w:szCs w:val="28"/>
        </w:rPr>
        <w:t>дослідження</w:t>
      </w:r>
      <w:r w:rsidRPr="00DD6F57">
        <w:rPr>
          <w:rFonts w:ascii="Times New Roman" w:hAnsi="Times New Roman" w:cs="Times New Roman"/>
          <w:sz w:val="28"/>
          <w:szCs w:val="28"/>
        </w:rPr>
        <w:t xml:space="preserve">: </w:t>
      </w:r>
      <w:r w:rsidR="001A36BE" w:rsidRPr="00237654">
        <w:rPr>
          <w:rFonts w:ascii="Times New Roman" w:eastAsia="Times New Roman" w:hAnsi="Times New Roman" w:cs="Times New Roman"/>
          <w:sz w:val="28"/>
          <w:szCs w:val="28"/>
        </w:rPr>
        <w:t>екологічні аспекти закриття кар’єрів та їх врахування в управлінні видобутком протягом всього життєвого циклу родовища</w:t>
      </w:r>
      <w:r w:rsidRPr="00DD6F57">
        <w:rPr>
          <w:rFonts w:ascii="Times New Roman" w:hAnsi="Times New Roman" w:cs="Times New Roman"/>
          <w:sz w:val="28"/>
          <w:szCs w:val="28"/>
        </w:rPr>
        <w:t xml:space="preserve">. </w:t>
      </w:r>
    </w:p>
    <w:p w14:paraId="77453EC6" w14:textId="28EA4D1D" w:rsidR="00DD6F57" w:rsidRPr="00DD6F57" w:rsidRDefault="00DD6F57" w:rsidP="00DD6F57">
      <w:pPr>
        <w:tabs>
          <w:tab w:val="left" w:leader="underscore" w:pos="9356"/>
        </w:tabs>
        <w:spacing w:after="0" w:line="360" w:lineRule="auto"/>
        <w:jc w:val="both"/>
        <w:rPr>
          <w:rFonts w:ascii="Times New Roman" w:hAnsi="Times New Roman" w:cs="Times New Roman"/>
          <w:sz w:val="28"/>
          <w:szCs w:val="28"/>
        </w:rPr>
      </w:pPr>
      <w:r w:rsidRPr="00DD6F57">
        <w:rPr>
          <w:rFonts w:ascii="Times New Roman" w:hAnsi="Times New Roman" w:cs="Times New Roman"/>
          <w:sz w:val="28"/>
          <w:szCs w:val="28"/>
        </w:rPr>
        <w:t xml:space="preserve">5. Перелік завдань, які потрібно розробити: </w:t>
      </w:r>
      <w:r w:rsidR="00F83F69">
        <w:rPr>
          <w:rFonts w:ascii="Times New Roman" w:hAnsi="Times New Roman" w:cs="Times New Roman"/>
          <w:sz w:val="28"/>
          <w:szCs w:val="28"/>
        </w:rPr>
        <w:t xml:space="preserve">дослідити </w:t>
      </w:r>
      <w:r w:rsidR="00F83F69">
        <w:rPr>
          <w:rFonts w:ascii="Times New Roman" w:eastAsia="Times New Roman" w:hAnsi="Times New Roman" w:cs="Times New Roman"/>
          <w:sz w:val="28"/>
          <w:szCs w:val="28"/>
        </w:rPr>
        <w:t>принципи та ідеї сталого розвитку у видобувної діяльності в цілому та при закритті видобувної діяльності</w:t>
      </w:r>
      <w:r w:rsidRPr="00DD6F57">
        <w:rPr>
          <w:rFonts w:ascii="Times New Roman" w:hAnsi="Times New Roman" w:cs="Times New Roman"/>
          <w:sz w:val="28"/>
          <w:szCs w:val="28"/>
        </w:rPr>
        <w:t xml:space="preserve">; </w:t>
      </w:r>
      <w:r w:rsidR="00F83F69">
        <w:rPr>
          <w:rFonts w:ascii="Times New Roman" w:eastAsia="Times New Roman" w:hAnsi="Times New Roman" w:cs="Times New Roman"/>
          <w:sz w:val="28"/>
          <w:szCs w:val="28"/>
        </w:rPr>
        <w:t>проаналізувати сучасні практики та підходи до підготовки закриття кар’єрів</w:t>
      </w:r>
      <w:r w:rsidRPr="00DD6F57">
        <w:rPr>
          <w:rFonts w:ascii="Times New Roman" w:hAnsi="Times New Roman" w:cs="Times New Roman"/>
          <w:sz w:val="28"/>
          <w:szCs w:val="28"/>
        </w:rPr>
        <w:t xml:space="preserve">; </w:t>
      </w:r>
      <w:r w:rsidR="00623EED">
        <w:rPr>
          <w:rFonts w:ascii="Times New Roman" w:eastAsia="Times New Roman" w:hAnsi="Times New Roman" w:cs="Times New Roman"/>
          <w:sz w:val="28"/>
          <w:szCs w:val="28"/>
        </w:rPr>
        <w:t xml:space="preserve">дослідити екологічні аспекти при завершенні видобутку родовища та підготовки території до збалансованого існування в напрямках стійкості та адаптації до змін </w:t>
      </w:r>
      <w:r w:rsidR="00623EED">
        <w:rPr>
          <w:rFonts w:ascii="Times New Roman" w:eastAsia="Times New Roman" w:hAnsi="Times New Roman" w:cs="Times New Roman"/>
          <w:sz w:val="28"/>
          <w:szCs w:val="28"/>
        </w:rPr>
        <w:lastRenderedPageBreak/>
        <w:t>клімату, формуванні ландшафту, поводження з відходами, управлінні водним середовищем, відновленням біорізноманіття та покращання якості атмосферного повітря</w:t>
      </w:r>
      <w:r w:rsidRPr="00DD6F57">
        <w:rPr>
          <w:rFonts w:ascii="Times New Roman" w:hAnsi="Times New Roman" w:cs="Times New Roman"/>
          <w:sz w:val="28"/>
          <w:szCs w:val="28"/>
        </w:rPr>
        <w:t>.</w:t>
      </w:r>
    </w:p>
    <w:p w14:paraId="36862672" w14:textId="77777777" w:rsidR="00DD6F57" w:rsidRPr="00DD6F57" w:rsidRDefault="00DD6F57" w:rsidP="00DD6F57">
      <w:pPr>
        <w:tabs>
          <w:tab w:val="left" w:leader="underscore" w:pos="9356"/>
        </w:tabs>
        <w:spacing w:after="0" w:line="360" w:lineRule="auto"/>
        <w:jc w:val="both"/>
        <w:rPr>
          <w:rFonts w:ascii="Times New Roman" w:hAnsi="Times New Roman" w:cs="Times New Roman"/>
          <w:sz w:val="28"/>
          <w:szCs w:val="28"/>
        </w:rPr>
      </w:pPr>
    </w:p>
    <w:p w14:paraId="16AD5C80" w14:textId="45163DC1" w:rsidR="00DD6F57" w:rsidRPr="003C7A49" w:rsidRDefault="00851595" w:rsidP="00DD6F57">
      <w:pPr>
        <w:tabs>
          <w:tab w:val="left" w:leader="underscore" w:pos="9356"/>
        </w:tabs>
        <w:spacing w:after="0" w:line="360" w:lineRule="auto"/>
        <w:jc w:val="both"/>
        <w:rPr>
          <w:rFonts w:ascii="Times New Roman" w:eastAsia="Times New Roman" w:hAnsi="Times New Roman" w:cs="Times New Roman"/>
          <w:sz w:val="28"/>
          <w:szCs w:val="28"/>
        </w:rPr>
      </w:pPr>
      <w:r w:rsidRPr="003C7A49">
        <w:rPr>
          <w:rFonts w:ascii="Times New Roman" w:eastAsia="Times New Roman" w:hAnsi="Times New Roman" w:cs="Times New Roman"/>
          <w:sz w:val="28"/>
          <w:szCs w:val="28"/>
        </w:rPr>
        <w:t>6</w:t>
      </w:r>
      <w:r w:rsidR="00DD6F57" w:rsidRPr="003C7A49">
        <w:rPr>
          <w:rFonts w:ascii="Times New Roman" w:eastAsia="Times New Roman" w:hAnsi="Times New Roman" w:cs="Times New Roman"/>
          <w:sz w:val="28"/>
          <w:szCs w:val="28"/>
        </w:rPr>
        <w:t>. Орієнтовний перелік публікацій:</w:t>
      </w:r>
    </w:p>
    <w:p w14:paraId="13C25087" w14:textId="1F4BF4B5" w:rsidR="00DD6F57" w:rsidRPr="005D747E" w:rsidRDefault="00855DC7" w:rsidP="00DD6F57">
      <w:pPr>
        <w:tabs>
          <w:tab w:val="left" w:leader="underscore" w:pos="9356"/>
        </w:tabs>
        <w:spacing w:after="0" w:line="360" w:lineRule="auto"/>
        <w:jc w:val="both"/>
        <w:rPr>
          <w:rFonts w:ascii="Times New Roman" w:eastAsia="Times New Roman" w:hAnsi="Times New Roman" w:cs="Times New Roman"/>
          <w:sz w:val="28"/>
          <w:szCs w:val="28"/>
        </w:rPr>
      </w:pPr>
      <w:r w:rsidRPr="003C7A49">
        <w:rPr>
          <w:rFonts w:ascii="Times New Roman" w:eastAsia="Times New Roman" w:hAnsi="Times New Roman" w:cs="Times New Roman"/>
          <w:sz w:val="28"/>
          <w:szCs w:val="28"/>
        </w:rPr>
        <w:t xml:space="preserve">Екологічні аспекти припинення діяльності кар’єрів/ О.П. Хохотва, О.В. Ковальова // Матеріали </w:t>
      </w:r>
      <w:r w:rsidR="00BC6F38" w:rsidRPr="003C7A49">
        <w:rPr>
          <w:rFonts w:ascii="Times New Roman" w:eastAsia="Times New Roman" w:hAnsi="Times New Roman" w:cs="Times New Roman"/>
          <w:sz w:val="28"/>
          <w:szCs w:val="28"/>
        </w:rPr>
        <w:t xml:space="preserve">ХХІІІ Міжнародної науково-практичної конференції «Екологія. Людина. Суспільство» </w:t>
      </w:r>
      <w:r w:rsidRPr="003C7A49">
        <w:rPr>
          <w:rFonts w:ascii="Times New Roman" w:eastAsia="Times New Roman" w:hAnsi="Times New Roman" w:cs="Times New Roman"/>
          <w:sz w:val="28"/>
          <w:szCs w:val="28"/>
        </w:rPr>
        <w:t xml:space="preserve">(м. Київ, </w:t>
      </w:r>
      <w:r w:rsidR="005D747E" w:rsidRPr="003C7A49">
        <w:rPr>
          <w:rFonts w:ascii="Times New Roman" w:eastAsia="Times New Roman" w:hAnsi="Times New Roman" w:cs="Times New Roman"/>
          <w:sz w:val="28"/>
          <w:szCs w:val="28"/>
        </w:rPr>
        <w:t>30</w:t>
      </w:r>
      <w:r w:rsidRPr="003C7A49">
        <w:rPr>
          <w:rFonts w:ascii="Times New Roman" w:eastAsia="Times New Roman" w:hAnsi="Times New Roman" w:cs="Times New Roman"/>
          <w:sz w:val="28"/>
          <w:szCs w:val="28"/>
        </w:rPr>
        <w:t xml:space="preserve"> </w:t>
      </w:r>
      <w:r w:rsidR="005D747E" w:rsidRPr="003C7A49">
        <w:rPr>
          <w:rFonts w:ascii="Times New Roman" w:eastAsia="Times New Roman" w:hAnsi="Times New Roman" w:cs="Times New Roman"/>
          <w:sz w:val="28"/>
          <w:szCs w:val="28"/>
        </w:rPr>
        <w:t>листопада 2023</w:t>
      </w:r>
      <w:r w:rsidRPr="003C7A49">
        <w:rPr>
          <w:rFonts w:ascii="Times New Roman" w:eastAsia="Times New Roman" w:hAnsi="Times New Roman" w:cs="Times New Roman"/>
          <w:sz w:val="28"/>
          <w:szCs w:val="28"/>
        </w:rPr>
        <w:t>9 р.) / Укладач Д.Е. Бенатов. – К.: НТУУ «КПІ ім. Ігор</w:t>
      </w:r>
      <w:r w:rsidR="005D747E" w:rsidRPr="003C7A49">
        <w:rPr>
          <w:rFonts w:ascii="Times New Roman" w:eastAsia="Times New Roman" w:hAnsi="Times New Roman" w:cs="Times New Roman"/>
          <w:sz w:val="28"/>
          <w:szCs w:val="28"/>
        </w:rPr>
        <w:t>я Сікорського», 2019.</w:t>
      </w:r>
    </w:p>
    <w:p w14:paraId="01D56873" w14:textId="57EFE5C3" w:rsidR="00DD6F57" w:rsidRPr="00DD6F57" w:rsidRDefault="00851595" w:rsidP="00DD6F57">
      <w:pPr>
        <w:tabs>
          <w:tab w:val="left" w:pos="1440"/>
          <w:tab w:val="left" w:pos="1620"/>
          <w:tab w:val="left" w:pos="9356"/>
        </w:tabs>
        <w:spacing w:after="0" w:line="360" w:lineRule="auto"/>
        <w:ind w:right="-31"/>
        <w:rPr>
          <w:rFonts w:ascii="Times New Roman" w:hAnsi="Times New Roman" w:cs="Times New Roman"/>
          <w:sz w:val="28"/>
          <w:szCs w:val="28"/>
          <w:u w:val="single"/>
        </w:rPr>
      </w:pPr>
      <w:r>
        <w:rPr>
          <w:rFonts w:ascii="Times New Roman" w:hAnsi="Times New Roman" w:cs="Times New Roman"/>
          <w:sz w:val="28"/>
          <w:szCs w:val="28"/>
        </w:rPr>
        <w:t>7</w:t>
      </w:r>
      <w:r w:rsidR="00DD6F57" w:rsidRPr="00DD6F57">
        <w:rPr>
          <w:rFonts w:ascii="Times New Roman" w:hAnsi="Times New Roman" w:cs="Times New Roman"/>
          <w:sz w:val="28"/>
          <w:szCs w:val="28"/>
        </w:rPr>
        <w:t xml:space="preserve">. </w:t>
      </w:r>
      <w:r w:rsidR="00DD6F57" w:rsidRPr="00DD6F57">
        <w:rPr>
          <w:rFonts w:ascii="Times New Roman" w:hAnsi="Times New Roman" w:cs="Times New Roman"/>
          <w:bCs/>
          <w:sz w:val="28"/>
          <w:szCs w:val="28"/>
        </w:rPr>
        <w:t>Дата видачі завдання</w:t>
      </w:r>
      <w:r w:rsidR="00DD6F57" w:rsidRPr="00DD6F57">
        <w:rPr>
          <w:rFonts w:ascii="Times New Roman" w:hAnsi="Times New Roman" w:cs="Times New Roman"/>
          <w:sz w:val="28"/>
          <w:szCs w:val="28"/>
        </w:rPr>
        <w:t xml:space="preserve"> </w:t>
      </w:r>
      <w:r w:rsidR="00DD6F57" w:rsidRPr="00DD6F57">
        <w:rPr>
          <w:rFonts w:ascii="Times New Roman" w:hAnsi="Times New Roman" w:cs="Times New Roman"/>
          <w:sz w:val="28"/>
          <w:szCs w:val="28"/>
          <w:u w:val="single"/>
        </w:rPr>
        <w:t>02.09.20</w:t>
      </w:r>
      <w:r w:rsidR="00E4720F">
        <w:rPr>
          <w:rFonts w:ascii="Times New Roman" w:hAnsi="Times New Roman" w:cs="Times New Roman"/>
          <w:sz w:val="28"/>
          <w:szCs w:val="28"/>
          <w:u w:val="single"/>
        </w:rPr>
        <w:t>23</w:t>
      </w:r>
      <w:r w:rsidR="00DD6F57" w:rsidRPr="00DD6F57">
        <w:rPr>
          <w:rFonts w:ascii="Times New Roman" w:hAnsi="Times New Roman" w:cs="Times New Roman"/>
          <w:sz w:val="28"/>
          <w:szCs w:val="28"/>
          <w:u w:val="single"/>
        </w:rPr>
        <w:t xml:space="preserve"> р.</w:t>
      </w:r>
    </w:p>
    <w:p w14:paraId="7314B860" w14:textId="77777777" w:rsidR="00DD6F57" w:rsidRPr="00216722" w:rsidRDefault="00DD6F57" w:rsidP="00DD6F57">
      <w:pPr>
        <w:tabs>
          <w:tab w:val="left" w:pos="1440"/>
          <w:tab w:val="left" w:pos="1620"/>
          <w:tab w:val="left" w:pos="9356"/>
        </w:tabs>
        <w:spacing w:before="240"/>
        <w:ind w:right="-31"/>
        <w:rPr>
          <w:rFonts w:ascii="Times New Roman" w:hAnsi="Times New Roman" w:cs="Times New Roman"/>
          <w:sz w:val="28"/>
          <w:szCs w:val="28"/>
        </w:rPr>
      </w:pPr>
    </w:p>
    <w:p w14:paraId="7CF22858" w14:textId="77777777" w:rsidR="00DD6F57" w:rsidRPr="00216722" w:rsidRDefault="00DD6F57" w:rsidP="00DD6F57">
      <w:pPr>
        <w:spacing w:before="240"/>
        <w:jc w:val="center"/>
        <w:rPr>
          <w:rFonts w:ascii="Times New Roman" w:hAnsi="Times New Roman" w:cs="Times New Roman"/>
          <w:sz w:val="28"/>
          <w:szCs w:val="28"/>
        </w:rPr>
      </w:pPr>
      <w:r w:rsidRPr="00216722">
        <w:rPr>
          <w:rFonts w:ascii="Times New Roman" w:hAnsi="Times New Roman" w:cs="Times New Roman"/>
          <w:sz w:val="28"/>
          <w:szCs w:val="28"/>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588"/>
      </w:tblGrid>
      <w:tr w:rsidR="00DD6F57" w:rsidRPr="00216722" w14:paraId="592F0049" w14:textId="77777777" w:rsidTr="004E4F93">
        <w:tc>
          <w:tcPr>
            <w:tcW w:w="540" w:type="dxa"/>
            <w:vAlign w:val="center"/>
          </w:tcPr>
          <w:p w14:paraId="7102B745" w14:textId="77777777"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 з/п</w:t>
            </w:r>
          </w:p>
        </w:tc>
        <w:tc>
          <w:tcPr>
            <w:tcW w:w="4705" w:type="dxa"/>
            <w:vAlign w:val="center"/>
          </w:tcPr>
          <w:p w14:paraId="103DC349" w14:textId="77777777"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 xml:space="preserve">Назва етапів виконання </w:t>
            </w:r>
            <w:r w:rsidRPr="00216722">
              <w:rPr>
                <w:rFonts w:ascii="Times New Roman" w:hAnsi="Times New Roman" w:cs="Times New Roman"/>
                <w:sz w:val="28"/>
                <w:szCs w:val="28"/>
              </w:rPr>
              <w:br/>
              <w:t>магістерської дисертації</w:t>
            </w:r>
          </w:p>
        </w:tc>
        <w:tc>
          <w:tcPr>
            <w:tcW w:w="2835" w:type="dxa"/>
            <w:tcBorders>
              <w:bottom w:val="single" w:sz="4" w:space="0" w:color="auto"/>
            </w:tcBorders>
            <w:vAlign w:val="center"/>
          </w:tcPr>
          <w:p w14:paraId="2C798CAE" w14:textId="77777777"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Термін виконання етапів магістерської дисертації</w:t>
            </w:r>
          </w:p>
        </w:tc>
        <w:tc>
          <w:tcPr>
            <w:tcW w:w="1588" w:type="dxa"/>
            <w:vAlign w:val="center"/>
          </w:tcPr>
          <w:p w14:paraId="4E16BBCA" w14:textId="77777777"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Примітка</w:t>
            </w:r>
          </w:p>
        </w:tc>
      </w:tr>
      <w:tr w:rsidR="00DD6F57" w:rsidRPr="00216722" w14:paraId="7415C910" w14:textId="77777777" w:rsidTr="004E4F93">
        <w:trPr>
          <w:trHeight w:val="20"/>
        </w:trPr>
        <w:tc>
          <w:tcPr>
            <w:tcW w:w="540" w:type="dxa"/>
          </w:tcPr>
          <w:p w14:paraId="7B2ACA6E"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1</w:t>
            </w:r>
          </w:p>
        </w:tc>
        <w:tc>
          <w:tcPr>
            <w:tcW w:w="4705" w:type="dxa"/>
          </w:tcPr>
          <w:p w14:paraId="33A4DCF7" w14:textId="7BEC8BF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 xml:space="preserve">Аналіз джерел літератури по темі магістерської дисертації та компонування літературного </w:t>
            </w:r>
            <w:r w:rsidR="00D545C9">
              <w:rPr>
                <w:rFonts w:ascii="Times New Roman" w:hAnsi="Times New Roman" w:cs="Times New Roman"/>
                <w:sz w:val="28"/>
                <w:szCs w:val="28"/>
              </w:rPr>
              <w:t>огляду</w:t>
            </w:r>
            <w:r w:rsidRPr="00216722">
              <w:rPr>
                <w:rFonts w:ascii="Times New Roman" w:hAnsi="Times New Roman" w:cs="Times New Roman"/>
                <w:sz w:val="28"/>
                <w:szCs w:val="28"/>
              </w:rPr>
              <w:t>.</w:t>
            </w:r>
          </w:p>
        </w:tc>
        <w:tc>
          <w:tcPr>
            <w:tcW w:w="2835" w:type="dxa"/>
          </w:tcPr>
          <w:p w14:paraId="56BDC513" w14:textId="7688139C"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02.09.20</w:t>
            </w:r>
            <w:r w:rsidR="00D545C9">
              <w:rPr>
                <w:rFonts w:ascii="Times New Roman" w:hAnsi="Times New Roman" w:cs="Times New Roman"/>
                <w:sz w:val="28"/>
                <w:szCs w:val="28"/>
              </w:rPr>
              <w:t>23</w:t>
            </w:r>
            <w:r w:rsidRPr="00216722">
              <w:rPr>
                <w:rFonts w:ascii="Times New Roman" w:hAnsi="Times New Roman" w:cs="Times New Roman"/>
                <w:sz w:val="28"/>
                <w:szCs w:val="28"/>
              </w:rPr>
              <w:t>-30.10.20</w:t>
            </w:r>
            <w:r w:rsidR="00D545C9">
              <w:rPr>
                <w:rFonts w:ascii="Times New Roman" w:hAnsi="Times New Roman" w:cs="Times New Roman"/>
                <w:sz w:val="28"/>
                <w:szCs w:val="28"/>
              </w:rPr>
              <w:t>23</w:t>
            </w:r>
          </w:p>
        </w:tc>
        <w:tc>
          <w:tcPr>
            <w:tcW w:w="1588" w:type="dxa"/>
          </w:tcPr>
          <w:p w14:paraId="493E3F78" w14:textId="77777777" w:rsidR="00DD6F57" w:rsidRPr="00216722" w:rsidRDefault="00DD6F57" w:rsidP="0095654A">
            <w:pPr>
              <w:rPr>
                <w:rFonts w:ascii="Times New Roman" w:hAnsi="Times New Roman" w:cs="Times New Roman"/>
                <w:sz w:val="28"/>
                <w:szCs w:val="28"/>
              </w:rPr>
            </w:pPr>
          </w:p>
        </w:tc>
      </w:tr>
      <w:tr w:rsidR="00DD6F57" w:rsidRPr="00216722" w14:paraId="1F7E952B" w14:textId="77777777" w:rsidTr="004E4F93">
        <w:trPr>
          <w:trHeight w:val="20"/>
        </w:trPr>
        <w:tc>
          <w:tcPr>
            <w:tcW w:w="540" w:type="dxa"/>
          </w:tcPr>
          <w:p w14:paraId="02CF6F4A"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2</w:t>
            </w:r>
          </w:p>
        </w:tc>
        <w:tc>
          <w:tcPr>
            <w:tcW w:w="4705" w:type="dxa"/>
          </w:tcPr>
          <w:p w14:paraId="6AED22C0" w14:textId="55C03BA5"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 xml:space="preserve">Ознайомлення з необхідною інформацією </w:t>
            </w:r>
            <w:r w:rsidR="00AF031E">
              <w:rPr>
                <w:rFonts w:ascii="Times New Roman" w:eastAsia="Times New Roman" w:hAnsi="Times New Roman" w:cs="Times New Roman"/>
                <w:sz w:val="28"/>
                <w:szCs w:val="28"/>
              </w:rPr>
              <w:t>для аналізу запланованих та розробки додаткових заходів для закриття Жовтокам’янського кар’єру</w:t>
            </w:r>
            <w:r w:rsidRPr="00216722">
              <w:rPr>
                <w:rFonts w:ascii="Times New Roman" w:hAnsi="Times New Roman" w:cs="Times New Roman"/>
                <w:sz w:val="28"/>
                <w:szCs w:val="28"/>
              </w:rPr>
              <w:t>.</w:t>
            </w:r>
          </w:p>
        </w:tc>
        <w:tc>
          <w:tcPr>
            <w:tcW w:w="2835" w:type="dxa"/>
          </w:tcPr>
          <w:p w14:paraId="265B1AC9" w14:textId="7270C7F1"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0</w:t>
            </w:r>
            <w:r w:rsidR="0002070E">
              <w:rPr>
                <w:rFonts w:ascii="Times New Roman" w:hAnsi="Times New Roman" w:cs="Times New Roman"/>
                <w:sz w:val="28"/>
                <w:szCs w:val="28"/>
              </w:rPr>
              <w:t>2</w:t>
            </w:r>
            <w:r w:rsidRPr="00216722">
              <w:rPr>
                <w:rFonts w:ascii="Times New Roman" w:hAnsi="Times New Roman" w:cs="Times New Roman"/>
                <w:sz w:val="28"/>
                <w:szCs w:val="28"/>
              </w:rPr>
              <w:t>.09.20</w:t>
            </w:r>
            <w:r w:rsidR="006315B8">
              <w:rPr>
                <w:rFonts w:ascii="Times New Roman" w:hAnsi="Times New Roman" w:cs="Times New Roman"/>
                <w:sz w:val="28"/>
                <w:szCs w:val="28"/>
              </w:rPr>
              <w:t>23</w:t>
            </w:r>
            <w:r w:rsidRPr="00216722">
              <w:rPr>
                <w:rFonts w:ascii="Times New Roman" w:hAnsi="Times New Roman" w:cs="Times New Roman"/>
                <w:sz w:val="28"/>
                <w:szCs w:val="28"/>
              </w:rPr>
              <w:t>-</w:t>
            </w:r>
            <w:r w:rsidR="0002070E">
              <w:rPr>
                <w:rFonts w:ascii="Times New Roman" w:hAnsi="Times New Roman" w:cs="Times New Roman"/>
                <w:sz w:val="28"/>
                <w:szCs w:val="28"/>
              </w:rPr>
              <w:t>26</w:t>
            </w:r>
            <w:r w:rsidRPr="00216722">
              <w:rPr>
                <w:rFonts w:ascii="Times New Roman" w:hAnsi="Times New Roman" w:cs="Times New Roman"/>
                <w:sz w:val="28"/>
                <w:szCs w:val="28"/>
              </w:rPr>
              <w:t>.</w:t>
            </w:r>
            <w:r w:rsidR="00823368">
              <w:rPr>
                <w:rFonts w:ascii="Times New Roman" w:hAnsi="Times New Roman" w:cs="Times New Roman"/>
                <w:sz w:val="28"/>
                <w:szCs w:val="28"/>
              </w:rPr>
              <w:t>10</w:t>
            </w:r>
            <w:r w:rsidRPr="00216722">
              <w:rPr>
                <w:rFonts w:ascii="Times New Roman" w:hAnsi="Times New Roman" w:cs="Times New Roman"/>
                <w:sz w:val="28"/>
                <w:szCs w:val="28"/>
              </w:rPr>
              <w:t>.20</w:t>
            </w:r>
            <w:r w:rsidR="00AF031E">
              <w:rPr>
                <w:rFonts w:ascii="Times New Roman" w:hAnsi="Times New Roman" w:cs="Times New Roman"/>
                <w:sz w:val="28"/>
                <w:szCs w:val="28"/>
              </w:rPr>
              <w:t>23</w:t>
            </w:r>
          </w:p>
        </w:tc>
        <w:tc>
          <w:tcPr>
            <w:tcW w:w="1588" w:type="dxa"/>
          </w:tcPr>
          <w:p w14:paraId="101F6551" w14:textId="77777777" w:rsidR="00DD6F57" w:rsidRPr="00216722" w:rsidRDefault="00DD6F57" w:rsidP="0095654A">
            <w:pPr>
              <w:rPr>
                <w:rFonts w:ascii="Times New Roman" w:hAnsi="Times New Roman" w:cs="Times New Roman"/>
                <w:sz w:val="28"/>
                <w:szCs w:val="28"/>
              </w:rPr>
            </w:pPr>
          </w:p>
        </w:tc>
      </w:tr>
      <w:tr w:rsidR="00DD6F57" w:rsidRPr="00216722" w14:paraId="0603AC4E" w14:textId="77777777" w:rsidTr="004E4F93">
        <w:trPr>
          <w:trHeight w:val="20"/>
        </w:trPr>
        <w:tc>
          <w:tcPr>
            <w:tcW w:w="540" w:type="dxa"/>
          </w:tcPr>
          <w:p w14:paraId="562D43B3"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3</w:t>
            </w:r>
          </w:p>
        </w:tc>
        <w:tc>
          <w:tcPr>
            <w:tcW w:w="4705" w:type="dxa"/>
          </w:tcPr>
          <w:p w14:paraId="218B02E5" w14:textId="5C6E113C" w:rsidR="00DD6F57" w:rsidRPr="00216722" w:rsidRDefault="00697755" w:rsidP="0095654A">
            <w:pPr>
              <w:rPr>
                <w:rFonts w:ascii="Times New Roman" w:hAnsi="Times New Roman" w:cs="Times New Roman"/>
                <w:sz w:val="28"/>
                <w:szCs w:val="28"/>
              </w:rPr>
            </w:pPr>
            <w:r>
              <w:rPr>
                <w:rFonts w:ascii="Times New Roman" w:hAnsi="Times New Roman" w:cs="Times New Roman"/>
                <w:sz w:val="28"/>
                <w:szCs w:val="28"/>
              </w:rPr>
              <w:t xml:space="preserve">Дослідження </w:t>
            </w:r>
            <w:r>
              <w:rPr>
                <w:rFonts w:ascii="Times New Roman" w:eastAsia="Times New Roman" w:hAnsi="Times New Roman" w:cs="Times New Roman"/>
                <w:sz w:val="28"/>
                <w:szCs w:val="28"/>
              </w:rPr>
              <w:t>принципів сталого розвитку для видобувної діяльності в цілому та при закритті видобувно</w:t>
            </w:r>
            <w:r w:rsidR="007C6CD7">
              <w:rPr>
                <w:rFonts w:ascii="Times New Roman" w:eastAsia="Times New Roman" w:hAnsi="Times New Roman" w:cs="Times New Roman"/>
                <w:sz w:val="28"/>
                <w:szCs w:val="28"/>
              </w:rPr>
              <w:t>го</w:t>
            </w:r>
            <w:r>
              <w:rPr>
                <w:rFonts w:ascii="Times New Roman" w:eastAsia="Times New Roman" w:hAnsi="Times New Roman" w:cs="Times New Roman"/>
                <w:sz w:val="28"/>
                <w:szCs w:val="28"/>
              </w:rPr>
              <w:t xml:space="preserve"> </w:t>
            </w:r>
            <w:r w:rsidR="007C6CD7">
              <w:rPr>
                <w:rFonts w:ascii="Times New Roman" w:eastAsia="Times New Roman" w:hAnsi="Times New Roman" w:cs="Times New Roman"/>
                <w:sz w:val="28"/>
                <w:szCs w:val="28"/>
              </w:rPr>
              <w:t>підприємства</w:t>
            </w:r>
            <w:r w:rsidR="00DD6F57" w:rsidRPr="00216722">
              <w:rPr>
                <w:rFonts w:ascii="Times New Roman" w:hAnsi="Times New Roman" w:cs="Times New Roman"/>
                <w:sz w:val="28"/>
                <w:szCs w:val="28"/>
              </w:rPr>
              <w:t>.</w:t>
            </w:r>
          </w:p>
        </w:tc>
        <w:tc>
          <w:tcPr>
            <w:tcW w:w="2835" w:type="dxa"/>
          </w:tcPr>
          <w:p w14:paraId="6CFACF00" w14:textId="14773A13" w:rsidR="00DD6F57" w:rsidRPr="00E02753" w:rsidRDefault="00DD6F57" w:rsidP="0095654A">
            <w:pPr>
              <w:jc w:val="center"/>
              <w:rPr>
                <w:rFonts w:ascii="Times New Roman" w:hAnsi="Times New Roman" w:cs="Times New Roman"/>
                <w:sz w:val="28"/>
                <w:szCs w:val="28"/>
                <w:lang w:val="en-GB"/>
              </w:rPr>
            </w:pPr>
            <w:r w:rsidRPr="00216722">
              <w:rPr>
                <w:rFonts w:ascii="Times New Roman" w:hAnsi="Times New Roman" w:cs="Times New Roman"/>
                <w:sz w:val="28"/>
                <w:szCs w:val="28"/>
              </w:rPr>
              <w:t>20.09.20</w:t>
            </w:r>
            <w:r w:rsidR="00697755">
              <w:rPr>
                <w:rFonts w:ascii="Times New Roman" w:hAnsi="Times New Roman" w:cs="Times New Roman"/>
                <w:sz w:val="28"/>
                <w:szCs w:val="28"/>
              </w:rPr>
              <w:t>23</w:t>
            </w:r>
            <w:r w:rsidRPr="00216722">
              <w:rPr>
                <w:rFonts w:ascii="Times New Roman" w:hAnsi="Times New Roman" w:cs="Times New Roman"/>
                <w:sz w:val="28"/>
                <w:szCs w:val="28"/>
              </w:rPr>
              <w:t>-27.</w:t>
            </w:r>
            <w:r w:rsidR="00E02753">
              <w:rPr>
                <w:rFonts w:ascii="Times New Roman" w:hAnsi="Times New Roman" w:cs="Times New Roman"/>
                <w:sz w:val="28"/>
                <w:szCs w:val="28"/>
                <w:lang w:val="en-GB"/>
              </w:rPr>
              <w:t>10</w:t>
            </w:r>
            <w:r w:rsidRPr="00216722">
              <w:rPr>
                <w:rFonts w:ascii="Times New Roman" w:hAnsi="Times New Roman" w:cs="Times New Roman"/>
                <w:sz w:val="28"/>
                <w:szCs w:val="28"/>
              </w:rPr>
              <w:t>.20</w:t>
            </w:r>
            <w:r w:rsidR="00E02753">
              <w:rPr>
                <w:rFonts w:ascii="Times New Roman" w:hAnsi="Times New Roman" w:cs="Times New Roman"/>
                <w:sz w:val="28"/>
                <w:szCs w:val="28"/>
                <w:lang w:val="en-GB"/>
              </w:rPr>
              <w:t>23</w:t>
            </w:r>
          </w:p>
        </w:tc>
        <w:tc>
          <w:tcPr>
            <w:tcW w:w="1588" w:type="dxa"/>
          </w:tcPr>
          <w:p w14:paraId="6CE41B99" w14:textId="77777777" w:rsidR="00DD6F57" w:rsidRPr="00216722" w:rsidRDefault="00DD6F57" w:rsidP="0095654A">
            <w:pPr>
              <w:rPr>
                <w:rFonts w:ascii="Times New Roman" w:hAnsi="Times New Roman" w:cs="Times New Roman"/>
                <w:sz w:val="28"/>
                <w:szCs w:val="28"/>
              </w:rPr>
            </w:pPr>
          </w:p>
        </w:tc>
      </w:tr>
      <w:tr w:rsidR="00DD6F57" w:rsidRPr="00216722" w14:paraId="55D2AF0A" w14:textId="77777777" w:rsidTr="004E4F93">
        <w:trPr>
          <w:trHeight w:val="20"/>
        </w:trPr>
        <w:tc>
          <w:tcPr>
            <w:tcW w:w="540" w:type="dxa"/>
          </w:tcPr>
          <w:p w14:paraId="55F5D938"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4</w:t>
            </w:r>
          </w:p>
        </w:tc>
        <w:tc>
          <w:tcPr>
            <w:tcW w:w="4705" w:type="dxa"/>
          </w:tcPr>
          <w:p w14:paraId="539B0B9D" w14:textId="2AE08F10" w:rsidR="00DD6F57" w:rsidRPr="00216722" w:rsidRDefault="00E02753" w:rsidP="0095654A">
            <w:pPr>
              <w:rPr>
                <w:rFonts w:ascii="Times New Roman" w:hAnsi="Times New Roman" w:cs="Times New Roman"/>
                <w:sz w:val="28"/>
                <w:szCs w:val="28"/>
              </w:rPr>
            </w:pPr>
            <w:r>
              <w:rPr>
                <w:rFonts w:ascii="Times New Roman" w:eastAsia="Times New Roman" w:hAnsi="Times New Roman" w:cs="Times New Roman"/>
                <w:sz w:val="28"/>
                <w:szCs w:val="28"/>
              </w:rPr>
              <w:t xml:space="preserve">Дослідження екологічних аспектів при завершенні видобутку родовища та підготовки території до збалансованого існування в напрямках стійкості та адаптації до </w:t>
            </w:r>
            <w:r>
              <w:rPr>
                <w:rFonts w:ascii="Times New Roman" w:eastAsia="Times New Roman" w:hAnsi="Times New Roman" w:cs="Times New Roman"/>
                <w:sz w:val="28"/>
                <w:szCs w:val="28"/>
              </w:rPr>
              <w:lastRenderedPageBreak/>
              <w:t>змін клімату, формуванні ландшафту, поводження з відходами, управлінні водним середовищем, відновленням біорізноманіття та покращання якості атмосферного повітря</w:t>
            </w:r>
          </w:p>
        </w:tc>
        <w:tc>
          <w:tcPr>
            <w:tcW w:w="2835" w:type="dxa"/>
          </w:tcPr>
          <w:p w14:paraId="7E1970CE" w14:textId="3728F84B" w:rsidR="00DD6F57" w:rsidRPr="00216722" w:rsidRDefault="00E02753" w:rsidP="0095654A">
            <w:pPr>
              <w:jc w:val="center"/>
              <w:rPr>
                <w:rFonts w:ascii="Times New Roman" w:hAnsi="Times New Roman" w:cs="Times New Roman"/>
                <w:sz w:val="28"/>
                <w:szCs w:val="28"/>
              </w:rPr>
            </w:pPr>
            <w:r>
              <w:rPr>
                <w:rFonts w:ascii="Times New Roman" w:hAnsi="Times New Roman" w:cs="Times New Roman"/>
                <w:sz w:val="28"/>
                <w:szCs w:val="28"/>
              </w:rPr>
              <w:lastRenderedPageBreak/>
              <w:t>27</w:t>
            </w:r>
            <w:r w:rsidR="00DD6F57" w:rsidRPr="00216722">
              <w:rPr>
                <w:rFonts w:ascii="Times New Roman" w:hAnsi="Times New Roman" w:cs="Times New Roman"/>
                <w:sz w:val="28"/>
                <w:szCs w:val="28"/>
              </w:rPr>
              <w:t>.</w:t>
            </w:r>
            <w:r>
              <w:rPr>
                <w:rFonts w:ascii="Times New Roman" w:hAnsi="Times New Roman" w:cs="Times New Roman"/>
                <w:sz w:val="28"/>
                <w:szCs w:val="28"/>
              </w:rPr>
              <w:t>10</w:t>
            </w:r>
            <w:r w:rsidR="00DD6F57" w:rsidRPr="00216722">
              <w:rPr>
                <w:rFonts w:ascii="Times New Roman" w:hAnsi="Times New Roman" w:cs="Times New Roman"/>
                <w:sz w:val="28"/>
                <w:szCs w:val="28"/>
              </w:rPr>
              <w:t>.20</w:t>
            </w:r>
            <w:r w:rsidR="009332AA">
              <w:rPr>
                <w:rFonts w:ascii="Times New Roman" w:hAnsi="Times New Roman" w:cs="Times New Roman"/>
                <w:sz w:val="28"/>
                <w:szCs w:val="28"/>
              </w:rPr>
              <w:t>23</w:t>
            </w:r>
            <w:r w:rsidR="00DD6F57" w:rsidRPr="00216722">
              <w:rPr>
                <w:rFonts w:ascii="Times New Roman" w:hAnsi="Times New Roman" w:cs="Times New Roman"/>
                <w:sz w:val="28"/>
                <w:szCs w:val="28"/>
              </w:rPr>
              <w:t>-07.1</w:t>
            </w:r>
            <w:r w:rsidR="009332AA">
              <w:rPr>
                <w:rFonts w:ascii="Times New Roman" w:hAnsi="Times New Roman" w:cs="Times New Roman"/>
                <w:sz w:val="28"/>
                <w:szCs w:val="28"/>
              </w:rPr>
              <w:t>2</w:t>
            </w:r>
            <w:r w:rsidR="00DD6F57" w:rsidRPr="00216722">
              <w:rPr>
                <w:rFonts w:ascii="Times New Roman" w:hAnsi="Times New Roman" w:cs="Times New Roman"/>
                <w:sz w:val="28"/>
                <w:szCs w:val="28"/>
              </w:rPr>
              <w:t>.20</w:t>
            </w:r>
            <w:r w:rsidR="009332AA">
              <w:rPr>
                <w:rFonts w:ascii="Times New Roman" w:hAnsi="Times New Roman" w:cs="Times New Roman"/>
                <w:sz w:val="28"/>
                <w:szCs w:val="28"/>
              </w:rPr>
              <w:t>23</w:t>
            </w:r>
          </w:p>
        </w:tc>
        <w:tc>
          <w:tcPr>
            <w:tcW w:w="1588" w:type="dxa"/>
          </w:tcPr>
          <w:p w14:paraId="310988D2" w14:textId="77777777" w:rsidR="00DD6F57" w:rsidRPr="00216722" w:rsidRDefault="00DD6F57" w:rsidP="0095654A">
            <w:pPr>
              <w:rPr>
                <w:rFonts w:ascii="Times New Roman" w:hAnsi="Times New Roman" w:cs="Times New Roman"/>
                <w:sz w:val="28"/>
                <w:szCs w:val="28"/>
              </w:rPr>
            </w:pPr>
          </w:p>
        </w:tc>
      </w:tr>
      <w:tr w:rsidR="00DD6F57" w:rsidRPr="00216722" w14:paraId="1A71D368" w14:textId="77777777" w:rsidTr="004E4F93">
        <w:trPr>
          <w:trHeight w:val="20"/>
        </w:trPr>
        <w:tc>
          <w:tcPr>
            <w:tcW w:w="540" w:type="dxa"/>
          </w:tcPr>
          <w:p w14:paraId="0E91E8CE"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5</w:t>
            </w:r>
          </w:p>
        </w:tc>
        <w:tc>
          <w:tcPr>
            <w:tcW w:w="4705" w:type="dxa"/>
          </w:tcPr>
          <w:p w14:paraId="0E9CD5F8" w14:textId="09B74E42" w:rsidR="00DD6F57" w:rsidRPr="00216722" w:rsidRDefault="009332AA" w:rsidP="0095654A">
            <w:pPr>
              <w:rPr>
                <w:rFonts w:ascii="Times New Roman" w:hAnsi="Times New Roman" w:cs="Times New Roman"/>
                <w:sz w:val="28"/>
                <w:szCs w:val="28"/>
              </w:rPr>
            </w:pPr>
            <w:r>
              <w:rPr>
                <w:rFonts w:ascii="Times New Roman" w:hAnsi="Times New Roman" w:cs="Times New Roman"/>
                <w:sz w:val="28"/>
                <w:szCs w:val="28"/>
              </w:rPr>
              <w:t xml:space="preserve">Розробка </w:t>
            </w:r>
            <w:r w:rsidR="004125C1">
              <w:rPr>
                <w:rFonts w:ascii="Times New Roman" w:eastAsia="Times New Roman" w:hAnsi="Times New Roman" w:cs="Times New Roman"/>
                <w:sz w:val="28"/>
                <w:szCs w:val="28"/>
              </w:rPr>
              <w:t>старт-ап проєкту для створення автоматизованої системи обробки та зберіганні інформації під час видобутку</w:t>
            </w:r>
            <w:r w:rsidR="00DD6F57" w:rsidRPr="00216722">
              <w:rPr>
                <w:rFonts w:ascii="Times New Roman" w:hAnsi="Times New Roman" w:cs="Times New Roman"/>
                <w:sz w:val="28"/>
                <w:szCs w:val="28"/>
              </w:rPr>
              <w:t>.</w:t>
            </w:r>
          </w:p>
        </w:tc>
        <w:tc>
          <w:tcPr>
            <w:tcW w:w="2835" w:type="dxa"/>
          </w:tcPr>
          <w:p w14:paraId="31C9483D" w14:textId="48ED9F3A" w:rsidR="00DD6F57" w:rsidRPr="00216722" w:rsidRDefault="004125C1" w:rsidP="0095654A">
            <w:pPr>
              <w:jc w:val="center"/>
              <w:rPr>
                <w:rFonts w:ascii="Times New Roman" w:hAnsi="Times New Roman" w:cs="Times New Roman"/>
                <w:sz w:val="28"/>
                <w:szCs w:val="28"/>
              </w:rPr>
            </w:pPr>
            <w:r>
              <w:rPr>
                <w:rFonts w:ascii="Times New Roman" w:hAnsi="Times New Roman" w:cs="Times New Roman"/>
                <w:sz w:val="28"/>
                <w:szCs w:val="28"/>
              </w:rPr>
              <w:t>08</w:t>
            </w:r>
            <w:r w:rsidR="00DD6F57" w:rsidRPr="00216722">
              <w:rPr>
                <w:rFonts w:ascii="Times New Roman" w:hAnsi="Times New Roman" w:cs="Times New Roman"/>
                <w:sz w:val="28"/>
                <w:szCs w:val="28"/>
              </w:rPr>
              <w:t>.1</w:t>
            </w:r>
            <w:r>
              <w:rPr>
                <w:rFonts w:ascii="Times New Roman" w:hAnsi="Times New Roman" w:cs="Times New Roman"/>
                <w:sz w:val="28"/>
                <w:szCs w:val="28"/>
              </w:rPr>
              <w:t>2</w:t>
            </w:r>
            <w:r w:rsidR="00DD6F57" w:rsidRPr="00216722">
              <w:rPr>
                <w:rFonts w:ascii="Times New Roman" w:hAnsi="Times New Roman" w:cs="Times New Roman"/>
                <w:sz w:val="28"/>
                <w:szCs w:val="28"/>
              </w:rPr>
              <w:t>.20</w:t>
            </w:r>
            <w:r>
              <w:rPr>
                <w:rFonts w:ascii="Times New Roman" w:hAnsi="Times New Roman" w:cs="Times New Roman"/>
                <w:sz w:val="28"/>
                <w:szCs w:val="28"/>
              </w:rPr>
              <w:t>23</w:t>
            </w:r>
            <w:r w:rsidR="00DD6F57" w:rsidRPr="00216722">
              <w:rPr>
                <w:rFonts w:ascii="Times New Roman" w:hAnsi="Times New Roman" w:cs="Times New Roman"/>
                <w:sz w:val="28"/>
                <w:szCs w:val="28"/>
              </w:rPr>
              <w:t>-2</w:t>
            </w:r>
            <w:r>
              <w:rPr>
                <w:rFonts w:ascii="Times New Roman" w:hAnsi="Times New Roman" w:cs="Times New Roman"/>
                <w:sz w:val="28"/>
                <w:szCs w:val="28"/>
              </w:rPr>
              <w:t>0</w:t>
            </w:r>
            <w:r w:rsidR="00DD6F57" w:rsidRPr="00216722">
              <w:rPr>
                <w:rFonts w:ascii="Times New Roman" w:hAnsi="Times New Roman" w:cs="Times New Roman"/>
                <w:sz w:val="28"/>
                <w:szCs w:val="28"/>
              </w:rPr>
              <w:t>.1</w:t>
            </w:r>
            <w:r>
              <w:rPr>
                <w:rFonts w:ascii="Times New Roman" w:hAnsi="Times New Roman" w:cs="Times New Roman"/>
                <w:sz w:val="28"/>
                <w:szCs w:val="28"/>
              </w:rPr>
              <w:t>2</w:t>
            </w:r>
            <w:r w:rsidR="00DD6F57" w:rsidRPr="00216722">
              <w:rPr>
                <w:rFonts w:ascii="Times New Roman" w:hAnsi="Times New Roman" w:cs="Times New Roman"/>
                <w:sz w:val="28"/>
                <w:szCs w:val="28"/>
              </w:rPr>
              <w:t>.20</w:t>
            </w:r>
            <w:r>
              <w:rPr>
                <w:rFonts w:ascii="Times New Roman" w:hAnsi="Times New Roman" w:cs="Times New Roman"/>
                <w:sz w:val="28"/>
                <w:szCs w:val="28"/>
              </w:rPr>
              <w:t>23</w:t>
            </w:r>
          </w:p>
        </w:tc>
        <w:tc>
          <w:tcPr>
            <w:tcW w:w="1588" w:type="dxa"/>
          </w:tcPr>
          <w:p w14:paraId="11E50808" w14:textId="77777777" w:rsidR="00DD6F57" w:rsidRPr="00216722" w:rsidRDefault="00DD6F57" w:rsidP="0095654A">
            <w:pPr>
              <w:rPr>
                <w:rFonts w:ascii="Times New Roman" w:hAnsi="Times New Roman" w:cs="Times New Roman"/>
                <w:sz w:val="28"/>
                <w:szCs w:val="28"/>
              </w:rPr>
            </w:pPr>
          </w:p>
        </w:tc>
      </w:tr>
      <w:tr w:rsidR="00DD6F57" w:rsidRPr="00216722" w14:paraId="16D84272" w14:textId="77777777" w:rsidTr="004E4F93">
        <w:trPr>
          <w:trHeight w:val="20"/>
        </w:trPr>
        <w:tc>
          <w:tcPr>
            <w:tcW w:w="540" w:type="dxa"/>
          </w:tcPr>
          <w:p w14:paraId="3FF81A2A" w14:textId="1427932F" w:rsidR="00DD6F57" w:rsidRPr="00216722" w:rsidRDefault="004125C1" w:rsidP="0095654A">
            <w:pPr>
              <w:rPr>
                <w:rFonts w:ascii="Times New Roman" w:hAnsi="Times New Roman" w:cs="Times New Roman"/>
                <w:sz w:val="28"/>
                <w:szCs w:val="28"/>
              </w:rPr>
            </w:pPr>
            <w:r>
              <w:rPr>
                <w:rFonts w:ascii="Times New Roman" w:hAnsi="Times New Roman" w:cs="Times New Roman"/>
                <w:sz w:val="28"/>
                <w:szCs w:val="28"/>
              </w:rPr>
              <w:t>6</w:t>
            </w:r>
          </w:p>
        </w:tc>
        <w:tc>
          <w:tcPr>
            <w:tcW w:w="4705" w:type="dxa"/>
          </w:tcPr>
          <w:p w14:paraId="2C109B4B"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Опрацювання і узагальнення отриманих результатів.</w:t>
            </w:r>
          </w:p>
        </w:tc>
        <w:tc>
          <w:tcPr>
            <w:tcW w:w="2835" w:type="dxa"/>
          </w:tcPr>
          <w:p w14:paraId="14226484" w14:textId="1CFB3C97" w:rsidR="00DD6F57" w:rsidRPr="00216722" w:rsidRDefault="004125C1" w:rsidP="0095654A">
            <w:pPr>
              <w:jc w:val="center"/>
              <w:rPr>
                <w:rFonts w:ascii="Times New Roman" w:hAnsi="Times New Roman" w:cs="Times New Roman"/>
                <w:sz w:val="28"/>
                <w:szCs w:val="28"/>
              </w:rPr>
            </w:pPr>
            <w:r>
              <w:rPr>
                <w:rFonts w:ascii="Times New Roman" w:hAnsi="Times New Roman" w:cs="Times New Roman"/>
                <w:sz w:val="28"/>
                <w:szCs w:val="28"/>
              </w:rPr>
              <w:t>21</w:t>
            </w:r>
            <w:r w:rsidR="00DD6F57" w:rsidRPr="00216722">
              <w:rPr>
                <w:rFonts w:ascii="Times New Roman" w:hAnsi="Times New Roman" w:cs="Times New Roman"/>
                <w:sz w:val="28"/>
                <w:szCs w:val="28"/>
              </w:rPr>
              <w:t>.1</w:t>
            </w:r>
            <w:r>
              <w:rPr>
                <w:rFonts w:ascii="Times New Roman" w:hAnsi="Times New Roman" w:cs="Times New Roman"/>
                <w:sz w:val="28"/>
                <w:szCs w:val="28"/>
              </w:rPr>
              <w:t>2</w:t>
            </w:r>
            <w:r w:rsidR="00DD6F57" w:rsidRPr="00216722">
              <w:rPr>
                <w:rFonts w:ascii="Times New Roman" w:hAnsi="Times New Roman" w:cs="Times New Roman"/>
                <w:sz w:val="28"/>
                <w:szCs w:val="28"/>
              </w:rPr>
              <w:t>.20</w:t>
            </w:r>
            <w:r>
              <w:rPr>
                <w:rFonts w:ascii="Times New Roman" w:hAnsi="Times New Roman" w:cs="Times New Roman"/>
                <w:sz w:val="28"/>
                <w:szCs w:val="28"/>
              </w:rPr>
              <w:t>23</w:t>
            </w:r>
            <w:r w:rsidR="00DD6F57" w:rsidRPr="00216722">
              <w:rPr>
                <w:rFonts w:ascii="Times New Roman" w:hAnsi="Times New Roman" w:cs="Times New Roman"/>
                <w:sz w:val="28"/>
                <w:szCs w:val="28"/>
              </w:rPr>
              <w:t>-25.1</w:t>
            </w:r>
            <w:r>
              <w:rPr>
                <w:rFonts w:ascii="Times New Roman" w:hAnsi="Times New Roman" w:cs="Times New Roman"/>
                <w:sz w:val="28"/>
                <w:szCs w:val="28"/>
              </w:rPr>
              <w:t>2</w:t>
            </w:r>
            <w:r w:rsidR="00DD6F57" w:rsidRPr="00216722">
              <w:rPr>
                <w:rFonts w:ascii="Times New Roman" w:hAnsi="Times New Roman" w:cs="Times New Roman"/>
                <w:sz w:val="28"/>
                <w:szCs w:val="28"/>
              </w:rPr>
              <w:t>.20</w:t>
            </w:r>
            <w:r>
              <w:rPr>
                <w:rFonts w:ascii="Times New Roman" w:hAnsi="Times New Roman" w:cs="Times New Roman"/>
                <w:sz w:val="28"/>
                <w:szCs w:val="28"/>
              </w:rPr>
              <w:t>23</w:t>
            </w:r>
          </w:p>
        </w:tc>
        <w:tc>
          <w:tcPr>
            <w:tcW w:w="1588" w:type="dxa"/>
          </w:tcPr>
          <w:p w14:paraId="0676CE62" w14:textId="77777777" w:rsidR="00DD6F57" w:rsidRPr="00216722" w:rsidRDefault="00DD6F57" w:rsidP="0095654A">
            <w:pPr>
              <w:rPr>
                <w:rFonts w:ascii="Times New Roman" w:hAnsi="Times New Roman" w:cs="Times New Roman"/>
                <w:sz w:val="28"/>
                <w:szCs w:val="28"/>
              </w:rPr>
            </w:pPr>
          </w:p>
        </w:tc>
      </w:tr>
      <w:tr w:rsidR="00DD6F57" w:rsidRPr="00216722" w14:paraId="2DEBF7C7" w14:textId="77777777" w:rsidTr="004E4F93">
        <w:trPr>
          <w:trHeight w:val="20"/>
        </w:trPr>
        <w:tc>
          <w:tcPr>
            <w:tcW w:w="540" w:type="dxa"/>
            <w:tcBorders>
              <w:bottom w:val="single" w:sz="4" w:space="0" w:color="auto"/>
            </w:tcBorders>
          </w:tcPr>
          <w:p w14:paraId="0179D5C7" w14:textId="3720211A" w:rsidR="00DD6F57" w:rsidRPr="00216722" w:rsidRDefault="004125C1" w:rsidP="0095654A">
            <w:pPr>
              <w:rPr>
                <w:rFonts w:ascii="Times New Roman" w:hAnsi="Times New Roman" w:cs="Times New Roman"/>
                <w:sz w:val="28"/>
                <w:szCs w:val="28"/>
              </w:rPr>
            </w:pPr>
            <w:r>
              <w:rPr>
                <w:rFonts w:ascii="Times New Roman" w:hAnsi="Times New Roman" w:cs="Times New Roman"/>
                <w:sz w:val="28"/>
                <w:szCs w:val="28"/>
              </w:rPr>
              <w:t>7</w:t>
            </w:r>
          </w:p>
        </w:tc>
        <w:tc>
          <w:tcPr>
            <w:tcW w:w="4705" w:type="dxa"/>
            <w:tcBorders>
              <w:bottom w:val="single" w:sz="4" w:space="0" w:color="auto"/>
            </w:tcBorders>
          </w:tcPr>
          <w:p w14:paraId="4CBD2256" w14:textId="56C53940" w:rsidR="00DD6F57" w:rsidRPr="00216722" w:rsidRDefault="00DD6F57" w:rsidP="004125C1">
            <w:pPr>
              <w:rPr>
                <w:rFonts w:ascii="Times New Roman" w:hAnsi="Times New Roman" w:cs="Times New Roman"/>
                <w:sz w:val="28"/>
                <w:szCs w:val="28"/>
              </w:rPr>
            </w:pPr>
            <w:r w:rsidRPr="00216722">
              <w:rPr>
                <w:rFonts w:ascii="Times New Roman" w:hAnsi="Times New Roman" w:cs="Times New Roman"/>
                <w:sz w:val="28"/>
                <w:szCs w:val="28"/>
              </w:rPr>
              <w:t>Оформлення результатів магістерської дисертації.</w:t>
            </w:r>
          </w:p>
        </w:tc>
        <w:tc>
          <w:tcPr>
            <w:tcW w:w="2835" w:type="dxa"/>
            <w:tcBorders>
              <w:bottom w:val="single" w:sz="4" w:space="0" w:color="auto"/>
            </w:tcBorders>
          </w:tcPr>
          <w:p w14:paraId="0EDB289E" w14:textId="59420178" w:rsidR="00DD6F57" w:rsidRPr="00216722" w:rsidRDefault="00DD6F57" w:rsidP="0095654A">
            <w:pPr>
              <w:jc w:val="center"/>
              <w:rPr>
                <w:rFonts w:ascii="Times New Roman" w:hAnsi="Times New Roman" w:cs="Times New Roman"/>
                <w:sz w:val="28"/>
                <w:szCs w:val="28"/>
              </w:rPr>
            </w:pPr>
            <w:r w:rsidRPr="00216722">
              <w:rPr>
                <w:rFonts w:ascii="Times New Roman" w:hAnsi="Times New Roman" w:cs="Times New Roman"/>
                <w:sz w:val="28"/>
                <w:szCs w:val="28"/>
              </w:rPr>
              <w:t>26.1</w:t>
            </w:r>
            <w:r w:rsidR="004125C1">
              <w:rPr>
                <w:rFonts w:ascii="Times New Roman" w:hAnsi="Times New Roman" w:cs="Times New Roman"/>
                <w:sz w:val="28"/>
                <w:szCs w:val="28"/>
              </w:rPr>
              <w:t>2</w:t>
            </w:r>
            <w:r w:rsidRPr="00216722">
              <w:rPr>
                <w:rFonts w:ascii="Times New Roman" w:hAnsi="Times New Roman" w:cs="Times New Roman"/>
                <w:sz w:val="28"/>
                <w:szCs w:val="28"/>
              </w:rPr>
              <w:t>.20</w:t>
            </w:r>
            <w:r w:rsidR="00D738C1">
              <w:rPr>
                <w:rFonts w:ascii="Times New Roman" w:hAnsi="Times New Roman" w:cs="Times New Roman"/>
                <w:sz w:val="28"/>
                <w:szCs w:val="28"/>
              </w:rPr>
              <w:t>23</w:t>
            </w:r>
            <w:r w:rsidRPr="00216722">
              <w:rPr>
                <w:rFonts w:ascii="Times New Roman" w:hAnsi="Times New Roman" w:cs="Times New Roman"/>
                <w:sz w:val="28"/>
                <w:szCs w:val="28"/>
              </w:rPr>
              <w:t>-</w:t>
            </w:r>
            <w:r w:rsidR="004125C1">
              <w:rPr>
                <w:rFonts w:ascii="Times New Roman" w:hAnsi="Times New Roman" w:cs="Times New Roman"/>
                <w:sz w:val="28"/>
                <w:szCs w:val="28"/>
              </w:rPr>
              <w:t>05</w:t>
            </w:r>
            <w:r w:rsidRPr="00216722">
              <w:rPr>
                <w:rFonts w:ascii="Times New Roman" w:hAnsi="Times New Roman" w:cs="Times New Roman"/>
                <w:sz w:val="28"/>
                <w:szCs w:val="28"/>
              </w:rPr>
              <w:t>.</w:t>
            </w:r>
            <w:r w:rsidR="00D738C1">
              <w:rPr>
                <w:rFonts w:ascii="Times New Roman" w:hAnsi="Times New Roman" w:cs="Times New Roman"/>
                <w:sz w:val="28"/>
                <w:szCs w:val="28"/>
              </w:rPr>
              <w:t>0</w:t>
            </w:r>
            <w:r w:rsidRPr="00216722">
              <w:rPr>
                <w:rFonts w:ascii="Times New Roman" w:hAnsi="Times New Roman" w:cs="Times New Roman"/>
                <w:sz w:val="28"/>
                <w:szCs w:val="28"/>
              </w:rPr>
              <w:t>1.20</w:t>
            </w:r>
            <w:r w:rsidR="00D738C1">
              <w:rPr>
                <w:rFonts w:ascii="Times New Roman" w:hAnsi="Times New Roman" w:cs="Times New Roman"/>
                <w:sz w:val="28"/>
                <w:szCs w:val="28"/>
              </w:rPr>
              <w:t>24</w:t>
            </w:r>
          </w:p>
        </w:tc>
        <w:tc>
          <w:tcPr>
            <w:tcW w:w="1588" w:type="dxa"/>
            <w:tcBorders>
              <w:bottom w:val="single" w:sz="4" w:space="0" w:color="auto"/>
            </w:tcBorders>
          </w:tcPr>
          <w:p w14:paraId="08B1F40B" w14:textId="77777777" w:rsidR="00DD6F57" w:rsidRPr="00216722" w:rsidRDefault="00DD6F57" w:rsidP="0095654A">
            <w:pPr>
              <w:rPr>
                <w:rFonts w:ascii="Times New Roman" w:hAnsi="Times New Roman" w:cs="Times New Roman"/>
                <w:sz w:val="28"/>
                <w:szCs w:val="28"/>
              </w:rPr>
            </w:pPr>
          </w:p>
        </w:tc>
      </w:tr>
      <w:tr w:rsidR="00DD6F57" w:rsidRPr="00216722" w14:paraId="31DC9D23" w14:textId="77777777" w:rsidTr="004E4F93">
        <w:trPr>
          <w:trHeight w:val="379"/>
        </w:trPr>
        <w:tc>
          <w:tcPr>
            <w:tcW w:w="540" w:type="dxa"/>
            <w:tcBorders>
              <w:bottom w:val="single" w:sz="4" w:space="0" w:color="auto"/>
            </w:tcBorders>
          </w:tcPr>
          <w:p w14:paraId="508D6675"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9</w:t>
            </w:r>
          </w:p>
        </w:tc>
        <w:tc>
          <w:tcPr>
            <w:tcW w:w="4705" w:type="dxa"/>
            <w:tcBorders>
              <w:bottom w:val="single" w:sz="4" w:space="0" w:color="auto"/>
            </w:tcBorders>
          </w:tcPr>
          <w:p w14:paraId="5BA07630" w14:textId="77777777" w:rsidR="00DD6F57" w:rsidRPr="00216722" w:rsidRDefault="00DD6F57" w:rsidP="0095654A">
            <w:pPr>
              <w:rPr>
                <w:rFonts w:ascii="Times New Roman" w:hAnsi="Times New Roman" w:cs="Times New Roman"/>
                <w:sz w:val="28"/>
                <w:szCs w:val="28"/>
              </w:rPr>
            </w:pPr>
            <w:r w:rsidRPr="00216722">
              <w:rPr>
                <w:rFonts w:ascii="Times New Roman" w:hAnsi="Times New Roman" w:cs="Times New Roman"/>
                <w:sz w:val="28"/>
                <w:szCs w:val="28"/>
              </w:rPr>
              <w:t>Представлення роботи до захисту.</w:t>
            </w:r>
          </w:p>
        </w:tc>
        <w:tc>
          <w:tcPr>
            <w:tcW w:w="2835" w:type="dxa"/>
            <w:tcBorders>
              <w:bottom w:val="single" w:sz="4" w:space="0" w:color="auto"/>
            </w:tcBorders>
          </w:tcPr>
          <w:p w14:paraId="35E2E78E" w14:textId="6C44ABEB" w:rsidR="00DD6F57" w:rsidRPr="00216722" w:rsidRDefault="00B86575" w:rsidP="0095654A">
            <w:pPr>
              <w:jc w:val="center"/>
              <w:rPr>
                <w:rFonts w:ascii="Times New Roman" w:hAnsi="Times New Roman" w:cs="Times New Roman"/>
                <w:sz w:val="28"/>
                <w:szCs w:val="28"/>
              </w:rPr>
            </w:pPr>
            <w:r>
              <w:rPr>
                <w:rFonts w:ascii="Times New Roman" w:hAnsi="Times New Roman" w:cs="Times New Roman"/>
                <w:sz w:val="28"/>
                <w:szCs w:val="28"/>
              </w:rPr>
              <w:t>18</w:t>
            </w:r>
            <w:r w:rsidR="00DD6F57" w:rsidRPr="00216722">
              <w:rPr>
                <w:rFonts w:ascii="Times New Roman" w:hAnsi="Times New Roman" w:cs="Times New Roman"/>
                <w:sz w:val="28"/>
                <w:szCs w:val="28"/>
              </w:rPr>
              <w:t>.</w:t>
            </w:r>
            <w:r>
              <w:rPr>
                <w:rFonts w:ascii="Times New Roman" w:hAnsi="Times New Roman" w:cs="Times New Roman"/>
                <w:sz w:val="28"/>
                <w:szCs w:val="28"/>
              </w:rPr>
              <w:t>0</w:t>
            </w:r>
            <w:r w:rsidR="00DD6F57" w:rsidRPr="00216722">
              <w:rPr>
                <w:rFonts w:ascii="Times New Roman" w:hAnsi="Times New Roman" w:cs="Times New Roman"/>
                <w:sz w:val="28"/>
                <w:szCs w:val="28"/>
              </w:rPr>
              <w:t>1.20</w:t>
            </w:r>
            <w:r>
              <w:rPr>
                <w:rFonts w:ascii="Times New Roman" w:hAnsi="Times New Roman" w:cs="Times New Roman"/>
                <w:sz w:val="28"/>
                <w:szCs w:val="28"/>
              </w:rPr>
              <w:t>24</w:t>
            </w:r>
          </w:p>
        </w:tc>
        <w:tc>
          <w:tcPr>
            <w:tcW w:w="1588" w:type="dxa"/>
            <w:tcBorders>
              <w:bottom w:val="single" w:sz="4" w:space="0" w:color="auto"/>
            </w:tcBorders>
          </w:tcPr>
          <w:p w14:paraId="5CD9FD70" w14:textId="77777777" w:rsidR="00DD6F57" w:rsidRPr="00216722" w:rsidRDefault="00DD6F57" w:rsidP="0095654A">
            <w:pPr>
              <w:rPr>
                <w:rFonts w:ascii="Times New Roman" w:hAnsi="Times New Roman" w:cs="Times New Roman"/>
                <w:sz w:val="28"/>
                <w:szCs w:val="28"/>
              </w:rPr>
            </w:pPr>
          </w:p>
        </w:tc>
      </w:tr>
    </w:tbl>
    <w:p w14:paraId="77850D52" w14:textId="77777777" w:rsidR="00DD6F57" w:rsidRPr="00216722" w:rsidRDefault="00DD6F57" w:rsidP="00DD6F57">
      <w:pPr>
        <w:rPr>
          <w:rFonts w:ascii="Times New Roman" w:hAnsi="Times New Roman" w:cs="Times New Roman"/>
          <w:sz w:val="28"/>
          <w:szCs w:val="28"/>
        </w:rPr>
      </w:pPr>
    </w:p>
    <w:p w14:paraId="465CF92D" w14:textId="77777777" w:rsidR="00DD6F57" w:rsidRPr="00216722" w:rsidRDefault="00DD6F57" w:rsidP="00DD6F57">
      <w:pPr>
        <w:rPr>
          <w:rFonts w:ascii="Times New Roman" w:hAnsi="Times New Roman" w:cs="Times New Roman"/>
          <w:sz w:val="28"/>
          <w:szCs w:val="28"/>
        </w:rPr>
      </w:pPr>
    </w:p>
    <w:p w14:paraId="77D00CE2" w14:textId="050E5D9F" w:rsidR="00DD6F57" w:rsidRPr="00216722" w:rsidRDefault="00DD6F57" w:rsidP="00DD6F57">
      <w:pPr>
        <w:tabs>
          <w:tab w:val="left" w:pos="3544"/>
          <w:tab w:val="left" w:pos="6096"/>
          <w:tab w:val="right" w:pos="8931"/>
        </w:tabs>
        <w:ind w:left="1080" w:hanging="540"/>
        <w:rPr>
          <w:rFonts w:ascii="Times New Roman" w:hAnsi="Times New Roman" w:cs="Times New Roman"/>
          <w:sz w:val="28"/>
          <w:szCs w:val="28"/>
        </w:rPr>
      </w:pPr>
      <w:r w:rsidRPr="00216722">
        <w:rPr>
          <w:rFonts w:ascii="Times New Roman" w:hAnsi="Times New Roman" w:cs="Times New Roman"/>
          <w:sz w:val="28"/>
          <w:szCs w:val="28"/>
        </w:rPr>
        <w:t xml:space="preserve">Студент </w:t>
      </w:r>
      <w:r w:rsidRPr="00216722">
        <w:rPr>
          <w:rFonts w:ascii="Times New Roman" w:hAnsi="Times New Roman" w:cs="Times New Roman"/>
          <w:sz w:val="28"/>
          <w:szCs w:val="28"/>
        </w:rPr>
        <w:tab/>
      </w:r>
      <w:r w:rsidRPr="00216722">
        <w:rPr>
          <w:rFonts w:ascii="Times New Roman" w:hAnsi="Times New Roman" w:cs="Times New Roman"/>
          <w:sz w:val="28"/>
          <w:szCs w:val="28"/>
        </w:rPr>
        <w:tab/>
      </w:r>
      <w:r w:rsidR="00216722">
        <w:rPr>
          <w:rFonts w:ascii="Times New Roman" w:hAnsi="Times New Roman" w:cs="Times New Roman"/>
          <w:sz w:val="28"/>
          <w:szCs w:val="28"/>
        </w:rPr>
        <w:t>О.В.</w:t>
      </w:r>
      <w:r w:rsidR="007928F8">
        <w:rPr>
          <w:rFonts w:ascii="Times New Roman" w:hAnsi="Times New Roman" w:cs="Times New Roman"/>
          <w:sz w:val="28"/>
          <w:szCs w:val="28"/>
        </w:rPr>
        <w:t xml:space="preserve"> Ковальова</w:t>
      </w:r>
    </w:p>
    <w:p w14:paraId="038B3CA1" w14:textId="77777777" w:rsidR="00DD6F57" w:rsidRPr="00216722" w:rsidRDefault="00DD6F57" w:rsidP="00DD6F57">
      <w:pPr>
        <w:tabs>
          <w:tab w:val="left" w:pos="3544"/>
          <w:tab w:val="left" w:pos="6096"/>
          <w:tab w:val="right" w:pos="8931"/>
        </w:tabs>
        <w:ind w:left="1080" w:hanging="540"/>
        <w:rPr>
          <w:rFonts w:ascii="Times New Roman" w:hAnsi="Times New Roman" w:cs="Times New Roman"/>
          <w:sz w:val="28"/>
          <w:szCs w:val="28"/>
        </w:rPr>
      </w:pPr>
    </w:p>
    <w:p w14:paraId="0FA1B027" w14:textId="33AD7A80" w:rsidR="00DD6F57" w:rsidRPr="00216722" w:rsidRDefault="00DD6F57" w:rsidP="00DD6F57">
      <w:pPr>
        <w:tabs>
          <w:tab w:val="left" w:pos="3544"/>
          <w:tab w:val="left" w:pos="6096"/>
          <w:tab w:val="right" w:pos="8931"/>
        </w:tabs>
        <w:ind w:left="1080" w:hanging="540"/>
        <w:rPr>
          <w:rFonts w:ascii="Times New Roman" w:hAnsi="Times New Roman" w:cs="Times New Roman"/>
          <w:sz w:val="28"/>
          <w:szCs w:val="28"/>
        </w:rPr>
      </w:pPr>
      <w:r w:rsidRPr="00216722">
        <w:rPr>
          <w:rFonts w:ascii="Times New Roman" w:hAnsi="Times New Roman" w:cs="Times New Roman"/>
          <w:sz w:val="28"/>
          <w:szCs w:val="28"/>
        </w:rPr>
        <w:t>Науковий керівник дисертації</w:t>
      </w:r>
      <w:r w:rsidRPr="00216722">
        <w:rPr>
          <w:rFonts w:ascii="Times New Roman" w:hAnsi="Times New Roman" w:cs="Times New Roman"/>
          <w:sz w:val="28"/>
          <w:szCs w:val="28"/>
        </w:rPr>
        <w:tab/>
      </w:r>
      <w:r w:rsidR="007928F8">
        <w:rPr>
          <w:rFonts w:ascii="Times New Roman" w:hAnsi="Times New Roman" w:cs="Times New Roman"/>
          <w:sz w:val="28"/>
          <w:szCs w:val="28"/>
        </w:rPr>
        <w:t>О</w:t>
      </w:r>
      <w:r w:rsidRPr="00216722">
        <w:rPr>
          <w:rFonts w:ascii="Times New Roman" w:hAnsi="Times New Roman" w:cs="Times New Roman"/>
          <w:sz w:val="28"/>
          <w:szCs w:val="28"/>
        </w:rPr>
        <w:t>.</w:t>
      </w:r>
      <w:r w:rsidR="007928F8">
        <w:rPr>
          <w:rFonts w:ascii="Times New Roman" w:hAnsi="Times New Roman" w:cs="Times New Roman"/>
          <w:sz w:val="28"/>
          <w:szCs w:val="28"/>
        </w:rPr>
        <w:t>П</w:t>
      </w:r>
      <w:r w:rsidRPr="00216722">
        <w:rPr>
          <w:rFonts w:ascii="Times New Roman" w:hAnsi="Times New Roman" w:cs="Times New Roman"/>
          <w:sz w:val="28"/>
          <w:szCs w:val="28"/>
        </w:rPr>
        <w:t xml:space="preserve">. </w:t>
      </w:r>
      <w:r w:rsidR="007928F8">
        <w:rPr>
          <w:rFonts w:ascii="Times New Roman" w:hAnsi="Times New Roman" w:cs="Times New Roman"/>
          <w:sz w:val="28"/>
          <w:szCs w:val="28"/>
        </w:rPr>
        <w:t>Хохотва</w:t>
      </w:r>
    </w:p>
    <w:p w14:paraId="2335763A" w14:textId="77777777" w:rsidR="00DD6F57" w:rsidRDefault="00DD6F57" w:rsidP="008E765D">
      <w:pPr>
        <w:spacing w:after="0" w:line="360" w:lineRule="auto"/>
        <w:ind w:firstLine="567"/>
        <w:jc w:val="center"/>
        <w:rPr>
          <w:rFonts w:ascii="Times New Roman" w:eastAsia="Times New Roman" w:hAnsi="Times New Roman" w:cs="Times New Roman"/>
          <w:sz w:val="28"/>
          <w:szCs w:val="28"/>
        </w:rPr>
      </w:pPr>
    </w:p>
    <w:p w14:paraId="48188C89" w14:textId="77777777" w:rsidR="00DD6F57" w:rsidRDefault="00DD6F57" w:rsidP="008E765D">
      <w:pPr>
        <w:spacing w:after="0" w:line="360" w:lineRule="auto"/>
        <w:ind w:firstLine="567"/>
        <w:jc w:val="center"/>
        <w:rPr>
          <w:rFonts w:ascii="Times New Roman" w:eastAsia="Times New Roman" w:hAnsi="Times New Roman" w:cs="Times New Roman"/>
          <w:sz w:val="28"/>
          <w:szCs w:val="28"/>
        </w:rPr>
      </w:pPr>
    </w:p>
    <w:p w14:paraId="63CEC64B" w14:textId="77777777" w:rsidR="007928F8" w:rsidRDefault="007928F8" w:rsidP="008E765D">
      <w:pPr>
        <w:spacing w:after="0" w:line="360" w:lineRule="auto"/>
        <w:ind w:firstLine="567"/>
        <w:jc w:val="center"/>
        <w:rPr>
          <w:rFonts w:ascii="Times New Roman" w:eastAsia="Times New Roman" w:hAnsi="Times New Roman" w:cs="Times New Roman"/>
          <w:sz w:val="28"/>
          <w:szCs w:val="28"/>
        </w:rPr>
      </w:pPr>
    </w:p>
    <w:p w14:paraId="46D5E240" w14:textId="77777777" w:rsidR="007928F8" w:rsidRDefault="007928F8" w:rsidP="008E765D">
      <w:pPr>
        <w:spacing w:after="0" w:line="360" w:lineRule="auto"/>
        <w:ind w:firstLine="567"/>
        <w:jc w:val="center"/>
        <w:rPr>
          <w:rFonts w:ascii="Times New Roman" w:eastAsia="Times New Roman" w:hAnsi="Times New Roman" w:cs="Times New Roman"/>
          <w:sz w:val="28"/>
          <w:szCs w:val="28"/>
        </w:rPr>
      </w:pPr>
    </w:p>
    <w:p w14:paraId="68E8987E" w14:textId="77777777" w:rsidR="007928F8" w:rsidRDefault="007928F8" w:rsidP="008E765D">
      <w:pPr>
        <w:spacing w:after="0" w:line="360" w:lineRule="auto"/>
        <w:ind w:firstLine="567"/>
        <w:jc w:val="center"/>
        <w:rPr>
          <w:rFonts w:ascii="Times New Roman" w:eastAsia="Times New Roman" w:hAnsi="Times New Roman" w:cs="Times New Roman"/>
          <w:sz w:val="28"/>
          <w:szCs w:val="28"/>
        </w:rPr>
      </w:pPr>
    </w:p>
    <w:p w14:paraId="2EFBE964" w14:textId="77777777" w:rsidR="007928F8" w:rsidRPr="007770C7" w:rsidRDefault="007928F8" w:rsidP="008E765D">
      <w:pPr>
        <w:spacing w:after="0" w:line="360" w:lineRule="auto"/>
        <w:ind w:firstLine="567"/>
        <w:jc w:val="center"/>
        <w:rPr>
          <w:rFonts w:ascii="Times New Roman" w:eastAsia="Times New Roman" w:hAnsi="Times New Roman" w:cs="Times New Roman"/>
          <w:sz w:val="28"/>
          <w:szCs w:val="28"/>
          <w:lang w:val="ru-RU"/>
        </w:rPr>
      </w:pPr>
    </w:p>
    <w:p w14:paraId="750D5724" w14:textId="77777777" w:rsidR="00B1206D" w:rsidRPr="007770C7" w:rsidRDefault="00B1206D" w:rsidP="008E765D">
      <w:pPr>
        <w:spacing w:after="0" w:line="360" w:lineRule="auto"/>
        <w:ind w:firstLine="567"/>
        <w:jc w:val="center"/>
        <w:rPr>
          <w:rFonts w:ascii="Times New Roman" w:eastAsia="Times New Roman" w:hAnsi="Times New Roman" w:cs="Times New Roman"/>
          <w:sz w:val="28"/>
          <w:szCs w:val="28"/>
          <w:lang w:val="ru-RU"/>
        </w:rPr>
      </w:pPr>
    </w:p>
    <w:p w14:paraId="54D4C359" w14:textId="77777777" w:rsidR="00B1206D" w:rsidRPr="007770C7" w:rsidRDefault="00B1206D" w:rsidP="008E765D">
      <w:pPr>
        <w:spacing w:after="0" w:line="360" w:lineRule="auto"/>
        <w:ind w:firstLine="567"/>
        <w:jc w:val="center"/>
        <w:rPr>
          <w:rFonts w:ascii="Times New Roman" w:eastAsia="Times New Roman" w:hAnsi="Times New Roman" w:cs="Times New Roman"/>
          <w:sz w:val="28"/>
          <w:szCs w:val="28"/>
          <w:lang w:val="ru-RU"/>
        </w:rPr>
      </w:pPr>
    </w:p>
    <w:p w14:paraId="7877F828" w14:textId="77777777" w:rsidR="0095654A" w:rsidRDefault="0095654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0BA8FDF" w14:textId="34CFB583" w:rsidR="00A204B2" w:rsidRPr="00C87E86" w:rsidRDefault="004E4F93" w:rsidP="008E765D">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РЕФЕРАТ</w:t>
      </w:r>
    </w:p>
    <w:p w14:paraId="502E3334" w14:textId="5681A6AA" w:rsidR="00A204B2" w:rsidRPr="00C87E86" w:rsidRDefault="004645A9" w:rsidP="008E765D">
      <w:pPr>
        <w:spacing w:after="0" w:line="360" w:lineRule="auto"/>
        <w:ind w:firstLine="567"/>
        <w:jc w:val="both"/>
        <w:rPr>
          <w:rFonts w:ascii="Times New Roman" w:eastAsia="Times New Roman" w:hAnsi="Times New Roman" w:cs="Times New Roman"/>
          <w:sz w:val="28"/>
          <w:szCs w:val="28"/>
        </w:rPr>
      </w:pPr>
      <w:r w:rsidRPr="00C87E86">
        <w:rPr>
          <w:rFonts w:ascii="Times New Roman" w:eastAsia="Times New Roman" w:hAnsi="Times New Roman" w:cs="Times New Roman"/>
          <w:sz w:val="28"/>
          <w:szCs w:val="28"/>
        </w:rPr>
        <w:t xml:space="preserve">Ковальова О.В. </w:t>
      </w:r>
      <w:r w:rsidR="00C87E86" w:rsidRPr="00C87E86">
        <w:rPr>
          <w:rFonts w:ascii="Times New Roman" w:eastAsia="Times New Roman" w:hAnsi="Times New Roman" w:cs="Times New Roman"/>
          <w:sz w:val="28"/>
          <w:szCs w:val="28"/>
        </w:rPr>
        <w:t xml:space="preserve">Закриття гірничого підприємства: екологічний аспект сталого завершення користування надрами. - Магістерська дисертація на правах рукопису. </w:t>
      </w:r>
    </w:p>
    <w:p w14:paraId="46E3A87D" w14:textId="17D84022" w:rsidR="00C87E86" w:rsidRDefault="00C87E86" w:rsidP="008E765D">
      <w:pPr>
        <w:spacing w:after="0" w:line="360" w:lineRule="auto"/>
        <w:ind w:firstLine="567"/>
        <w:jc w:val="both"/>
        <w:rPr>
          <w:rFonts w:ascii="Times New Roman" w:eastAsia="Times New Roman" w:hAnsi="Times New Roman" w:cs="Times New Roman"/>
          <w:sz w:val="28"/>
          <w:szCs w:val="28"/>
        </w:rPr>
      </w:pPr>
      <w:r w:rsidRPr="00C87E86">
        <w:rPr>
          <w:rFonts w:ascii="Times New Roman" w:eastAsia="Times New Roman" w:hAnsi="Times New Roman" w:cs="Times New Roman"/>
          <w:sz w:val="28"/>
          <w:szCs w:val="28"/>
        </w:rPr>
        <w:t xml:space="preserve">Магістерська дисертація на здобуття ступеня вищої освіти </w:t>
      </w:r>
      <w:r>
        <w:rPr>
          <w:rFonts w:ascii="Times New Roman" w:eastAsia="Times New Roman" w:hAnsi="Times New Roman" w:cs="Times New Roman"/>
          <w:sz w:val="28"/>
          <w:szCs w:val="28"/>
        </w:rPr>
        <w:t xml:space="preserve">другого (магістерського) рівня в галузі знань «Екологічна безпека», спеціальності 101 «Екологія», Національного технічного університету України «Київський політехнічний інститут». </w:t>
      </w:r>
    </w:p>
    <w:p w14:paraId="5E211830" w14:textId="727D7F4C" w:rsidR="00C87E86" w:rsidRDefault="00C87E86" w:rsidP="008E765D">
      <w:pPr>
        <w:spacing w:after="0" w:line="360" w:lineRule="auto"/>
        <w:ind w:firstLine="567"/>
        <w:jc w:val="both"/>
        <w:rPr>
          <w:rFonts w:ascii="Times New Roman" w:eastAsia="Times New Roman" w:hAnsi="Times New Roman" w:cs="Times New Roman"/>
          <w:bCs/>
          <w:sz w:val="28"/>
          <w:szCs w:val="28"/>
        </w:rPr>
      </w:pPr>
      <w:r>
        <w:rPr>
          <w:rFonts w:ascii="Times New Roman" w:eastAsia="Times New Roman" w:hAnsi="Times New Roman" w:cs="Times New Roman"/>
          <w:sz w:val="28"/>
          <w:szCs w:val="28"/>
        </w:rPr>
        <w:t xml:space="preserve">Зміст анотації. </w:t>
      </w:r>
      <w:r w:rsidRPr="00C87E86">
        <w:rPr>
          <w:rFonts w:ascii="Times New Roman" w:eastAsia="Times New Roman" w:hAnsi="Times New Roman" w:cs="Times New Roman"/>
          <w:sz w:val="28"/>
          <w:szCs w:val="28"/>
        </w:rPr>
        <w:t xml:space="preserve">Магістерська дисертація </w:t>
      </w:r>
      <w:r w:rsidRPr="00D6276F">
        <w:rPr>
          <w:rFonts w:ascii="Times New Roman" w:eastAsia="Times New Roman" w:hAnsi="Times New Roman" w:cs="Times New Roman"/>
          <w:bCs/>
          <w:sz w:val="28"/>
          <w:szCs w:val="28"/>
        </w:rPr>
        <w:t xml:space="preserve">складається з </w:t>
      </w:r>
      <w:r w:rsidRPr="004E4F93">
        <w:rPr>
          <w:rFonts w:ascii="Times New Roman" w:eastAsia="Times New Roman" w:hAnsi="Times New Roman" w:cs="Times New Roman"/>
          <w:bCs/>
          <w:sz w:val="28"/>
          <w:szCs w:val="28"/>
        </w:rPr>
        <w:t xml:space="preserve">чотирьох розділів на </w:t>
      </w:r>
      <w:r w:rsidR="005D747E" w:rsidRPr="004E4F93">
        <w:rPr>
          <w:rFonts w:ascii="Times New Roman" w:eastAsia="Times New Roman" w:hAnsi="Times New Roman" w:cs="Times New Roman"/>
          <w:bCs/>
          <w:sz w:val="28"/>
          <w:szCs w:val="28"/>
        </w:rPr>
        <w:t>8</w:t>
      </w:r>
      <w:r w:rsidR="00E923BE" w:rsidRPr="004E4F93">
        <w:rPr>
          <w:rFonts w:ascii="Times New Roman" w:eastAsia="Times New Roman" w:hAnsi="Times New Roman" w:cs="Times New Roman"/>
          <w:bCs/>
          <w:sz w:val="28"/>
          <w:szCs w:val="28"/>
        </w:rPr>
        <w:t>6</w:t>
      </w:r>
      <w:r w:rsidR="0022486D" w:rsidRPr="004E4F93">
        <w:rPr>
          <w:rFonts w:ascii="Times New Roman" w:eastAsia="Times New Roman" w:hAnsi="Times New Roman" w:cs="Times New Roman"/>
          <w:bCs/>
          <w:sz w:val="28"/>
          <w:szCs w:val="28"/>
        </w:rPr>
        <w:t xml:space="preserve"> сторінок </w:t>
      </w:r>
      <w:r w:rsidRPr="004E4F93">
        <w:rPr>
          <w:rFonts w:ascii="Times New Roman" w:eastAsia="Times New Roman" w:hAnsi="Times New Roman" w:cs="Times New Roman"/>
          <w:bCs/>
          <w:sz w:val="28"/>
          <w:szCs w:val="28"/>
        </w:rPr>
        <w:t>та 37 джерел</w:t>
      </w:r>
      <w:r w:rsidR="002F169C" w:rsidRPr="004E4F93">
        <w:rPr>
          <w:rFonts w:ascii="Times New Roman" w:eastAsia="Times New Roman" w:hAnsi="Times New Roman" w:cs="Times New Roman"/>
          <w:bCs/>
          <w:sz w:val="28"/>
          <w:szCs w:val="28"/>
        </w:rPr>
        <w:t xml:space="preserve"> в переліку посилань</w:t>
      </w:r>
      <w:r w:rsidRPr="004E4F93">
        <w:rPr>
          <w:rFonts w:ascii="Times New Roman" w:eastAsia="Times New Roman" w:hAnsi="Times New Roman" w:cs="Times New Roman"/>
          <w:bCs/>
          <w:sz w:val="28"/>
          <w:szCs w:val="28"/>
        </w:rPr>
        <w:t>.</w:t>
      </w:r>
      <w:r w:rsidR="002F169C">
        <w:rPr>
          <w:rFonts w:ascii="Times New Roman" w:eastAsia="Times New Roman" w:hAnsi="Times New Roman" w:cs="Times New Roman"/>
          <w:bCs/>
          <w:sz w:val="28"/>
          <w:szCs w:val="28"/>
        </w:rPr>
        <w:t xml:space="preserve"> </w:t>
      </w:r>
    </w:p>
    <w:p w14:paraId="7B7CBBEA" w14:textId="77777777" w:rsidR="00237654" w:rsidRPr="00D6276F" w:rsidRDefault="00237654" w:rsidP="00237654">
      <w:pPr>
        <w:spacing w:after="0" w:line="360" w:lineRule="auto"/>
        <w:ind w:firstLine="720"/>
        <w:jc w:val="both"/>
        <w:rPr>
          <w:rFonts w:ascii="Times New Roman" w:eastAsia="Times New Roman" w:hAnsi="Times New Roman" w:cs="Times New Roman"/>
          <w:sz w:val="28"/>
          <w:szCs w:val="28"/>
        </w:rPr>
      </w:pPr>
      <w:r w:rsidRPr="00237654">
        <w:rPr>
          <w:rFonts w:ascii="Times New Roman" w:eastAsia="Times New Roman" w:hAnsi="Times New Roman" w:cs="Times New Roman"/>
          <w:sz w:val="28"/>
          <w:szCs w:val="28"/>
        </w:rPr>
        <w:t>Об'єктом дослідження</w:t>
      </w:r>
      <w:r w:rsidRPr="00D6276F">
        <w:rPr>
          <w:rFonts w:ascii="Times New Roman" w:eastAsia="Times New Roman" w:hAnsi="Times New Roman" w:cs="Times New Roman"/>
          <w:sz w:val="28"/>
          <w:szCs w:val="28"/>
        </w:rPr>
        <w:t xml:space="preserve"> магістерської дисертації є застосування принципів сталого розвитку у видобувній галузі. </w:t>
      </w:r>
    </w:p>
    <w:p w14:paraId="7B4200E2" w14:textId="77777777" w:rsidR="00237654" w:rsidRPr="00D6276F" w:rsidRDefault="00237654" w:rsidP="00237654">
      <w:pPr>
        <w:spacing w:after="0" w:line="360" w:lineRule="auto"/>
        <w:ind w:firstLine="720"/>
        <w:jc w:val="both"/>
        <w:rPr>
          <w:rFonts w:ascii="Times New Roman" w:eastAsia="Times New Roman" w:hAnsi="Times New Roman" w:cs="Times New Roman"/>
          <w:sz w:val="28"/>
          <w:szCs w:val="28"/>
        </w:rPr>
      </w:pPr>
      <w:r w:rsidRPr="00237654">
        <w:rPr>
          <w:rFonts w:ascii="Times New Roman" w:eastAsia="Times New Roman" w:hAnsi="Times New Roman" w:cs="Times New Roman"/>
          <w:sz w:val="28"/>
          <w:szCs w:val="28"/>
        </w:rPr>
        <w:t>Предметом дослідження</w:t>
      </w:r>
      <w:r w:rsidRPr="00D6276F">
        <w:rPr>
          <w:rFonts w:ascii="Times New Roman" w:eastAsia="Times New Roman" w:hAnsi="Times New Roman" w:cs="Times New Roman"/>
          <w:sz w:val="28"/>
          <w:szCs w:val="28"/>
        </w:rPr>
        <w:t xml:space="preserve"> є </w:t>
      </w:r>
      <w:r w:rsidRPr="00237654">
        <w:rPr>
          <w:rFonts w:ascii="Times New Roman" w:eastAsia="Times New Roman" w:hAnsi="Times New Roman" w:cs="Times New Roman"/>
          <w:sz w:val="28"/>
          <w:szCs w:val="28"/>
        </w:rPr>
        <w:t>екологічні аспекти закриття кар’єрів та їх врахування в управлінні видобутком протягом всього життєвого циклу родовища.</w:t>
      </w:r>
    </w:p>
    <w:p w14:paraId="713A4BD1" w14:textId="77777777" w:rsidR="00237654" w:rsidRPr="00D6276F" w:rsidRDefault="00237654" w:rsidP="00237654">
      <w:pPr>
        <w:pStyle w:val="aff9"/>
        <w:spacing w:before="0" w:beforeAutospacing="0" w:after="0" w:afterAutospacing="0" w:line="360" w:lineRule="auto"/>
        <w:ind w:firstLine="567"/>
        <w:jc w:val="both"/>
        <w:rPr>
          <w:sz w:val="28"/>
          <w:szCs w:val="28"/>
        </w:rPr>
      </w:pPr>
      <w:r w:rsidRPr="00237654">
        <w:rPr>
          <w:sz w:val="28"/>
          <w:szCs w:val="28"/>
        </w:rPr>
        <w:t>Метою</w:t>
      </w:r>
      <w:r w:rsidRPr="00D6276F">
        <w:rPr>
          <w:sz w:val="28"/>
          <w:szCs w:val="28"/>
        </w:rPr>
        <w:t xml:space="preserve"> магістерської дисертації є необхідність формування комплексного підходу до управління родовищами корисних копалин протягом всього життєвого циклу за ESG-принципами (екологічного, соціального і корпоративного управління).</w:t>
      </w:r>
    </w:p>
    <w:p w14:paraId="45106381" w14:textId="233A90BA" w:rsidR="00DA64CF" w:rsidRPr="004E4F93" w:rsidRDefault="00DA64CF" w:rsidP="008E765D">
      <w:pPr>
        <w:spacing w:after="0" w:line="360" w:lineRule="auto"/>
        <w:ind w:firstLine="567"/>
        <w:jc w:val="both"/>
        <w:rPr>
          <w:rFonts w:ascii="Times New Roman" w:eastAsia="Times New Roman" w:hAnsi="Times New Roman" w:cs="Times New Roman"/>
          <w:sz w:val="28"/>
          <w:szCs w:val="28"/>
        </w:rPr>
      </w:pPr>
      <w:r w:rsidRPr="004E4F93">
        <w:rPr>
          <w:rFonts w:ascii="Times New Roman" w:eastAsia="Times New Roman" w:hAnsi="Times New Roman" w:cs="Times New Roman"/>
          <w:sz w:val="28"/>
          <w:szCs w:val="28"/>
        </w:rPr>
        <w:t xml:space="preserve">У першому розділі розглянуті принципи та ідеї сталого розвитку при закритті видобувної діяльності. У другому розділі </w:t>
      </w:r>
      <w:r w:rsidR="007B47E8" w:rsidRPr="004E4F93">
        <w:rPr>
          <w:rFonts w:ascii="Times New Roman" w:eastAsia="Times New Roman" w:hAnsi="Times New Roman" w:cs="Times New Roman"/>
          <w:sz w:val="28"/>
          <w:szCs w:val="28"/>
        </w:rPr>
        <w:t>подана методологія досліджень</w:t>
      </w:r>
      <w:r w:rsidRPr="004E4F93">
        <w:rPr>
          <w:rFonts w:ascii="Times New Roman" w:eastAsia="Times New Roman" w:hAnsi="Times New Roman" w:cs="Times New Roman"/>
          <w:sz w:val="28"/>
          <w:szCs w:val="28"/>
        </w:rPr>
        <w:t xml:space="preserve">. </w:t>
      </w:r>
    </w:p>
    <w:p w14:paraId="6F17C770" w14:textId="18CF0272" w:rsidR="00DA64CF" w:rsidRDefault="00DA64CF" w:rsidP="008E765D">
      <w:pPr>
        <w:spacing w:after="0" w:line="360" w:lineRule="auto"/>
        <w:ind w:firstLine="567"/>
        <w:jc w:val="both"/>
        <w:rPr>
          <w:rFonts w:ascii="Times New Roman" w:eastAsia="Times New Roman" w:hAnsi="Times New Roman" w:cs="Times New Roman"/>
          <w:sz w:val="28"/>
          <w:szCs w:val="28"/>
        </w:rPr>
      </w:pPr>
      <w:r w:rsidRPr="004E4F93">
        <w:rPr>
          <w:rFonts w:ascii="Times New Roman" w:eastAsia="Times New Roman" w:hAnsi="Times New Roman" w:cs="Times New Roman"/>
          <w:sz w:val="28"/>
          <w:szCs w:val="28"/>
        </w:rPr>
        <w:t xml:space="preserve">У третьому розділі </w:t>
      </w:r>
      <w:r w:rsidR="00C829B9" w:rsidRPr="004E4F93">
        <w:rPr>
          <w:rFonts w:ascii="Times New Roman" w:eastAsia="Times New Roman" w:hAnsi="Times New Roman" w:cs="Times New Roman"/>
          <w:sz w:val="28"/>
          <w:szCs w:val="28"/>
        </w:rPr>
        <w:t xml:space="preserve">досліджені екологічні аспекти при </w:t>
      </w:r>
      <w:r w:rsidR="00F62DEF" w:rsidRPr="004E4F93">
        <w:rPr>
          <w:rFonts w:ascii="Times New Roman" w:eastAsia="Times New Roman" w:hAnsi="Times New Roman" w:cs="Times New Roman"/>
          <w:sz w:val="28"/>
          <w:szCs w:val="28"/>
        </w:rPr>
        <w:t>завершенні видобутку родовища та підготовки території до збалансованого існування. Використаний описаний в роботі підхід для аналізу запланованих та розробки додаткових заходів</w:t>
      </w:r>
      <w:r w:rsidR="00F62DEF">
        <w:rPr>
          <w:rFonts w:ascii="Times New Roman" w:eastAsia="Times New Roman" w:hAnsi="Times New Roman" w:cs="Times New Roman"/>
          <w:sz w:val="28"/>
          <w:szCs w:val="28"/>
        </w:rPr>
        <w:t xml:space="preserve"> для закриття Жовтокам’янського кар’єру. </w:t>
      </w:r>
    </w:p>
    <w:p w14:paraId="2E28C820" w14:textId="4996D307" w:rsidR="00237654" w:rsidRDefault="00F62DEF" w:rsidP="008E765D">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четвертому розділі розроблений старт-ап проєкт для </w:t>
      </w:r>
      <w:r w:rsidR="00607ED0">
        <w:rPr>
          <w:rFonts w:ascii="Times New Roman" w:eastAsia="Times New Roman" w:hAnsi="Times New Roman" w:cs="Times New Roman"/>
          <w:sz w:val="28"/>
          <w:szCs w:val="28"/>
        </w:rPr>
        <w:t xml:space="preserve">створення автоматизованої системи </w:t>
      </w:r>
      <w:r>
        <w:rPr>
          <w:rFonts w:ascii="Times New Roman" w:eastAsia="Times New Roman" w:hAnsi="Times New Roman" w:cs="Times New Roman"/>
          <w:sz w:val="28"/>
          <w:szCs w:val="28"/>
        </w:rPr>
        <w:t xml:space="preserve">обробки </w:t>
      </w:r>
      <w:r w:rsidR="00607ED0">
        <w:rPr>
          <w:rFonts w:ascii="Times New Roman" w:eastAsia="Times New Roman" w:hAnsi="Times New Roman" w:cs="Times New Roman"/>
          <w:sz w:val="28"/>
          <w:szCs w:val="28"/>
        </w:rPr>
        <w:t xml:space="preserve">та зберіганні інформації під час видобутку кар’єру з метою формування бази даних для звітності, прийняття управлінських рішень та підготовки до розробки заходів для закриття кар’єру. </w:t>
      </w:r>
    </w:p>
    <w:p w14:paraId="220AE8A5" w14:textId="2D17FD7C" w:rsidR="007B47E8" w:rsidRPr="003772B3" w:rsidRDefault="00237654" w:rsidP="00F537B8">
      <w:pPr>
        <w:spacing w:after="0" w:line="360" w:lineRule="auto"/>
        <w:ind w:firstLine="567"/>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Ключові слова: </w:t>
      </w:r>
      <w:r w:rsidRPr="0079548F">
        <w:rPr>
          <w:rFonts w:ascii="Times New Roman" w:eastAsia="Times New Roman" w:hAnsi="Times New Roman" w:cs="Times New Roman"/>
          <w:caps/>
          <w:sz w:val="28"/>
          <w:szCs w:val="28"/>
        </w:rPr>
        <w:t>видобувна діяльність, сталий розвиток, життєвий цикл кар’єра, екологічні аспекти, рекультивація, адаптація до змін клімату, відновлення, біорізноманіття</w:t>
      </w:r>
      <w:r w:rsidR="00760101" w:rsidRPr="0079548F">
        <w:rPr>
          <w:rFonts w:ascii="Times New Roman" w:eastAsia="Times New Roman" w:hAnsi="Times New Roman" w:cs="Times New Roman"/>
          <w:caps/>
          <w:sz w:val="28"/>
          <w:szCs w:val="28"/>
        </w:rPr>
        <w:t xml:space="preserve">. </w:t>
      </w:r>
      <w:r w:rsidR="007B47E8" w:rsidRPr="003772B3">
        <w:rPr>
          <w:rFonts w:ascii="Times New Roman" w:eastAsia="Times New Roman" w:hAnsi="Times New Roman" w:cs="Times New Roman"/>
          <w:sz w:val="28"/>
          <w:szCs w:val="28"/>
          <w:highlight w:val="yellow"/>
        </w:rPr>
        <w:br w:type="page"/>
      </w:r>
    </w:p>
    <w:p w14:paraId="01C2E631" w14:textId="6353D478" w:rsidR="00760101" w:rsidRPr="004E4F93" w:rsidRDefault="0079548F" w:rsidP="00760101">
      <w:pPr>
        <w:spacing w:after="0" w:line="360" w:lineRule="auto"/>
        <w:ind w:firstLine="567"/>
        <w:jc w:val="center"/>
        <w:rPr>
          <w:rFonts w:ascii="Times New Roman" w:eastAsia="Times New Roman" w:hAnsi="Times New Roman" w:cs="Times New Roman"/>
          <w:sz w:val="28"/>
          <w:szCs w:val="28"/>
          <w:lang w:val="en-US"/>
        </w:rPr>
      </w:pPr>
      <w:r w:rsidRPr="004E4F93">
        <w:rPr>
          <w:rFonts w:ascii="Times New Roman" w:eastAsia="Times New Roman" w:hAnsi="Times New Roman" w:cs="Times New Roman"/>
          <w:sz w:val="28"/>
          <w:szCs w:val="28"/>
          <w:lang w:val="en-US"/>
        </w:rPr>
        <w:lastRenderedPageBreak/>
        <w:t>ANNOTATION</w:t>
      </w:r>
    </w:p>
    <w:p w14:paraId="64A1D93C" w14:textId="63F59E07" w:rsidR="00D9327E" w:rsidRPr="004E4F93" w:rsidRDefault="00760101" w:rsidP="00760101">
      <w:pPr>
        <w:spacing w:after="0" w:line="360" w:lineRule="auto"/>
        <w:ind w:firstLine="567"/>
        <w:jc w:val="both"/>
        <w:rPr>
          <w:rFonts w:ascii="Times New Roman" w:eastAsia="Times New Roman" w:hAnsi="Times New Roman" w:cs="Times New Roman"/>
          <w:sz w:val="28"/>
          <w:szCs w:val="28"/>
          <w:lang w:val="en-US"/>
        </w:rPr>
      </w:pPr>
      <w:r w:rsidRPr="004E4F93">
        <w:rPr>
          <w:rFonts w:ascii="Times New Roman" w:eastAsia="Times New Roman" w:hAnsi="Times New Roman" w:cs="Times New Roman"/>
          <w:sz w:val="28"/>
          <w:szCs w:val="28"/>
          <w:lang w:val="en-US"/>
        </w:rPr>
        <w:t>Koval</w:t>
      </w:r>
      <w:r w:rsidR="00336CA8" w:rsidRPr="004E4F93">
        <w:rPr>
          <w:rFonts w:ascii="Times New Roman" w:eastAsia="Times New Roman" w:hAnsi="Times New Roman" w:cs="Times New Roman"/>
          <w:sz w:val="28"/>
          <w:szCs w:val="28"/>
          <w:lang w:val="en-US"/>
        </w:rPr>
        <w:t>o</w:t>
      </w:r>
      <w:r w:rsidRPr="004E4F93">
        <w:rPr>
          <w:rFonts w:ascii="Times New Roman" w:eastAsia="Times New Roman" w:hAnsi="Times New Roman" w:cs="Times New Roman"/>
          <w:sz w:val="28"/>
          <w:szCs w:val="28"/>
          <w:lang w:val="en-US"/>
        </w:rPr>
        <w:t xml:space="preserve">va O.V. </w:t>
      </w:r>
      <w:r w:rsidR="00D9327E" w:rsidRPr="004E4F93">
        <w:rPr>
          <w:rFonts w:ascii="Times New Roman" w:eastAsia="Times New Roman" w:hAnsi="Times New Roman" w:cs="Times New Roman"/>
          <w:sz w:val="28"/>
          <w:szCs w:val="28"/>
          <w:lang w:val="en-US"/>
        </w:rPr>
        <w:t xml:space="preserve">Closure of a mining enterprise: ecological aspect of sustainable </w:t>
      </w:r>
      <w:r w:rsidR="002A4A99" w:rsidRPr="004E4F93">
        <w:rPr>
          <w:rFonts w:ascii="Times New Roman" w:eastAsia="Times New Roman" w:hAnsi="Times New Roman" w:cs="Times New Roman"/>
          <w:sz w:val="28"/>
          <w:szCs w:val="28"/>
          <w:lang w:val="en-US"/>
        </w:rPr>
        <w:t xml:space="preserve">completion </w:t>
      </w:r>
      <w:r w:rsidR="00D9327E" w:rsidRPr="004E4F93">
        <w:rPr>
          <w:rFonts w:ascii="Times New Roman" w:eastAsia="Times New Roman" w:hAnsi="Times New Roman" w:cs="Times New Roman"/>
          <w:sz w:val="28"/>
          <w:szCs w:val="28"/>
          <w:lang w:val="en-US"/>
        </w:rPr>
        <w:t xml:space="preserve">of subsoil use. - Master's dissertation as a manuscript. </w:t>
      </w:r>
    </w:p>
    <w:p w14:paraId="498B7957" w14:textId="44939BCA" w:rsidR="00760101" w:rsidRPr="004E4F93" w:rsidRDefault="00760101" w:rsidP="00760101">
      <w:pPr>
        <w:spacing w:after="0" w:line="360" w:lineRule="auto"/>
        <w:ind w:firstLine="567"/>
        <w:jc w:val="both"/>
        <w:rPr>
          <w:rFonts w:ascii="Times New Roman" w:eastAsia="Times New Roman" w:hAnsi="Times New Roman" w:cs="Times New Roman"/>
          <w:sz w:val="28"/>
          <w:szCs w:val="28"/>
          <w:lang w:val="en-US"/>
        </w:rPr>
      </w:pPr>
      <w:r w:rsidRPr="004E4F93">
        <w:rPr>
          <w:rFonts w:ascii="Times New Roman" w:eastAsia="Times New Roman" w:hAnsi="Times New Roman" w:cs="Times New Roman"/>
          <w:sz w:val="28"/>
          <w:szCs w:val="28"/>
          <w:lang w:val="en-US"/>
        </w:rPr>
        <w:t xml:space="preserve">Master's </w:t>
      </w:r>
      <w:r w:rsidR="00D9327E" w:rsidRPr="004E4F93">
        <w:rPr>
          <w:rFonts w:ascii="Times New Roman" w:eastAsia="Times New Roman" w:hAnsi="Times New Roman" w:cs="Times New Roman"/>
          <w:sz w:val="28"/>
          <w:szCs w:val="28"/>
          <w:lang w:val="en-US"/>
        </w:rPr>
        <w:t>dissertation for obtaining an educational degree at the second level of higher education (Master's degree), the field of study</w:t>
      </w:r>
      <w:r w:rsidRPr="004E4F93">
        <w:rPr>
          <w:rFonts w:ascii="Times New Roman" w:eastAsia="Times New Roman" w:hAnsi="Times New Roman" w:cs="Times New Roman"/>
          <w:sz w:val="28"/>
          <w:szCs w:val="28"/>
          <w:lang w:val="en-US"/>
        </w:rPr>
        <w:t xml:space="preserve"> "Environmental safety", specialty 101 "Ecology", National Technical University of Ukraine "Kyiv Polytechnic Institute".</w:t>
      </w:r>
      <w:r w:rsidR="00D9327E" w:rsidRPr="004E4F93">
        <w:rPr>
          <w:rFonts w:ascii="Times New Roman" w:eastAsia="Times New Roman" w:hAnsi="Times New Roman" w:cs="Times New Roman"/>
          <w:sz w:val="28"/>
          <w:szCs w:val="28"/>
          <w:lang w:val="en-US"/>
        </w:rPr>
        <w:t xml:space="preserve"> </w:t>
      </w:r>
    </w:p>
    <w:p w14:paraId="06BAD633" w14:textId="59EF5A62" w:rsidR="00760101" w:rsidRPr="00336CA8" w:rsidRDefault="00760101" w:rsidP="00760101">
      <w:pPr>
        <w:spacing w:after="0" w:line="360" w:lineRule="auto"/>
        <w:ind w:firstLine="567"/>
        <w:jc w:val="both"/>
        <w:rPr>
          <w:rFonts w:ascii="Times New Roman" w:eastAsia="Times New Roman" w:hAnsi="Times New Roman" w:cs="Times New Roman"/>
          <w:sz w:val="28"/>
          <w:szCs w:val="28"/>
          <w:lang w:val="en-US"/>
        </w:rPr>
      </w:pPr>
      <w:r w:rsidRPr="004E4F93">
        <w:rPr>
          <w:rFonts w:ascii="Times New Roman" w:eastAsia="Times New Roman" w:hAnsi="Times New Roman" w:cs="Times New Roman"/>
          <w:sz w:val="28"/>
          <w:szCs w:val="28"/>
          <w:lang w:val="en-US"/>
        </w:rPr>
        <w:t xml:space="preserve">Abstract content. The master's </w:t>
      </w:r>
      <w:r w:rsidR="001B2930" w:rsidRPr="004E4F93">
        <w:rPr>
          <w:rFonts w:ascii="Times New Roman" w:eastAsia="Times New Roman" w:hAnsi="Times New Roman" w:cs="Times New Roman"/>
          <w:sz w:val="28"/>
          <w:szCs w:val="28"/>
          <w:lang w:val="en-US"/>
        </w:rPr>
        <w:t xml:space="preserve">dissertation </w:t>
      </w:r>
      <w:r w:rsidRPr="004E4F93">
        <w:rPr>
          <w:rFonts w:ascii="Times New Roman" w:eastAsia="Times New Roman" w:hAnsi="Times New Roman" w:cs="Times New Roman"/>
          <w:sz w:val="28"/>
          <w:szCs w:val="28"/>
          <w:lang w:val="en-US"/>
        </w:rPr>
        <w:t xml:space="preserve">consists of four chapters </w:t>
      </w:r>
      <w:r w:rsidR="0022486D" w:rsidRPr="004E4F93">
        <w:rPr>
          <w:rFonts w:ascii="Times New Roman" w:eastAsia="Times New Roman" w:hAnsi="Times New Roman" w:cs="Times New Roman"/>
          <w:sz w:val="28"/>
          <w:szCs w:val="28"/>
          <w:lang w:val="en-US"/>
        </w:rPr>
        <w:t xml:space="preserve">on </w:t>
      </w:r>
      <w:r w:rsidR="005D747E" w:rsidRPr="004E4F93">
        <w:rPr>
          <w:rFonts w:ascii="Times New Roman" w:eastAsia="Times New Roman" w:hAnsi="Times New Roman" w:cs="Times New Roman"/>
          <w:sz w:val="28"/>
          <w:szCs w:val="28"/>
        </w:rPr>
        <w:t>8</w:t>
      </w:r>
      <w:r w:rsidR="00E923BE" w:rsidRPr="004E4F93">
        <w:rPr>
          <w:rFonts w:ascii="Times New Roman" w:eastAsia="Times New Roman" w:hAnsi="Times New Roman" w:cs="Times New Roman"/>
          <w:sz w:val="28"/>
          <w:szCs w:val="28"/>
        </w:rPr>
        <w:t>6</w:t>
      </w:r>
      <w:r w:rsidR="0022486D" w:rsidRPr="004E4F93">
        <w:rPr>
          <w:rFonts w:ascii="Times New Roman" w:eastAsia="Times New Roman" w:hAnsi="Times New Roman" w:cs="Times New Roman"/>
          <w:sz w:val="28"/>
          <w:szCs w:val="28"/>
          <w:lang w:val="en-US"/>
        </w:rPr>
        <w:t xml:space="preserve"> pages</w:t>
      </w:r>
      <w:r w:rsidR="0022486D" w:rsidRPr="004E4F93">
        <w:rPr>
          <w:rFonts w:ascii="Times New Roman" w:eastAsia="Times New Roman" w:hAnsi="Times New Roman" w:cs="Times New Roman"/>
          <w:sz w:val="28"/>
          <w:szCs w:val="28"/>
        </w:rPr>
        <w:t xml:space="preserve"> </w:t>
      </w:r>
      <w:r w:rsidRPr="004E4F93">
        <w:rPr>
          <w:rFonts w:ascii="Times New Roman" w:eastAsia="Times New Roman" w:hAnsi="Times New Roman" w:cs="Times New Roman"/>
          <w:sz w:val="28"/>
          <w:szCs w:val="28"/>
          <w:lang w:val="en-US"/>
        </w:rPr>
        <w:t>and</w:t>
      </w:r>
      <w:r w:rsidRPr="00336CA8">
        <w:rPr>
          <w:rFonts w:ascii="Times New Roman" w:eastAsia="Times New Roman" w:hAnsi="Times New Roman" w:cs="Times New Roman"/>
          <w:sz w:val="28"/>
          <w:szCs w:val="28"/>
          <w:lang w:val="en-US"/>
        </w:rPr>
        <w:t xml:space="preserve"> 37 sources in the list of references.</w:t>
      </w:r>
      <w:r w:rsidR="001B2930">
        <w:rPr>
          <w:rFonts w:ascii="Times New Roman" w:eastAsia="Times New Roman" w:hAnsi="Times New Roman" w:cs="Times New Roman"/>
          <w:sz w:val="28"/>
          <w:szCs w:val="28"/>
          <w:lang w:val="en-US"/>
        </w:rPr>
        <w:t xml:space="preserve"> </w:t>
      </w:r>
    </w:p>
    <w:p w14:paraId="02A93960" w14:textId="0AA3380E" w:rsidR="001B2930" w:rsidRDefault="00760101" w:rsidP="00760101">
      <w:pPr>
        <w:spacing w:after="0" w:line="360" w:lineRule="auto"/>
        <w:ind w:firstLine="567"/>
        <w:jc w:val="both"/>
        <w:rPr>
          <w:rFonts w:ascii="Times New Roman" w:eastAsia="Times New Roman" w:hAnsi="Times New Roman" w:cs="Times New Roman"/>
          <w:sz w:val="28"/>
          <w:szCs w:val="28"/>
          <w:lang w:val="en-US"/>
        </w:rPr>
      </w:pPr>
      <w:r w:rsidRPr="00336CA8">
        <w:rPr>
          <w:rFonts w:ascii="Times New Roman" w:eastAsia="Times New Roman" w:hAnsi="Times New Roman" w:cs="Times New Roman"/>
          <w:sz w:val="28"/>
          <w:szCs w:val="28"/>
          <w:lang w:val="en-US"/>
        </w:rPr>
        <w:t xml:space="preserve">The object of research of the master's </w:t>
      </w:r>
      <w:r w:rsidR="001B2930" w:rsidRPr="00D9327E">
        <w:rPr>
          <w:rFonts w:ascii="Times New Roman" w:eastAsia="Times New Roman" w:hAnsi="Times New Roman" w:cs="Times New Roman"/>
          <w:sz w:val="28"/>
          <w:szCs w:val="28"/>
          <w:lang w:val="en-US"/>
        </w:rPr>
        <w:t xml:space="preserve">dissertation </w:t>
      </w:r>
      <w:r w:rsidRPr="00336CA8">
        <w:rPr>
          <w:rFonts w:ascii="Times New Roman" w:eastAsia="Times New Roman" w:hAnsi="Times New Roman" w:cs="Times New Roman"/>
          <w:sz w:val="28"/>
          <w:szCs w:val="28"/>
          <w:lang w:val="en-US"/>
        </w:rPr>
        <w:t xml:space="preserve">is </w:t>
      </w:r>
      <w:r w:rsidR="001B2930" w:rsidRPr="001B2930">
        <w:rPr>
          <w:rFonts w:ascii="Times New Roman" w:eastAsia="Times New Roman" w:hAnsi="Times New Roman" w:cs="Times New Roman"/>
          <w:sz w:val="28"/>
          <w:szCs w:val="28"/>
          <w:lang w:val="en-US"/>
        </w:rPr>
        <w:t xml:space="preserve">the implementation of sustainable development principles in the mining industry. </w:t>
      </w:r>
    </w:p>
    <w:p w14:paraId="5B223FA9" w14:textId="6D1F63DD" w:rsidR="00760101" w:rsidRPr="00336CA8" w:rsidRDefault="00760101" w:rsidP="00760101">
      <w:pPr>
        <w:spacing w:after="0" w:line="360" w:lineRule="auto"/>
        <w:ind w:firstLine="567"/>
        <w:jc w:val="both"/>
        <w:rPr>
          <w:rFonts w:ascii="Times New Roman" w:eastAsia="Times New Roman" w:hAnsi="Times New Roman" w:cs="Times New Roman"/>
          <w:sz w:val="28"/>
          <w:szCs w:val="28"/>
          <w:lang w:val="en-US"/>
        </w:rPr>
      </w:pPr>
      <w:r w:rsidRPr="00336CA8">
        <w:rPr>
          <w:rFonts w:ascii="Times New Roman" w:eastAsia="Times New Roman" w:hAnsi="Times New Roman" w:cs="Times New Roman"/>
          <w:sz w:val="28"/>
          <w:szCs w:val="28"/>
          <w:lang w:val="en-US"/>
        </w:rPr>
        <w:t xml:space="preserve">The subject of </w:t>
      </w:r>
      <w:r w:rsidR="00B20473" w:rsidRPr="00336CA8">
        <w:rPr>
          <w:rFonts w:ascii="Times New Roman" w:eastAsia="Times New Roman" w:hAnsi="Times New Roman" w:cs="Times New Roman"/>
          <w:sz w:val="28"/>
          <w:szCs w:val="28"/>
          <w:lang w:val="en-US"/>
        </w:rPr>
        <w:t xml:space="preserve">research </w:t>
      </w:r>
      <w:r w:rsidRPr="00336CA8">
        <w:rPr>
          <w:rFonts w:ascii="Times New Roman" w:eastAsia="Times New Roman" w:hAnsi="Times New Roman" w:cs="Times New Roman"/>
          <w:sz w:val="28"/>
          <w:szCs w:val="28"/>
          <w:lang w:val="en-US"/>
        </w:rPr>
        <w:t xml:space="preserve">is </w:t>
      </w:r>
      <w:r w:rsidR="006041B8" w:rsidRPr="006041B8">
        <w:rPr>
          <w:rFonts w:ascii="Times New Roman" w:eastAsia="Times New Roman" w:hAnsi="Times New Roman" w:cs="Times New Roman"/>
          <w:sz w:val="28"/>
          <w:szCs w:val="28"/>
          <w:lang w:val="en-US"/>
        </w:rPr>
        <w:t>environmental aspects of quarry closure and their consideration in mining management throughout the lifecycle of a site.</w:t>
      </w:r>
      <w:r w:rsidR="006041B8">
        <w:rPr>
          <w:rFonts w:ascii="Times New Roman" w:eastAsia="Times New Roman" w:hAnsi="Times New Roman" w:cs="Times New Roman"/>
          <w:sz w:val="28"/>
          <w:szCs w:val="28"/>
          <w:lang w:val="en-US"/>
        </w:rPr>
        <w:t xml:space="preserve"> </w:t>
      </w:r>
    </w:p>
    <w:p w14:paraId="5829DB8D" w14:textId="2CEFCDF2" w:rsidR="00203D5C" w:rsidRDefault="00203D5C" w:rsidP="00760101">
      <w:pPr>
        <w:spacing w:after="0" w:line="360" w:lineRule="auto"/>
        <w:ind w:firstLine="567"/>
        <w:jc w:val="both"/>
        <w:rPr>
          <w:rFonts w:ascii="Times New Roman" w:eastAsia="Times New Roman" w:hAnsi="Times New Roman" w:cs="Times New Roman"/>
          <w:sz w:val="28"/>
          <w:szCs w:val="28"/>
          <w:lang w:val="en-US"/>
        </w:rPr>
      </w:pPr>
      <w:r w:rsidRPr="00203D5C">
        <w:rPr>
          <w:rFonts w:ascii="Times New Roman" w:eastAsia="Times New Roman" w:hAnsi="Times New Roman" w:cs="Times New Roman"/>
          <w:sz w:val="28"/>
          <w:szCs w:val="28"/>
          <w:lang w:val="en-US"/>
        </w:rPr>
        <w:t>The goal of the master's dissertation is development of integrated approach to the management of mineral resources</w:t>
      </w:r>
      <w:r w:rsidR="0016130E">
        <w:rPr>
          <w:rFonts w:ascii="Times New Roman" w:eastAsia="Times New Roman" w:hAnsi="Times New Roman" w:cs="Times New Roman"/>
          <w:sz w:val="28"/>
          <w:szCs w:val="28"/>
          <w:lang w:val="en-US"/>
        </w:rPr>
        <w:t xml:space="preserve"> mining</w:t>
      </w:r>
      <w:r w:rsidRPr="00203D5C">
        <w:rPr>
          <w:rFonts w:ascii="Times New Roman" w:eastAsia="Times New Roman" w:hAnsi="Times New Roman" w:cs="Times New Roman"/>
          <w:sz w:val="28"/>
          <w:szCs w:val="28"/>
          <w:lang w:val="en-US"/>
        </w:rPr>
        <w:t xml:space="preserve"> throughout the entire lifecycle based on ESG principles (environmental, social and corporate governance). </w:t>
      </w:r>
    </w:p>
    <w:p w14:paraId="3814D186" w14:textId="25A045CE" w:rsidR="0016130E" w:rsidRPr="004E4F93" w:rsidRDefault="0016130E" w:rsidP="00760101">
      <w:pPr>
        <w:spacing w:after="0" w:line="360" w:lineRule="auto"/>
        <w:ind w:firstLine="567"/>
        <w:jc w:val="both"/>
        <w:rPr>
          <w:rFonts w:ascii="Times New Roman" w:eastAsia="Times New Roman" w:hAnsi="Times New Roman" w:cs="Times New Roman"/>
          <w:sz w:val="28"/>
          <w:szCs w:val="28"/>
          <w:lang w:val="en-US"/>
        </w:rPr>
      </w:pPr>
      <w:r w:rsidRPr="004E4F93">
        <w:rPr>
          <w:rFonts w:ascii="Times New Roman" w:eastAsia="Times New Roman" w:hAnsi="Times New Roman" w:cs="Times New Roman"/>
          <w:sz w:val="28"/>
          <w:szCs w:val="28"/>
          <w:lang w:val="en-US"/>
        </w:rPr>
        <w:t xml:space="preserve">The first section reviews the principles and ideas of sustainable development in the closure of mining operations. The second section </w:t>
      </w:r>
      <w:r w:rsidR="004F565F" w:rsidRPr="004E4F93">
        <w:rPr>
          <w:rFonts w:ascii="Times New Roman" w:eastAsia="Times New Roman" w:hAnsi="Times New Roman" w:cs="Times New Roman"/>
          <w:sz w:val="28"/>
          <w:szCs w:val="28"/>
          <w:lang w:val="en-US"/>
        </w:rPr>
        <w:t>described methodology of investigation</w:t>
      </w:r>
      <w:r w:rsidRPr="004E4F93">
        <w:rPr>
          <w:rFonts w:ascii="Times New Roman" w:eastAsia="Times New Roman" w:hAnsi="Times New Roman" w:cs="Times New Roman"/>
          <w:sz w:val="28"/>
          <w:szCs w:val="28"/>
          <w:lang w:val="en-US"/>
        </w:rPr>
        <w:t xml:space="preserve">. </w:t>
      </w:r>
    </w:p>
    <w:p w14:paraId="72A02F5C" w14:textId="0D42B3FB" w:rsidR="0016130E" w:rsidRDefault="0016130E" w:rsidP="00760101">
      <w:pPr>
        <w:spacing w:after="0" w:line="360" w:lineRule="auto"/>
        <w:ind w:firstLine="567"/>
        <w:jc w:val="both"/>
        <w:rPr>
          <w:rFonts w:ascii="Times New Roman" w:eastAsia="Times New Roman" w:hAnsi="Times New Roman" w:cs="Times New Roman"/>
          <w:sz w:val="28"/>
          <w:szCs w:val="28"/>
          <w:lang w:val="en-US"/>
        </w:rPr>
      </w:pPr>
      <w:r w:rsidRPr="004E4F93">
        <w:rPr>
          <w:rFonts w:ascii="Times New Roman" w:eastAsia="Times New Roman" w:hAnsi="Times New Roman" w:cs="Times New Roman"/>
          <w:sz w:val="28"/>
          <w:szCs w:val="28"/>
          <w:lang w:val="en-US"/>
        </w:rPr>
        <w:t>The third section investigates environmental aspects of mining closure and preparing the site for a sustainable existence</w:t>
      </w:r>
      <w:r w:rsidR="004E4F93">
        <w:rPr>
          <w:rFonts w:ascii="Times New Roman" w:eastAsia="Times New Roman" w:hAnsi="Times New Roman" w:cs="Times New Roman"/>
          <w:sz w:val="28"/>
          <w:szCs w:val="28"/>
          <w:lang w:val="en-US"/>
        </w:rPr>
        <w:t>.</w:t>
      </w:r>
      <w:r w:rsidRPr="004E4F93">
        <w:rPr>
          <w:rFonts w:ascii="Times New Roman" w:eastAsia="Times New Roman" w:hAnsi="Times New Roman" w:cs="Times New Roman"/>
          <w:sz w:val="28"/>
          <w:szCs w:val="28"/>
          <w:lang w:val="en-US"/>
        </w:rPr>
        <w:t xml:space="preserve"> The study used the approach described in this paper to analyze existing plans and develop</w:t>
      </w:r>
      <w:r w:rsidRPr="0016130E">
        <w:rPr>
          <w:rFonts w:ascii="Times New Roman" w:eastAsia="Times New Roman" w:hAnsi="Times New Roman" w:cs="Times New Roman"/>
          <w:sz w:val="28"/>
          <w:szCs w:val="28"/>
          <w:lang w:val="en-US"/>
        </w:rPr>
        <w:t xml:space="preserve"> additional measures for the closure of the Zhovtokamianskyi quarry. </w:t>
      </w:r>
    </w:p>
    <w:p w14:paraId="4CED5B26" w14:textId="237FA324" w:rsidR="00FC248A" w:rsidRDefault="00FC248A" w:rsidP="00760101">
      <w:pPr>
        <w:spacing w:after="0" w:line="360" w:lineRule="auto"/>
        <w:ind w:firstLine="567"/>
        <w:jc w:val="both"/>
        <w:rPr>
          <w:rFonts w:ascii="Times New Roman" w:eastAsia="Times New Roman" w:hAnsi="Times New Roman" w:cs="Times New Roman"/>
          <w:sz w:val="28"/>
          <w:szCs w:val="28"/>
          <w:lang w:val="en-US"/>
        </w:rPr>
      </w:pPr>
      <w:r w:rsidRPr="00FC248A">
        <w:rPr>
          <w:rFonts w:ascii="Times New Roman" w:eastAsia="Times New Roman" w:hAnsi="Times New Roman" w:cs="Times New Roman"/>
          <w:sz w:val="28"/>
          <w:szCs w:val="28"/>
          <w:lang w:val="en-US"/>
        </w:rPr>
        <w:t>In the fourth section, a start-up project is developed to create an automated system for processing and storing information during quarrying in order to collect a database for reporting, management decisions making and preparing fo</w:t>
      </w:r>
      <w:r>
        <w:rPr>
          <w:rFonts w:ascii="Times New Roman" w:eastAsia="Times New Roman" w:hAnsi="Times New Roman" w:cs="Times New Roman"/>
          <w:sz w:val="28"/>
          <w:szCs w:val="28"/>
          <w:lang w:val="en-US"/>
        </w:rPr>
        <w:t>r the development of measures for</w:t>
      </w:r>
      <w:r w:rsidRPr="00FC248A">
        <w:rPr>
          <w:rFonts w:ascii="Times New Roman" w:eastAsia="Times New Roman" w:hAnsi="Times New Roman" w:cs="Times New Roman"/>
          <w:sz w:val="28"/>
          <w:szCs w:val="28"/>
          <w:lang w:val="en-US"/>
        </w:rPr>
        <w:t xml:space="preserve"> mining closure. </w:t>
      </w:r>
    </w:p>
    <w:p w14:paraId="5EC4CCB5" w14:textId="54DFD894" w:rsidR="00760101" w:rsidRPr="00336CA8" w:rsidRDefault="00760101" w:rsidP="00760101">
      <w:pPr>
        <w:spacing w:after="0" w:line="360" w:lineRule="auto"/>
        <w:ind w:firstLine="567"/>
        <w:jc w:val="both"/>
        <w:rPr>
          <w:rFonts w:ascii="Times New Roman" w:eastAsia="Times New Roman" w:hAnsi="Times New Roman" w:cs="Times New Roman"/>
          <w:sz w:val="28"/>
          <w:szCs w:val="28"/>
          <w:lang w:val="en-US"/>
        </w:rPr>
      </w:pPr>
      <w:r w:rsidRPr="00336CA8">
        <w:rPr>
          <w:rFonts w:ascii="Times New Roman" w:eastAsia="Times New Roman" w:hAnsi="Times New Roman" w:cs="Times New Roman"/>
          <w:sz w:val="28"/>
          <w:szCs w:val="28"/>
          <w:lang w:val="en-US"/>
        </w:rPr>
        <w:t xml:space="preserve">Key words: </w:t>
      </w:r>
      <w:r w:rsidR="00FC248A" w:rsidRPr="0079548F">
        <w:rPr>
          <w:rFonts w:ascii="Times New Roman" w:eastAsia="Times New Roman" w:hAnsi="Times New Roman" w:cs="Times New Roman"/>
          <w:caps/>
          <w:sz w:val="28"/>
          <w:szCs w:val="28"/>
          <w:lang w:val="en-US"/>
        </w:rPr>
        <w:t>mining</w:t>
      </w:r>
      <w:r w:rsidRPr="0079548F">
        <w:rPr>
          <w:rFonts w:ascii="Times New Roman" w:eastAsia="Times New Roman" w:hAnsi="Times New Roman" w:cs="Times New Roman"/>
          <w:caps/>
          <w:sz w:val="28"/>
          <w:szCs w:val="28"/>
          <w:lang w:val="en-US"/>
        </w:rPr>
        <w:t xml:space="preserve"> activity, sustainable development, </w:t>
      </w:r>
      <w:r w:rsidR="00FC248A" w:rsidRPr="0079548F">
        <w:rPr>
          <w:rFonts w:ascii="Times New Roman" w:eastAsia="Times New Roman" w:hAnsi="Times New Roman" w:cs="Times New Roman"/>
          <w:caps/>
          <w:sz w:val="28"/>
          <w:szCs w:val="28"/>
          <w:lang w:val="en-US"/>
        </w:rPr>
        <w:t>quarry life</w:t>
      </w:r>
      <w:r w:rsidRPr="0079548F">
        <w:rPr>
          <w:rFonts w:ascii="Times New Roman" w:eastAsia="Times New Roman" w:hAnsi="Times New Roman" w:cs="Times New Roman"/>
          <w:caps/>
          <w:sz w:val="28"/>
          <w:szCs w:val="28"/>
          <w:lang w:val="en-US"/>
        </w:rPr>
        <w:t>cycle, environmental aspects, reclamation, adaptation to climate change, restoration, biodiversity.</w:t>
      </w:r>
    </w:p>
    <w:p w14:paraId="176F3FE3" w14:textId="77777777" w:rsidR="00A204B2" w:rsidRPr="00D6276F" w:rsidRDefault="00A204B2"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br w:type="page"/>
      </w:r>
    </w:p>
    <w:p w14:paraId="21F2B3D2" w14:textId="77777777" w:rsidR="00E14CD7" w:rsidRPr="00D6276F" w:rsidRDefault="00E14CD7" w:rsidP="008E765D">
      <w:pPr>
        <w:spacing w:after="0" w:line="360" w:lineRule="auto"/>
        <w:ind w:firstLine="567"/>
        <w:jc w:val="center"/>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ЗМІСТ</w:t>
      </w:r>
    </w:p>
    <w:sdt>
      <w:sdtPr>
        <w:rPr>
          <w:rFonts w:ascii="Times New Roman" w:eastAsia="Calibri" w:hAnsi="Times New Roman" w:cs="Times New Roman"/>
          <w:b w:val="0"/>
          <w:bCs w:val="0"/>
          <w:color w:val="auto"/>
          <w:sz w:val="22"/>
          <w:szCs w:val="22"/>
          <w:lang w:val="uk-UA"/>
        </w:rPr>
        <w:id w:val="1806894658"/>
        <w:docPartObj>
          <w:docPartGallery w:val="Table of Contents"/>
          <w:docPartUnique/>
        </w:docPartObj>
      </w:sdtPr>
      <w:sdtEndPr>
        <w:rPr>
          <w:sz w:val="28"/>
          <w:szCs w:val="28"/>
        </w:rPr>
      </w:sdtEndPr>
      <w:sdtContent>
        <w:p w14:paraId="76E93649" w14:textId="77777777" w:rsidR="00E14CD7" w:rsidRPr="002A4A99" w:rsidRDefault="00E14CD7" w:rsidP="008E765D">
          <w:pPr>
            <w:pStyle w:val="aff4"/>
            <w:spacing w:before="0"/>
            <w:rPr>
              <w:rFonts w:ascii="Times New Roman" w:hAnsi="Times New Roman" w:cs="Times New Roman"/>
              <w:sz w:val="16"/>
              <w:szCs w:val="16"/>
              <w:lang w:val="uk-UA"/>
            </w:rPr>
          </w:pPr>
        </w:p>
        <w:p w14:paraId="1ED4A6E1" w14:textId="77777777" w:rsidR="008B32D8" w:rsidRPr="008B32D8" w:rsidRDefault="00E14CD7">
          <w:pPr>
            <w:pStyle w:val="20"/>
            <w:tabs>
              <w:tab w:val="right" w:leader="dot" w:pos="10196"/>
            </w:tabs>
            <w:rPr>
              <w:rFonts w:ascii="Times New Roman" w:eastAsiaTheme="minorEastAsia" w:hAnsi="Times New Roman" w:cs="Times New Roman"/>
              <w:noProof/>
              <w:sz w:val="28"/>
              <w:szCs w:val="28"/>
              <w:lang w:val="ru-RU"/>
            </w:rPr>
          </w:pPr>
          <w:r w:rsidRPr="008B32D8">
            <w:rPr>
              <w:rFonts w:ascii="Times New Roman" w:hAnsi="Times New Roman" w:cs="Times New Roman"/>
              <w:sz w:val="28"/>
              <w:szCs w:val="28"/>
            </w:rPr>
            <w:fldChar w:fldCharType="begin"/>
          </w:r>
          <w:r w:rsidRPr="008B32D8">
            <w:rPr>
              <w:rFonts w:ascii="Times New Roman" w:hAnsi="Times New Roman" w:cs="Times New Roman"/>
              <w:sz w:val="28"/>
              <w:szCs w:val="28"/>
            </w:rPr>
            <w:instrText xml:space="preserve"> TOC \o "1-3" \h \z \u </w:instrText>
          </w:r>
          <w:r w:rsidRPr="008B32D8">
            <w:rPr>
              <w:rFonts w:ascii="Times New Roman" w:hAnsi="Times New Roman" w:cs="Times New Roman"/>
              <w:sz w:val="28"/>
              <w:szCs w:val="28"/>
            </w:rPr>
            <w:fldChar w:fldCharType="separate"/>
          </w:r>
          <w:hyperlink w:anchor="_Toc155658253" w:history="1">
            <w:r w:rsidR="008B32D8" w:rsidRPr="008B32D8">
              <w:rPr>
                <w:rStyle w:val="a9"/>
                <w:rFonts w:ascii="Times New Roman" w:eastAsia="Times New Roman" w:hAnsi="Times New Roman" w:cs="Times New Roman"/>
                <w:noProof/>
                <w:sz w:val="28"/>
                <w:szCs w:val="28"/>
              </w:rPr>
              <w:t>ВСТУП</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_Toc155658253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8</w:t>
            </w:r>
            <w:r w:rsidR="008B32D8" w:rsidRPr="008B32D8">
              <w:rPr>
                <w:rFonts w:ascii="Times New Roman" w:hAnsi="Times New Roman" w:cs="Times New Roman"/>
                <w:noProof/>
                <w:webHidden/>
                <w:sz w:val="28"/>
                <w:szCs w:val="28"/>
              </w:rPr>
              <w:fldChar w:fldCharType="end"/>
            </w:r>
          </w:hyperlink>
        </w:p>
        <w:p w14:paraId="5F12B70A"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54" w:history="1">
            <w:r w:rsidR="008B32D8" w:rsidRPr="008B32D8">
              <w:rPr>
                <w:rStyle w:val="a9"/>
                <w:rFonts w:ascii="Times New Roman" w:eastAsia="Times New Roman" w:hAnsi="Times New Roman" w:cs="Times New Roman"/>
                <w:noProof/>
                <w:sz w:val="28"/>
                <w:szCs w:val="28"/>
              </w:rPr>
              <w:t>РОЗДІЛ 1</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_Toc155658254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10</w:t>
            </w:r>
            <w:r w:rsidR="008B32D8" w:rsidRPr="008B32D8">
              <w:rPr>
                <w:rFonts w:ascii="Times New Roman" w:hAnsi="Times New Roman" w:cs="Times New Roman"/>
                <w:noProof/>
                <w:webHidden/>
                <w:sz w:val="28"/>
                <w:szCs w:val="28"/>
              </w:rPr>
              <w:fldChar w:fldCharType="end"/>
            </w:r>
          </w:hyperlink>
        </w:p>
        <w:p w14:paraId="6C04E867"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55" w:history="1">
            <w:r w:rsidR="008B32D8" w:rsidRPr="008B32D8">
              <w:rPr>
                <w:rStyle w:val="a9"/>
                <w:rFonts w:ascii="Times New Roman" w:eastAsia="Times New Roman" w:hAnsi="Times New Roman" w:cs="Times New Roman"/>
                <w:noProof/>
                <w:sz w:val="28"/>
                <w:szCs w:val="28"/>
              </w:rPr>
              <w:t>ВИДОБУВНА ДІЯЛЬНІСТЬ ТА СТАЛИЙ РОЗВИТОК</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_Toc155658255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10</w:t>
            </w:r>
            <w:r w:rsidR="008B32D8" w:rsidRPr="008B32D8">
              <w:rPr>
                <w:rFonts w:ascii="Times New Roman" w:hAnsi="Times New Roman" w:cs="Times New Roman"/>
                <w:noProof/>
                <w:webHidden/>
                <w:sz w:val="28"/>
                <w:szCs w:val="28"/>
              </w:rPr>
              <w:fldChar w:fldCharType="end"/>
            </w:r>
          </w:hyperlink>
        </w:p>
        <w:p w14:paraId="1354953B"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56" w:history="1">
            <w:r w:rsidR="008B32D8" w:rsidRPr="008B32D8">
              <w:rPr>
                <w:rStyle w:val="a9"/>
                <w:rFonts w:ascii="Times New Roman" w:hAnsi="Times New Roman" w:cs="Times New Roman"/>
                <w:noProof/>
                <w:sz w:val="28"/>
                <w:szCs w:val="28"/>
              </w:rPr>
              <w:t>1.1. Видобувна діяльність та ідеї сталого розвитку</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_Toc155658256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10</w:t>
            </w:r>
            <w:r w:rsidR="008B32D8" w:rsidRPr="008B32D8">
              <w:rPr>
                <w:rFonts w:ascii="Times New Roman" w:hAnsi="Times New Roman" w:cs="Times New Roman"/>
                <w:noProof/>
                <w:webHidden/>
                <w:sz w:val="28"/>
                <w:szCs w:val="28"/>
              </w:rPr>
              <w:fldChar w:fldCharType="end"/>
            </w:r>
          </w:hyperlink>
        </w:p>
        <w:p w14:paraId="2EEDBBCC"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57" w:history="1">
            <w:r w:rsidR="008B32D8" w:rsidRPr="008B32D8">
              <w:rPr>
                <w:rStyle w:val="a9"/>
                <w:rFonts w:ascii="Times New Roman" w:hAnsi="Times New Roman" w:cs="Times New Roman"/>
                <w:noProof/>
                <w:sz w:val="28"/>
                <w:szCs w:val="28"/>
              </w:rPr>
              <w:t>1.2. Принципи та цілі сталого розвитку у видобуванні</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_Toc155658257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14</w:t>
            </w:r>
            <w:r w:rsidR="008B32D8" w:rsidRPr="008B32D8">
              <w:rPr>
                <w:rFonts w:ascii="Times New Roman" w:hAnsi="Times New Roman" w:cs="Times New Roman"/>
                <w:noProof/>
                <w:webHidden/>
                <w:sz w:val="28"/>
                <w:szCs w:val="28"/>
              </w:rPr>
              <w:fldChar w:fldCharType="end"/>
            </w:r>
          </w:hyperlink>
        </w:p>
        <w:p w14:paraId="714A3FE6"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58" w:history="1">
            <w:r w:rsidR="008B32D8" w:rsidRPr="008B32D8">
              <w:rPr>
                <w:rStyle w:val="a9"/>
                <w:rFonts w:ascii="Times New Roman" w:hAnsi="Times New Roman" w:cs="Times New Roman"/>
                <w:noProof/>
                <w:sz w:val="28"/>
                <w:szCs w:val="28"/>
              </w:rPr>
              <w:t>1.3. Закриття кар’єрів як головна стадія сталого видобування</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_Toc155658258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18</w:t>
            </w:r>
            <w:r w:rsidR="008B32D8" w:rsidRPr="008B32D8">
              <w:rPr>
                <w:rFonts w:ascii="Times New Roman" w:hAnsi="Times New Roman" w:cs="Times New Roman"/>
                <w:noProof/>
                <w:webHidden/>
                <w:sz w:val="28"/>
                <w:szCs w:val="28"/>
              </w:rPr>
              <w:fldChar w:fldCharType="end"/>
            </w:r>
          </w:hyperlink>
        </w:p>
        <w:p w14:paraId="48823CA3"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59" w:history="1">
            <w:r w:rsidR="008B32D8" w:rsidRPr="008B32D8">
              <w:rPr>
                <w:rStyle w:val="a9"/>
                <w:rFonts w:ascii="Times New Roman" w:eastAsia="Times New Roman" w:hAnsi="Times New Roman" w:cs="Times New Roman"/>
                <w:noProof/>
                <w:sz w:val="28"/>
                <w:szCs w:val="28"/>
              </w:rPr>
              <w:t>1.4. Сучасні підходи до закриття кар’єрів</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_Toc155658259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20</w:t>
            </w:r>
            <w:r w:rsidR="008B32D8" w:rsidRPr="008B32D8">
              <w:rPr>
                <w:rFonts w:ascii="Times New Roman" w:hAnsi="Times New Roman" w:cs="Times New Roman"/>
                <w:noProof/>
                <w:webHidden/>
                <w:sz w:val="28"/>
                <w:szCs w:val="28"/>
              </w:rPr>
              <w:fldChar w:fldCharType="end"/>
            </w:r>
          </w:hyperlink>
        </w:p>
        <w:p w14:paraId="475D0A36"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0" w:history="1">
            <w:r w:rsidR="008B32D8" w:rsidRPr="008B32D8">
              <w:rPr>
                <w:rStyle w:val="a9"/>
                <w:rFonts w:ascii="Times New Roman" w:hAnsi="Times New Roman" w:cs="Times New Roman"/>
                <w:noProof/>
                <w:sz w:val="28"/>
                <w:szCs w:val="28"/>
              </w:rPr>
              <w:t>Висновок до розділу 1</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_Toc155658260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28</w:t>
            </w:r>
            <w:r w:rsidR="008B32D8" w:rsidRPr="008B32D8">
              <w:rPr>
                <w:rFonts w:ascii="Times New Roman" w:hAnsi="Times New Roman" w:cs="Times New Roman"/>
                <w:noProof/>
                <w:webHidden/>
                <w:sz w:val="28"/>
                <w:szCs w:val="28"/>
              </w:rPr>
              <w:fldChar w:fldCharType="end"/>
            </w:r>
          </w:hyperlink>
        </w:p>
        <w:p w14:paraId="575DA104"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1" w:history="1">
            <w:r w:rsidR="008B32D8" w:rsidRPr="008B32D8">
              <w:rPr>
                <w:rStyle w:val="a9"/>
                <w:rFonts w:ascii="Times New Roman" w:eastAsia="Times New Roman" w:hAnsi="Times New Roman" w:cs="Times New Roman"/>
                <w:noProof/>
                <w:sz w:val="28"/>
                <w:szCs w:val="28"/>
              </w:rPr>
              <w:t>РОЗДІЛ 2</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_Toc155658261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29</w:t>
            </w:r>
            <w:r w:rsidR="008B32D8" w:rsidRPr="008B32D8">
              <w:rPr>
                <w:rFonts w:ascii="Times New Roman" w:hAnsi="Times New Roman" w:cs="Times New Roman"/>
                <w:noProof/>
                <w:webHidden/>
                <w:sz w:val="28"/>
                <w:szCs w:val="28"/>
              </w:rPr>
              <w:fldChar w:fldCharType="end"/>
            </w:r>
          </w:hyperlink>
        </w:p>
        <w:p w14:paraId="3DF709C5"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2" w:history="1">
            <w:r w:rsidR="008B32D8" w:rsidRPr="008B32D8">
              <w:rPr>
                <w:rStyle w:val="a9"/>
                <w:rFonts w:ascii="Times New Roman" w:eastAsia="Times New Roman" w:hAnsi="Times New Roman" w:cs="Times New Roman"/>
                <w:noProof/>
                <w:sz w:val="28"/>
                <w:szCs w:val="28"/>
              </w:rPr>
              <w:t>ОБСЯГ ДОСЛІДЖЕННЯ ТА МЕТОДОЛОГІЯ</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_Toc155658262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29</w:t>
            </w:r>
            <w:r w:rsidR="008B32D8" w:rsidRPr="008B32D8">
              <w:rPr>
                <w:rFonts w:ascii="Times New Roman" w:hAnsi="Times New Roman" w:cs="Times New Roman"/>
                <w:noProof/>
                <w:webHidden/>
                <w:sz w:val="28"/>
                <w:szCs w:val="28"/>
              </w:rPr>
              <w:fldChar w:fldCharType="end"/>
            </w:r>
          </w:hyperlink>
        </w:p>
        <w:p w14:paraId="493E92F2"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3" w:history="1">
            <w:r w:rsidR="008B32D8" w:rsidRPr="008B32D8">
              <w:rPr>
                <w:rStyle w:val="a9"/>
                <w:rFonts w:ascii="Times New Roman" w:eastAsia="Times New Roman" w:hAnsi="Times New Roman" w:cs="Times New Roman"/>
                <w:noProof/>
                <w:sz w:val="28"/>
                <w:szCs w:val="28"/>
              </w:rPr>
              <w:t>РОЗДІЛ 3</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_Toc155658263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37</w:t>
            </w:r>
            <w:r w:rsidR="008B32D8" w:rsidRPr="008B32D8">
              <w:rPr>
                <w:rFonts w:ascii="Times New Roman" w:hAnsi="Times New Roman" w:cs="Times New Roman"/>
                <w:noProof/>
                <w:webHidden/>
                <w:sz w:val="28"/>
                <w:szCs w:val="28"/>
              </w:rPr>
              <w:fldChar w:fldCharType="end"/>
            </w:r>
          </w:hyperlink>
        </w:p>
        <w:p w14:paraId="00983997"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4" w:history="1">
            <w:r w:rsidR="008B32D8" w:rsidRPr="008B32D8">
              <w:rPr>
                <w:rStyle w:val="a9"/>
                <w:rFonts w:ascii="Times New Roman" w:eastAsia="Times New Roman" w:hAnsi="Times New Roman" w:cs="Times New Roman"/>
                <w:noProof/>
                <w:sz w:val="28"/>
                <w:szCs w:val="28"/>
              </w:rPr>
              <w:t>ЕКОЛОГІЧНІ АСПЕКТИ ЗАВЕРШЕННЯ КОРИСТУВАННЯ НАДРАМИ</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_Toc155658264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37</w:t>
            </w:r>
            <w:r w:rsidR="008B32D8" w:rsidRPr="008B32D8">
              <w:rPr>
                <w:rFonts w:ascii="Times New Roman" w:hAnsi="Times New Roman" w:cs="Times New Roman"/>
                <w:noProof/>
                <w:webHidden/>
                <w:sz w:val="28"/>
                <w:szCs w:val="28"/>
              </w:rPr>
              <w:fldChar w:fldCharType="end"/>
            </w:r>
          </w:hyperlink>
        </w:p>
        <w:p w14:paraId="6AE60A01"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5" w:history="1">
            <w:r w:rsidR="008B32D8" w:rsidRPr="008B32D8">
              <w:rPr>
                <w:rStyle w:val="a9"/>
                <w:rFonts w:ascii="Times New Roman" w:eastAsia="Times New Roman" w:hAnsi="Times New Roman" w:cs="Times New Roman"/>
                <w:noProof/>
                <w:sz w:val="28"/>
                <w:szCs w:val="28"/>
              </w:rPr>
              <w:t>3.1. Стійкість та адаптація до змін клімату</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_Toc155658265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37</w:t>
            </w:r>
            <w:r w:rsidR="008B32D8" w:rsidRPr="008B32D8">
              <w:rPr>
                <w:rFonts w:ascii="Times New Roman" w:hAnsi="Times New Roman" w:cs="Times New Roman"/>
                <w:noProof/>
                <w:webHidden/>
                <w:sz w:val="28"/>
                <w:szCs w:val="28"/>
              </w:rPr>
              <w:fldChar w:fldCharType="end"/>
            </w:r>
          </w:hyperlink>
        </w:p>
        <w:p w14:paraId="161AB264"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6" w:history="1">
            <w:r w:rsidR="008B32D8" w:rsidRPr="008B32D8">
              <w:rPr>
                <w:rStyle w:val="a9"/>
                <w:rFonts w:ascii="Times New Roman" w:eastAsia="Times New Roman" w:hAnsi="Times New Roman" w:cs="Times New Roman"/>
                <w:noProof/>
                <w:sz w:val="28"/>
                <w:szCs w:val="28"/>
              </w:rPr>
              <w:t>3.2. Відновлення та планування ландшафту, поводження з відходами</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_Toc155658266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40</w:t>
            </w:r>
            <w:r w:rsidR="008B32D8" w:rsidRPr="008B32D8">
              <w:rPr>
                <w:rFonts w:ascii="Times New Roman" w:hAnsi="Times New Roman" w:cs="Times New Roman"/>
                <w:noProof/>
                <w:webHidden/>
                <w:sz w:val="28"/>
                <w:szCs w:val="28"/>
              </w:rPr>
              <w:fldChar w:fldCharType="end"/>
            </w:r>
          </w:hyperlink>
        </w:p>
        <w:p w14:paraId="193A663F"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7" w:history="1">
            <w:r w:rsidR="008B32D8" w:rsidRPr="008B32D8">
              <w:rPr>
                <w:rStyle w:val="a9"/>
                <w:rFonts w:ascii="Times New Roman" w:eastAsia="Times New Roman" w:hAnsi="Times New Roman" w:cs="Times New Roman"/>
                <w:noProof/>
                <w:sz w:val="28"/>
                <w:szCs w:val="28"/>
              </w:rPr>
              <w:t>3.3. Управління водними ресурсами</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_Toc155658267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42</w:t>
            </w:r>
            <w:r w:rsidR="008B32D8" w:rsidRPr="008B32D8">
              <w:rPr>
                <w:rFonts w:ascii="Times New Roman" w:hAnsi="Times New Roman" w:cs="Times New Roman"/>
                <w:noProof/>
                <w:webHidden/>
                <w:sz w:val="28"/>
                <w:szCs w:val="28"/>
              </w:rPr>
              <w:fldChar w:fldCharType="end"/>
            </w:r>
          </w:hyperlink>
        </w:p>
        <w:p w14:paraId="70713009"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8" w:history="1">
            <w:r w:rsidR="008B32D8" w:rsidRPr="008B32D8">
              <w:rPr>
                <w:rStyle w:val="a9"/>
                <w:rFonts w:ascii="Times New Roman" w:eastAsia="Times New Roman" w:hAnsi="Times New Roman" w:cs="Times New Roman"/>
                <w:noProof/>
                <w:sz w:val="28"/>
                <w:szCs w:val="28"/>
              </w:rPr>
              <w:t>3.4. Відновлення біорізноманіття</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_Toc155658268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46</w:t>
            </w:r>
            <w:r w:rsidR="008B32D8" w:rsidRPr="008B32D8">
              <w:rPr>
                <w:rFonts w:ascii="Times New Roman" w:hAnsi="Times New Roman" w:cs="Times New Roman"/>
                <w:noProof/>
                <w:webHidden/>
                <w:sz w:val="28"/>
                <w:szCs w:val="28"/>
              </w:rPr>
              <w:fldChar w:fldCharType="end"/>
            </w:r>
          </w:hyperlink>
        </w:p>
        <w:p w14:paraId="414CCF77"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69" w:history="1">
            <w:r w:rsidR="008B32D8" w:rsidRPr="008B32D8">
              <w:rPr>
                <w:rStyle w:val="a9"/>
                <w:rFonts w:ascii="Times New Roman" w:eastAsia="Times New Roman" w:hAnsi="Times New Roman" w:cs="Times New Roman"/>
                <w:noProof/>
                <w:sz w:val="28"/>
                <w:szCs w:val="28"/>
              </w:rPr>
              <w:t>3.5. Покращання якості атмосферного повітря</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_Toc155658269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50</w:t>
            </w:r>
            <w:r w:rsidR="008B32D8" w:rsidRPr="008B32D8">
              <w:rPr>
                <w:rFonts w:ascii="Times New Roman" w:hAnsi="Times New Roman" w:cs="Times New Roman"/>
                <w:noProof/>
                <w:webHidden/>
                <w:sz w:val="28"/>
                <w:szCs w:val="28"/>
              </w:rPr>
              <w:fldChar w:fldCharType="end"/>
            </w:r>
          </w:hyperlink>
        </w:p>
        <w:p w14:paraId="3ABFEE5C"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0" w:history="1">
            <w:r w:rsidR="008B32D8" w:rsidRPr="008B32D8">
              <w:rPr>
                <w:rStyle w:val="a9"/>
                <w:rFonts w:ascii="Times New Roman" w:eastAsia="Times New Roman" w:hAnsi="Times New Roman" w:cs="Times New Roman"/>
                <w:noProof/>
                <w:sz w:val="28"/>
                <w:szCs w:val="28"/>
              </w:rPr>
              <w:t>3.6. Плани закриття Жовтокам’янського кар’єра</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_Toc155658270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50</w:t>
            </w:r>
            <w:r w:rsidR="008B32D8" w:rsidRPr="008B32D8">
              <w:rPr>
                <w:rFonts w:ascii="Times New Roman" w:hAnsi="Times New Roman" w:cs="Times New Roman"/>
                <w:noProof/>
                <w:webHidden/>
                <w:sz w:val="28"/>
                <w:szCs w:val="28"/>
              </w:rPr>
              <w:fldChar w:fldCharType="end"/>
            </w:r>
          </w:hyperlink>
        </w:p>
        <w:p w14:paraId="70280900"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1" w:history="1">
            <w:r w:rsidR="008B32D8" w:rsidRPr="008B32D8">
              <w:rPr>
                <w:rStyle w:val="a9"/>
                <w:rFonts w:ascii="Times New Roman" w:hAnsi="Times New Roman" w:cs="Times New Roman"/>
                <w:noProof/>
                <w:sz w:val="28"/>
                <w:szCs w:val="28"/>
              </w:rPr>
              <w:t>Висновок до розділу 3</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_Toc155658271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56</w:t>
            </w:r>
            <w:r w:rsidR="008B32D8" w:rsidRPr="008B32D8">
              <w:rPr>
                <w:rFonts w:ascii="Times New Roman" w:hAnsi="Times New Roman" w:cs="Times New Roman"/>
                <w:noProof/>
                <w:webHidden/>
                <w:sz w:val="28"/>
                <w:szCs w:val="28"/>
              </w:rPr>
              <w:fldChar w:fldCharType="end"/>
            </w:r>
          </w:hyperlink>
        </w:p>
        <w:p w14:paraId="4AEE2D13"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2" w:history="1">
            <w:r w:rsidR="008B32D8" w:rsidRPr="008B32D8">
              <w:rPr>
                <w:rStyle w:val="a9"/>
                <w:rFonts w:ascii="Times New Roman" w:eastAsia="Times New Roman" w:hAnsi="Times New Roman" w:cs="Times New Roman"/>
                <w:noProof/>
                <w:sz w:val="28"/>
                <w:szCs w:val="28"/>
              </w:rPr>
              <w:t>РОЗДІЛ 4</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_Toc155658272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58</w:t>
            </w:r>
            <w:r w:rsidR="008B32D8" w:rsidRPr="008B32D8">
              <w:rPr>
                <w:rFonts w:ascii="Times New Roman" w:hAnsi="Times New Roman" w:cs="Times New Roman"/>
                <w:noProof/>
                <w:webHidden/>
                <w:sz w:val="28"/>
                <w:szCs w:val="28"/>
              </w:rPr>
              <w:fldChar w:fldCharType="end"/>
            </w:r>
          </w:hyperlink>
        </w:p>
        <w:p w14:paraId="2E441748"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3" w:history="1">
            <w:r w:rsidR="008B32D8" w:rsidRPr="008B32D8">
              <w:rPr>
                <w:rStyle w:val="a9"/>
                <w:rFonts w:ascii="Times New Roman" w:eastAsia="Times New Roman" w:hAnsi="Times New Roman" w:cs="Times New Roman"/>
                <w:noProof/>
                <w:sz w:val="28"/>
                <w:szCs w:val="28"/>
              </w:rPr>
              <w:t>СТАРТ-АП ПРОЄКТ smArtmining</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_Toc155658273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58</w:t>
            </w:r>
            <w:r w:rsidR="008B32D8" w:rsidRPr="008B32D8">
              <w:rPr>
                <w:rFonts w:ascii="Times New Roman" w:hAnsi="Times New Roman" w:cs="Times New Roman"/>
                <w:noProof/>
                <w:webHidden/>
                <w:sz w:val="28"/>
                <w:szCs w:val="28"/>
              </w:rPr>
              <w:fldChar w:fldCharType="end"/>
            </w:r>
          </w:hyperlink>
        </w:p>
        <w:p w14:paraId="053DF5C8"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4" w:history="1">
            <w:r w:rsidR="008B32D8" w:rsidRPr="008B32D8">
              <w:rPr>
                <w:rStyle w:val="a9"/>
                <w:rFonts w:ascii="Times New Roman" w:eastAsia="Times New Roman" w:hAnsi="Times New Roman" w:cs="Times New Roman"/>
                <w:noProof/>
                <w:sz w:val="28"/>
                <w:szCs w:val="28"/>
              </w:rPr>
              <w:t>4.1. Опис ідеї проєкту (товару, послуги, технології)</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_Toc155658274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58</w:t>
            </w:r>
            <w:r w:rsidR="008B32D8" w:rsidRPr="008B32D8">
              <w:rPr>
                <w:rFonts w:ascii="Times New Roman" w:hAnsi="Times New Roman" w:cs="Times New Roman"/>
                <w:noProof/>
                <w:webHidden/>
                <w:sz w:val="28"/>
                <w:szCs w:val="28"/>
              </w:rPr>
              <w:fldChar w:fldCharType="end"/>
            </w:r>
          </w:hyperlink>
        </w:p>
        <w:p w14:paraId="350ABE37"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5" w:history="1">
            <w:r w:rsidR="008B32D8" w:rsidRPr="008B32D8">
              <w:rPr>
                <w:rStyle w:val="a9"/>
                <w:rFonts w:ascii="Times New Roman" w:eastAsia="Times New Roman" w:hAnsi="Times New Roman" w:cs="Times New Roman"/>
                <w:noProof/>
                <w:sz w:val="28"/>
                <w:szCs w:val="28"/>
              </w:rPr>
              <w:t>4.2.Технологічний аудит ідеї проєкту</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_Toc155658275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61</w:t>
            </w:r>
            <w:r w:rsidR="008B32D8" w:rsidRPr="008B32D8">
              <w:rPr>
                <w:rFonts w:ascii="Times New Roman" w:hAnsi="Times New Roman" w:cs="Times New Roman"/>
                <w:noProof/>
                <w:webHidden/>
                <w:sz w:val="28"/>
                <w:szCs w:val="28"/>
              </w:rPr>
              <w:fldChar w:fldCharType="end"/>
            </w:r>
          </w:hyperlink>
        </w:p>
        <w:p w14:paraId="78302589"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6" w:history="1">
            <w:r w:rsidR="008B32D8" w:rsidRPr="008B32D8">
              <w:rPr>
                <w:rStyle w:val="a9"/>
                <w:rFonts w:ascii="Times New Roman" w:eastAsia="Times New Roman" w:hAnsi="Times New Roman" w:cs="Times New Roman"/>
                <w:noProof/>
                <w:sz w:val="28"/>
                <w:szCs w:val="28"/>
              </w:rPr>
              <w:t>4.3 Аналіз ринкових можливостей запуску стартап проєкту</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_Toc155658276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62</w:t>
            </w:r>
            <w:r w:rsidR="008B32D8" w:rsidRPr="008B32D8">
              <w:rPr>
                <w:rFonts w:ascii="Times New Roman" w:hAnsi="Times New Roman" w:cs="Times New Roman"/>
                <w:noProof/>
                <w:webHidden/>
                <w:sz w:val="28"/>
                <w:szCs w:val="28"/>
              </w:rPr>
              <w:fldChar w:fldCharType="end"/>
            </w:r>
          </w:hyperlink>
        </w:p>
        <w:p w14:paraId="6A1CE5A3" w14:textId="77777777" w:rsidR="008B32D8" w:rsidRPr="008B32D8" w:rsidRDefault="00495345">
          <w:pPr>
            <w:pStyle w:val="20"/>
            <w:tabs>
              <w:tab w:val="left" w:pos="880"/>
              <w:tab w:val="right" w:leader="dot" w:pos="10196"/>
            </w:tabs>
            <w:rPr>
              <w:rFonts w:ascii="Times New Roman" w:eastAsiaTheme="minorEastAsia" w:hAnsi="Times New Roman" w:cs="Times New Roman"/>
              <w:noProof/>
              <w:sz w:val="28"/>
              <w:szCs w:val="28"/>
              <w:lang w:val="ru-RU"/>
            </w:rPr>
          </w:pPr>
          <w:hyperlink w:anchor="_Toc155658277" w:history="1">
            <w:r w:rsidR="008B32D8" w:rsidRPr="008B32D8">
              <w:rPr>
                <w:rStyle w:val="a9"/>
                <w:rFonts w:ascii="Times New Roman" w:eastAsia="Times New Roman" w:hAnsi="Times New Roman" w:cs="Times New Roman"/>
                <w:noProof/>
                <w:sz w:val="28"/>
                <w:szCs w:val="28"/>
              </w:rPr>
              <w:t>6.4.</w:t>
            </w:r>
            <w:r w:rsidR="008B32D8" w:rsidRPr="008B32D8">
              <w:rPr>
                <w:rFonts w:ascii="Times New Roman" w:eastAsiaTheme="minorEastAsia" w:hAnsi="Times New Roman" w:cs="Times New Roman"/>
                <w:noProof/>
                <w:sz w:val="28"/>
                <w:szCs w:val="28"/>
                <w:lang w:val="ru-RU"/>
              </w:rPr>
              <w:tab/>
            </w:r>
            <w:r w:rsidR="008B32D8" w:rsidRPr="008B32D8">
              <w:rPr>
                <w:rStyle w:val="a9"/>
                <w:rFonts w:ascii="Times New Roman" w:eastAsia="Times New Roman" w:hAnsi="Times New Roman" w:cs="Times New Roman"/>
                <w:noProof/>
                <w:sz w:val="28"/>
                <w:szCs w:val="28"/>
              </w:rPr>
              <w:t>Розроблення ринкової стратегії проєкту</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_Toc155658277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72</w:t>
            </w:r>
            <w:r w:rsidR="008B32D8" w:rsidRPr="008B32D8">
              <w:rPr>
                <w:rFonts w:ascii="Times New Roman" w:hAnsi="Times New Roman" w:cs="Times New Roman"/>
                <w:noProof/>
                <w:webHidden/>
                <w:sz w:val="28"/>
                <w:szCs w:val="28"/>
              </w:rPr>
              <w:fldChar w:fldCharType="end"/>
            </w:r>
          </w:hyperlink>
        </w:p>
        <w:p w14:paraId="71A29B91" w14:textId="77777777" w:rsidR="008B32D8" w:rsidRPr="008B32D8" w:rsidRDefault="00495345">
          <w:pPr>
            <w:pStyle w:val="20"/>
            <w:tabs>
              <w:tab w:val="left" w:pos="880"/>
              <w:tab w:val="right" w:leader="dot" w:pos="10196"/>
            </w:tabs>
            <w:rPr>
              <w:rFonts w:ascii="Times New Roman" w:eastAsiaTheme="minorEastAsia" w:hAnsi="Times New Roman" w:cs="Times New Roman"/>
              <w:noProof/>
              <w:sz w:val="28"/>
              <w:szCs w:val="28"/>
              <w:lang w:val="ru-RU"/>
            </w:rPr>
          </w:pPr>
          <w:hyperlink w:anchor="_Toc155658278" w:history="1">
            <w:r w:rsidR="008B32D8" w:rsidRPr="008B32D8">
              <w:rPr>
                <w:rStyle w:val="a9"/>
                <w:rFonts w:ascii="Times New Roman" w:eastAsia="Times New Roman" w:hAnsi="Times New Roman" w:cs="Times New Roman"/>
                <w:noProof/>
                <w:sz w:val="28"/>
                <w:szCs w:val="28"/>
              </w:rPr>
              <w:t>6.5.</w:t>
            </w:r>
            <w:r w:rsidR="008B32D8" w:rsidRPr="008B32D8">
              <w:rPr>
                <w:rFonts w:ascii="Times New Roman" w:eastAsiaTheme="minorEastAsia" w:hAnsi="Times New Roman" w:cs="Times New Roman"/>
                <w:noProof/>
                <w:sz w:val="28"/>
                <w:szCs w:val="28"/>
                <w:lang w:val="ru-RU"/>
              </w:rPr>
              <w:tab/>
            </w:r>
            <w:r w:rsidR="008B32D8" w:rsidRPr="008B32D8">
              <w:rPr>
                <w:rStyle w:val="a9"/>
                <w:rFonts w:ascii="Times New Roman" w:eastAsia="Times New Roman" w:hAnsi="Times New Roman" w:cs="Times New Roman"/>
                <w:noProof/>
                <w:sz w:val="28"/>
                <w:szCs w:val="28"/>
              </w:rPr>
              <w:t>Розроблення маркетингової програми стартап проєкту</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_Toc155658278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76</w:t>
            </w:r>
            <w:r w:rsidR="008B32D8" w:rsidRPr="008B32D8">
              <w:rPr>
                <w:rFonts w:ascii="Times New Roman" w:hAnsi="Times New Roman" w:cs="Times New Roman"/>
                <w:noProof/>
                <w:webHidden/>
                <w:sz w:val="28"/>
                <w:szCs w:val="28"/>
              </w:rPr>
              <w:fldChar w:fldCharType="end"/>
            </w:r>
          </w:hyperlink>
        </w:p>
        <w:p w14:paraId="06370576"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79" w:history="1">
            <w:r w:rsidR="008B32D8" w:rsidRPr="008B32D8">
              <w:rPr>
                <w:rStyle w:val="a9"/>
                <w:rFonts w:ascii="Times New Roman" w:hAnsi="Times New Roman" w:cs="Times New Roman"/>
                <w:noProof/>
                <w:sz w:val="28"/>
                <w:szCs w:val="28"/>
              </w:rPr>
              <w:t>Висновок до розділу 4</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_Toc155658279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79</w:t>
            </w:r>
            <w:r w:rsidR="008B32D8" w:rsidRPr="008B32D8">
              <w:rPr>
                <w:rFonts w:ascii="Times New Roman" w:hAnsi="Times New Roman" w:cs="Times New Roman"/>
                <w:noProof/>
                <w:webHidden/>
                <w:sz w:val="28"/>
                <w:szCs w:val="28"/>
              </w:rPr>
              <w:fldChar w:fldCharType="end"/>
            </w:r>
          </w:hyperlink>
        </w:p>
        <w:p w14:paraId="07D9360B"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80" w:history="1">
            <w:r w:rsidR="008B32D8" w:rsidRPr="008B32D8">
              <w:rPr>
                <w:rStyle w:val="a9"/>
                <w:rFonts w:ascii="Times New Roman" w:hAnsi="Times New Roman" w:cs="Times New Roman"/>
                <w:noProof/>
                <w:sz w:val="28"/>
                <w:szCs w:val="28"/>
              </w:rPr>
              <w:t>ВИСНОВКИ</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_Toc155658280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80</w:t>
            </w:r>
            <w:r w:rsidR="008B32D8" w:rsidRPr="008B32D8">
              <w:rPr>
                <w:rFonts w:ascii="Times New Roman" w:hAnsi="Times New Roman" w:cs="Times New Roman"/>
                <w:noProof/>
                <w:webHidden/>
                <w:sz w:val="28"/>
                <w:szCs w:val="28"/>
              </w:rPr>
              <w:fldChar w:fldCharType="end"/>
            </w:r>
          </w:hyperlink>
        </w:p>
        <w:p w14:paraId="32FB03FC" w14:textId="77777777" w:rsidR="008B32D8" w:rsidRPr="008B32D8" w:rsidRDefault="00495345">
          <w:pPr>
            <w:pStyle w:val="20"/>
            <w:tabs>
              <w:tab w:val="right" w:leader="dot" w:pos="10196"/>
            </w:tabs>
            <w:rPr>
              <w:rFonts w:ascii="Times New Roman" w:eastAsiaTheme="minorEastAsia" w:hAnsi="Times New Roman" w:cs="Times New Roman"/>
              <w:noProof/>
              <w:sz w:val="28"/>
              <w:szCs w:val="28"/>
              <w:lang w:val="ru-RU"/>
            </w:rPr>
          </w:pPr>
          <w:hyperlink w:anchor="_Toc155658281" w:history="1">
            <w:r w:rsidR="008B32D8" w:rsidRPr="008B32D8">
              <w:rPr>
                <w:rStyle w:val="a9"/>
                <w:rFonts w:ascii="Times New Roman" w:hAnsi="Times New Roman" w:cs="Times New Roman"/>
                <w:noProof/>
                <w:sz w:val="28"/>
                <w:szCs w:val="28"/>
              </w:rPr>
              <w:t>СПИСОК ВИКОРИСТАНИХ ДЖЕРЕЛ</w:t>
            </w:r>
            <w:r w:rsidR="008B32D8" w:rsidRPr="008B32D8">
              <w:rPr>
                <w:rFonts w:ascii="Times New Roman" w:hAnsi="Times New Roman" w:cs="Times New Roman"/>
                <w:noProof/>
                <w:webHidden/>
                <w:sz w:val="28"/>
                <w:szCs w:val="28"/>
              </w:rPr>
              <w:tab/>
            </w:r>
            <w:r w:rsidR="008B32D8" w:rsidRPr="008B32D8">
              <w:rPr>
                <w:rFonts w:ascii="Times New Roman" w:hAnsi="Times New Roman" w:cs="Times New Roman"/>
                <w:noProof/>
                <w:webHidden/>
                <w:sz w:val="28"/>
                <w:szCs w:val="28"/>
              </w:rPr>
              <w:fldChar w:fldCharType="begin"/>
            </w:r>
            <w:r w:rsidR="008B32D8" w:rsidRPr="008B32D8">
              <w:rPr>
                <w:rFonts w:ascii="Times New Roman" w:hAnsi="Times New Roman" w:cs="Times New Roman"/>
                <w:noProof/>
                <w:webHidden/>
                <w:sz w:val="28"/>
                <w:szCs w:val="28"/>
              </w:rPr>
              <w:instrText xml:space="preserve"> PAGEREF _Toc155658281 \h </w:instrText>
            </w:r>
            <w:r w:rsidR="008B32D8" w:rsidRPr="008B32D8">
              <w:rPr>
                <w:rFonts w:ascii="Times New Roman" w:hAnsi="Times New Roman" w:cs="Times New Roman"/>
                <w:noProof/>
                <w:webHidden/>
                <w:sz w:val="28"/>
                <w:szCs w:val="28"/>
              </w:rPr>
            </w:r>
            <w:r w:rsidR="008B32D8" w:rsidRPr="008B32D8">
              <w:rPr>
                <w:rFonts w:ascii="Times New Roman" w:hAnsi="Times New Roman" w:cs="Times New Roman"/>
                <w:noProof/>
                <w:webHidden/>
                <w:sz w:val="28"/>
                <w:szCs w:val="28"/>
              </w:rPr>
              <w:fldChar w:fldCharType="separate"/>
            </w:r>
            <w:r w:rsidR="00A0530A">
              <w:rPr>
                <w:rFonts w:ascii="Times New Roman" w:hAnsi="Times New Roman" w:cs="Times New Roman"/>
                <w:noProof/>
                <w:webHidden/>
                <w:sz w:val="28"/>
                <w:szCs w:val="28"/>
              </w:rPr>
              <w:t>82</w:t>
            </w:r>
            <w:r w:rsidR="008B32D8" w:rsidRPr="008B32D8">
              <w:rPr>
                <w:rFonts w:ascii="Times New Roman" w:hAnsi="Times New Roman" w:cs="Times New Roman"/>
                <w:noProof/>
                <w:webHidden/>
                <w:sz w:val="28"/>
                <w:szCs w:val="28"/>
              </w:rPr>
              <w:fldChar w:fldCharType="end"/>
            </w:r>
          </w:hyperlink>
        </w:p>
        <w:p w14:paraId="41FC5D00" w14:textId="731775FB" w:rsidR="00E14CD7" w:rsidRPr="008B32D8" w:rsidRDefault="00E14CD7" w:rsidP="0022486D">
          <w:pPr>
            <w:pStyle w:val="20"/>
            <w:tabs>
              <w:tab w:val="right" w:leader="dot" w:pos="10055"/>
            </w:tabs>
            <w:rPr>
              <w:rFonts w:ascii="Times New Roman" w:hAnsi="Times New Roman" w:cs="Times New Roman"/>
              <w:sz w:val="28"/>
              <w:szCs w:val="28"/>
            </w:rPr>
          </w:pPr>
          <w:r w:rsidRPr="008B32D8">
            <w:rPr>
              <w:rFonts w:ascii="Times New Roman" w:hAnsi="Times New Roman" w:cs="Times New Roman"/>
              <w:b/>
              <w:bCs/>
              <w:sz w:val="28"/>
              <w:szCs w:val="28"/>
            </w:rPr>
            <w:fldChar w:fldCharType="end"/>
          </w:r>
        </w:p>
      </w:sdtContent>
    </w:sdt>
    <w:p w14:paraId="566DE63C" w14:textId="39A488E9" w:rsidR="00B5077A" w:rsidRPr="00D6276F" w:rsidRDefault="00E14CD7" w:rsidP="008E765D">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1" w:name="_Toc155658253"/>
      <w:r w:rsidRPr="00D6276F">
        <w:rPr>
          <w:rFonts w:ascii="Times New Roman" w:eastAsia="Times New Roman" w:hAnsi="Times New Roman" w:cs="Times New Roman"/>
          <w:sz w:val="28"/>
          <w:szCs w:val="28"/>
        </w:rPr>
        <w:lastRenderedPageBreak/>
        <w:t>ВСТУП</w:t>
      </w:r>
      <w:bookmarkEnd w:id="1"/>
    </w:p>
    <w:p w14:paraId="6258992B" w14:textId="7CBFC1C2" w:rsidR="001D4A51" w:rsidRPr="00D6276F" w:rsidRDefault="001D4A51" w:rsidP="008E765D">
      <w:pPr>
        <w:pStyle w:val="aff9"/>
        <w:spacing w:before="0" w:beforeAutospacing="0" w:after="0" w:afterAutospacing="0" w:line="360" w:lineRule="auto"/>
        <w:ind w:firstLine="567"/>
        <w:jc w:val="both"/>
        <w:rPr>
          <w:color w:val="000000"/>
          <w:sz w:val="28"/>
          <w:szCs w:val="28"/>
        </w:rPr>
      </w:pPr>
      <w:r w:rsidRPr="00F215BB">
        <w:rPr>
          <w:sz w:val="28"/>
          <w:szCs w:val="28"/>
        </w:rPr>
        <w:t>Актуальність теми</w:t>
      </w:r>
      <w:r w:rsidRPr="00D6276F">
        <w:rPr>
          <w:sz w:val="28"/>
          <w:szCs w:val="28"/>
        </w:rPr>
        <w:t xml:space="preserve"> даної магістерської дисертації обґрунтовується </w:t>
      </w:r>
      <w:r w:rsidR="008C2998" w:rsidRPr="00D6276F">
        <w:rPr>
          <w:sz w:val="28"/>
          <w:szCs w:val="28"/>
        </w:rPr>
        <w:t xml:space="preserve">сучасним станом видобутку корисних копалин в Україні: </w:t>
      </w:r>
      <w:r w:rsidR="006739DD" w:rsidRPr="00D6276F">
        <w:rPr>
          <w:sz w:val="28"/>
          <w:szCs w:val="28"/>
        </w:rPr>
        <w:t>великою кількістю кинутих</w:t>
      </w:r>
      <w:r w:rsidR="008C2998" w:rsidRPr="00D6276F">
        <w:rPr>
          <w:sz w:val="28"/>
          <w:szCs w:val="28"/>
        </w:rPr>
        <w:t xml:space="preserve"> без належного закриття кар’єрів і шахт та відсутністю дієвих механізмів, як економічних, так і управлінських, впливу на надрокористувача для забезпечення екологічного балансу </w:t>
      </w:r>
      <w:r w:rsidR="002C113C" w:rsidRPr="00D6276F">
        <w:rPr>
          <w:sz w:val="28"/>
          <w:szCs w:val="28"/>
        </w:rPr>
        <w:t>району</w:t>
      </w:r>
      <w:r w:rsidR="008C2998" w:rsidRPr="00D6276F">
        <w:rPr>
          <w:sz w:val="28"/>
          <w:szCs w:val="28"/>
        </w:rPr>
        <w:t xml:space="preserve"> розташування</w:t>
      </w:r>
      <w:r w:rsidR="002C113C" w:rsidRPr="00D6276F">
        <w:rPr>
          <w:sz w:val="28"/>
          <w:szCs w:val="28"/>
        </w:rPr>
        <w:t xml:space="preserve"> виснажених родовищ</w:t>
      </w:r>
      <w:r w:rsidRPr="00D6276F">
        <w:rPr>
          <w:sz w:val="28"/>
          <w:szCs w:val="28"/>
        </w:rPr>
        <w:t>. Видобувна галузь в світовій економіці є другою по важливості для людства та його розвитку після сільського господарства</w:t>
      </w:r>
      <w:r w:rsidR="00DA58DD" w:rsidRPr="00D6276F">
        <w:rPr>
          <w:sz w:val="28"/>
          <w:szCs w:val="28"/>
        </w:rPr>
        <w:t>, з</w:t>
      </w:r>
      <w:r w:rsidRPr="00D6276F">
        <w:rPr>
          <w:sz w:val="28"/>
          <w:szCs w:val="28"/>
        </w:rPr>
        <w:t xml:space="preserve">ростання світового населення, збільшення  частки міського населення та підвищення рівня добробуту і швидке розширення середнього класу спричиняють постійне зростання рівня споживання та виробництва товарів, в результаті чого збільшується потреба в первинних матеріалах і, як наслідок збільшення видобутку корисних копали. Так за багатьма прогнозами попит до 2050 року матиме аналогічну тенденцію - зростання від +3% до +6% на рік залежно від матеріалу. </w:t>
      </w:r>
      <w:r w:rsidRPr="00D6276F">
        <w:rPr>
          <w:color w:val="000000"/>
          <w:sz w:val="28"/>
          <w:szCs w:val="28"/>
        </w:rPr>
        <w:t xml:space="preserve">Тому первинне виробництво (видобуток) і відкриття нових родовищ залишатиметься необхідністю, бо навіть вторинне виробництво (переробка) і наявні запаси не зможуть задовольнити майбутній попит. </w:t>
      </w:r>
    </w:p>
    <w:p w14:paraId="7BF90360" w14:textId="77777777" w:rsidR="001D4A51" w:rsidRPr="00D6276F" w:rsidRDefault="001D4A51" w:rsidP="008E765D">
      <w:pPr>
        <w:pStyle w:val="aff9"/>
        <w:spacing w:before="0" w:beforeAutospacing="0" w:after="0" w:afterAutospacing="0" w:line="360" w:lineRule="auto"/>
        <w:ind w:firstLine="567"/>
        <w:jc w:val="both"/>
        <w:rPr>
          <w:sz w:val="28"/>
          <w:szCs w:val="28"/>
        </w:rPr>
      </w:pPr>
      <w:r w:rsidRPr="00D6276F">
        <w:rPr>
          <w:sz w:val="28"/>
          <w:szCs w:val="28"/>
        </w:rPr>
        <w:t xml:space="preserve">Однак, видобувна промисловість спричиняє одні з самих шкідливих впливів на навколишнє середовище та здоров'я людей. Екологічні, економічні та соціальні впливи шахт та кар’єрів, якщо з ними не працювати відповідально, професійно та постійно, роблять місця видобутку після вичерпання запасів небезпечними, спустошеними та непридатними для проживання людей на багато століть вперед. Безумовно самими шкідливими та тривалими є екологічні наслідки, </w:t>
      </w:r>
      <w:r w:rsidRPr="00D6276F">
        <w:rPr>
          <w:color w:val="000000"/>
          <w:sz w:val="28"/>
          <w:szCs w:val="28"/>
        </w:rPr>
        <w:t>які пов'язані з деградацією земель, зміною ландшафту, зняттям верхнього шару ґрунту (при відкритому видобутку), забрудненнями повітря, води та ґрунт, викидами вуглекислого газу, пилу, накопичені відходів, підвищеному рівні шуму, деградації екосистем, тощо</w:t>
      </w:r>
      <w:r w:rsidRPr="00D6276F">
        <w:rPr>
          <w:sz w:val="28"/>
          <w:szCs w:val="28"/>
        </w:rPr>
        <w:t xml:space="preserve">. Тому, враховуючи постійне зростання видобувної галузі, збільшення кількості нових шахт та кар’єрів, на яких в кінцевому підсумку запаси будуть вичерпані та видобуток завершення, керування «спадщиною», яку по собі залишає відпрацьоване родовище, є ключовим питанням для видобувної галузі. </w:t>
      </w:r>
    </w:p>
    <w:p w14:paraId="09D7CA14" w14:textId="3321CF04" w:rsidR="00301ECB" w:rsidRPr="00D6276F" w:rsidRDefault="001D4A51" w:rsidP="00F215BB">
      <w:pPr>
        <w:pStyle w:val="aff9"/>
        <w:spacing w:before="0" w:beforeAutospacing="0" w:after="0" w:afterAutospacing="0" w:line="360" w:lineRule="auto"/>
        <w:ind w:firstLine="567"/>
        <w:jc w:val="both"/>
        <w:rPr>
          <w:sz w:val="28"/>
          <w:szCs w:val="28"/>
        </w:rPr>
      </w:pPr>
      <w:r w:rsidRPr="00F215BB">
        <w:rPr>
          <w:bCs/>
          <w:iCs/>
          <w:sz w:val="28"/>
          <w:szCs w:val="28"/>
        </w:rPr>
        <w:lastRenderedPageBreak/>
        <w:t>Метою</w:t>
      </w:r>
      <w:r w:rsidRPr="00D6276F">
        <w:rPr>
          <w:sz w:val="28"/>
          <w:szCs w:val="28"/>
        </w:rPr>
        <w:t xml:space="preserve"> </w:t>
      </w:r>
      <w:r w:rsidR="008C2998" w:rsidRPr="00D6276F">
        <w:rPr>
          <w:sz w:val="28"/>
          <w:szCs w:val="28"/>
        </w:rPr>
        <w:t xml:space="preserve">магістерської дисертації є необхідність формування комплексного підходу до управління родовищами корисних копалин протягом всього життєвого </w:t>
      </w:r>
      <w:r w:rsidR="0045282D">
        <w:rPr>
          <w:sz w:val="28"/>
          <w:szCs w:val="28"/>
        </w:rPr>
        <w:t xml:space="preserve">циклу родовища на основі принципів сталого розвитку. </w:t>
      </w:r>
    </w:p>
    <w:p w14:paraId="20622C7B" w14:textId="2A7C216F" w:rsidR="00533876" w:rsidRPr="00D6276F" w:rsidRDefault="00F215BB" w:rsidP="008E765D">
      <w:pPr>
        <w:spacing w:after="0" w:line="360" w:lineRule="auto"/>
        <w:ind w:firstLine="720"/>
        <w:jc w:val="both"/>
        <w:rPr>
          <w:rFonts w:ascii="Times New Roman" w:eastAsia="Times New Roman" w:hAnsi="Times New Roman" w:cs="Times New Roman"/>
          <w:bCs/>
          <w:sz w:val="28"/>
          <w:szCs w:val="28"/>
        </w:rPr>
      </w:pPr>
      <w:r w:rsidRPr="004E4F93">
        <w:rPr>
          <w:rFonts w:ascii="Times New Roman" w:eastAsia="Times New Roman" w:hAnsi="Times New Roman" w:cs="Times New Roman"/>
          <w:iCs/>
          <w:sz w:val="28"/>
          <w:szCs w:val="28"/>
        </w:rPr>
        <w:t xml:space="preserve">В </w:t>
      </w:r>
      <w:r w:rsidR="001D4A51" w:rsidRPr="004E4F93">
        <w:rPr>
          <w:rFonts w:ascii="Times New Roman" w:eastAsia="Times New Roman" w:hAnsi="Times New Roman" w:cs="Times New Roman"/>
          <w:bCs/>
          <w:sz w:val="28"/>
          <w:szCs w:val="28"/>
        </w:rPr>
        <w:t xml:space="preserve">процесі підготовки даної </w:t>
      </w:r>
      <w:r w:rsidR="00533876" w:rsidRPr="004E4F93">
        <w:rPr>
          <w:rFonts w:ascii="Times New Roman" w:eastAsia="Times New Roman" w:hAnsi="Times New Roman" w:cs="Times New Roman"/>
          <w:bCs/>
          <w:sz w:val="28"/>
          <w:szCs w:val="28"/>
        </w:rPr>
        <w:t>магістерської дисертації</w:t>
      </w:r>
      <w:r w:rsidR="001D4A51" w:rsidRPr="004E4F93">
        <w:rPr>
          <w:rFonts w:ascii="Times New Roman" w:eastAsia="Times New Roman" w:hAnsi="Times New Roman" w:cs="Times New Roman"/>
          <w:bCs/>
          <w:sz w:val="28"/>
          <w:szCs w:val="28"/>
        </w:rPr>
        <w:t xml:space="preserve"> </w:t>
      </w:r>
      <w:r w:rsidRPr="004E4F93">
        <w:rPr>
          <w:rFonts w:ascii="Times New Roman" w:eastAsia="Times New Roman" w:hAnsi="Times New Roman" w:cs="Times New Roman"/>
          <w:bCs/>
          <w:sz w:val="28"/>
          <w:szCs w:val="28"/>
        </w:rPr>
        <w:t xml:space="preserve">здійснюється дослідження </w:t>
      </w:r>
      <w:r w:rsidR="0028556C" w:rsidRPr="004E4F93">
        <w:rPr>
          <w:rFonts w:ascii="Times New Roman" w:eastAsia="Times New Roman" w:hAnsi="Times New Roman" w:cs="Times New Roman"/>
          <w:bCs/>
          <w:sz w:val="28"/>
          <w:szCs w:val="28"/>
        </w:rPr>
        <w:t xml:space="preserve">комплексного підходу до керування екологічними аспектами закриття кар’єру та підготовки до відновлення екосистеми на території відпрацьованого родовища з моменту планування початку видобутку корисних копалин та на протязі життєвого циклу родовища, що дозволяє оптимізувати витрати на відновлення екосистеми та </w:t>
      </w:r>
      <w:r w:rsidR="00D27C8C" w:rsidRPr="004E4F93">
        <w:rPr>
          <w:rFonts w:ascii="Times New Roman" w:eastAsia="Times New Roman" w:hAnsi="Times New Roman" w:cs="Times New Roman"/>
          <w:bCs/>
          <w:sz w:val="28"/>
          <w:szCs w:val="28"/>
        </w:rPr>
        <w:t>гармонізувати довкілля з майбутнім господарським використанням району розташування родовища.</w:t>
      </w:r>
      <w:r w:rsidR="00D27C8C" w:rsidRPr="00D6276F">
        <w:rPr>
          <w:rFonts w:ascii="Times New Roman" w:eastAsia="Times New Roman" w:hAnsi="Times New Roman" w:cs="Times New Roman"/>
          <w:bCs/>
          <w:sz w:val="28"/>
          <w:szCs w:val="28"/>
        </w:rPr>
        <w:t xml:space="preserve"> </w:t>
      </w:r>
    </w:p>
    <w:p w14:paraId="4C80755D" w14:textId="711388AC" w:rsidR="00B7206A" w:rsidRPr="00D6276F" w:rsidRDefault="001D4A51" w:rsidP="008E765D">
      <w:pPr>
        <w:spacing w:after="0" w:line="360" w:lineRule="auto"/>
        <w:ind w:firstLine="720"/>
        <w:jc w:val="both"/>
        <w:rPr>
          <w:rFonts w:ascii="Times New Roman" w:hAnsi="Times New Roman" w:cs="Times New Roman"/>
          <w:sz w:val="28"/>
          <w:szCs w:val="28"/>
        </w:rPr>
      </w:pPr>
      <w:r w:rsidRPr="0045282D">
        <w:rPr>
          <w:rFonts w:ascii="Times New Roman" w:eastAsia="Times New Roman" w:hAnsi="Times New Roman" w:cs="Times New Roman"/>
          <w:iCs/>
          <w:sz w:val="28"/>
          <w:szCs w:val="28"/>
        </w:rPr>
        <w:t>Практичне значення одержаних результатів</w:t>
      </w:r>
      <w:r w:rsidRPr="00D6276F">
        <w:rPr>
          <w:rFonts w:ascii="Times New Roman" w:eastAsia="Times New Roman" w:hAnsi="Times New Roman" w:cs="Times New Roman"/>
          <w:b/>
          <w:sz w:val="28"/>
          <w:szCs w:val="28"/>
        </w:rPr>
        <w:t xml:space="preserve"> </w:t>
      </w:r>
      <w:r w:rsidRPr="00D6276F">
        <w:rPr>
          <w:rFonts w:ascii="Times New Roman" w:eastAsia="Times New Roman" w:hAnsi="Times New Roman" w:cs="Times New Roman"/>
          <w:bCs/>
          <w:sz w:val="28"/>
          <w:szCs w:val="28"/>
        </w:rPr>
        <w:t>може бути визна</w:t>
      </w:r>
      <w:r w:rsidR="00B7206A" w:rsidRPr="00D6276F">
        <w:rPr>
          <w:rFonts w:ascii="Times New Roman" w:eastAsia="Times New Roman" w:hAnsi="Times New Roman" w:cs="Times New Roman"/>
          <w:bCs/>
          <w:sz w:val="28"/>
          <w:szCs w:val="28"/>
        </w:rPr>
        <w:t>чено після апробації розробленого</w:t>
      </w:r>
      <w:r w:rsidRPr="00D6276F">
        <w:rPr>
          <w:rFonts w:ascii="Times New Roman" w:eastAsia="Times New Roman" w:hAnsi="Times New Roman" w:cs="Times New Roman"/>
          <w:bCs/>
          <w:sz w:val="28"/>
          <w:szCs w:val="28"/>
        </w:rPr>
        <w:t xml:space="preserve"> </w:t>
      </w:r>
      <w:r w:rsidR="006F4FF1" w:rsidRPr="00D6276F">
        <w:rPr>
          <w:rFonts w:ascii="Times New Roman" w:eastAsia="Times New Roman" w:hAnsi="Times New Roman" w:cs="Times New Roman"/>
          <w:bCs/>
          <w:sz w:val="28"/>
          <w:szCs w:val="28"/>
        </w:rPr>
        <w:t>у роботі старт-ап проєкту</w:t>
      </w:r>
      <w:r w:rsidR="00BD7CBF" w:rsidRPr="00D6276F">
        <w:rPr>
          <w:rFonts w:ascii="Times New Roman" w:eastAsia="Times New Roman" w:hAnsi="Times New Roman" w:cs="Times New Roman"/>
          <w:bCs/>
          <w:sz w:val="28"/>
          <w:szCs w:val="28"/>
        </w:rPr>
        <w:t xml:space="preserve">, що дозволить </w:t>
      </w:r>
      <w:r w:rsidR="00BD7CBF" w:rsidRPr="00D6276F">
        <w:rPr>
          <w:rFonts w:ascii="Times New Roman" w:hAnsi="Times New Roman" w:cs="Times New Roman"/>
          <w:sz w:val="28"/>
          <w:szCs w:val="28"/>
        </w:rPr>
        <w:t xml:space="preserve">автоматизувати процеси оброблення інформації, яка буде збиратись протягом життєвого циклу родовища, з регулярними оновленнями зібраних та переглянутих даних. </w:t>
      </w:r>
    </w:p>
    <w:p w14:paraId="4377A96C" w14:textId="77777777" w:rsidR="000C50AE" w:rsidRPr="00D6276F" w:rsidRDefault="000C50AE" w:rsidP="008E765D">
      <w:pPr>
        <w:pStyle w:val="aff9"/>
        <w:spacing w:before="0" w:beforeAutospacing="0" w:after="0" w:afterAutospacing="0" w:line="360" w:lineRule="auto"/>
        <w:ind w:firstLine="567"/>
        <w:jc w:val="both"/>
        <w:rPr>
          <w:rFonts w:eastAsiaTheme="minorHAnsi"/>
          <w:kern w:val="2"/>
          <w:sz w:val="28"/>
          <w:szCs w:val="28"/>
          <w:lang w:eastAsia="en-US"/>
          <w14:ligatures w14:val="standardContextual"/>
        </w:rPr>
      </w:pPr>
    </w:p>
    <w:p w14:paraId="29A537DB" w14:textId="77777777" w:rsidR="00576554" w:rsidRPr="00D6276F" w:rsidRDefault="00576554" w:rsidP="008E765D">
      <w:pPr>
        <w:spacing w:after="0"/>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br w:type="page"/>
      </w:r>
    </w:p>
    <w:p w14:paraId="425C8C79" w14:textId="77777777" w:rsidR="00576554" w:rsidRPr="00D6276F" w:rsidRDefault="00576554" w:rsidP="002A4A99">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2" w:name="_Toc155658254"/>
      <w:r w:rsidRPr="00D6276F">
        <w:rPr>
          <w:rFonts w:ascii="Times New Roman" w:eastAsia="Times New Roman" w:hAnsi="Times New Roman" w:cs="Times New Roman"/>
          <w:sz w:val="28"/>
          <w:szCs w:val="28"/>
        </w:rPr>
        <w:lastRenderedPageBreak/>
        <w:t>РОЗДІЛ 1</w:t>
      </w:r>
      <w:bookmarkEnd w:id="2"/>
    </w:p>
    <w:p w14:paraId="7385D578" w14:textId="77777777" w:rsidR="00576554" w:rsidRPr="00D6276F" w:rsidRDefault="00CF2812" w:rsidP="002A4A99">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3" w:name="_Toc155658255"/>
      <w:r w:rsidRPr="00D6276F">
        <w:rPr>
          <w:rFonts w:ascii="Times New Roman" w:eastAsia="Times New Roman" w:hAnsi="Times New Roman" w:cs="Times New Roman"/>
          <w:sz w:val="28"/>
          <w:szCs w:val="28"/>
        </w:rPr>
        <w:t>ВИДОБУВНА ДІЯЛЬНІСТЬ</w:t>
      </w:r>
      <w:r w:rsidR="00576554" w:rsidRPr="002A4A99">
        <w:rPr>
          <w:rFonts w:ascii="Times New Roman" w:eastAsia="Times New Roman" w:hAnsi="Times New Roman" w:cs="Times New Roman"/>
          <w:sz w:val="28"/>
          <w:szCs w:val="28"/>
        </w:rPr>
        <w:t xml:space="preserve"> ТА СТАЛИЙ РОЗВИТОК</w:t>
      </w:r>
      <w:bookmarkEnd w:id="3"/>
    </w:p>
    <w:p w14:paraId="705B62CA" w14:textId="2385A3C8" w:rsidR="00576554" w:rsidRPr="002A4A99" w:rsidRDefault="00576554" w:rsidP="002A4A99">
      <w:pPr>
        <w:pStyle w:val="2"/>
        <w:keepNext w:val="0"/>
        <w:keepLines w:val="0"/>
        <w:spacing w:before="0" w:after="0" w:line="360" w:lineRule="auto"/>
        <w:ind w:left="1080"/>
        <w:jc w:val="both"/>
        <w:rPr>
          <w:rFonts w:ascii="Times New Roman" w:hAnsi="Times New Roman" w:cs="Times New Roman"/>
          <w:sz w:val="28"/>
        </w:rPr>
      </w:pPr>
      <w:bookmarkStart w:id="4" w:name="_Toc155658256"/>
      <w:r w:rsidRPr="00D6276F">
        <w:rPr>
          <w:rFonts w:ascii="Times New Roman" w:hAnsi="Times New Roman" w:cs="Times New Roman"/>
          <w:sz w:val="28"/>
        </w:rPr>
        <w:t>1.1</w:t>
      </w:r>
      <w:r w:rsidRPr="002A4A99">
        <w:rPr>
          <w:rFonts w:ascii="Times New Roman" w:hAnsi="Times New Roman" w:cs="Times New Roman"/>
          <w:sz w:val="28"/>
        </w:rPr>
        <w:t xml:space="preserve">. </w:t>
      </w:r>
      <w:r w:rsidR="00A25EA0" w:rsidRPr="00D6276F">
        <w:rPr>
          <w:rFonts w:ascii="Times New Roman" w:hAnsi="Times New Roman" w:cs="Times New Roman"/>
          <w:sz w:val="28"/>
        </w:rPr>
        <w:t xml:space="preserve">Видобувна діяльність та </w:t>
      </w:r>
      <w:r w:rsidR="007C4431" w:rsidRPr="00D6276F">
        <w:rPr>
          <w:rFonts w:ascii="Times New Roman" w:hAnsi="Times New Roman" w:cs="Times New Roman"/>
          <w:sz w:val="28"/>
        </w:rPr>
        <w:t>ідеї сталого розвитку</w:t>
      </w:r>
      <w:bookmarkEnd w:id="4"/>
    </w:p>
    <w:p w14:paraId="7CE9C582" w14:textId="5DBC9C60" w:rsidR="00B5077A" w:rsidRPr="00D6276F" w:rsidRDefault="00DD16FF" w:rsidP="002A4A99">
      <w:pPr>
        <w:spacing w:after="0" w:line="360" w:lineRule="auto"/>
        <w:ind w:right="-1"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Гірничодобувна промисловість займається видобутком мінералів, нафти, газу, рудних і нерудних матеріалів та інших природних ресурсів із земної поверхні. Ця галузь відіграє вирішальну роль у світовій економіці, забезпечуючи важливу сировину для різних галузей, таких як будівництво, виробництво та енергетика. І виробництво первинної сировини зростає в геометричній прогресії з початку 20-го століття. </w:t>
      </w:r>
    </w:p>
    <w:p w14:paraId="2F4AFC3F"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Гірничодобувні компанії отримують величезні прибутки, видобуваючи цінні корисні копалини, але часто за рахунок громад, в яких вони працюють та довкілля. Так гірничодобувна промисловість спричиняє одні з найдраматичніших впливів на навколишнє середовище та здоров'я людей. Сліди гірничодобувної діяльності часто видно з космосу, так як великі площі кар’єрів виділяються серед природного ландшафту. Отже головними викликами видобувної галузі є екологічні проблеми, які пов'язані з деградацією земель, зміною ландшафту, зняттям верхнього шару ґрунту (при відкритому видобутку), забрудненнями повітря, води та ґрунт, та викидами вуглекислого газу, пилу, накопичені відходів, підвищеному рівні шуму, деградації екосистем, тощо [1]. Друге місце посідають соціальні та економічні проблеми: видобування збільшує економічну нерівність, призводить до конфліктів щодо землекористування та ресурсів, змінює ідентичність громад.</w:t>
      </w:r>
    </w:p>
    <w:p w14:paraId="6ABBC5A4" w14:textId="27C7EBF0"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Гірничодобувна діяльність може впливати на екологічні та соціальні   системи як прямо, так і опосередковано. Розвідка, будівництво, експлуатація та обслуговування </w:t>
      </w:r>
      <w:r w:rsidR="00A25EA0" w:rsidRPr="00D6276F">
        <w:rPr>
          <w:rFonts w:ascii="Times New Roman" w:eastAsia="Times New Roman" w:hAnsi="Times New Roman" w:cs="Times New Roman"/>
          <w:sz w:val="28"/>
          <w:szCs w:val="28"/>
        </w:rPr>
        <w:t xml:space="preserve">кар’єрів </w:t>
      </w:r>
      <w:r w:rsidRPr="00D6276F">
        <w:rPr>
          <w:rFonts w:ascii="Times New Roman" w:eastAsia="Times New Roman" w:hAnsi="Times New Roman" w:cs="Times New Roman"/>
          <w:sz w:val="28"/>
          <w:szCs w:val="28"/>
        </w:rPr>
        <w:t xml:space="preserve">можуть призвести до зміни землекористування, що спричиняє вирубку лісів, ерозію, забруднення та зміну профілю ґрунту, забруднення місцевих струмків і водно-болотних угідь, а також підвищення рівня шуму, пилу та викидів. Ліквідація, виведення з експлуатації та перепрофілювання шахт також може призвести до значного впливу на довкілля, особливо до забруднення ґрунту та води. Інфраструктура, яка підтримує видобуток корисних копалин, зокрема дороги, порти, </w:t>
      </w:r>
      <w:r w:rsidRPr="00D6276F">
        <w:rPr>
          <w:rFonts w:ascii="Times New Roman" w:eastAsia="Times New Roman" w:hAnsi="Times New Roman" w:cs="Times New Roman"/>
          <w:sz w:val="28"/>
          <w:szCs w:val="28"/>
        </w:rPr>
        <w:lastRenderedPageBreak/>
        <w:t xml:space="preserve">залізничні колії та лінії електропередач, може впливати на міграційні шляхи тварин і збільшувати фрагментацію екосистем. </w:t>
      </w:r>
    </w:p>
    <w:p w14:paraId="409A0CBB"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Гірничодобувна діяльність може створювати багато робочих місць, що потенційно відкриває економічні можливості, як прямо, так і опосередковано приносячи користь членам громади. Однак</w:t>
      </w:r>
      <w:r w:rsidR="003A62DD" w:rsidRPr="00D6276F">
        <w:rPr>
          <w:rFonts w:ascii="Times New Roman" w:eastAsia="Times New Roman" w:hAnsi="Times New Roman" w:cs="Times New Roman"/>
          <w:sz w:val="28"/>
          <w:szCs w:val="28"/>
        </w:rPr>
        <w:t>,</w:t>
      </w:r>
      <w:r w:rsidRPr="00D6276F">
        <w:rPr>
          <w:rFonts w:ascii="Times New Roman" w:eastAsia="Times New Roman" w:hAnsi="Times New Roman" w:cs="Times New Roman"/>
          <w:sz w:val="28"/>
          <w:szCs w:val="28"/>
        </w:rPr>
        <w:t xml:space="preserve"> ці економічні вигоди можуть не відповідати масштабам прибутків, які отримують гірничодобувні компанії, оскільки багато шахт також є можливим джерелом дитячої праці, бідності, забруднення довкілля та хвороб.</w:t>
      </w:r>
    </w:p>
    <w:p w14:paraId="70E727D7" w14:textId="61F628DB"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Крім того, видобування є критичним викликом та ризиком для сталого розвитку людства, так як мінеральні ресурси обмежені і не відновлюються, принаймні в людському або біологічному часовому масштабі, а видобувна діяльність наносить невиправної шкоди довкіллю та громадам [3]. Під час наскрізних операцій, пов'язаних з видобутком корисних копалин, розвідкою, видобутком корисних копалин, переробкою корисних копалин та виведенням кінцевої продукції на ринок, наші землі, вода, повітря та екосистеми зазнають короткочасного впливу, а також можуть зазнавати негативного впливу в довгостроковій перспективі, якщо не буде вжито заходів для належної рекультивації та відновлення порушених територій. Суспільство дозволяє видобуток корисних копалин, оскільки його значні економічні, соціальні та політичні переваги переважають ймовірні негативні наслідки. Історично гірничодобувна промисловість була консервативною до змін через великі капітальні витрати, високий ризик і нечітке або неоднозначне державне регулювання. Однак галузь продовжує трансформуватися під впливом глобальної конкуренції та екологічних норм, які вимагають впровадження стратегій скорочення витрат, підвищення продуктивності, стабільності якості продукції, вирішення питань впливу на навколишнє середовище та прозорості для всіх зацікавлених сторін. Рекультивація та відновлення земель, порушених протягом усього життєвого циклу</w:t>
      </w:r>
      <w:r w:rsidR="003A62DD" w:rsidRPr="00D6276F">
        <w:rPr>
          <w:rFonts w:ascii="Times New Roman" w:eastAsia="Times New Roman" w:hAnsi="Times New Roman" w:cs="Times New Roman"/>
          <w:sz w:val="28"/>
          <w:szCs w:val="28"/>
        </w:rPr>
        <w:t xml:space="preserve"> кар’єру</w:t>
      </w:r>
      <w:r w:rsidRPr="00D6276F">
        <w:rPr>
          <w:rFonts w:ascii="Times New Roman" w:eastAsia="Times New Roman" w:hAnsi="Times New Roman" w:cs="Times New Roman"/>
          <w:sz w:val="28"/>
          <w:szCs w:val="28"/>
        </w:rPr>
        <w:t xml:space="preserve">, мають вирішальне значення для глобальної конкурентоспроможності та забезпечення сталого розвитку гірничодобувної галузі в довгостроковій перспективі. Закриття шахти можна визначити як "остаточне припинення видобутку корисних копалин і </w:t>
      </w:r>
      <w:r w:rsidRPr="00D6276F">
        <w:rPr>
          <w:rFonts w:ascii="Times New Roman" w:eastAsia="Times New Roman" w:hAnsi="Times New Roman" w:cs="Times New Roman"/>
          <w:sz w:val="28"/>
          <w:szCs w:val="28"/>
        </w:rPr>
        <w:lastRenderedPageBreak/>
        <w:t xml:space="preserve">всієї подальшої діяльності, пов'язаної з виведенням з експлуатації, рекультивацією та моніторингом території", Mroueh et al. (2008). Завдяки ретельному плануванню можна успішно рекультивувати і відновити порушені екосистеми та закрити </w:t>
      </w:r>
      <w:r w:rsidR="00DD77FD" w:rsidRPr="00D6276F">
        <w:rPr>
          <w:rFonts w:ascii="Times New Roman" w:eastAsia="Times New Roman" w:hAnsi="Times New Roman" w:cs="Times New Roman"/>
          <w:sz w:val="28"/>
          <w:szCs w:val="28"/>
        </w:rPr>
        <w:t xml:space="preserve">кар’єр </w:t>
      </w:r>
      <w:r w:rsidRPr="00D6276F">
        <w:rPr>
          <w:rFonts w:ascii="Times New Roman" w:eastAsia="Times New Roman" w:hAnsi="Times New Roman" w:cs="Times New Roman"/>
          <w:sz w:val="28"/>
          <w:szCs w:val="28"/>
        </w:rPr>
        <w:t>з мінімальними довгостроковими наслідками або взагалі без них.</w:t>
      </w:r>
    </w:p>
    <w:p w14:paraId="6EF04F00"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Можна виділити основні три аспекти негативного впливу гірничодобувного підприємства  на територію, на якій ведеться видобування: </w:t>
      </w:r>
    </w:p>
    <w:p w14:paraId="1413A26C" w14:textId="77777777" w:rsidR="00B5077A" w:rsidRPr="00D6276F" w:rsidRDefault="00DD16FF" w:rsidP="008E765D">
      <w:pPr>
        <w:spacing w:after="0" w:line="360" w:lineRule="auto"/>
        <w:ind w:left="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екологічну вразливість - забруднення або деградація екосистем, в тому числі геологічну вразливість, наприклад, зміна якості корисної копалини;</w:t>
      </w:r>
    </w:p>
    <w:p w14:paraId="504AC09B" w14:textId="77777777" w:rsidR="00B5077A" w:rsidRPr="00D6276F" w:rsidRDefault="00DD16FF" w:rsidP="008E765D">
      <w:pPr>
        <w:spacing w:after="0" w:line="360" w:lineRule="auto"/>
        <w:ind w:left="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соціальну вразливість - потенційна шкода для людей у вигляді нерівності, збіднення на етапах припинення діяльності, погіршення якості життя, модифікація територіальної ідентичності,  </w:t>
      </w:r>
    </w:p>
    <w:p w14:paraId="5ECBDD10" w14:textId="77777777" w:rsidR="00B5077A" w:rsidRPr="00D6276F" w:rsidRDefault="00DD16FF" w:rsidP="008E765D">
      <w:pPr>
        <w:spacing w:after="0" w:line="360" w:lineRule="auto"/>
        <w:ind w:left="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економічну вразливість - волатильність світового ринку або дестабілізація економічної системи, виникнення витрат на пом’якшення негативного впливу видобування [2].</w:t>
      </w:r>
    </w:p>
    <w:p w14:paraId="4DEC9816" w14:textId="1448C91D" w:rsidR="00B5077A" w:rsidRPr="00D6276F" w:rsidRDefault="00DD77FD"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Війна </w:t>
      </w:r>
      <w:r w:rsidR="00DD16FF" w:rsidRPr="00D6276F">
        <w:rPr>
          <w:rFonts w:ascii="Times New Roman" w:eastAsia="Times New Roman" w:hAnsi="Times New Roman" w:cs="Times New Roman"/>
          <w:sz w:val="28"/>
          <w:szCs w:val="28"/>
        </w:rPr>
        <w:t xml:space="preserve">в Україні також суттєво вплинув на ринок гірничодобувної промисловості, особливо у східних регіонах, де зосереджена більша частина гірничодобувної діяльності в країні. </w:t>
      </w:r>
      <w:r w:rsidRPr="00D6276F">
        <w:rPr>
          <w:rFonts w:ascii="Times New Roman" w:eastAsia="Times New Roman" w:hAnsi="Times New Roman" w:cs="Times New Roman"/>
          <w:sz w:val="28"/>
          <w:szCs w:val="28"/>
        </w:rPr>
        <w:t xml:space="preserve">Бойові дії </w:t>
      </w:r>
      <w:r w:rsidR="00DD16FF" w:rsidRPr="00D6276F">
        <w:rPr>
          <w:rFonts w:ascii="Times New Roman" w:eastAsia="Times New Roman" w:hAnsi="Times New Roman" w:cs="Times New Roman"/>
          <w:sz w:val="28"/>
          <w:szCs w:val="28"/>
        </w:rPr>
        <w:t>поруши</w:t>
      </w:r>
      <w:r w:rsidRPr="00D6276F">
        <w:rPr>
          <w:rFonts w:ascii="Times New Roman" w:eastAsia="Times New Roman" w:hAnsi="Times New Roman" w:cs="Times New Roman"/>
          <w:sz w:val="28"/>
          <w:szCs w:val="28"/>
        </w:rPr>
        <w:t>ли</w:t>
      </w:r>
      <w:r w:rsidR="00DD16FF" w:rsidRPr="00D6276F">
        <w:rPr>
          <w:rFonts w:ascii="Times New Roman" w:eastAsia="Times New Roman" w:hAnsi="Times New Roman" w:cs="Times New Roman"/>
          <w:sz w:val="28"/>
          <w:szCs w:val="28"/>
        </w:rPr>
        <w:t xml:space="preserve"> ланцюги поставок і транспортні маршрути, підвищи</w:t>
      </w:r>
      <w:r w:rsidRPr="00D6276F">
        <w:rPr>
          <w:rFonts w:ascii="Times New Roman" w:eastAsia="Times New Roman" w:hAnsi="Times New Roman" w:cs="Times New Roman"/>
          <w:sz w:val="28"/>
          <w:szCs w:val="28"/>
        </w:rPr>
        <w:t>ли</w:t>
      </w:r>
      <w:r w:rsidR="00DD16FF" w:rsidRPr="00D6276F">
        <w:rPr>
          <w:rFonts w:ascii="Times New Roman" w:eastAsia="Times New Roman" w:hAnsi="Times New Roman" w:cs="Times New Roman"/>
          <w:sz w:val="28"/>
          <w:szCs w:val="28"/>
        </w:rPr>
        <w:t xml:space="preserve"> ризики для безпеки, а також завда</w:t>
      </w:r>
      <w:r w:rsidRPr="00D6276F">
        <w:rPr>
          <w:rFonts w:ascii="Times New Roman" w:eastAsia="Times New Roman" w:hAnsi="Times New Roman" w:cs="Times New Roman"/>
          <w:sz w:val="28"/>
          <w:szCs w:val="28"/>
        </w:rPr>
        <w:t>ли</w:t>
      </w:r>
      <w:r w:rsidR="00DD16FF" w:rsidRPr="00D6276F">
        <w:rPr>
          <w:rFonts w:ascii="Times New Roman" w:eastAsia="Times New Roman" w:hAnsi="Times New Roman" w:cs="Times New Roman"/>
          <w:sz w:val="28"/>
          <w:szCs w:val="28"/>
        </w:rPr>
        <w:t xml:space="preserve"> значної шкоди інфраструктурі та гірничодобувному обладнанню. Як наслідок, багато гірничодобувних підприємств у постраждалих районах було призупинено, що призвело до значних виробничих втрат.</w:t>
      </w:r>
    </w:p>
    <w:p w14:paraId="19B15879"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Сталий розвиток видобувних галузей повинен сприяти здоров'ю, добробуту для всіх, підтримувати якість довкілля та інших ресурсів, а також спиратися на інклюзивне управління з боку всіх зацікавлених сторін. З цих причин екологічні, та соціальні цінності повинні бути визначені і взяті до уваги гірничодобувним підприємством разом з економічними цінностями. Акцент і важливість сталого розвитку у видобувній галузі було визнано Всесвітньою комісією ООН з навколишнього середовища та розвитку ще в 1987 році.  </w:t>
      </w:r>
    </w:p>
    <w:p w14:paraId="439BE8A2"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У 2002 році Організація Об’єднаних Націй започаткувала Всесвітній саміт зі сталого розвитку (WSSD), який  розглядав концепцію сталої роботи та практик у </w:t>
      </w:r>
      <w:r w:rsidRPr="00D6276F">
        <w:rPr>
          <w:rFonts w:ascii="Times New Roman" w:eastAsia="Times New Roman" w:hAnsi="Times New Roman" w:cs="Times New Roman"/>
          <w:sz w:val="28"/>
          <w:szCs w:val="28"/>
        </w:rPr>
        <w:lastRenderedPageBreak/>
        <w:t>видобуванні, а також визначив потребу в підвищенні обізнаності всередині видобувної промисловості. Всесвітній саміт зі сталого розвитку визнав важливість внеску видобування корисних копалин у сталий спосіб, а саме необхідність підтримки зусиль для належного розгляду екологічних, економічних, соціальних наслідків та впливу на здоров’я людини та переваг у видобуванні корисних копалин, мінералів і металів, протягом усього їх життєвого циклу. [4]</w:t>
      </w:r>
    </w:p>
    <w:p w14:paraId="3F2DE4C8" w14:textId="77777777" w:rsidR="007D50E8" w:rsidRPr="00D6276F" w:rsidRDefault="007D50E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Всесвітній саміт зі сталого розвитку визначив необхідність для країн, розвиток яких залежить від видобування корисних копалин, в подальшому розвитку принципів і практики сталого розвитку. Еволюція ефективного сталого розвитку вимагає від країн сталої практики видобування шляхом підтримки фінансового і технічного потенціалу. </w:t>
      </w:r>
    </w:p>
    <w:p w14:paraId="5EAE9F3A" w14:textId="77777777" w:rsidR="007D50E8" w:rsidRPr="00D6276F" w:rsidRDefault="007D50E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Сталий видобуток корисних копалин означає зменшення негативного впливу процесу видобутку та наслідків видобутку на навколишнє середовище, позитивні соціальні та управлінські наслідки. Сталі видобувні підприємства практикують відповідальне управління природним середовищем, задовольняючи потреби суспільства в ресурсах сьогодні, забезпечуючи також задоволення потреб майбутніх поколінь.</w:t>
      </w:r>
    </w:p>
    <w:p w14:paraId="6C1F5FD1" w14:textId="35070E07" w:rsidR="007D50E8" w:rsidRPr="00D6276F" w:rsidRDefault="007D50E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Крім того, сталий розвиток є керівним принципом довгострокового розвитку, який збалансовує економічний і соціальний розвиток та екологічну стійкість. Загальну важливість сталого розвитку останнім часом було визнано більш твердо, ніж будь-коли, що знайшло своє відображення в Порядку денному на період до 2030 року і у 17 глобальних Цілях сталого розвитку (ЦСР), які підтримали  193 держав-членів ООН у 2015 році [5].</w:t>
      </w:r>
    </w:p>
    <w:p w14:paraId="4F385E0D"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Сьогодні частково відповідальність за сталий розвиток видобувної діяльності визначається в дозвільних документах на видобування та шляхом становлення порядку їх отримання з залученням зацікавлених сторін. У минулому це питання часто залишалося невизначеним, а компанії не розраховували витрати на природоохоронні заходи, на розвиток громади, на закриття шахт та кар’єрів та на заходи по запобіганню негативним екологічним наслідкам після припинення </w:t>
      </w:r>
      <w:r w:rsidRPr="00D6276F">
        <w:rPr>
          <w:rFonts w:ascii="Times New Roman" w:eastAsia="Times New Roman" w:hAnsi="Times New Roman" w:cs="Times New Roman"/>
          <w:sz w:val="28"/>
          <w:szCs w:val="28"/>
        </w:rPr>
        <w:lastRenderedPageBreak/>
        <w:t>діяльності. Проте сьогодні і законодавство України змінюється, впроваджуючи світові стандарти видобувної діяльності, і на практиці існує кілька механізмів управління розвитком та припиненням діяльності шахт та кар’єрів, навіть і тоді, коли відповідні закони не передбачають чітких обов’язків по припиненню діяльності.</w:t>
      </w:r>
    </w:p>
    <w:p w14:paraId="3DAC94DF" w14:textId="77777777" w:rsidR="007C4431"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Тому кожне гірничодобувне підприємство має будувати свою діяльність з урахуванням екологічних, соціальних та економічних інтересів громад і населення в місцевості своєї діяльності та передбачати ресурси для реалізації відповідних заходів. </w:t>
      </w:r>
    </w:p>
    <w:p w14:paraId="35A01244" w14:textId="2549F832" w:rsidR="00E14CD7" w:rsidRPr="002A4A99" w:rsidRDefault="00E14CD7" w:rsidP="008E765D">
      <w:pPr>
        <w:spacing w:after="0"/>
        <w:rPr>
          <w:rFonts w:ascii="Times New Roman" w:hAnsi="Times New Roman" w:cs="Times New Roman"/>
        </w:rPr>
      </w:pPr>
    </w:p>
    <w:p w14:paraId="58E987CE" w14:textId="5C81DF8F" w:rsidR="00C84F10" w:rsidRPr="00D6276F" w:rsidRDefault="00A25EA0" w:rsidP="002A4A99">
      <w:pPr>
        <w:pStyle w:val="2"/>
        <w:spacing w:before="0" w:after="0" w:line="360" w:lineRule="auto"/>
        <w:ind w:left="2007"/>
        <w:rPr>
          <w:rFonts w:ascii="Times New Roman" w:hAnsi="Times New Roman" w:cs="Times New Roman"/>
          <w:sz w:val="28"/>
          <w:szCs w:val="28"/>
        </w:rPr>
      </w:pPr>
      <w:bookmarkStart w:id="5" w:name="_Toc155658257"/>
      <w:r w:rsidRPr="00D6276F">
        <w:rPr>
          <w:rFonts w:ascii="Times New Roman" w:hAnsi="Times New Roman" w:cs="Times New Roman"/>
          <w:sz w:val="28"/>
        </w:rPr>
        <w:t xml:space="preserve">1.2. </w:t>
      </w:r>
      <w:bookmarkStart w:id="6" w:name="_Toc136444560"/>
      <w:r w:rsidR="00C84F10" w:rsidRPr="00D6276F">
        <w:rPr>
          <w:rFonts w:ascii="Times New Roman" w:hAnsi="Times New Roman" w:cs="Times New Roman"/>
          <w:sz w:val="28"/>
          <w:szCs w:val="28"/>
        </w:rPr>
        <w:t>Принципи</w:t>
      </w:r>
      <w:r w:rsidR="00DA1813" w:rsidRPr="00D6276F">
        <w:rPr>
          <w:rFonts w:ascii="Times New Roman" w:hAnsi="Times New Roman" w:cs="Times New Roman"/>
          <w:sz w:val="28"/>
          <w:szCs w:val="28"/>
        </w:rPr>
        <w:t xml:space="preserve"> та цілі</w:t>
      </w:r>
      <w:r w:rsidR="00C84F10" w:rsidRPr="00D6276F">
        <w:rPr>
          <w:rFonts w:ascii="Times New Roman" w:hAnsi="Times New Roman" w:cs="Times New Roman"/>
          <w:sz w:val="28"/>
          <w:szCs w:val="28"/>
        </w:rPr>
        <w:t xml:space="preserve"> сталого розвитку у видобуванні</w:t>
      </w:r>
      <w:bookmarkEnd w:id="5"/>
      <w:bookmarkEnd w:id="6"/>
      <w:r w:rsidR="00C84F10" w:rsidRPr="00D6276F">
        <w:rPr>
          <w:rFonts w:ascii="Times New Roman" w:hAnsi="Times New Roman" w:cs="Times New Roman"/>
          <w:sz w:val="28"/>
          <w:szCs w:val="28"/>
        </w:rPr>
        <w:t xml:space="preserve"> </w:t>
      </w:r>
    </w:p>
    <w:p w14:paraId="024BAEAF" w14:textId="00AD2631"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Щоб зробити видобування більш стійким і більше збалансувати попит на мінеральні ресурси з потребами в мінімізації та управлінні негативними соціальним та екологічним впливом, концепція сталого розвитку в гірничодобувній галузі потребує ефективнішого функціонування. Для цього важливо мати визначення принципів сталого розвитку, які є найбільш актуальними для видобутку корисних копалин. Протягом усього строку роботи шахти чи кар’єра та навіть і після скоординовані зусилля повинні бути зосереджені на захисті навколишнього середовища, захисті прав людини та  отримання максимальної вигоди від видобування. Це вимагає дотримання таких принципів, як мінімізація виснаження невідновлюваних природних ресурсів, </w:t>
      </w:r>
      <w:r w:rsidR="00DA1813" w:rsidRPr="00D6276F">
        <w:rPr>
          <w:rFonts w:ascii="Times New Roman" w:hAnsi="Times New Roman" w:cs="Times New Roman"/>
          <w:sz w:val="28"/>
          <w:szCs w:val="28"/>
        </w:rPr>
        <w:t xml:space="preserve">перетворення </w:t>
      </w:r>
      <w:r w:rsidRPr="00D6276F">
        <w:rPr>
          <w:rFonts w:ascii="Times New Roman" w:hAnsi="Times New Roman" w:cs="Times New Roman"/>
          <w:sz w:val="28"/>
          <w:szCs w:val="28"/>
        </w:rPr>
        <w:t>принципу «забруднювач платить»</w:t>
      </w:r>
      <w:r w:rsidR="00DA1813" w:rsidRPr="00D6276F">
        <w:rPr>
          <w:rFonts w:ascii="Times New Roman" w:hAnsi="Times New Roman" w:cs="Times New Roman"/>
          <w:sz w:val="28"/>
          <w:szCs w:val="28"/>
        </w:rPr>
        <w:t xml:space="preserve"> в принцип «забруднювач інвестує»</w:t>
      </w:r>
      <w:r w:rsidRPr="00D6276F">
        <w:rPr>
          <w:rFonts w:ascii="Times New Roman" w:hAnsi="Times New Roman" w:cs="Times New Roman"/>
          <w:sz w:val="28"/>
          <w:szCs w:val="28"/>
        </w:rPr>
        <w:t xml:space="preserve">, принципу обережності, ресурсоефективності та повної оцінки екологічного впливу, участі зацікавлених сторін, прозорості і підзвітності, а також багатостороннього партнерства в суспільних інтересах. </w:t>
      </w:r>
    </w:p>
    <w:p w14:paraId="2C791F88" w14:textId="23D115A6" w:rsidR="001A3B78" w:rsidRPr="00D6276F" w:rsidRDefault="00DA1813"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П</w:t>
      </w:r>
      <w:r w:rsidR="001A3B78" w:rsidRPr="00D6276F">
        <w:rPr>
          <w:rFonts w:ascii="Times New Roman" w:hAnsi="Times New Roman" w:cs="Times New Roman"/>
          <w:sz w:val="28"/>
          <w:szCs w:val="28"/>
        </w:rPr>
        <w:t xml:space="preserve">ровідну роль в розвитку концепції сталого надровидобування відіграє  International Council on Mining and Metals (ICMM). Уряди понад 60 країн також сформували Міжурядовий форум з гірничої справи, мінералів, металів та сталого розвитку Intergovernmental Forum on Mining, Minerals, Metals and Sustainable Development (IGF) задля покращення управління та прийняття рішень у видобуванні на засадах для сталого розвитку. Ці лише дві з багатьох розпочатих ініціатив урядами, </w:t>
      </w:r>
      <w:r w:rsidR="001A3B78" w:rsidRPr="00D6276F">
        <w:rPr>
          <w:rFonts w:ascii="Times New Roman" w:hAnsi="Times New Roman" w:cs="Times New Roman"/>
          <w:sz w:val="28"/>
          <w:szCs w:val="28"/>
        </w:rPr>
        <w:lastRenderedPageBreak/>
        <w:t>видобувними компаніями, громадянським суспільством, фінансовими установами, науковими колами, та міжнародними організаціями для вирішення викликів видобування корисних копалин для сталого розвитку.</w:t>
      </w:r>
    </w:p>
    <w:p w14:paraId="3DBB617A" w14:textId="24DA4D79"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Так, International Council on Mining and Metals (ICMM) визначає наступні принципи с</w:t>
      </w:r>
      <w:r w:rsidR="00655BE3" w:rsidRPr="00D6276F">
        <w:rPr>
          <w:rFonts w:ascii="Times New Roman" w:hAnsi="Times New Roman" w:cs="Times New Roman"/>
          <w:sz w:val="28"/>
          <w:szCs w:val="28"/>
        </w:rPr>
        <w:t>талого розвитку у видобуванні [6</w:t>
      </w:r>
      <w:r w:rsidRPr="00D6276F">
        <w:rPr>
          <w:rFonts w:ascii="Times New Roman" w:hAnsi="Times New Roman" w:cs="Times New Roman"/>
          <w:sz w:val="28"/>
          <w:szCs w:val="28"/>
        </w:rPr>
        <w:t>]:</w:t>
      </w:r>
    </w:p>
    <w:p w14:paraId="58975139"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 Етичний бізнес - застосування етичних практик ведення бізнесу та розвиток системи корпоративного управління та прозорості для підтримки сталого розвитку.</w:t>
      </w:r>
    </w:p>
    <w:p w14:paraId="4013D19F"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2. Прийняття рішень - інтеграція сталого розвитку у корпоративні стратегії та процеси прийняття  рішень.</w:t>
      </w:r>
    </w:p>
    <w:p w14:paraId="535D9967"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3. Права людини - повага прав та інтересів людини, культури, звичаїв та цінностей працівників та громади, які постраждали від нашої діяльності.</w:t>
      </w:r>
    </w:p>
    <w:p w14:paraId="48D2D9B0"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4. Управління ризиками - впровадження стратегії та системи ефективного управління ризиками на основі надійних знань та які враховують рівень сприйняття ризиків зацікавленими сторонами.</w:t>
      </w:r>
    </w:p>
    <w:p w14:paraId="5BF60389"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5. Здоров’я та безпека - прагнення до постійного вдосконалення фізичного та психологічного здоров'я та показників безпеки з кінцевою метою нульової шкоди.</w:t>
      </w:r>
    </w:p>
    <w:p w14:paraId="07F28D5E"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6. Екологічна продуктивність – прагнення до постійного вдосконалення питання екологічної ефективності, наприклад, управління водою, використання енергії та зміни клімату.</w:t>
      </w:r>
    </w:p>
    <w:p w14:paraId="7F260684"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7. Збереження біорізноманіття - сприяння збереженню біорізноманіття та інтеграційний підхід до землекористування.</w:t>
      </w:r>
    </w:p>
    <w:p w14:paraId="70D4FF12"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8. Відповідальне виробництво - сприяння та підтримка бази знань і систем для відповідального проєктування, використання, повторного використання, переробки та утилізації продуктів, що містять метали і мінерали.</w:t>
      </w:r>
    </w:p>
    <w:p w14:paraId="364A3ED0"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9. Соціальна ефективність - прагнення до постійного вдосконалення соціальних показників та сприяння соціальному, економічному та інституційному розвитку приймаючих країн та громад.</w:t>
      </w:r>
    </w:p>
    <w:p w14:paraId="59589358"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lastRenderedPageBreak/>
        <w:t>10. Залучення зацікавлених сторін - проактивне залучення ключових зацікавлених сторін до викликів сталого розвитку і можливостей у відкритий і прозорий спосіб. Ефективне звітування та самоконтроль прогресу і продуктивності.</w:t>
      </w:r>
    </w:p>
    <w:p w14:paraId="36197262" w14:textId="4788CBAC"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Інший визнаний в світі стандарт сталого розвитку – це Стандарт Канадської асоціації видобування На шляху до сталого видобування - T</w:t>
      </w:r>
      <w:r w:rsidRPr="00D6276F">
        <w:rPr>
          <w:rFonts w:ascii="Times New Roman" w:hAnsi="Times New Roman" w:cs="Times New Roman"/>
          <w:i/>
          <w:iCs/>
          <w:sz w:val="28"/>
          <w:szCs w:val="28"/>
        </w:rPr>
        <w:t>owards Sustainable Mining</w:t>
      </w:r>
      <w:r w:rsidR="00655BE3" w:rsidRPr="00D6276F">
        <w:rPr>
          <w:rFonts w:ascii="Times New Roman" w:hAnsi="Times New Roman" w:cs="Times New Roman"/>
          <w:sz w:val="28"/>
          <w:szCs w:val="28"/>
        </w:rPr>
        <w:t> (TSM) [7</w:t>
      </w:r>
      <w:r w:rsidRPr="00D6276F">
        <w:rPr>
          <w:rFonts w:ascii="Times New Roman" w:hAnsi="Times New Roman" w:cs="Times New Roman"/>
          <w:sz w:val="28"/>
          <w:szCs w:val="28"/>
        </w:rPr>
        <w:t>]:</w:t>
      </w:r>
    </w:p>
    <w:p w14:paraId="0945E429" w14:textId="77777777" w:rsidR="001A3B78" w:rsidRPr="00D6276F" w:rsidRDefault="001A3B78" w:rsidP="008E765D">
      <w:pPr>
        <w:spacing w:after="0" w:line="360" w:lineRule="auto"/>
        <w:ind w:firstLine="567"/>
        <w:jc w:val="both"/>
        <w:rPr>
          <w:rFonts w:ascii="Times New Roman" w:hAnsi="Times New Roman" w:cs="Times New Roman"/>
          <w:b/>
          <w:i/>
          <w:sz w:val="28"/>
          <w:szCs w:val="28"/>
        </w:rPr>
      </w:pPr>
      <w:r w:rsidRPr="00D6276F">
        <w:rPr>
          <w:rFonts w:ascii="Times New Roman" w:hAnsi="Times New Roman" w:cs="Times New Roman"/>
          <w:b/>
          <w:i/>
          <w:sz w:val="28"/>
          <w:szCs w:val="28"/>
        </w:rPr>
        <w:t>І. Громади та люди:</w:t>
      </w:r>
    </w:p>
    <w:p w14:paraId="594EA21B"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Відносини між корінним населенням і громадою</w:t>
      </w:r>
    </w:p>
    <w:p w14:paraId="38ADBBE7"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Антикризовий менеджмент і комунікаційне планування</w:t>
      </w:r>
    </w:p>
    <w:p w14:paraId="7C0E5B71"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Безпека та здоров'я</w:t>
      </w:r>
    </w:p>
    <w:p w14:paraId="4DD6E5AD"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Запобігання дитячій та примусовій праці</w:t>
      </w:r>
    </w:p>
    <w:p w14:paraId="4835FFC7" w14:textId="77777777" w:rsidR="001A3B78" w:rsidRPr="00D6276F" w:rsidRDefault="001A3B78" w:rsidP="008E765D">
      <w:pPr>
        <w:spacing w:after="0" w:line="360" w:lineRule="auto"/>
        <w:ind w:firstLine="567"/>
        <w:jc w:val="both"/>
        <w:rPr>
          <w:rFonts w:ascii="Times New Roman" w:hAnsi="Times New Roman" w:cs="Times New Roman"/>
          <w:b/>
          <w:i/>
          <w:sz w:val="28"/>
          <w:szCs w:val="28"/>
        </w:rPr>
      </w:pPr>
      <w:r w:rsidRPr="00D6276F">
        <w:rPr>
          <w:rFonts w:ascii="Times New Roman" w:hAnsi="Times New Roman" w:cs="Times New Roman"/>
          <w:b/>
          <w:i/>
          <w:sz w:val="28"/>
          <w:szCs w:val="28"/>
        </w:rPr>
        <w:t>ІІ.  Охорона довкілля:</w:t>
      </w:r>
    </w:p>
    <w:p w14:paraId="5AA25EA4"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Управління хвостосховищами</w:t>
      </w:r>
    </w:p>
    <w:p w14:paraId="2215A241"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Управління збереженням біорізноманіття</w:t>
      </w:r>
    </w:p>
    <w:p w14:paraId="32FE67F0"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Розпорядження водою</w:t>
      </w:r>
    </w:p>
    <w:p w14:paraId="64E6313C"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Закриття шахти</w:t>
      </w:r>
    </w:p>
    <w:p w14:paraId="6DFBBCD6"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Розвідка</w:t>
      </w:r>
    </w:p>
    <w:p w14:paraId="6D88491D" w14:textId="77777777" w:rsidR="001A3B78" w:rsidRPr="00D6276F" w:rsidRDefault="001A3B78" w:rsidP="008E765D">
      <w:pPr>
        <w:spacing w:after="0" w:line="360" w:lineRule="auto"/>
        <w:ind w:firstLine="567"/>
        <w:jc w:val="both"/>
        <w:rPr>
          <w:rFonts w:ascii="Times New Roman" w:hAnsi="Times New Roman" w:cs="Times New Roman"/>
          <w:b/>
          <w:i/>
          <w:sz w:val="28"/>
          <w:szCs w:val="28"/>
        </w:rPr>
      </w:pPr>
      <w:r w:rsidRPr="00D6276F">
        <w:rPr>
          <w:rFonts w:ascii="Times New Roman" w:hAnsi="Times New Roman" w:cs="Times New Roman"/>
          <w:b/>
          <w:i/>
          <w:sz w:val="28"/>
          <w:szCs w:val="28"/>
        </w:rPr>
        <w:t>ІІІ. Енергоефективність</w:t>
      </w:r>
    </w:p>
    <w:p w14:paraId="2069C29E"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Зміна клімату.</w:t>
      </w:r>
    </w:p>
    <w:p w14:paraId="145BDC3A"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Отже тривалий підхід до сталого розвитку — це той, який зосереджується на соціальних та екологічних питаннях у шести категоріях: вода, земля, повітря, соціально-економічні, здоров’я та безпека і якість життя. Підприємство, яке працює на принципах сталого розвитку, вирішує ці проблеми та робить позитивний внесок у громади, в яких воно працює. В економічному плані це означає прибуток для видобувного підприємства та її зацікавлених сторін і довгострокову економічну вигоду для «екосистеми» навколо неї. Стала шахта чи кар’єр з більшою ймовірністю буде прибутковою завдяки покращеній прозорості та більшій ефективності роботи. </w:t>
      </w:r>
    </w:p>
    <w:p w14:paraId="20F525A1" w14:textId="77777777"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Екологічна система навколо родовища вимагає сильного управління, щоб уникнути негативного впливу на компанію та зберегти навколишнє середовище. </w:t>
      </w:r>
      <w:r w:rsidRPr="00D6276F">
        <w:rPr>
          <w:rFonts w:ascii="Times New Roman" w:hAnsi="Times New Roman" w:cs="Times New Roman"/>
          <w:sz w:val="28"/>
          <w:szCs w:val="28"/>
        </w:rPr>
        <w:lastRenderedPageBreak/>
        <w:t xml:space="preserve">Вплив на гірничодобувні компанії варіюється від зупинок і відсутності фінансування до негативної громадської думки та груп зацікавлених сторін, готових до протестів. </w:t>
      </w:r>
    </w:p>
    <w:p w14:paraId="77B14436" w14:textId="7566441A"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Необхідно враховувати </w:t>
      </w:r>
      <w:r w:rsidR="00655BE3" w:rsidRPr="00D6276F">
        <w:rPr>
          <w:rFonts w:ascii="Times New Roman" w:hAnsi="Times New Roman" w:cs="Times New Roman"/>
          <w:sz w:val="28"/>
          <w:szCs w:val="28"/>
        </w:rPr>
        <w:t>всі</w:t>
      </w:r>
      <w:r w:rsidRPr="00D6276F">
        <w:rPr>
          <w:rFonts w:ascii="Times New Roman" w:hAnsi="Times New Roman" w:cs="Times New Roman"/>
          <w:sz w:val="28"/>
          <w:szCs w:val="28"/>
        </w:rPr>
        <w:t xml:space="preserve"> аспекти навколишнього середовища</w:t>
      </w:r>
      <w:r w:rsidR="00655BE3" w:rsidRPr="00D6276F">
        <w:rPr>
          <w:rFonts w:ascii="Times New Roman" w:hAnsi="Times New Roman" w:cs="Times New Roman"/>
          <w:sz w:val="28"/>
          <w:szCs w:val="28"/>
        </w:rPr>
        <w:t xml:space="preserve">, дискусії про них </w:t>
      </w:r>
      <w:r w:rsidRPr="00D6276F">
        <w:rPr>
          <w:rFonts w:ascii="Times New Roman" w:hAnsi="Times New Roman" w:cs="Times New Roman"/>
          <w:sz w:val="28"/>
          <w:szCs w:val="28"/>
        </w:rPr>
        <w:t xml:space="preserve">вийшли за межі наукових журналів </w:t>
      </w:r>
      <w:r w:rsidR="00655BE3" w:rsidRPr="00D6276F">
        <w:rPr>
          <w:rFonts w:ascii="Times New Roman" w:hAnsi="Times New Roman" w:cs="Times New Roman"/>
          <w:sz w:val="28"/>
          <w:szCs w:val="28"/>
        </w:rPr>
        <w:t>та залів</w:t>
      </w:r>
      <w:r w:rsidRPr="00D6276F">
        <w:rPr>
          <w:rFonts w:ascii="Times New Roman" w:hAnsi="Times New Roman" w:cs="Times New Roman"/>
          <w:sz w:val="28"/>
          <w:szCs w:val="28"/>
        </w:rPr>
        <w:t xml:space="preserve"> засідань ООН і стали стратегічними питаннями для урядів, інвесторів, компаній, клієнтів і громад. </w:t>
      </w:r>
    </w:p>
    <w:p w14:paraId="2AE493A9" w14:textId="603CF32D" w:rsidR="001A3B78" w:rsidRPr="00D6276F" w:rsidRDefault="001A3B78"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Цілями ста</w:t>
      </w:r>
      <w:r w:rsidR="00655BE3" w:rsidRPr="00D6276F">
        <w:rPr>
          <w:rFonts w:ascii="Times New Roman" w:hAnsi="Times New Roman" w:cs="Times New Roman"/>
          <w:sz w:val="28"/>
          <w:szCs w:val="28"/>
        </w:rPr>
        <w:t>лого видобування має бути [5, 7</w:t>
      </w:r>
      <w:r w:rsidRPr="00D6276F">
        <w:rPr>
          <w:rFonts w:ascii="Times New Roman" w:hAnsi="Times New Roman" w:cs="Times New Roman"/>
          <w:sz w:val="28"/>
          <w:szCs w:val="28"/>
        </w:rPr>
        <w:t>]:</w:t>
      </w:r>
    </w:p>
    <w:p w14:paraId="1E0194AF" w14:textId="77777777" w:rsidR="001A3B78" w:rsidRPr="00D6276F" w:rsidRDefault="001A3B78" w:rsidP="008E765D">
      <w:pPr>
        <w:pStyle w:val="aa"/>
        <w:numPr>
          <w:ilvl w:val="0"/>
          <w:numId w:val="5"/>
        </w:numPr>
        <w:spacing w:after="0" w:line="360" w:lineRule="auto"/>
        <w:ind w:left="0" w:firstLine="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Задоволення поточних потреби соціально-економічного розвитку за умови зберігання стабільного регіонального та глобального середовища.</w:t>
      </w:r>
    </w:p>
    <w:p w14:paraId="3DB1D2B1" w14:textId="77777777" w:rsidR="001A3B78" w:rsidRPr="00D6276F" w:rsidRDefault="001A3B78" w:rsidP="008E765D">
      <w:pPr>
        <w:pStyle w:val="aa"/>
        <w:numPr>
          <w:ilvl w:val="0"/>
          <w:numId w:val="5"/>
        </w:numPr>
        <w:spacing w:after="0" w:line="360" w:lineRule="auto"/>
        <w:ind w:left="0" w:firstLine="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 Забезпечити збалансованої соціальної та екологічної спадщини для майбутніх поколінь, розуміючи, що розробка ресурсів може мати і короткочасний вплив на екосистеми, який можна досягти й без істотної довгострокової шкоди. Однак довгостроковою метою завжди має бути мінімальний вплив на навколишнє середовище та відновлення будь-яких дисбалансів, де це можливо. У видобувній галузі  неможливо уникнути певного впливу на довкілля (рельєф поверхні, землекористування, якість води, повітря тощо).</w:t>
      </w:r>
    </w:p>
    <w:p w14:paraId="69ECB753" w14:textId="77777777" w:rsidR="001A3B78" w:rsidRPr="00D6276F" w:rsidRDefault="001A3B78" w:rsidP="008E765D">
      <w:pPr>
        <w:pStyle w:val="aa"/>
        <w:numPr>
          <w:ilvl w:val="0"/>
          <w:numId w:val="5"/>
        </w:numPr>
        <w:spacing w:after="0" w:line="360" w:lineRule="auto"/>
        <w:ind w:left="0" w:firstLine="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 Завдяки плануванню та ретельній рекультивації, а також усуненню фізичних і хімічних небезпек можна розвинути різноманітну екосистему та землекористування для сталого використання після припинення гірничих робіт. Як правило, це можна зробити з меншими витратами, якщо робити це з самого початку та одночасно з розробкою родовища.</w:t>
      </w:r>
    </w:p>
    <w:p w14:paraId="3941E1FD" w14:textId="77777777" w:rsidR="001A3B78" w:rsidRPr="00D6276F" w:rsidRDefault="001A3B78" w:rsidP="008E765D">
      <w:pPr>
        <w:pStyle w:val="aa"/>
        <w:numPr>
          <w:ilvl w:val="0"/>
          <w:numId w:val="5"/>
        </w:numPr>
        <w:spacing w:after="0" w:line="360" w:lineRule="auto"/>
        <w:ind w:left="0" w:firstLine="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 Видобуток корисних копалин приносить соціальну та економічну користь, забезпечуючи робочі місця та процвітання поблизу районів видобутку та, можливо, на значно більшій території. Однак довгострокова стабільність і добробут громади після припинення видобутку вимагають ретельного планування. Суспільство має оцінити чисті переваги розвитку гірничодобувної діяльності для стабільності та процвітання громади.</w:t>
      </w:r>
    </w:p>
    <w:p w14:paraId="2F8783E6" w14:textId="77777777" w:rsidR="001A3B78" w:rsidRPr="00D6276F" w:rsidRDefault="001A3B78" w:rsidP="008E765D">
      <w:pPr>
        <w:pStyle w:val="aa"/>
        <w:numPr>
          <w:ilvl w:val="0"/>
          <w:numId w:val="5"/>
        </w:numPr>
        <w:spacing w:after="0" w:line="360" w:lineRule="auto"/>
        <w:ind w:left="0" w:firstLine="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 Існують сильні моральні та економічні стимули для гірничодобувної промисловості демонструвати соціально та екологічно стійку практику. Технологічні рішення доступні, а додаткові витрати на впровадження можуть бути невеликими. </w:t>
      </w:r>
    </w:p>
    <w:p w14:paraId="203A8F7C" w14:textId="77777777" w:rsidR="00385FB2" w:rsidRPr="00D6276F" w:rsidRDefault="00385FB2" w:rsidP="008E765D">
      <w:pPr>
        <w:spacing w:after="0" w:line="360" w:lineRule="auto"/>
        <w:jc w:val="both"/>
        <w:rPr>
          <w:rFonts w:ascii="Times New Roman" w:hAnsi="Times New Roman" w:cs="Times New Roman"/>
          <w:sz w:val="28"/>
          <w:szCs w:val="28"/>
        </w:rPr>
      </w:pPr>
    </w:p>
    <w:p w14:paraId="3FD7A739" w14:textId="4E6B45DB" w:rsidR="005B529A" w:rsidRPr="00D6276F" w:rsidRDefault="005B529A" w:rsidP="008E765D">
      <w:pPr>
        <w:spacing w:after="0"/>
        <w:rPr>
          <w:rFonts w:ascii="Times New Roman" w:hAnsi="Times New Roman" w:cs="Times New Roman"/>
          <w:b/>
        </w:rPr>
      </w:pPr>
    </w:p>
    <w:p w14:paraId="4C8D2015" w14:textId="17830ADE" w:rsidR="004B0F14" w:rsidRPr="00D6276F" w:rsidRDefault="003704E9" w:rsidP="008E765D">
      <w:pPr>
        <w:pStyle w:val="2"/>
        <w:keepNext w:val="0"/>
        <w:keepLines w:val="0"/>
        <w:spacing w:before="0" w:after="0" w:line="360" w:lineRule="auto"/>
        <w:ind w:left="1080"/>
        <w:jc w:val="both"/>
        <w:rPr>
          <w:rFonts w:ascii="Times New Roman" w:hAnsi="Times New Roman" w:cs="Times New Roman"/>
          <w:sz w:val="28"/>
        </w:rPr>
      </w:pPr>
      <w:bookmarkStart w:id="7" w:name="_Toc155658258"/>
      <w:r>
        <w:rPr>
          <w:rFonts w:ascii="Times New Roman" w:hAnsi="Times New Roman" w:cs="Times New Roman"/>
          <w:sz w:val="28"/>
        </w:rPr>
        <w:t>1.3</w:t>
      </w:r>
      <w:r w:rsidR="004B0F14" w:rsidRPr="00D6276F">
        <w:rPr>
          <w:rFonts w:ascii="Times New Roman" w:hAnsi="Times New Roman" w:cs="Times New Roman"/>
          <w:sz w:val="28"/>
        </w:rPr>
        <w:t>. Закриття кар’єрів як головна стадія сталого видобування</w:t>
      </w:r>
      <w:bookmarkEnd w:id="7"/>
    </w:p>
    <w:p w14:paraId="2BB2E5F1" w14:textId="7EF2E1AC" w:rsidR="004B0F14" w:rsidRPr="00D6276F" w:rsidRDefault="004B0F14"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Планування закриття гірничого підприємства є складним і часто йому не приділяється достатньо уваги на початкових етапах розробки родовища. В умовах посилення умов законодавства та стандартів в сфері закриття відпрацьованих родовищ і рекультивації земель, впливу різних груп зацікавлених сторін на діяльність надрокористувачів важливо розпочати роботу над цим питанням на ранніх етапах життєвого циклу родовища і визначити, що має відбуватись після закриття гірничого підприємства.</w:t>
      </w:r>
      <w:r w:rsidR="00EB715A" w:rsidRPr="00D6276F">
        <w:rPr>
          <w:rFonts w:ascii="Times New Roman" w:hAnsi="Times New Roman" w:cs="Times New Roman"/>
          <w:sz w:val="28"/>
          <w:szCs w:val="28"/>
        </w:rPr>
        <w:t>[8</w:t>
      </w:r>
      <w:r w:rsidR="001A3B78" w:rsidRPr="00D6276F">
        <w:rPr>
          <w:rFonts w:ascii="Times New Roman" w:hAnsi="Times New Roman" w:cs="Times New Roman"/>
          <w:sz w:val="28"/>
          <w:szCs w:val="28"/>
        </w:rPr>
        <w:t>]</w:t>
      </w:r>
    </w:p>
    <w:p w14:paraId="05DFBBEE" w14:textId="55A3342B" w:rsidR="00A030E3" w:rsidRPr="00D6276F" w:rsidRDefault="004B0F14"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У минулому закриття шахт у галузі здебільшого було пов'язано з дотриманням нормативних вимог з акцентом на фізичній стабільності рекультивованого ландшафту і відновленні рослинності на порушених територіях, як правило, зазвичай надавали перевагу найдешевшому варіанту. </w:t>
      </w:r>
    </w:p>
    <w:p w14:paraId="732CABFB" w14:textId="1A00219F" w:rsidR="004B0F14" w:rsidRPr="00D6276F" w:rsidRDefault="004B0F14"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Сучасна практика закриття шахт спрямована на досягнення</w:t>
      </w:r>
      <w:r w:rsidR="00A030E3" w:rsidRPr="00D6276F">
        <w:rPr>
          <w:rFonts w:ascii="Times New Roman" w:hAnsi="Times New Roman" w:cs="Times New Roman"/>
          <w:sz w:val="28"/>
          <w:szCs w:val="28"/>
        </w:rPr>
        <w:t xml:space="preserve"> </w:t>
      </w:r>
      <w:r w:rsidRPr="00D6276F">
        <w:rPr>
          <w:rFonts w:ascii="Times New Roman" w:hAnsi="Times New Roman" w:cs="Times New Roman"/>
          <w:sz w:val="28"/>
          <w:szCs w:val="28"/>
        </w:rPr>
        <w:t>оптимізації результатів закриття на основі принципу відповідності цільовому призначенню для кожного окремого об'єкта з урахуванням іноді конкуруючих інтересів, таких як зобов'язання, корпоративні цінності, очікування зацікавлених сторін і вартість (ICMM 2019).</w:t>
      </w:r>
      <w:r w:rsidR="00202924" w:rsidRPr="00D6276F">
        <w:rPr>
          <w:rFonts w:ascii="Times New Roman" w:hAnsi="Times New Roman" w:cs="Times New Roman"/>
          <w:sz w:val="28"/>
          <w:szCs w:val="28"/>
        </w:rPr>
        <w:t xml:space="preserve"> [9]</w:t>
      </w:r>
    </w:p>
    <w:p w14:paraId="7A665301" w14:textId="619DA366" w:rsidR="004B0F14" w:rsidRPr="00D6276F" w:rsidRDefault="00495345" w:rsidP="008E765D">
      <w:pPr>
        <w:spacing w:after="0" w:line="360" w:lineRule="auto"/>
        <w:ind w:firstLine="567"/>
        <w:jc w:val="both"/>
        <w:rPr>
          <w:rFonts w:ascii="Times New Roman" w:hAnsi="Times New Roman" w:cs="Times New Roman"/>
          <w:sz w:val="28"/>
          <w:szCs w:val="28"/>
        </w:rPr>
      </w:pPr>
      <w:sdt>
        <w:sdtPr>
          <w:rPr>
            <w:rFonts w:ascii="Times New Roman" w:hAnsi="Times New Roman" w:cs="Times New Roman"/>
            <w:sz w:val="28"/>
            <w:szCs w:val="28"/>
          </w:rPr>
          <w:tag w:val="goog_rdk_1"/>
          <w:id w:val="-70129944"/>
        </w:sdtPr>
        <w:sdtEndPr/>
        <w:sdtContent/>
      </w:sdt>
      <w:r w:rsidR="004B0F14" w:rsidRPr="00D6276F">
        <w:rPr>
          <w:rFonts w:ascii="Times New Roman" w:hAnsi="Times New Roman" w:cs="Times New Roman"/>
          <w:sz w:val="28"/>
          <w:szCs w:val="28"/>
        </w:rPr>
        <w:t xml:space="preserve">Переваги інтегрованого планування або включення етапу закриття в процес планування не є новою процедурою для переважної більшості сучасних гірничодобувних компаній в світі. Таке довгострокове бачення, коли питання закриття розглядається з самого початку проекту, підвищує ймовірність успіху як під час закриття, так і після нього, враховуючи, що проєктування здійснюється з урахуванням цілей закриття. Планування закриття і планування видобутку повинні проводитись паралельно - спільні зусилля відповідальних за видобуток та відповідальних за планування закриття під час експлуатації є ключовими для того, щоб наприкінці терміну експлуатації були досягнуті заплановані цілі та витрати на закриття, а ризики компанії були мінімізовані </w:t>
      </w:r>
      <w:r w:rsidR="00395366" w:rsidRPr="00D6276F">
        <w:rPr>
          <w:rFonts w:ascii="Times New Roman" w:hAnsi="Times New Roman" w:cs="Times New Roman"/>
          <w:sz w:val="28"/>
          <w:szCs w:val="28"/>
        </w:rPr>
        <w:t>[10].</w:t>
      </w:r>
    </w:p>
    <w:p w14:paraId="46513B2F" w14:textId="37B9867D" w:rsidR="004B0F14" w:rsidRPr="00D6276F" w:rsidRDefault="00495345" w:rsidP="008E765D">
      <w:pPr>
        <w:spacing w:after="0" w:line="360" w:lineRule="auto"/>
        <w:ind w:firstLine="567"/>
        <w:jc w:val="both"/>
        <w:rPr>
          <w:rFonts w:ascii="Times New Roman" w:hAnsi="Times New Roman" w:cs="Times New Roman"/>
          <w:sz w:val="28"/>
          <w:szCs w:val="28"/>
        </w:rPr>
      </w:pPr>
      <w:sdt>
        <w:sdtPr>
          <w:rPr>
            <w:rFonts w:ascii="Times New Roman" w:hAnsi="Times New Roman" w:cs="Times New Roman"/>
            <w:sz w:val="28"/>
            <w:szCs w:val="28"/>
          </w:rPr>
          <w:tag w:val="goog_rdk_2"/>
          <w:id w:val="-1380162926"/>
        </w:sdtPr>
        <w:sdtEndPr/>
        <w:sdtContent/>
      </w:sdt>
      <w:r w:rsidR="004B0F14" w:rsidRPr="00D6276F">
        <w:rPr>
          <w:rFonts w:ascii="Times New Roman" w:hAnsi="Times New Roman" w:cs="Times New Roman"/>
          <w:sz w:val="28"/>
          <w:szCs w:val="28"/>
        </w:rPr>
        <w:t xml:space="preserve">Належний план закриття містить бачення того, як будуть використовуватися землі та інфраструктура родовища після закриття, з метою створення позитивної спадщини. Кожна ділянка надр має унікальні екологічні, соціальні та економічні характеристики. Тому стратегії закриття специфічного об'єкта мають </w:t>
      </w:r>
      <w:r w:rsidR="004C3C40" w:rsidRPr="00D6276F">
        <w:rPr>
          <w:rFonts w:ascii="Times New Roman" w:hAnsi="Times New Roman" w:cs="Times New Roman"/>
          <w:sz w:val="28"/>
          <w:szCs w:val="28"/>
        </w:rPr>
        <w:t>в</w:t>
      </w:r>
      <w:r w:rsidR="004B0F14" w:rsidRPr="00D6276F">
        <w:rPr>
          <w:rFonts w:ascii="Times New Roman" w:hAnsi="Times New Roman" w:cs="Times New Roman"/>
          <w:sz w:val="28"/>
          <w:szCs w:val="28"/>
        </w:rPr>
        <w:t xml:space="preserve">ключати концептуальний план закриття, який залишає місце для документування змін, що виникають, і потенційних ризиків, дозволяючи плану розвиватися протягом життєвого циклу </w:t>
      </w:r>
      <w:r w:rsidR="004C3C40" w:rsidRPr="00D6276F">
        <w:rPr>
          <w:rFonts w:ascii="Times New Roman" w:hAnsi="Times New Roman" w:cs="Times New Roman"/>
          <w:sz w:val="28"/>
          <w:szCs w:val="28"/>
        </w:rPr>
        <w:t xml:space="preserve">кар’єру чи </w:t>
      </w:r>
      <w:r w:rsidR="00975EF0" w:rsidRPr="00D6276F">
        <w:rPr>
          <w:rFonts w:ascii="Times New Roman" w:hAnsi="Times New Roman" w:cs="Times New Roman"/>
          <w:sz w:val="28"/>
          <w:szCs w:val="28"/>
        </w:rPr>
        <w:t>шахти</w:t>
      </w:r>
      <w:r w:rsidR="004B0F14" w:rsidRPr="00D6276F">
        <w:rPr>
          <w:rFonts w:ascii="Times New Roman" w:hAnsi="Times New Roman" w:cs="Times New Roman"/>
          <w:sz w:val="28"/>
          <w:szCs w:val="28"/>
        </w:rPr>
        <w:t xml:space="preserve">. Це включає адаптацію до прогнозованих </w:t>
      </w:r>
      <w:r w:rsidR="004C3C40" w:rsidRPr="00D6276F">
        <w:rPr>
          <w:rFonts w:ascii="Times New Roman" w:hAnsi="Times New Roman" w:cs="Times New Roman"/>
          <w:sz w:val="28"/>
          <w:szCs w:val="28"/>
        </w:rPr>
        <w:t>природних</w:t>
      </w:r>
      <w:r w:rsidR="004B0F14" w:rsidRPr="00D6276F">
        <w:rPr>
          <w:rFonts w:ascii="Times New Roman" w:hAnsi="Times New Roman" w:cs="Times New Roman"/>
          <w:sz w:val="28"/>
          <w:szCs w:val="28"/>
        </w:rPr>
        <w:t xml:space="preserve"> умов</w:t>
      </w:r>
      <w:r w:rsidR="00D40AD1" w:rsidRPr="00D6276F">
        <w:rPr>
          <w:rFonts w:ascii="Times New Roman" w:hAnsi="Times New Roman" w:cs="Times New Roman"/>
          <w:sz w:val="28"/>
          <w:szCs w:val="28"/>
        </w:rPr>
        <w:t xml:space="preserve"> </w:t>
      </w:r>
      <w:r w:rsidR="00664FE3" w:rsidRPr="00D6276F">
        <w:rPr>
          <w:rFonts w:ascii="Times New Roman" w:hAnsi="Times New Roman" w:cs="Times New Roman"/>
          <w:sz w:val="28"/>
          <w:szCs w:val="28"/>
        </w:rPr>
        <w:t>[11]</w:t>
      </w:r>
      <w:r w:rsidR="00D40AD1" w:rsidRPr="00D6276F">
        <w:rPr>
          <w:rFonts w:ascii="Times New Roman" w:hAnsi="Times New Roman" w:cs="Times New Roman"/>
          <w:sz w:val="28"/>
          <w:szCs w:val="28"/>
        </w:rPr>
        <w:t xml:space="preserve">. </w:t>
      </w:r>
    </w:p>
    <w:p w14:paraId="5F24BC3A" w14:textId="3CAB259C"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Успішне відновлення територій після кар’єрів та шахт і плани управління біорізноманіттям приносять переваги для діяльності компаній. Соціальна ліцензія на діяльність як для галузі, так і для  окремих компаній залежить від забезпечення того, як відповідально та ефективно відновлено землі, які використовуються у видобуванні з урахуванням соціально-економічних факторів, навколишнього середовища, законодавчих вимоги, а також потреб та очікувань зацікавлених сторін. Компанії, які застосовують найкращі практики в цьому відношенні, можуть розраховувати на значні переваги, включаючи конкурентну перевагу та довгостроковий сталий розвиток своєї діяльності [1</w:t>
      </w:r>
      <w:r w:rsidR="00E46097" w:rsidRPr="00D6276F">
        <w:rPr>
          <w:rFonts w:ascii="Times New Roman" w:hAnsi="Times New Roman" w:cs="Times New Roman"/>
          <w:sz w:val="28"/>
          <w:szCs w:val="28"/>
        </w:rPr>
        <w:t>2</w:t>
      </w:r>
      <w:r w:rsidRPr="00D6276F">
        <w:rPr>
          <w:rFonts w:ascii="Times New Roman" w:hAnsi="Times New Roman" w:cs="Times New Roman"/>
          <w:sz w:val="28"/>
          <w:szCs w:val="28"/>
        </w:rPr>
        <w:t xml:space="preserve">]. </w:t>
      </w:r>
    </w:p>
    <w:p w14:paraId="53201DFF" w14:textId="1526897B"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Стійкість та комплексне закриття шахт є обов'язковим у формуванні та розвитку засад сталого гірничого виробництва (ANZMEC, 2000) [</w:t>
      </w:r>
      <w:r w:rsidR="00B26C2A" w:rsidRPr="00D6276F">
        <w:rPr>
          <w:rFonts w:ascii="Times New Roman" w:hAnsi="Times New Roman" w:cs="Times New Roman"/>
          <w:sz w:val="28"/>
          <w:szCs w:val="28"/>
        </w:rPr>
        <w:t>13</w:t>
      </w:r>
      <w:r w:rsidRPr="00D6276F">
        <w:rPr>
          <w:rFonts w:ascii="Times New Roman" w:hAnsi="Times New Roman" w:cs="Times New Roman"/>
          <w:sz w:val="28"/>
          <w:szCs w:val="28"/>
        </w:rPr>
        <w:t>]. Сталий розвиток має бути визнаний Австралійською гірничодобувною промисловістю, урядом та широкими громадами як фундаментальним елементом сталої практики видобутку. Гірничодобувна промисловість повинна визнавати практику сталого розвитку та постійне вдосконалення розробка керівних принципів сталого розвитку та закриття шахт процедури. Видобуток корисних копалин і металів є важливими для економіки і соціального розвитку багатьох країн, однак така практика потребує визнати важливість сталого видобутку корисних копалин.</w:t>
      </w:r>
    </w:p>
    <w:p w14:paraId="122B985B" w14:textId="67C6D678"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Рекомендації щодо звітування про сталий розвиток GRI (Global Reporting Initiative)</w:t>
      </w:r>
      <w:r w:rsidR="00AC28E4" w:rsidRPr="00D6276F">
        <w:rPr>
          <w:rFonts w:ascii="Times New Roman" w:hAnsi="Times New Roman" w:cs="Times New Roman"/>
          <w:sz w:val="28"/>
          <w:szCs w:val="28"/>
        </w:rPr>
        <w:t xml:space="preserve"> [14</w:t>
      </w:r>
      <w:r w:rsidRPr="00D6276F">
        <w:rPr>
          <w:rFonts w:ascii="Times New Roman" w:hAnsi="Times New Roman" w:cs="Times New Roman"/>
          <w:sz w:val="28"/>
          <w:szCs w:val="28"/>
        </w:rPr>
        <w:t xml:space="preserve">] та Додаток для гірничо-металургійного сектору надають провідну </w:t>
      </w:r>
      <w:r w:rsidRPr="00D6276F">
        <w:rPr>
          <w:rFonts w:ascii="Times New Roman" w:hAnsi="Times New Roman" w:cs="Times New Roman"/>
          <w:sz w:val="28"/>
          <w:szCs w:val="28"/>
        </w:rPr>
        <w:lastRenderedPageBreak/>
        <w:t xml:space="preserve">методологію визначення значних екологічних, соціальних та економічних впливів компанії, зокрема: </w:t>
      </w:r>
    </w:p>
    <w:p w14:paraId="2D8090EF" w14:textId="77777777"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 Контроль, використання та управління землею </w:t>
      </w:r>
    </w:p>
    <w:p w14:paraId="3844EB4E" w14:textId="77777777"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 Внесок в економічний і соціальний розвиток </w:t>
      </w:r>
    </w:p>
    <w:p w14:paraId="4703D7F1" w14:textId="77777777"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 Залучення громади та зацікавлених сторін </w:t>
      </w:r>
    </w:p>
    <w:p w14:paraId="798012C3" w14:textId="77777777"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 Трудові відносини </w:t>
      </w:r>
    </w:p>
    <w:p w14:paraId="415CB75B" w14:textId="77777777"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 Екологічний менеджмент </w:t>
      </w:r>
    </w:p>
    <w:p w14:paraId="1CF2E2EC" w14:textId="77777777" w:rsidR="00493F8D" w:rsidRPr="00D6276F" w:rsidRDefault="00493F8D"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 Комплексний підхід до використання корисних копалин. </w:t>
      </w:r>
    </w:p>
    <w:p w14:paraId="757B2131" w14:textId="77777777" w:rsidR="00D40AD1" w:rsidRPr="00D6276F" w:rsidRDefault="00D40AD1" w:rsidP="008E765D">
      <w:pPr>
        <w:spacing w:after="0" w:line="360" w:lineRule="auto"/>
        <w:ind w:firstLine="567"/>
        <w:jc w:val="both"/>
        <w:rPr>
          <w:rFonts w:ascii="Times New Roman" w:hAnsi="Times New Roman" w:cs="Times New Roman"/>
          <w:sz w:val="28"/>
          <w:szCs w:val="28"/>
        </w:rPr>
      </w:pPr>
    </w:p>
    <w:p w14:paraId="1744D8F1" w14:textId="5105CC25" w:rsidR="00B5077A" w:rsidRPr="00D6276F" w:rsidRDefault="003704E9"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8" w:name="_heading=h.wnrh03nfsis9" w:colFirst="0" w:colLast="0"/>
      <w:bookmarkStart w:id="9" w:name="_Toc155658259"/>
      <w:bookmarkEnd w:id="8"/>
      <w:r>
        <w:rPr>
          <w:rFonts w:ascii="Times New Roman" w:eastAsia="Times New Roman" w:hAnsi="Times New Roman" w:cs="Times New Roman"/>
          <w:sz w:val="28"/>
          <w:szCs w:val="28"/>
        </w:rPr>
        <w:t>1.4</w:t>
      </w:r>
      <w:r w:rsidR="00DD16FF" w:rsidRPr="00D6276F">
        <w:rPr>
          <w:rFonts w:ascii="Times New Roman" w:eastAsia="Times New Roman" w:hAnsi="Times New Roman" w:cs="Times New Roman"/>
          <w:sz w:val="28"/>
          <w:szCs w:val="28"/>
        </w:rPr>
        <w:t>. Сучасні підходи до закриття кар’єрів</w:t>
      </w:r>
      <w:bookmarkEnd w:id="9"/>
    </w:p>
    <w:p w14:paraId="47436281"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Розвиток видобувної діяльності, включаючи її переробні потужності та інфраструктуру, зазвичай передбачає постійну зміну існуючих форм рельєфу, порушення флори, порушення місць існування фауни, вплив на гідрологічний режим і потенційно певний рівень забруднення.</w:t>
      </w:r>
    </w:p>
    <w:p w14:paraId="7F26B73E" w14:textId="1C46F7B4"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Закриття шахти або кар’єра – це процес. Щоб досягти успіху, слід починати з раннього планування, включати поступове планування відновлення довкілля під час видобування і завершується остаточним виведенням з експлуатації, відновленням та поверненням земельної ділянки. Закриття може бути лише тимчасовим у деяких випадках або може призвести до впровадження програми  та підтримання обслуговування. Закриття кар’єрів та шахт і процеси відновлення земельних ділянок в кінцевому підсумку визначають те, що залишиться після припинення діяльності для майбутніх поколінь. Якщо вони не виконуються сплановано та ефективно, протягом усього терміну дії об’єкт може залишатися небезпечним і </w:t>
      </w:r>
      <w:r w:rsidR="004A318C" w:rsidRPr="00D6276F">
        <w:rPr>
          <w:rFonts w:ascii="Times New Roman" w:hAnsi="Times New Roman" w:cs="Times New Roman"/>
          <w:sz w:val="28"/>
          <w:szCs w:val="28"/>
        </w:rPr>
        <w:t xml:space="preserve">стати </w:t>
      </w:r>
      <w:r w:rsidRPr="00D6276F">
        <w:rPr>
          <w:rFonts w:ascii="Times New Roman" w:hAnsi="Times New Roman" w:cs="Times New Roman"/>
          <w:sz w:val="28"/>
          <w:szCs w:val="28"/>
        </w:rPr>
        <w:t xml:space="preserve">джерелом забруднення протягом ще багатьох років. Загальна мета закриття кар’єрів в сталий спосіб полягає в тому, щоб запобігти </w:t>
      </w:r>
      <w:r w:rsidR="004A318C" w:rsidRPr="00D6276F">
        <w:rPr>
          <w:rFonts w:ascii="Times New Roman" w:hAnsi="Times New Roman" w:cs="Times New Roman"/>
          <w:sz w:val="28"/>
          <w:szCs w:val="28"/>
        </w:rPr>
        <w:t>або звести до мінімуму наступні</w:t>
      </w:r>
      <w:r w:rsidRPr="00D6276F">
        <w:rPr>
          <w:rFonts w:ascii="Times New Roman" w:hAnsi="Times New Roman" w:cs="Times New Roman"/>
          <w:sz w:val="28"/>
          <w:szCs w:val="28"/>
        </w:rPr>
        <w:t xml:space="preserve"> негативні наслідки в довгостроковій перспективі, саме екологічні, фізичні, соціальні та економічні, та створити стабільну форму рельєфу, придатну для альтернативного подальшого використання землі.</w:t>
      </w:r>
    </w:p>
    <w:p w14:paraId="0B50B133"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lastRenderedPageBreak/>
        <w:t>Комплексний підхід до планування закриття кар’єрів/шахт спрямований на досягнення цілей сталого розвитку, що забезпечує розгляд процесу закриття та кінцеве використання земельної ділянки на початкових етапах планування та розробки родовища. Mining for  Closure (Видобування для Закриття) — це термін, який використовується для опису способу завершення діяльності кар’єрів/шахт і має вирішуватися через визнання екологічних, соціальних та економічних наслідки, пов’язаних із закриттям кар’єрів/шахт, і важливість покращення процедури сталого видобутку. Планування закриття шахт має здійснюватися поступово протягом різних етапів життєвого циклу видобувної діяльності проекту та бути повністю інтегроване у звичайний бізнес компанії і в плануванні і в щоденній діяльності.</w:t>
      </w:r>
    </w:p>
    <w:p w14:paraId="31AAA5C1" w14:textId="1E400168"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Кращою практикою в закритті кар’єрів та шахт на сьогодні є методологія розроблена International Council on Mining and Metals (ICMM), яка базується на комплексному підході до закриття. Ключовими елементами закриття кар’єрів та шахт є [</w:t>
      </w:r>
      <w:r w:rsidR="00C36FBF" w:rsidRPr="00D6276F">
        <w:rPr>
          <w:rFonts w:ascii="Times New Roman" w:hAnsi="Times New Roman" w:cs="Times New Roman"/>
          <w:sz w:val="28"/>
          <w:szCs w:val="28"/>
        </w:rPr>
        <w:t>1</w:t>
      </w:r>
      <w:r w:rsidRPr="00D6276F">
        <w:rPr>
          <w:rFonts w:ascii="Times New Roman" w:hAnsi="Times New Roman" w:cs="Times New Roman"/>
          <w:sz w:val="28"/>
          <w:szCs w:val="28"/>
        </w:rPr>
        <w:t>5]:</w:t>
      </w:r>
    </w:p>
    <w:p w14:paraId="7AA5A7BD"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eastAsia="Times New Roman" w:hAnsi="Times New Roman" w:cs="Times New Roman"/>
          <w:sz w:val="28"/>
          <w:szCs w:val="28"/>
        </w:rPr>
        <w:t xml:space="preserve">1. </w:t>
      </w:r>
      <w:r w:rsidRPr="00D6276F">
        <w:rPr>
          <w:rFonts w:ascii="Times New Roman" w:hAnsi="Times New Roman" w:cs="Times New Roman"/>
          <w:sz w:val="28"/>
          <w:szCs w:val="28"/>
        </w:rPr>
        <w:t>Інтеграція в життєвий цикл кар’єра/шахти: закриття повинно бути інтегрованими в бізнес-план видобувного підприємства, в т.ч. в коротко-, середньо-термінові та глобальні процеси планування діяльності кар’єра/шахти. Коли закриття повністю вбудовано в життєвий цикл кар’єра/шахти, очікувань досягти простіше, ризиками і можливостями можна активно керувати на користь гірничодобувного підприємства та зацікавлених сторін.</w:t>
      </w:r>
    </w:p>
    <w:p w14:paraId="4020FA91"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2. База знань: База знань – це сховище інформації, яка буде розроблена по всьому життєвому циклу кар’єра/шахти, з регулярними оновленнями зібраних та переглянутих даних. Це інформація, яка буде інформувати про планування закриття для конкретного місця, наприклад екологічні та соціально-економічні умови, екологічні базові дані, оперативні дані (наприклад, обсягів і типів відходів на даний момент і планування обсягу зберігання та характеристик відходів), зобов’язання і вимоги відповідності.</w:t>
      </w:r>
    </w:p>
    <w:p w14:paraId="4C395EB9"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3. Кінцеве бачення, принципи та цілі: це має бути визначено на початку процесу планування закриття та уточнюватись протягом всього життєвого циклу </w:t>
      </w:r>
      <w:r w:rsidRPr="00D6276F">
        <w:rPr>
          <w:rFonts w:ascii="Times New Roman" w:hAnsi="Times New Roman" w:cs="Times New Roman"/>
          <w:sz w:val="28"/>
          <w:szCs w:val="28"/>
        </w:rPr>
        <w:lastRenderedPageBreak/>
        <w:t>кар’єра/шахти  за участю зацікавлених сторін і бази знань. Бачення закриття є бажаним описом того, що буде досягнуто при закритті шахти, сумісне з нормативними вимогами. Бачення, як правило, включатиме огляд землекористування після закриття та розвиватиметься далі по мірі того, як інформація стає доступною. Принципи закриття є загальними правилами, які лежать в основі плану закриття, такий як забезпечення фізичної та хімічної стабільності, виконання нормативних зобов’язань та сприяння соціальному переходу. Цілі закриття конкретизують умови, що мають бути досягнуті шляхом реалізації закриття заходів.</w:t>
      </w:r>
    </w:p>
    <w:p w14:paraId="4FF3B513"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4. Використання земельної ділянки після закриття: якщо можна визначити порядок використання  землі після видобування, це значно сприяє плануванню закриття. Визначене використання землі після закриття або діапазон можливостей землекористування після закриття значно впливає на всі аспекти плану закриття, особливо визначення яке бачення закриття, так і його цілей.</w:t>
      </w:r>
    </w:p>
    <w:p w14:paraId="537679E2"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5. Залучення до розробки плану закриття: взаємодія із зацікавленими сторонами відбувається протягом усього процесу планування закриття, з розумінням цілей від цієї взаємодії, та яка формує ключові елементи плану закриття.</w:t>
      </w:r>
    </w:p>
    <w:p w14:paraId="032EC718"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6. Визначення та оцінка ризиків і можливостей: широкий спектр ризиків і можливостей пов’язаний із закриттям, що охоплює фізичні, соціальні, економічні та екологічні виміри. Формальна ідентифікація та оцінка ризиків і можливостей допомагає встановити пріоритети та формувати багато аспектів плану закриття, включно з вибором завершальних заходів.</w:t>
      </w:r>
    </w:p>
    <w:p w14:paraId="34989E17"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7. Діяльність із закриття: конкретні дії чи роботи з закриття виконуються в рамках реалізації плану закриття, як після остаточного закриття, так і поступово протягом життєвого циклу кар’єра/шахти. Приклади включають встановлення укриття хвостосховищ, перепрофілювання породних відвалів, введення в експлуатацію водогонів очисних споруд та видалення забрудненого ґрунту.</w:t>
      </w:r>
    </w:p>
    <w:p w14:paraId="5DF59EF0"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8. Критерії успіху: вони розроблені як кількісні показники успішного закриття діяльності. Виконання критеріїв успіху може означати кінцевий етап після закриття кар’єра/шахти або частини шахти. Це може бути пов'язано з поверненням спеціальної </w:t>
      </w:r>
      <w:r w:rsidRPr="00D6276F">
        <w:rPr>
          <w:rFonts w:ascii="Times New Roman" w:hAnsi="Times New Roman" w:cs="Times New Roman"/>
          <w:sz w:val="28"/>
          <w:szCs w:val="28"/>
        </w:rPr>
        <w:lastRenderedPageBreak/>
        <w:t>суми фінансового забезпечення гірничодобувної компанії, та можливість повернення частини земельної ділянки, або обидва варіанта.</w:t>
      </w:r>
    </w:p>
    <w:p w14:paraId="32DF5214"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9. Прогресивне закриття: прогресивне закриття є виконання заходів з закриття під час експлуатації кар’єра/шахти. Впровадження прогресивного закриття має багато переваг, включаючи навчання, яке може бути інтегроване в базу знань.</w:t>
      </w:r>
    </w:p>
    <w:p w14:paraId="3C5C8A87"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10. Соціальний перехід: охоплює зусилля, які пов'язані з соціально-економічним переходом громади, включаючи робочу силу, ще до закриття діяльності. Ці зусилля здійснюються протягом всього життєвого циклу і протягом процесу закриття кар’єра/шахти.</w:t>
      </w:r>
    </w:p>
    <w:p w14:paraId="453B3EE6"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11. Витрати на закриття: ключова частина планування закриття – це процес оцінки вартості всіх аспектів закриття, і оновлення цих оцінок у міру розвитку планів та інформації, яка стає доступною.</w:t>
      </w:r>
    </w:p>
    <w:p w14:paraId="0CE8DFF0"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12. План виконання закриття (Closure Execution Plan - CEP): CEP буде розроблений і регулярно оновлюється в процесі планування закриття. Хоча план закриття описує заходи, які будуть здійснені в рамках реалізації закриття кар’єра/шахти, CEP визначає конкретні дії, які здійснюються протягом терміну експлуатації кар’єра/шахти в рамках плану закриття та впровадження таких заходів із закриття.</w:t>
      </w:r>
    </w:p>
    <w:p w14:paraId="5CE3C09E"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13. Моніторинг, технічне обслуговування та управління: Після завершення заходів із закриття, слід проводити моніторинг для документування та оцінити ефективність діяльності з закриття та досягнення узгоджених цілей закриття та продемонструвати що критерії успіху відповідають або на шляху до того, щоб бути досягнутими. Моніторинг кар’єрів/шахт за критеріями успіху може призвести до визначення потреб в обслуговуванні. Відновленим територіями також може знадобитися управління як частина ширшої екосистеми.</w:t>
      </w:r>
    </w:p>
    <w:p w14:paraId="286163B6"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xml:space="preserve">14. Повернення земельної ділянки: повернення земельної ділянки не завжди є кінцевою точкою в життєвому циклі кар’єра/шахти, але це заявлена мета для багатьох ділянок. Досягнення повернення земельної ділянки вимагає ретельного планування та взаємодії з відповідним правовим режимом. Там, де планується повернення </w:t>
      </w:r>
      <w:r w:rsidRPr="00D6276F">
        <w:rPr>
          <w:rFonts w:ascii="Times New Roman" w:hAnsi="Times New Roman" w:cs="Times New Roman"/>
          <w:sz w:val="28"/>
          <w:szCs w:val="28"/>
        </w:rPr>
        <w:lastRenderedPageBreak/>
        <w:t>земельної ділянки, буде необхідна постійна взаємодія із зацікавленими сторонами аж до остаточної повернення, з увагою до розробки узгоджених критеріїв успіху.</w:t>
      </w:r>
    </w:p>
    <w:p w14:paraId="3B3B0FB0"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15. Тимчасове або раптове закриття: різні фактори можуть призвести до тимчасового або незапланованого закриття діючого кар’єра/ шахти. На кожному етапі розвитку кар’єра/шахти  має бути розуміння того, наскільки тимчасове або раптове закриття може вплинути на план закриття. Це розуміння потрібно буде регулярно оновлювати протягом життєвого циклу.</w:t>
      </w:r>
    </w:p>
    <w:p w14:paraId="63D5B338"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16. Управління закриттям: загальний підхід до управління закриттям необхідний для забезпечення ефективного розподілу ресурсів для планування багатьох аспектів закриття у гірничодобувній компанії, включно з ресурсами кар’єра/шахти та корпоративної підтримки. Ефективне управління закриттям вплине на кожен аспект планування закриття в ході експлуатації.</w:t>
      </w:r>
    </w:p>
    <w:p w14:paraId="184954D8"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Етапи закриття кар’єрів:</w:t>
      </w:r>
    </w:p>
    <w:p w14:paraId="5048B2B7"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Закриття та реабілітація остаточно визначають напрямок використання землі після закриття для майбутніх поколінь.</w:t>
      </w:r>
    </w:p>
    <w:p w14:paraId="0FFD04EE"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техніко-економічного обґрунтування є невід'ємним елементом процесу оцінки, в якому необхідно ретельно розглянути наслідки закриття кар’єру.</w:t>
      </w:r>
    </w:p>
    <w:p w14:paraId="78B2C7E5"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На етапі планування та проектування необхідно враховувати наслідки для навколишнього середовища, майбутнього землекористування та здоров'я і безпеки громади під час прийняття рішень про закриття кар’єрів та відмови від закриття.</w:t>
      </w:r>
    </w:p>
    <w:p w14:paraId="7DAB8730" w14:textId="77777777" w:rsidR="00B5077A" w:rsidRPr="00D6276F" w:rsidRDefault="00DD16FF" w:rsidP="008E765D">
      <w:pPr>
        <w:spacing w:after="0" w:line="360" w:lineRule="auto"/>
        <w:ind w:left="720"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Провідна практика на етапі операційного впровадження передбачає поступовий розподіл фінансів ресурсів, планування та здійснення закриття кар’єрів і зосередження уваги на заходах із завершення робіт післявидобувне землекористування.</w:t>
      </w:r>
    </w:p>
    <w:p w14:paraId="386E24F7"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планування перед виведенням з експлуатації та закриттям є критичним і вимагає зосередження на аспектах відповідальності, планування остаточного виведення з експлуатації, активах та відчуженні, відновленні спадщини інфраструктури, моніторингу та управління після закриття.</w:t>
      </w:r>
    </w:p>
    <w:p w14:paraId="748CDA30"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Фаза виведення з експлуатації та закриття запускає реалізацію плану закриття, який може включати дослідження для підтвердження узгоджених результатів і критеріїв завершення.</w:t>
      </w:r>
    </w:p>
    <w:p w14:paraId="5A9B680F"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Навіть після того, як основну частину інфраструктури кар’єру було знесено та вивезено, а ділянка повністю реабілітована, є потреба в постійному управлінні та моніторингу ділянки, доки не буде досягнуто остаточного підписання відмови та передачі ділянки, а нові землекористувачі не приймуть власність і відповідальність.</w:t>
      </w:r>
    </w:p>
    <w:p w14:paraId="16F3F4C6"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Успішне відновлення територій після кар’єрів та шахт і плани управління біорізноманіттям приносять переваги для діяльності компаній. Соціальна ліцензія на діяльність як для галузі, так і для  окремих компаній залежить від забезпечення того, як відповідально та ефективно відновлено землі, які використовуються у видобуванні з урахуванням соціально-економічних факторів, навколишнього середовища, законодавчих вимоги, а також потреб та очікувань зацікавлених сторін. Компанії, які застосовують найкращі практики в цьому відношенні, можуть розраховувати на значні переваги, включаючи конкурентну перевагу та довгостроковий сталий розвиток своєї діяльності [6].</w:t>
      </w:r>
    </w:p>
    <w:p w14:paraId="015B5CCA"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Основні принципи побудови планів відновлення кар’єрів (Quarry Rehabilitation Plans - QRP) і Планів управління біорізноманіття (Biodiversity Management Plans - BMP):</w:t>
      </w:r>
    </w:p>
    <w:p w14:paraId="290365FC"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Використання землі після закриття має бути чітко оцінено навіть під час початку розробки кар’єра та  може розвиватися протягом життєвого циклу кар'єру. QRP/BMP засновані на чіткому наборі цілей і вимірюваних показників, що відображають законодавчі вимоги (як найвищий пріоритет), і охоплюють місцеві соціальні, економічні та екологічні (включаючи біорізноманіття) щодо майбутнього використання ділянки.</w:t>
      </w:r>
    </w:p>
    <w:p w14:paraId="026C3BA9"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Відповідність законодавству має бути мінімальною вимогою під час встановлення QRP та/або BMP. Наміри видобувних підприємств ніколи не повинні суперечити законодавчим нормам, але повинні мати більш високі стандарти та виходити за рамки правових вимог, де це можливо.</w:t>
      </w:r>
    </w:p>
    <w:p w14:paraId="0D396979"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lastRenderedPageBreak/>
        <w:t>- По можливості слід застосовувати прогресивне відновлення як кращу практику також залежно від конкретного методу відновлення (може бути відновлення лісів або, наприклад, відновлення рослинності, або пом’якшення наслідків заболочених угідь, або ландшафтний дизайн), а місцеві умови та особливості природного середовища завжди мають бути враховані. Перевагою цього є зменшення відкритих площ в межах кар’єру, задля зменшення потенційної ерозії ґрунту, а також розподіл загальної вартості відновлення із щорічними резервами протягом усього терміну експлуатації кар’єру. Такий метод також забезпечує своєчасний і позитивний візуальний вплив, що дозволяє зацікавленим сторонам бачити та передбачати майбутні результати відновлення. Загалом прогресивне відновлення може дати кращі результати відновлення біорізноманіття на ранніх стадіях, зменшення чистих втрат і збільшення чистого прибутку.</w:t>
      </w:r>
    </w:p>
    <w:p w14:paraId="6E900316"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Зацікавлені сторони залучені на всіх етапах. QRP/BMP має бути спрямований на очікування зацікавлених сторін та узгоджуватися з їх баченням або використовувати їх досвід, культуру та звичаї. Довгострокова стійкість QRP і BMP має бути забезпечена через відповідні партнерства, ресурси та залучення зацікавлених сторін.</w:t>
      </w:r>
    </w:p>
    <w:p w14:paraId="25D35E0E"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Оцінка базових умов дозволяє визначити впливи та вимірювати зміни, які можуть виникнути в результаті діяльності з розробки кар’єрів.</w:t>
      </w:r>
    </w:p>
    <w:p w14:paraId="38CC03A5"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QRP/BMP розробляються разом із планом видобутку до початку діяльності з видобутку для нових ділянок, але також має бути розроблений для діючих кар'єрів, де такого плану ще немає.</w:t>
      </w:r>
    </w:p>
    <w:p w14:paraId="05B4B280" w14:textId="77777777" w:rsidR="00D74CC7" w:rsidRPr="00D6276F" w:rsidRDefault="00D74CC7"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 План моніторингу є невід’ємною частиною QRP/BMP, таким чином забезпечуючи документування та вимірювання прогресу та ефективності щодо цілей. За результатами плану моніторингу вносяться відповідні коригувальні зміни у разі необхідності та вживаються заходи в рамках процесу перегляду QRP/BMP.</w:t>
      </w:r>
    </w:p>
    <w:p w14:paraId="0707957F" w14:textId="77777777" w:rsidR="00820987" w:rsidRPr="00D6276F" w:rsidRDefault="00820987" w:rsidP="008E765D">
      <w:pPr>
        <w:spacing w:after="0"/>
        <w:rPr>
          <w:rFonts w:ascii="Times New Roman" w:hAnsi="Times New Roman" w:cs="Times New Roman"/>
          <w:sz w:val="28"/>
          <w:szCs w:val="28"/>
        </w:rPr>
      </w:pPr>
    </w:p>
    <w:p w14:paraId="5DDB5401" w14:textId="77777777" w:rsidR="00D103D5" w:rsidRDefault="00D103D5">
      <w:pPr>
        <w:rPr>
          <w:rFonts w:ascii="Times New Roman" w:hAnsi="Times New Roman" w:cs="Times New Roman"/>
          <w:b/>
          <w:sz w:val="28"/>
          <w:szCs w:val="36"/>
        </w:rPr>
      </w:pPr>
      <w:r>
        <w:rPr>
          <w:rFonts w:ascii="Times New Roman" w:hAnsi="Times New Roman" w:cs="Times New Roman"/>
          <w:sz w:val="28"/>
        </w:rPr>
        <w:br w:type="page"/>
      </w:r>
    </w:p>
    <w:p w14:paraId="2D9F0D64" w14:textId="21C35688" w:rsidR="003704E9" w:rsidRPr="00D6276F" w:rsidRDefault="003704E9" w:rsidP="003704E9">
      <w:pPr>
        <w:pStyle w:val="2"/>
        <w:spacing w:before="0" w:after="0" w:line="360" w:lineRule="auto"/>
        <w:ind w:left="2007"/>
        <w:rPr>
          <w:rFonts w:ascii="Times New Roman" w:hAnsi="Times New Roman" w:cs="Times New Roman"/>
          <w:sz w:val="28"/>
        </w:rPr>
      </w:pPr>
      <w:bookmarkStart w:id="10" w:name="_Toc155658260"/>
      <w:r w:rsidRPr="00D6276F">
        <w:rPr>
          <w:rFonts w:ascii="Times New Roman" w:hAnsi="Times New Roman" w:cs="Times New Roman"/>
          <w:sz w:val="28"/>
        </w:rPr>
        <w:lastRenderedPageBreak/>
        <w:t>Висновок до розділу 1</w:t>
      </w:r>
      <w:bookmarkEnd w:id="10"/>
    </w:p>
    <w:p w14:paraId="49D18FEB" w14:textId="77777777" w:rsidR="003704E9" w:rsidRPr="00D6276F" w:rsidRDefault="003704E9" w:rsidP="003704E9">
      <w:pPr>
        <w:pStyle w:val="aa"/>
        <w:numPr>
          <w:ilvl w:val="0"/>
          <w:numId w:val="8"/>
        </w:numPr>
        <w:spacing w:after="0" w:line="360" w:lineRule="auto"/>
        <w:ind w:left="567" w:hanging="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Видобувна діяльність має вирішальне значення у світовій економіці, оскільки забезпечує важливу сировину для розвитку промисловості, і хоч розвиток циркулярної економіки та пошук шляхів заміни природної сировини набирає обертів, повністю замінити природні  корисні копалини в найближчий перспективі буде неможливо. </w:t>
      </w:r>
    </w:p>
    <w:p w14:paraId="078AF501" w14:textId="77777777" w:rsidR="003704E9" w:rsidRPr="00D6276F" w:rsidRDefault="003704E9" w:rsidP="003704E9">
      <w:pPr>
        <w:pStyle w:val="aa"/>
        <w:numPr>
          <w:ilvl w:val="0"/>
          <w:numId w:val="8"/>
        </w:numPr>
        <w:spacing w:after="0" w:line="360" w:lineRule="auto"/>
        <w:ind w:left="567" w:hanging="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Видобуток корисних копалин призводить до значних екологічних, економічних, соціальних змін в районі розташування родовища. </w:t>
      </w:r>
    </w:p>
    <w:p w14:paraId="78E5D78A" w14:textId="77777777" w:rsidR="003704E9" w:rsidRPr="00D6276F" w:rsidRDefault="003704E9" w:rsidP="003704E9">
      <w:pPr>
        <w:pStyle w:val="aa"/>
        <w:numPr>
          <w:ilvl w:val="0"/>
          <w:numId w:val="8"/>
        </w:numPr>
        <w:spacing w:after="0" w:line="360" w:lineRule="auto"/>
        <w:ind w:left="567" w:hanging="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Найбільший негативний вплив видобувної діяльності спричиняється в екологічній сфері. </w:t>
      </w:r>
    </w:p>
    <w:p w14:paraId="5F6FECFD" w14:textId="77777777" w:rsidR="003704E9" w:rsidRDefault="003704E9" w:rsidP="003704E9">
      <w:pPr>
        <w:pStyle w:val="aa"/>
        <w:numPr>
          <w:ilvl w:val="0"/>
          <w:numId w:val="8"/>
        </w:numPr>
        <w:spacing w:after="0" w:line="360" w:lineRule="auto"/>
        <w:ind w:left="567" w:hanging="567"/>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Рекультивація та відновлення земель, порушених протягом усього життєвого циклу кар’єру, мають вирішальне значення для глобальної конкурентоспроможності та забезпечення сталого розвитку гірничодобувної галузі в довгостроковій перспективі. </w:t>
      </w:r>
      <w:r w:rsidR="00820987" w:rsidRPr="003704E9">
        <w:rPr>
          <w:rFonts w:ascii="Times New Roman" w:hAnsi="Times New Roman" w:cs="Times New Roman"/>
          <w:sz w:val="28"/>
          <w:szCs w:val="28"/>
          <w:lang w:val="uk-UA"/>
        </w:rPr>
        <w:t xml:space="preserve">Планування закриття гірничого підприємства є складним і часто йому не приділяється достатньо уваги на початкових етапах розробки родовища. У минулому закриття шахт було пов'язано з фізичною стабільністю рекультивованого ландшафту і відновленням рослинності на порушених територіях, як правило, по найдешевшому варіанту. </w:t>
      </w:r>
    </w:p>
    <w:p w14:paraId="37516EA2" w14:textId="77777777" w:rsidR="003704E9" w:rsidRDefault="00820987" w:rsidP="003704E9">
      <w:pPr>
        <w:pStyle w:val="aa"/>
        <w:numPr>
          <w:ilvl w:val="0"/>
          <w:numId w:val="8"/>
        </w:numPr>
        <w:spacing w:after="0" w:line="360" w:lineRule="auto"/>
        <w:ind w:left="567" w:hanging="567"/>
        <w:jc w:val="both"/>
        <w:rPr>
          <w:rFonts w:ascii="Times New Roman" w:hAnsi="Times New Roman" w:cs="Times New Roman"/>
          <w:sz w:val="28"/>
          <w:szCs w:val="28"/>
          <w:lang w:val="uk-UA"/>
        </w:rPr>
      </w:pPr>
      <w:r w:rsidRPr="003704E9">
        <w:rPr>
          <w:rFonts w:ascii="Times New Roman" w:hAnsi="Times New Roman" w:cs="Times New Roman"/>
          <w:sz w:val="28"/>
          <w:szCs w:val="28"/>
          <w:lang w:val="uk-UA"/>
        </w:rPr>
        <w:t xml:space="preserve">Сучасні практики передбачають пошук оптимальних рішень для інтегрованого управління територією після завершення видобутку. </w:t>
      </w:r>
    </w:p>
    <w:p w14:paraId="3C3E449F" w14:textId="4A0E0130" w:rsidR="00820987" w:rsidRPr="003704E9" w:rsidRDefault="00820987" w:rsidP="003704E9">
      <w:pPr>
        <w:pStyle w:val="aa"/>
        <w:numPr>
          <w:ilvl w:val="0"/>
          <w:numId w:val="8"/>
        </w:numPr>
        <w:spacing w:after="0" w:line="360" w:lineRule="auto"/>
        <w:ind w:left="567" w:hanging="567"/>
        <w:jc w:val="both"/>
        <w:rPr>
          <w:rFonts w:ascii="Times New Roman" w:hAnsi="Times New Roman" w:cs="Times New Roman"/>
          <w:sz w:val="28"/>
          <w:szCs w:val="28"/>
          <w:lang w:val="uk-UA"/>
        </w:rPr>
      </w:pPr>
      <w:r w:rsidRPr="003704E9">
        <w:rPr>
          <w:rFonts w:ascii="Times New Roman" w:hAnsi="Times New Roman" w:cs="Times New Roman"/>
          <w:sz w:val="28"/>
          <w:szCs w:val="28"/>
          <w:lang w:val="uk-UA"/>
        </w:rPr>
        <w:t xml:space="preserve">Планування розробки родовища з урахуванням планів закриття кар’єру, цілей рекультивації порушеної ділянки та перспектив перепрофілювання району розташування кар’єру дозволить оптимізувати витрати на закриття кар’єру, здійснити дослідження для прийняття управлінських рішень та сформувати збалансований соціальний та економічний розвиток району, що підвищить привабливість надрокористувача для громад майбутніх проектів розробки корисних копалин. </w:t>
      </w:r>
    </w:p>
    <w:p w14:paraId="03384D62" w14:textId="5B57B0D2" w:rsidR="003704E9" w:rsidRPr="00D6276F" w:rsidRDefault="00CF2812" w:rsidP="003704E9">
      <w:pPr>
        <w:pStyle w:val="2"/>
        <w:keepNext w:val="0"/>
        <w:keepLines w:val="0"/>
        <w:spacing w:before="0" w:after="0" w:line="360" w:lineRule="auto"/>
        <w:ind w:left="1080"/>
        <w:jc w:val="center"/>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br w:type="page"/>
      </w:r>
      <w:bookmarkStart w:id="11" w:name="_Toc155658261"/>
      <w:r w:rsidR="003704E9">
        <w:rPr>
          <w:rFonts w:ascii="Times New Roman" w:eastAsia="Times New Roman" w:hAnsi="Times New Roman" w:cs="Times New Roman"/>
          <w:sz w:val="28"/>
          <w:szCs w:val="28"/>
        </w:rPr>
        <w:lastRenderedPageBreak/>
        <w:t>РОЗДІЛ 2</w:t>
      </w:r>
      <w:bookmarkEnd w:id="11"/>
    </w:p>
    <w:p w14:paraId="21FD68BE" w14:textId="4E4035E5" w:rsidR="003704E9" w:rsidRPr="00D6276F" w:rsidRDefault="003704E9" w:rsidP="003704E9">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12" w:name="_Toc155658262"/>
      <w:r>
        <w:rPr>
          <w:rFonts w:ascii="Times New Roman" w:eastAsia="Times New Roman" w:hAnsi="Times New Roman" w:cs="Times New Roman"/>
          <w:sz w:val="28"/>
          <w:szCs w:val="28"/>
        </w:rPr>
        <w:t>ОБСЯГ ДОСЛІД</w:t>
      </w:r>
      <w:r w:rsidR="008C3ABB">
        <w:rPr>
          <w:rFonts w:ascii="Times New Roman" w:eastAsia="Times New Roman" w:hAnsi="Times New Roman" w:cs="Times New Roman"/>
          <w:sz w:val="28"/>
          <w:szCs w:val="28"/>
        </w:rPr>
        <w:t>Ж</w:t>
      </w:r>
      <w:r>
        <w:rPr>
          <w:rFonts w:ascii="Times New Roman" w:eastAsia="Times New Roman" w:hAnsi="Times New Roman" w:cs="Times New Roman"/>
          <w:sz w:val="28"/>
          <w:szCs w:val="28"/>
        </w:rPr>
        <w:t>ЕННЯ</w:t>
      </w:r>
      <w:r w:rsidR="006A07B3">
        <w:rPr>
          <w:rFonts w:ascii="Times New Roman" w:eastAsia="Times New Roman" w:hAnsi="Times New Roman" w:cs="Times New Roman"/>
          <w:sz w:val="28"/>
          <w:szCs w:val="28"/>
        </w:rPr>
        <w:t xml:space="preserve"> ТА</w:t>
      </w:r>
      <w:r w:rsidR="006A07B3" w:rsidRPr="006A07B3">
        <w:rPr>
          <w:rFonts w:ascii="Times New Roman" w:eastAsia="Times New Roman" w:hAnsi="Times New Roman" w:cs="Times New Roman"/>
          <w:sz w:val="28"/>
          <w:szCs w:val="28"/>
        </w:rPr>
        <w:t xml:space="preserve"> </w:t>
      </w:r>
      <w:r w:rsidR="006A07B3">
        <w:rPr>
          <w:rFonts w:ascii="Times New Roman" w:eastAsia="Times New Roman" w:hAnsi="Times New Roman" w:cs="Times New Roman"/>
          <w:sz w:val="28"/>
          <w:szCs w:val="28"/>
        </w:rPr>
        <w:t>МЕТОДОЛОГІЯ</w:t>
      </w:r>
      <w:bookmarkEnd w:id="12"/>
    </w:p>
    <w:p w14:paraId="3AE833BE" w14:textId="73C2E9F6" w:rsidR="0068358A" w:rsidRPr="00051B75" w:rsidRDefault="000B5E9A" w:rsidP="0068358A">
      <w:pPr>
        <w:pStyle w:val="aff9"/>
        <w:spacing w:before="0" w:beforeAutospacing="0" w:after="0" w:afterAutospacing="0" w:line="360" w:lineRule="auto"/>
        <w:ind w:firstLine="567"/>
        <w:jc w:val="both"/>
        <w:rPr>
          <w:sz w:val="28"/>
          <w:szCs w:val="28"/>
        </w:rPr>
      </w:pPr>
      <w:r w:rsidRPr="00051B75">
        <w:rPr>
          <w:sz w:val="28"/>
          <w:szCs w:val="28"/>
        </w:rPr>
        <w:t xml:space="preserve">Сучасний стан управління видобувною галуззю призвів до значної кількості кинутих без належного закриття кар’єрів та неможливості громади знайти економічні та управлінські механізми для рекультивації території та відновлення біорізноманіття і господарської діяльності </w:t>
      </w:r>
      <w:r w:rsidR="0068358A" w:rsidRPr="00051B75">
        <w:rPr>
          <w:sz w:val="28"/>
          <w:szCs w:val="28"/>
        </w:rPr>
        <w:t xml:space="preserve">на порушених видобутком та прилеглих до родовища ділянок. </w:t>
      </w:r>
    </w:p>
    <w:p w14:paraId="17967A8E" w14:textId="183945AB" w:rsidR="0068358A" w:rsidRPr="00051B75" w:rsidRDefault="0068358A" w:rsidP="0068358A">
      <w:pPr>
        <w:pStyle w:val="aff9"/>
        <w:spacing w:before="0" w:beforeAutospacing="0" w:after="0" w:afterAutospacing="0" w:line="360" w:lineRule="auto"/>
        <w:ind w:firstLine="567"/>
        <w:jc w:val="both"/>
        <w:rPr>
          <w:sz w:val="28"/>
          <w:szCs w:val="28"/>
        </w:rPr>
      </w:pPr>
      <w:r w:rsidRPr="00051B75">
        <w:rPr>
          <w:sz w:val="28"/>
          <w:szCs w:val="28"/>
        </w:rPr>
        <w:t xml:space="preserve">В українських наукових працях більшість питань, які були досліджені, щодо закриття кар’єрів були спрямовані в основному на дослідження одного з напрямків – екологічного, соціального чи управлінського аспекту: методів рекультивації, процесів природного відновлення біорізноманіття кар’єрів, вплив закриття кар’єрів на соціально-економічну складову регіону, виконання вимог дозвільних документів та діючого законодавства при закритті кар’єрів тощо. </w:t>
      </w:r>
    </w:p>
    <w:p w14:paraId="68326F3C" w14:textId="1C4FC43A" w:rsidR="0068358A" w:rsidRPr="00051B75" w:rsidRDefault="0068358A" w:rsidP="0068358A">
      <w:pPr>
        <w:pStyle w:val="aff9"/>
        <w:spacing w:before="0" w:beforeAutospacing="0" w:after="0" w:afterAutospacing="0" w:line="360" w:lineRule="auto"/>
        <w:ind w:firstLine="567"/>
        <w:jc w:val="both"/>
        <w:rPr>
          <w:sz w:val="28"/>
          <w:szCs w:val="28"/>
        </w:rPr>
      </w:pPr>
      <w:r w:rsidRPr="00051B75">
        <w:rPr>
          <w:sz w:val="28"/>
          <w:szCs w:val="28"/>
        </w:rPr>
        <w:t xml:space="preserve">Кожен з цих підходів сприймав аспекти, що виходили за межі їх </w:t>
      </w:r>
      <w:r w:rsidR="00EA445F" w:rsidRPr="00051B75">
        <w:rPr>
          <w:sz w:val="28"/>
          <w:szCs w:val="28"/>
        </w:rPr>
        <w:t>наукової сфери</w:t>
      </w:r>
      <w:r w:rsidRPr="00051B75">
        <w:rPr>
          <w:sz w:val="28"/>
          <w:szCs w:val="28"/>
        </w:rPr>
        <w:t xml:space="preserve">, як контекст об’єкту досліджень і не пропонував розробки комплексних заходів </w:t>
      </w:r>
      <w:r w:rsidR="00EA445F" w:rsidRPr="00051B75">
        <w:rPr>
          <w:sz w:val="28"/>
          <w:szCs w:val="28"/>
        </w:rPr>
        <w:t xml:space="preserve">по управлінню всіма аспектами, які мають прямий чи опосередкований вплив на екосистему порушеного родовища. </w:t>
      </w:r>
    </w:p>
    <w:p w14:paraId="653A6A60" w14:textId="588D531E" w:rsidR="00EA445F" w:rsidRPr="00051B75" w:rsidRDefault="00EA445F" w:rsidP="002237A3">
      <w:pPr>
        <w:pStyle w:val="aff9"/>
        <w:spacing w:before="0" w:beforeAutospacing="0" w:after="0" w:afterAutospacing="0" w:line="360" w:lineRule="auto"/>
        <w:ind w:firstLine="567"/>
        <w:jc w:val="both"/>
        <w:rPr>
          <w:sz w:val="28"/>
          <w:szCs w:val="28"/>
        </w:rPr>
      </w:pPr>
      <w:r w:rsidRPr="00051B75">
        <w:rPr>
          <w:sz w:val="28"/>
          <w:szCs w:val="28"/>
        </w:rPr>
        <w:t>П</w:t>
      </w:r>
      <w:r w:rsidR="002237A3" w:rsidRPr="00051B75">
        <w:rPr>
          <w:sz w:val="28"/>
          <w:szCs w:val="28"/>
        </w:rPr>
        <w:t xml:space="preserve">итання </w:t>
      </w:r>
      <w:r w:rsidRPr="00051B75">
        <w:rPr>
          <w:sz w:val="28"/>
          <w:szCs w:val="28"/>
        </w:rPr>
        <w:t xml:space="preserve">закриття кар’єрів </w:t>
      </w:r>
      <w:r w:rsidR="002237A3" w:rsidRPr="00051B75">
        <w:rPr>
          <w:sz w:val="28"/>
          <w:szCs w:val="28"/>
        </w:rPr>
        <w:t xml:space="preserve">досліджували в свої працях українські науковці, такі як Добровольский И.А., Харченко К.С., Чорна В.І., Ворошилова Н.В., Бєлкіна М.Д., Євтушенко Е.О., Комарова І.О., Поздній Є.В.,  </w:t>
      </w:r>
      <w:r w:rsidR="002237A3" w:rsidRPr="00051B75">
        <w:rPr>
          <w:sz w:val="28"/>
          <w:szCs w:val="28"/>
        </w:rPr>
        <w:fldChar w:fldCharType="begin"/>
      </w:r>
      <w:r w:rsidR="002237A3" w:rsidRPr="00051B75">
        <w:rPr>
          <w:sz w:val="28"/>
          <w:szCs w:val="28"/>
        </w:rPr>
        <w:instrText xml:space="preserve"> HYPERLINK "http://krt.dp.ua/images/files/pdf/%D0%9D%D0%B0%D1%83%D0%BA%D0%B0/%D0%9A%D0%B0%D0%B7%D0%B0%D0%BA%D0%BE%D0%B2/%D0%9A%D0%B0%D0%B7%D0%B0%D0%BA%D0%BE%D0%B2%20%D0%92.%D0%9B.%20%D0%86%D0%BD%D0%B4%D1%83%D1%81%D1%82%D1%80%D1%96%D0%B0%D0%BB%D1%8C%D0%BD%D0%B0%20%D1%81%D0%BF%D0%B0%D0%B4%D1%89%D0%B8%D0%BD%D0%B0%20%D1%81%D1%82%D0%B0%D1%80%D0%B8%D1%85%20%D1%80%D1%83%D0%B4%D0%BD%D0%B8%D0%BA%D1%96%D0%B2%20%D1%80%D0%B0%D0%B9%D0%BE%D0%BD%D1%83%20%D0%9E%D1%81%D0%B8%D1%87%D0%BA%D1%96%D0%B2.pdf" </w:instrText>
      </w:r>
      <w:r w:rsidR="002237A3" w:rsidRPr="00051B75">
        <w:rPr>
          <w:sz w:val="28"/>
          <w:szCs w:val="28"/>
        </w:rPr>
        <w:fldChar w:fldCharType="separate"/>
      </w:r>
      <w:r w:rsidR="002237A3" w:rsidRPr="00051B75">
        <w:rPr>
          <w:sz w:val="28"/>
          <w:szCs w:val="28"/>
        </w:rPr>
        <w:t xml:space="preserve">Казаков В.Л., </w:t>
      </w:r>
      <w:proofErr w:type="spellStart"/>
      <w:r w:rsidR="002237A3" w:rsidRPr="00051B75">
        <w:rPr>
          <w:sz w:val="28"/>
          <w:szCs w:val="28"/>
        </w:rPr>
        <w:t>Артюх</w:t>
      </w:r>
      <w:proofErr w:type="spellEnd"/>
      <w:r w:rsidR="002237A3" w:rsidRPr="00051B75">
        <w:rPr>
          <w:sz w:val="28"/>
          <w:szCs w:val="28"/>
        </w:rPr>
        <w:t xml:space="preserve"> В.М., Багрій І.Д., Блінов П.В., </w:t>
      </w:r>
      <w:proofErr w:type="spellStart"/>
      <w:r w:rsidR="002237A3" w:rsidRPr="00051B75">
        <w:rPr>
          <w:sz w:val="28"/>
          <w:szCs w:val="28"/>
        </w:rPr>
        <w:t>Білокопитова</w:t>
      </w:r>
      <w:proofErr w:type="spellEnd"/>
      <w:r w:rsidR="002237A3" w:rsidRPr="00051B75">
        <w:rPr>
          <w:sz w:val="28"/>
          <w:szCs w:val="28"/>
        </w:rPr>
        <w:t xml:space="preserve"> Н.А., Сметана О.М., Перерва В.В., які зосереджувались переважно на екологічних аспектах відновлення екосистем, порушен</w:t>
      </w:r>
      <w:r w:rsidRPr="00051B75">
        <w:rPr>
          <w:sz w:val="28"/>
          <w:szCs w:val="28"/>
        </w:rPr>
        <w:t xml:space="preserve">их видобутком корисних копалин. </w:t>
      </w:r>
    </w:p>
    <w:p w14:paraId="3D500007" w14:textId="2CD92BA0" w:rsidR="002237A3" w:rsidRPr="00051B75" w:rsidRDefault="00EA445F" w:rsidP="002237A3">
      <w:pPr>
        <w:pStyle w:val="aff9"/>
        <w:spacing w:before="0" w:beforeAutospacing="0" w:after="0" w:afterAutospacing="0" w:line="360" w:lineRule="auto"/>
        <w:ind w:firstLine="567"/>
        <w:jc w:val="both"/>
        <w:rPr>
          <w:sz w:val="28"/>
          <w:szCs w:val="28"/>
        </w:rPr>
      </w:pPr>
      <w:r w:rsidRPr="00051B75">
        <w:rPr>
          <w:sz w:val="28"/>
          <w:szCs w:val="28"/>
        </w:rPr>
        <w:t>В той час як питання</w:t>
      </w:r>
      <w:r w:rsidR="002237A3" w:rsidRPr="00051B75">
        <w:rPr>
          <w:sz w:val="28"/>
          <w:szCs w:val="28"/>
        </w:rPr>
        <w:t xml:space="preserve"> комплексного підходу до управ</w:t>
      </w:r>
      <w:r w:rsidRPr="00051B75">
        <w:rPr>
          <w:sz w:val="28"/>
          <w:szCs w:val="28"/>
        </w:rPr>
        <w:t>ління видобутком здійснювали</w:t>
      </w:r>
      <w:r w:rsidR="002237A3" w:rsidRPr="00051B75">
        <w:rPr>
          <w:sz w:val="28"/>
          <w:szCs w:val="28"/>
        </w:rPr>
        <w:t xml:space="preserve"> зарубіжні науковці </w:t>
      </w:r>
      <w:proofErr w:type="spellStart"/>
      <w:r w:rsidR="002237A3" w:rsidRPr="00051B75">
        <w:rPr>
          <w:sz w:val="28"/>
          <w:szCs w:val="28"/>
        </w:rPr>
        <w:t>Dawn</w:t>
      </w:r>
      <w:proofErr w:type="spellEnd"/>
      <w:r w:rsidR="002237A3" w:rsidRPr="00051B75">
        <w:rPr>
          <w:sz w:val="28"/>
          <w:szCs w:val="28"/>
        </w:rPr>
        <w:t xml:space="preserve"> H. </w:t>
      </w:r>
      <w:proofErr w:type="spellStart"/>
      <w:r w:rsidR="002237A3" w:rsidRPr="00051B75">
        <w:rPr>
          <w:sz w:val="28"/>
          <w:szCs w:val="28"/>
        </w:rPr>
        <w:t>Garcia</w:t>
      </w:r>
      <w:proofErr w:type="spellEnd"/>
      <w:r w:rsidR="002237A3" w:rsidRPr="00051B75">
        <w:rPr>
          <w:sz w:val="28"/>
          <w:szCs w:val="28"/>
        </w:rPr>
        <w:t xml:space="preserve">, </w:t>
      </w:r>
      <w:proofErr w:type="spellStart"/>
      <w:r w:rsidR="002237A3" w:rsidRPr="00051B75">
        <w:rPr>
          <w:sz w:val="28"/>
          <w:szCs w:val="28"/>
        </w:rPr>
        <w:t>Benjamin</w:t>
      </w:r>
      <w:proofErr w:type="spellEnd"/>
      <w:r w:rsidR="002237A3" w:rsidRPr="00051B75">
        <w:rPr>
          <w:sz w:val="28"/>
          <w:szCs w:val="28"/>
        </w:rPr>
        <w:t xml:space="preserve"> </w:t>
      </w:r>
      <w:proofErr w:type="spellStart"/>
      <w:r w:rsidR="002237A3" w:rsidRPr="00051B75">
        <w:rPr>
          <w:sz w:val="28"/>
          <w:szCs w:val="28"/>
        </w:rPr>
        <w:t>Smith</w:t>
      </w:r>
      <w:proofErr w:type="spellEnd"/>
      <w:r w:rsidR="002237A3" w:rsidRPr="00051B75">
        <w:rPr>
          <w:sz w:val="28"/>
          <w:szCs w:val="28"/>
        </w:rPr>
        <w:t xml:space="preserve">, </w:t>
      </w:r>
      <w:proofErr w:type="spellStart"/>
      <w:r w:rsidR="002237A3" w:rsidRPr="00051B75">
        <w:rPr>
          <w:sz w:val="28"/>
          <w:szCs w:val="28"/>
        </w:rPr>
        <w:t>Józef</w:t>
      </w:r>
      <w:proofErr w:type="spellEnd"/>
      <w:r w:rsidR="002237A3" w:rsidRPr="00051B75">
        <w:rPr>
          <w:sz w:val="28"/>
          <w:szCs w:val="28"/>
        </w:rPr>
        <w:t xml:space="preserve"> </w:t>
      </w:r>
      <w:proofErr w:type="spellStart"/>
      <w:r w:rsidR="002237A3" w:rsidRPr="00051B75">
        <w:rPr>
          <w:sz w:val="28"/>
          <w:szCs w:val="28"/>
        </w:rPr>
        <w:t>Dubiński</w:t>
      </w:r>
      <w:proofErr w:type="spellEnd"/>
      <w:r w:rsidR="002237A3" w:rsidRPr="00051B75">
        <w:rPr>
          <w:sz w:val="28"/>
          <w:szCs w:val="28"/>
        </w:rPr>
        <w:t xml:space="preserve">, </w:t>
      </w:r>
      <w:proofErr w:type="spellStart"/>
      <w:r w:rsidR="002237A3" w:rsidRPr="00051B75">
        <w:rPr>
          <w:sz w:val="28"/>
          <w:szCs w:val="28"/>
        </w:rPr>
        <w:t>Sánchez</w:t>
      </w:r>
      <w:proofErr w:type="spellEnd"/>
      <w:r w:rsidR="002237A3" w:rsidRPr="00051B75">
        <w:rPr>
          <w:sz w:val="28"/>
          <w:szCs w:val="28"/>
        </w:rPr>
        <w:t xml:space="preserve">, L.E.; </w:t>
      </w:r>
      <w:proofErr w:type="spellStart"/>
      <w:r w:rsidR="002237A3" w:rsidRPr="00051B75">
        <w:rPr>
          <w:sz w:val="28"/>
          <w:szCs w:val="28"/>
        </w:rPr>
        <w:t>Silva-Sánchez</w:t>
      </w:r>
      <w:proofErr w:type="spellEnd"/>
      <w:r w:rsidR="002237A3" w:rsidRPr="00051B75">
        <w:rPr>
          <w:sz w:val="28"/>
          <w:szCs w:val="28"/>
        </w:rPr>
        <w:t xml:space="preserve">, S.S.; </w:t>
      </w:r>
      <w:proofErr w:type="spellStart"/>
      <w:r w:rsidR="002237A3" w:rsidRPr="00051B75">
        <w:rPr>
          <w:sz w:val="28"/>
          <w:szCs w:val="28"/>
        </w:rPr>
        <w:t>Neri</w:t>
      </w:r>
      <w:proofErr w:type="spellEnd"/>
      <w:r w:rsidR="002237A3" w:rsidRPr="00051B75">
        <w:rPr>
          <w:sz w:val="28"/>
          <w:szCs w:val="28"/>
        </w:rPr>
        <w:t xml:space="preserve">, A.C., . </w:t>
      </w:r>
      <w:proofErr w:type="spellStart"/>
      <w:r w:rsidR="002237A3" w:rsidRPr="00051B75">
        <w:rPr>
          <w:sz w:val="28"/>
          <w:szCs w:val="28"/>
        </w:rPr>
        <w:t>Rebecca</w:t>
      </w:r>
      <w:proofErr w:type="spellEnd"/>
      <w:r w:rsidR="002237A3" w:rsidRPr="00051B75">
        <w:rPr>
          <w:sz w:val="28"/>
          <w:szCs w:val="28"/>
        </w:rPr>
        <w:t xml:space="preserve"> </w:t>
      </w:r>
      <w:proofErr w:type="spellStart"/>
      <w:r w:rsidR="002237A3" w:rsidRPr="00051B75">
        <w:rPr>
          <w:sz w:val="28"/>
          <w:szCs w:val="28"/>
        </w:rPr>
        <w:t>Campbell</w:t>
      </w:r>
      <w:proofErr w:type="spellEnd"/>
      <w:r w:rsidR="002237A3" w:rsidRPr="00051B75">
        <w:rPr>
          <w:sz w:val="28"/>
          <w:szCs w:val="28"/>
        </w:rPr>
        <w:t xml:space="preserve">, </w:t>
      </w:r>
      <w:proofErr w:type="spellStart"/>
      <w:r w:rsidR="002237A3" w:rsidRPr="00051B75">
        <w:rPr>
          <w:sz w:val="28"/>
          <w:szCs w:val="28"/>
        </w:rPr>
        <w:t>Damien</w:t>
      </w:r>
      <w:proofErr w:type="spellEnd"/>
      <w:r w:rsidR="002237A3" w:rsidRPr="00051B75">
        <w:rPr>
          <w:sz w:val="28"/>
          <w:szCs w:val="28"/>
        </w:rPr>
        <w:t xml:space="preserve"> </w:t>
      </w:r>
      <w:proofErr w:type="spellStart"/>
      <w:r w:rsidR="002237A3" w:rsidRPr="00051B75">
        <w:rPr>
          <w:sz w:val="28"/>
          <w:szCs w:val="28"/>
        </w:rPr>
        <w:t>Nyer</w:t>
      </w:r>
      <w:proofErr w:type="spellEnd"/>
      <w:r w:rsidR="002237A3" w:rsidRPr="00051B75">
        <w:rPr>
          <w:sz w:val="28"/>
          <w:szCs w:val="28"/>
        </w:rPr>
        <w:t xml:space="preserve"> </w:t>
      </w:r>
      <w:proofErr w:type="spellStart"/>
      <w:r w:rsidR="002237A3" w:rsidRPr="00051B75">
        <w:rPr>
          <w:sz w:val="28"/>
          <w:szCs w:val="28"/>
        </w:rPr>
        <w:t>and</w:t>
      </w:r>
      <w:proofErr w:type="spellEnd"/>
      <w:r w:rsidR="002237A3" w:rsidRPr="00051B75">
        <w:rPr>
          <w:sz w:val="28"/>
          <w:szCs w:val="28"/>
        </w:rPr>
        <w:t xml:space="preserve"> </w:t>
      </w:r>
      <w:proofErr w:type="spellStart"/>
      <w:r w:rsidR="002237A3" w:rsidRPr="00051B75">
        <w:rPr>
          <w:sz w:val="28"/>
          <w:szCs w:val="28"/>
        </w:rPr>
        <w:t>John</w:t>
      </w:r>
      <w:proofErr w:type="spellEnd"/>
      <w:r w:rsidR="002237A3" w:rsidRPr="00051B75">
        <w:rPr>
          <w:sz w:val="28"/>
          <w:szCs w:val="28"/>
        </w:rPr>
        <w:t xml:space="preserve"> </w:t>
      </w:r>
      <w:proofErr w:type="spellStart"/>
      <w:r w:rsidR="002237A3" w:rsidRPr="00051B75">
        <w:rPr>
          <w:sz w:val="28"/>
          <w:szCs w:val="28"/>
        </w:rPr>
        <w:t>Tivey</w:t>
      </w:r>
      <w:proofErr w:type="spellEnd"/>
      <w:r w:rsidR="002237A3" w:rsidRPr="00051B75">
        <w:rPr>
          <w:sz w:val="28"/>
          <w:szCs w:val="28"/>
        </w:rPr>
        <w:t xml:space="preserve"> та інші. </w:t>
      </w:r>
    </w:p>
    <w:p w14:paraId="1F7718F5" w14:textId="54035DF3" w:rsidR="003704E9" w:rsidRPr="00051B75" w:rsidRDefault="002237A3" w:rsidP="006E089E">
      <w:pPr>
        <w:pStyle w:val="aff9"/>
        <w:spacing w:before="0" w:beforeAutospacing="0" w:after="0" w:afterAutospacing="0" w:line="360" w:lineRule="auto"/>
        <w:ind w:firstLine="567"/>
        <w:jc w:val="both"/>
        <w:rPr>
          <w:sz w:val="28"/>
          <w:szCs w:val="28"/>
        </w:rPr>
      </w:pPr>
      <w:r w:rsidRPr="00051B75">
        <w:rPr>
          <w:sz w:val="28"/>
          <w:szCs w:val="28"/>
        </w:rPr>
        <w:fldChar w:fldCharType="end"/>
      </w:r>
      <w:r w:rsidR="006E089E" w:rsidRPr="00051B75">
        <w:rPr>
          <w:sz w:val="28"/>
          <w:szCs w:val="28"/>
        </w:rPr>
        <w:t xml:space="preserve">Крім того, комплексний підхід щодо закриття кар’єрів розвивали </w:t>
      </w:r>
      <w:r w:rsidR="00A14961" w:rsidRPr="00051B75">
        <w:rPr>
          <w:sz w:val="28"/>
          <w:szCs w:val="28"/>
        </w:rPr>
        <w:t xml:space="preserve">професійні </w:t>
      </w:r>
      <w:r w:rsidR="00B5135D" w:rsidRPr="00051B75">
        <w:rPr>
          <w:sz w:val="28"/>
          <w:szCs w:val="28"/>
        </w:rPr>
        <w:t>асоціації International Council on Mining and Metals (ICMM)</w:t>
      </w:r>
      <w:r w:rsidR="00A14961" w:rsidRPr="00051B75">
        <w:rPr>
          <w:sz w:val="28"/>
          <w:szCs w:val="28"/>
        </w:rPr>
        <w:t xml:space="preserve">, Intergovernmental Forum </w:t>
      </w:r>
      <w:r w:rsidR="00A14961" w:rsidRPr="00051B75">
        <w:rPr>
          <w:sz w:val="28"/>
          <w:szCs w:val="28"/>
        </w:rPr>
        <w:lastRenderedPageBreak/>
        <w:t xml:space="preserve">on Mining, Minerals, Metals and Sustainable Development (IGF), Global Cement and Concrete Association та інші. </w:t>
      </w:r>
    </w:p>
    <w:p w14:paraId="1996DD8A" w14:textId="617C1C19" w:rsidR="0016035C" w:rsidRPr="00051B75" w:rsidRDefault="0016035C" w:rsidP="006E089E">
      <w:pPr>
        <w:pStyle w:val="aff9"/>
        <w:spacing w:before="0" w:beforeAutospacing="0" w:after="0" w:afterAutospacing="0" w:line="360" w:lineRule="auto"/>
        <w:ind w:firstLine="567"/>
        <w:jc w:val="both"/>
        <w:rPr>
          <w:sz w:val="28"/>
          <w:szCs w:val="28"/>
        </w:rPr>
      </w:pPr>
      <w:r w:rsidRPr="00051B75">
        <w:rPr>
          <w:sz w:val="28"/>
          <w:szCs w:val="28"/>
        </w:rPr>
        <w:t xml:space="preserve">В роботі були проаналізовані наукові та практичні підходи щодо найкращих практик у закритті кар’єрів сталим способом. </w:t>
      </w:r>
    </w:p>
    <w:p w14:paraId="474A5087" w14:textId="77777777" w:rsidR="00F215BB" w:rsidRPr="00051B75" w:rsidRDefault="00F215BB"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Основними </w:t>
      </w:r>
      <w:r w:rsidRPr="00051B75">
        <w:rPr>
          <w:rFonts w:ascii="Times New Roman" w:eastAsia="Times New Roman" w:hAnsi="Times New Roman" w:cs="Times New Roman"/>
          <w:bCs/>
          <w:iCs/>
          <w:sz w:val="28"/>
          <w:szCs w:val="28"/>
        </w:rPr>
        <w:t>методами дослідження</w:t>
      </w:r>
      <w:r w:rsidRPr="00051B75">
        <w:rPr>
          <w:rFonts w:ascii="Times New Roman" w:eastAsia="Times New Roman" w:hAnsi="Times New Roman" w:cs="Times New Roman"/>
          <w:b/>
          <w:bCs/>
          <w:i/>
          <w:iCs/>
          <w:sz w:val="28"/>
          <w:szCs w:val="28"/>
        </w:rPr>
        <w:t xml:space="preserve"> </w:t>
      </w:r>
      <w:r w:rsidRPr="00051B75">
        <w:rPr>
          <w:rFonts w:ascii="Times New Roman" w:eastAsia="Times New Roman" w:hAnsi="Times New Roman" w:cs="Times New Roman"/>
          <w:sz w:val="28"/>
          <w:szCs w:val="28"/>
        </w:rPr>
        <w:t xml:space="preserve">в процесі підготовки даної магістерської дисертації були загальнонаукові та спеціальні методи пізнання: порівняльного аналізу та узагальнення (при порівнянні складових управління видобутком в європейських країнах та українського досвіду), прогнозування та компонентного аналізу (при аналізі екологічних аспектів закриття кар’єрів). </w:t>
      </w:r>
    </w:p>
    <w:p w14:paraId="77D16555" w14:textId="5F5377DC" w:rsidR="00847E4B" w:rsidRPr="00051B75" w:rsidRDefault="002E7E0A"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Літературний огляд та дослідження досвіду щодо предмету магістерської дисертації</w:t>
      </w:r>
      <w:r w:rsidR="00847E4B" w:rsidRPr="00051B75">
        <w:rPr>
          <w:rFonts w:ascii="Times New Roman" w:eastAsia="Times New Roman" w:hAnsi="Times New Roman" w:cs="Times New Roman"/>
          <w:sz w:val="28"/>
          <w:szCs w:val="28"/>
        </w:rPr>
        <w:t xml:space="preserve"> були використані для </w:t>
      </w:r>
      <w:r w:rsidRPr="00051B75">
        <w:rPr>
          <w:rFonts w:ascii="Times New Roman" w:eastAsia="Times New Roman" w:hAnsi="Times New Roman" w:cs="Times New Roman"/>
          <w:sz w:val="28"/>
          <w:szCs w:val="28"/>
        </w:rPr>
        <w:t xml:space="preserve">практичної частини роботи - </w:t>
      </w:r>
      <w:r w:rsidR="00847E4B" w:rsidRPr="00051B75">
        <w:rPr>
          <w:rFonts w:ascii="Times New Roman" w:eastAsia="Times New Roman" w:hAnsi="Times New Roman" w:cs="Times New Roman"/>
          <w:sz w:val="28"/>
          <w:szCs w:val="28"/>
        </w:rPr>
        <w:t xml:space="preserve">аналізу </w:t>
      </w:r>
      <w:r w:rsidRPr="00051B75">
        <w:rPr>
          <w:rFonts w:ascii="Times New Roman" w:eastAsia="Times New Roman" w:hAnsi="Times New Roman" w:cs="Times New Roman"/>
          <w:sz w:val="28"/>
          <w:szCs w:val="28"/>
        </w:rPr>
        <w:t xml:space="preserve">сучасного стану запланованих для закриття існуючого українського видобувного підприємства, а також розробки та обґрунтування додаткових заходів на підставі теоретичних досліджень. </w:t>
      </w:r>
    </w:p>
    <w:p w14:paraId="4F9B25E1" w14:textId="2137AB81" w:rsidR="00847E4B" w:rsidRPr="00051B75" w:rsidRDefault="004055F8"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Піддослідний </w:t>
      </w:r>
      <w:r w:rsidR="00072EDE" w:rsidRPr="00051B75">
        <w:rPr>
          <w:rFonts w:ascii="Times New Roman" w:eastAsia="Times New Roman" w:hAnsi="Times New Roman" w:cs="Times New Roman"/>
          <w:sz w:val="28"/>
          <w:szCs w:val="28"/>
        </w:rPr>
        <w:t xml:space="preserve">Жовтокам’янський </w:t>
      </w:r>
      <w:r w:rsidRPr="00051B75">
        <w:rPr>
          <w:rFonts w:ascii="Times New Roman" w:eastAsia="Times New Roman" w:hAnsi="Times New Roman" w:cs="Times New Roman"/>
          <w:sz w:val="28"/>
          <w:szCs w:val="28"/>
        </w:rPr>
        <w:t xml:space="preserve">кар’єр є типовим з точки зору </w:t>
      </w:r>
      <w:r w:rsidR="00072EDE" w:rsidRPr="00051B75">
        <w:rPr>
          <w:rFonts w:ascii="Times New Roman" w:eastAsia="Times New Roman" w:hAnsi="Times New Roman" w:cs="Times New Roman"/>
          <w:sz w:val="28"/>
          <w:szCs w:val="28"/>
        </w:rPr>
        <w:t xml:space="preserve">стану видобувної галузі України, однак, довгий час експлуатувався міжнародною компанією </w:t>
      </w:r>
      <w:r w:rsidR="00072EDE" w:rsidRPr="00051B75">
        <w:rPr>
          <w:rFonts w:ascii="Times New Roman" w:eastAsia="Times New Roman" w:hAnsi="Times New Roman" w:cs="Times New Roman"/>
          <w:sz w:val="28"/>
          <w:szCs w:val="28"/>
          <w:lang w:val="en-US"/>
        </w:rPr>
        <w:t>HeidelbergCement</w:t>
      </w:r>
      <w:r w:rsidR="00072EDE" w:rsidRPr="00051B75">
        <w:rPr>
          <w:rFonts w:ascii="Times New Roman" w:eastAsia="Times New Roman" w:hAnsi="Times New Roman" w:cs="Times New Roman"/>
          <w:sz w:val="28"/>
          <w:szCs w:val="28"/>
        </w:rPr>
        <w:t xml:space="preserve">, що відома своїми сильними найкращими розробками в сфері підвищення біорізноманіття екосистем на відпрацьованих ділянках кар’єру. </w:t>
      </w:r>
    </w:p>
    <w:p w14:paraId="02A75F7C" w14:textId="77777777" w:rsidR="00072EDE" w:rsidRPr="00051B75" w:rsidRDefault="00072EDE" w:rsidP="00072EDE">
      <w:pPr>
        <w:pStyle w:val="aff9"/>
        <w:spacing w:before="0" w:beforeAutospacing="0" w:after="0" w:afterAutospacing="0" w:line="360" w:lineRule="auto"/>
        <w:ind w:firstLine="709"/>
        <w:jc w:val="both"/>
      </w:pPr>
      <w:r w:rsidRPr="00051B75">
        <w:rPr>
          <w:color w:val="000000"/>
          <w:sz w:val="28"/>
          <w:szCs w:val="28"/>
        </w:rPr>
        <w:t>Жовтокам’янське родовище цементної сировини розташоване в Апостолівському районі Дніпропетровської області за 18-21 км на північний схід від районного центру і вузлової залізничної станції Апостолове Придніпровської залізниці. </w:t>
      </w:r>
    </w:p>
    <w:p w14:paraId="61EF0FB9" w14:textId="77777777" w:rsidR="00072EDE" w:rsidRPr="00051B75" w:rsidRDefault="00072EDE" w:rsidP="00072EDE">
      <w:pPr>
        <w:pStyle w:val="aff9"/>
        <w:spacing w:before="0" w:beforeAutospacing="0" w:after="0" w:afterAutospacing="0" w:line="360" w:lineRule="auto"/>
        <w:ind w:firstLine="709"/>
        <w:jc w:val="both"/>
      </w:pPr>
      <w:r w:rsidRPr="00051B75">
        <w:rPr>
          <w:color w:val="000000"/>
          <w:sz w:val="28"/>
          <w:szCs w:val="28"/>
        </w:rPr>
        <w:t>Родовище з 1957 р. експлуатується Криворізьким заводом, який на даний час входить до групи заводів ПрАТ «Кривий Ріг Цемент». Проектна потужність заводу 1,5 млн. т цементу в рік. </w:t>
      </w:r>
    </w:p>
    <w:p w14:paraId="2B3B2871" w14:textId="77777777" w:rsidR="00072EDE" w:rsidRPr="00051B75" w:rsidRDefault="00072EDE" w:rsidP="00072EDE">
      <w:pPr>
        <w:pStyle w:val="aff9"/>
        <w:spacing w:before="0" w:beforeAutospacing="0" w:after="0" w:afterAutospacing="0" w:line="360" w:lineRule="auto"/>
        <w:ind w:firstLine="709"/>
        <w:jc w:val="both"/>
      </w:pPr>
      <w:r w:rsidRPr="00051B75">
        <w:rPr>
          <w:color w:val="000000"/>
          <w:sz w:val="28"/>
          <w:szCs w:val="28"/>
        </w:rPr>
        <w:t xml:space="preserve">Родовище приурочено до Південного схилу Придніпровської височини та складається з 5-ти дільниць. Жовтокам’янський кар’єр видобуває сировинні матеріали на дільниці №3, що розташована на правому березі р.Жовтенька, в 2-х км на північний захід від залізничної станції Жовтокам’янка, в 6-ти км на північний захід </w:t>
      </w:r>
      <w:r w:rsidRPr="00051B75">
        <w:rPr>
          <w:color w:val="000000"/>
          <w:sz w:val="28"/>
          <w:szCs w:val="28"/>
        </w:rPr>
        <w:lastRenderedPageBreak/>
        <w:t>від с. Кам’янка, на землях колишнього колгоспу ім. Шевченко та Михайлівської птице фабрики ім. Ф.Нансена.</w:t>
      </w:r>
    </w:p>
    <w:p w14:paraId="178B30AC" w14:textId="77777777" w:rsidR="00072EDE" w:rsidRPr="00051B75" w:rsidRDefault="00072EDE" w:rsidP="00072EDE">
      <w:pPr>
        <w:pStyle w:val="aff9"/>
        <w:spacing w:before="0" w:beforeAutospacing="0" w:after="0" w:afterAutospacing="0" w:line="360" w:lineRule="auto"/>
        <w:ind w:firstLine="709"/>
        <w:jc w:val="both"/>
      </w:pPr>
      <w:r w:rsidRPr="00051B75">
        <w:rPr>
          <w:color w:val="000000"/>
          <w:sz w:val="28"/>
          <w:szCs w:val="28"/>
        </w:rPr>
        <w:t>На розроблювану площу дільниці №3 отриманий гірничий відвід №1753 від 16.12.2010р. та спеціальний дозвіл на використання надрами №936 від 17.11.2010 року. Найближчими населеними пунктами, які розташовані в 1-7 км від дільниці є: с. Жовте; с. Червона Колона; с. Михайлівка; с.Михайло-Заводське.</w:t>
      </w:r>
    </w:p>
    <w:p w14:paraId="32F3542C" w14:textId="77777777" w:rsidR="00072EDE" w:rsidRPr="00051B75" w:rsidRDefault="00072EDE" w:rsidP="00072EDE">
      <w:pPr>
        <w:pStyle w:val="aff9"/>
        <w:spacing w:before="0" w:beforeAutospacing="0" w:after="0" w:afterAutospacing="0" w:line="360" w:lineRule="auto"/>
        <w:ind w:firstLine="709"/>
        <w:jc w:val="both"/>
        <w:rPr>
          <w:color w:val="000000"/>
          <w:sz w:val="28"/>
          <w:szCs w:val="28"/>
        </w:rPr>
      </w:pPr>
      <w:r w:rsidRPr="00051B75">
        <w:rPr>
          <w:color w:val="000000"/>
          <w:sz w:val="28"/>
          <w:szCs w:val="28"/>
        </w:rPr>
        <w:t>Глибина кар’єру на даний час складає від 0 до 40 м.</w:t>
      </w:r>
    </w:p>
    <w:p w14:paraId="3BF0E664" w14:textId="77777777" w:rsidR="00072EDE" w:rsidRPr="00051B75" w:rsidRDefault="00072EDE" w:rsidP="00072EDE">
      <w:pPr>
        <w:pStyle w:val="aff9"/>
        <w:spacing w:before="0" w:beforeAutospacing="0" w:after="0" w:afterAutospacing="0" w:line="360" w:lineRule="auto"/>
        <w:ind w:firstLine="708"/>
        <w:jc w:val="both"/>
        <w:rPr>
          <w:color w:val="000000"/>
          <w:sz w:val="28"/>
          <w:szCs w:val="28"/>
        </w:rPr>
      </w:pPr>
      <w:r w:rsidRPr="00051B75">
        <w:rPr>
          <w:color w:val="000000"/>
          <w:sz w:val="28"/>
          <w:szCs w:val="28"/>
        </w:rPr>
        <w:t>При провадженні планованої діяльності з видобування здійснюється вплив на довкілля переважно за рахунок викидів в атмосферне повітря та рівнів шуму від роботи кар’єрного обладнання, автотранспорту та вибухових робіт. Вплив на ґрунти має значний характер за рахунок переміщення гірських порід. Вплив  на водні об’єкти має незначний характер за рахунок глибинного залягання ґрунтових вод та відсутності скидів у поверхневі водні об’єкти. У процесі провадження діяльності можливий водоприток у кар’єр за рахунок атмосферний опадів, які  потім випаровуються з поверхні кар’єра.</w:t>
      </w:r>
    </w:p>
    <w:p w14:paraId="23C34BF8" w14:textId="77777777" w:rsidR="00072EDE" w:rsidRPr="00051B75" w:rsidRDefault="00072EDE" w:rsidP="00072EDE">
      <w:pPr>
        <w:pStyle w:val="aff9"/>
        <w:spacing w:before="0" w:beforeAutospacing="0" w:after="0" w:afterAutospacing="0" w:line="360" w:lineRule="auto"/>
        <w:ind w:firstLine="708"/>
        <w:jc w:val="both"/>
        <w:rPr>
          <w:color w:val="000000"/>
          <w:sz w:val="28"/>
          <w:szCs w:val="28"/>
        </w:rPr>
      </w:pPr>
      <w:r w:rsidRPr="00051B75">
        <w:rPr>
          <w:color w:val="000000"/>
          <w:sz w:val="28"/>
          <w:szCs w:val="28"/>
        </w:rPr>
        <w:t xml:space="preserve">В соціальному та економічному аспекті Жовтокам’янський кар’єр має значний вплив на с. Жовте Апостолівського району, так як є єдиним несільськогосподарським підприємством, забезпечує роботою більше 150 людей та сплачує місцеві податки до бюджету громади. Крім того, кар’єр забезпечує водо- та теплопостачання до багатоквартирних будинків села. Будь-які збої в роботі миттєво впливають на громаду села Жовте. </w:t>
      </w:r>
    </w:p>
    <w:p w14:paraId="4E5AC99E"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Жовтокам’янське родовище цементної сировини розташоване на схилі південно-східної частини Придніпровської височини. В геологічній будові Жовтокам’янського родовища вапняків і глин беруть участь сучасні (голоценові), плейстоценові і неогенові відклади, а також продукти кори вивітрювання докембрійських кристалічних порід.</w:t>
      </w:r>
    </w:p>
    <w:p w14:paraId="0BF59D8D"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 xml:space="preserve">Рельєф району прорізаний річковими долинами і численною балочною мережею, що примикає до русел річок. Поверхня району горбиста і відтворює риси кристалічного фундаменту. Абсолютні відмітки денної поверхні району родовища  </w:t>
      </w:r>
      <w:r w:rsidRPr="00051B75">
        <w:rPr>
          <w:color w:val="000000"/>
          <w:sz w:val="28"/>
          <w:szCs w:val="28"/>
        </w:rPr>
        <w:lastRenderedPageBreak/>
        <w:t>змінюються  від 101,8 м на вододілі – до 36 м  в долині ріки.  Біля ділянки №3, в днищі долини р. Жовтенька, відмітки 46-49м.</w:t>
      </w:r>
    </w:p>
    <w:p w14:paraId="68A9D3F5"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Найближчою до родовища є р. Жовтенька. Річка Жовтенька – лівий приток  р. Кам’янка, бере початок за 20 км на північ від родовища. Загальна довжина її до впадіння в р. Кам’янку близько 35 км. Ширина її долини не перевищує 0,5 км, біля ділянки №3 родовища вона дорівнює 100-150 м. Рівень води в річці цілком пов’язаний з кількістю атмосферних опадів і поверхневого стоку.  Вона не має постійного водотоку, у літній період пересихає. Долина ріки вузька з симетричними пологими схилами, перерізаними дрібними ярами, більш розвиненими на лівому схилі. Численні балки і яри мають водотоки тільки в періоди сніготанення і сильних дощів.</w:t>
      </w:r>
    </w:p>
    <w:p w14:paraId="56353E83"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 xml:space="preserve">Безпосередньо на родовищі розташовані три балки: Північна, Центральна і Південна. Північна і Південна балки мають розвантаження поверхневих вод в р. Жовтеньку. Приток дощових і талих вод у кар’єр здійснюється переважно зі сторони балки Центральної. Ширина балки біля бровки кар’єру досягає 1 км. Далі на захід в сторону вододілу її ширина поступово зменшується, довжина балки сягає 1800м. Уклін балки направлений в сторону кар’єру і в середньому становить 0,02-0,027. Схили балки пологі, симетричні, з ухилом 0,03. Глибина балки біля бровки кар’єру сягає 12 м. Водозбірна площа балки становить 1 км2.  </w:t>
      </w:r>
    </w:p>
    <w:p w14:paraId="53ABFFA1"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 xml:space="preserve">Клімат району помірно-континентальний, характерний для степової зони півдня України – зі спекотним літом і досить теплою малосніжною зимою. </w:t>
      </w:r>
    </w:p>
    <w:p w14:paraId="6029ADE1" w14:textId="325DBE1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 xml:space="preserve">Середньорічна кількість атмосферних опадів - 493 мм, </w:t>
      </w:r>
      <w:r w:rsidR="00B04837" w:rsidRPr="00051B75">
        <w:rPr>
          <w:color w:val="000000"/>
          <w:sz w:val="28"/>
          <w:szCs w:val="28"/>
        </w:rPr>
        <w:t>посушливий район</w:t>
      </w:r>
      <w:r w:rsidRPr="00051B75">
        <w:rPr>
          <w:color w:val="000000"/>
          <w:sz w:val="28"/>
          <w:szCs w:val="28"/>
        </w:rPr>
        <w:t>. Добові опади злив - 59 мм.</w:t>
      </w:r>
    </w:p>
    <w:p w14:paraId="3A008AA6"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Вітри в зимовий період переважно північно-східні та північно-західні, влітку – різних напрямків. Середня швидкість вітру  2,5- 4,9 м/сек.</w:t>
      </w:r>
    </w:p>
    <w:p w14:paraId="41D3CA16"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 xml:space="preserve">Економіка  Апостолівського району  обумовлюється розташуванням його між двома гірничо-видобувними басейнами - Криворізьким залізорудним  і  Нікопольським марганцеворудним. В районі розвинуті машинобудування, хімічна промисловість, видобування і переробка природної сировини для виробництва будівельних матеріалів, сільськогосподарські та переробні підприємства. </w:t>
      </w:r>
    </w:p>
    <w:p w14:paraId="74FC8847"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lastRenderedPageBreak/>
        <w:t xml:space="preserve">Розробляються  Токівське та Підстепнянське родовища будівельного та облицювального каменю. </w:t>
      </w:r>
    </w:p>
    <w:p w14:paraId="17050747" w14:textId="77777777" w:rsidR="00F1757D" w:rsidRPr="00051B75" w:rsidRDefault="00F1757D" w:rsidP="00F1757D">
      <w:pPr>
        <w:pStyle w:val="aff9"/>
        <w:spacing w:before="0" w:beforeAutospacing="0" w:after="0" w:afterAutospacing="0" w:line="360" w:lineRule="auto"/>
        <w:ind w:firstLine="708"/>
        <w:jc w:val="both"/>
        <w:rPr>
          <w:color w:val="000000"/>
          <w:sz w:val="28"/>
          <w:szCs w:val="28"/>
        </w:rPr>
      </w:pPr>
      <w:r w:rsidRPr="00051B75">
        <w:rPr>
          <w:color w:val="000000"/>
          <w:sz w:val="28"/>
          <w:szCs w:val="28"/>
        </w:rPr>
        <w:t>На теперішній час Жовтокам’янський кар’єр та дробарно-сортувальна фабрика є діючим підприємством із сформованою транспортною системою розробки, забезпеченим необхідним технологічним  гірничо-видобувним обладнанням. Система розробки транспортна з паралельним переміщенням фронту робіт. В центральній частині родовище розкрите  кар’єром, просування фронту робіт передбачається в його розвитку.</w:t>
      </w:r>
    </w:p>
    <w:p w14:paraId="60665956" w14:textId="162A44CE" w:rsidR="00F1757D" w:rsidRPr="00051B75" w:rsidRDefault="00072EDE" w:rsidP="00F1757D">
      <w:pPr>
        <w:pStyle w:val="aff9"/>
        <w:spacing w:before="0" w:beforeAutospacing="0" w:after="0" w:afterAutospacing="0" w:line="360" w:lineRule="auto"/>
        <w:ind w:firstLine="708"/>
        <w:jc w:val="both"/>
        <w:rPr>
          <w:sz w:val="28"/>
          <w:szCs w:val="28"/>
        </w:rPr>
      </w:pPr>
      <w:r w:rsidRPr="00051B75">
        <w:rPr>
          <w:color w:val="000000"/>
          <w:sz w:val="28"/>
          <w:szCs w:val="28"/>
        </w:rPr>
        <w:t xml:space="preserve">Вимоги до закриття кар’єру і відповідно видобуток вапняку та глини </w:t>
      </w:r>
      <w:r w:rsidR="00EF0985" w:rsidRPr="00051B75">
        <w:rPr>
          <w:color w:val="000000"/>
          <w:sz w:val="28"/>
          <w:szCs w:val="28"/>
        </w:rPr>
        <w:t>були сформовані ще в першому проекті розробки кар’єру 19</w:t>
      </w:r>
      <w:r w:rsidR="00F1757D" w:rsidRPr="00051B75">
        <w:rPr>
          <w:color w:val="000000"/>
          <w:sz w:val="28"/>
          <w:szCs w:val="28"/>
        </w:rPr>
        <w:t>78</w:t>
      </w:r>
      <w:r w:rsidR="00EF0985" w:rsidRPr="00051B75">
        <w:rPr>
          <w:color w:val="000000"/>
          <w:sz w:val="28"/>
          <w:szCs w:val="28"/>
        </w:rPr>
        <w:t xml:space="preserve"> року. </w:t>
      </w:r>
      <w:r w:rsidR="00F1757D" w:rsidRPr="00051B75">
        <w:rPr>
          <w:color w:val="000000"/>
          <w:sz w:val="28"/>
          <w:szCs w:val="28"/>
        </w:rPr>
        <w:t>Згідно першого проекту кар’єру (1978 р.) проектна потужність видобутку вапняку складав 2565000</w:t>
      </w:r>
      <w:r w:rsidR="00F1757D" w:rsidRPr="00051B75">
        <w:rPr>
          <w:sz w:val="28"/>
          <w:szCs w:val="28"/>
        </w:rPr>
        <w:t xml:space="preserve"> т/рік (що зменшується по граничній продуктивності переробки на дробарно-сортувальній фабриці до 1965000 т/рік), глини – 552400 т/рік.</w:t>
      </w:r>
    </w:p>
    <w:p w14:paraId="6FBB41F0" w14:textId="55D36A4B" w:rsidR="00072EDE" w:rsidRPr="00051B75" w:rsidRDefault="00072EDE"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В 2018 році</w:t>
      </w:r>
      <w:r w:rsidR="0013529C" w:rsidRPr="00051B75">
        <w:rPr>
          <w:rFonts w:ascii="Times New Roman" w:eastAsia="Times New Roman" w:hAnsi="Times New Roman" w:cs="Times New Roman"/>
          <w:sz w:val="28"/>
          <w:szCs w:val="28"/>
        </w:rPr>
        <w:t xml:space="preserve"> Жовтокам’янский</w:t>
      </w:r>
      <w:r w:rsidRPr="00051B75">
        <w:rPr>
          <w:rFonts w:ascii="Times New Roman" w:eastAsia="Times New Roman" w:hAnsi="Times New Roman" w:cs="Times New Roman"/>
          <w:sz w:val="28"/>
          <w:szCs w:val="28"/>
        </w:rPr>
        <w:t xml:space="preserve"> кар</w:t>
      </w:r>
      <w:r w:rsidR="00B04837" w:rsidRPr="00051B75">
        <w:rPr>
          <w:rFonts w:ascii="Times New Roman" w:eastAsia="Times New Roman" w:hAnsi="Times New Roman" w:cs="Times New Roman"/>
          <w:sz w:val="28"/>
          <w:szCs w:val="28"/>
        </w:rPr>
        <w:t xml:space="preserve">’єр пройшов процедуру оцінки впливу на довкілля і відповідно отримав висновок з оновленими умовами і вимогами до діяльності та закриття кар’єру відповідно до чинного на той період законодавства. </w:t>
      </w:r>
    </w:p>
    <w:p w14:paraId="749DA9CA" w14:textId="275DFFC3"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Відповідно до звіту з оцінки впливу на довкілля вплив видобувної діяльності визначений як допустимий.</w:t>
      </w:r>
    </w:p>
    <w:p w14:paraId="34B38EF2" w14:textId="446B7112"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Екологічні умови розробки родовища, при дотриманні відповідних заходів (рекультивація та відновлення ландшафту) є сприятливими. </w:t>
      </w:r>
    </w:p>
    <w:p w14:paraId="677FB5D9" w14:textId="79ACA8A4"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Проведення гірничих робіт створюватиме вплив на навколишнє середовище переважно за рахунок викидів в атмосферне повітря та шуму від роботи важкої техніки. Вплив на ґрунти буде обмежений гірничим відводом, а вплив на водойми відсутній. Викиди забруднюючих речовин в атмосферне повітря при експлуатації кар'єру створюють допустимий вплив, на межі з житловою забудовою відсутні перевищення допустимих концентрацій. Вплив на геологічне середовище істотне: виїмка корисних копалин, переміщення гірських порід в межах гірського відводу, рекультивація частини кар’єру до рівня відміток навколишньої території для подальшого сільсько-господарського використання, та укріплення укосів деревами та </w:t>
      </w:r>
      <w:r w:rsidRPr="00051B75">
        <w:rPr>
          <w:rFonts w:ascii="Times New Roman" w:eastAsia="Times New Roman" w:hAnsi="Times New Roman" w:cs="Times New Roman"/>
          <w:sz w:val="28"/>
          <w:szCs w:val="28"/>
        </w:rPr>
        <w:lastRenderedPageBreak/>
        <w:t>часткове відновлення екосистеми в іншій частині відпрацьованого кар’єру згідно проекту рекультивації</w:t>
      </w:r>
      <w:r w:rsidR="00F21615" w:rsidRPr="00051B75">
        <w:rPr>
          <w:rFonts w:ascii="Times New Roman" w:eastAsia="Times New Roman" w:hAnsi="Times New Roman" w:cs="Times New Roman"/>
          <w:sz w:val="28"/>
          <w:szCs w:val="28"/>
        </w:rPr>
        <w:t xml:space="preserve"> (який істотно не був скоригований з попереднього проекту 1978 р)</w:t>
      </w:r>
      <w:r w:rsidRPr="00051B75">
        <w:rPr>
          <w:rFonts w:ascii="Times New Roman" w:eastAsia="Times New Roman" w:hAnsi="Times New Roman" w:cs="Times New Roman"/>
          <w:sz w:val="28"/>
          <w:szCs w:val="28"/>
        </w:rPr>
        <w:t xml:space="preserve">. </w:t>
      </w:r>
    </w:p>
    <w:p w14:paraId="2970412A" w14:textId="7777777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З огляду на прийнятні обсяги планованих робіт, пов’язаних з видобуванням вапняку та глини, допустимі обсяги викидів забруднюючих речовин, а також передбачувані проектом заходи, ризик істотного забруднення атмосфери, ґрунтів, поверхневих і ґрунтових вод буде допустимим.</w:t>
      </w:r>
    </w:p>
    <w:p w14:paraId="5280C159" w14:textId="7777777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В процесі функціонування кар’єру ризик забруднення ґрунтів і ґрунтових вод буде зведений до мінімуму. Санітарно-захисна  зона підприємства витримана, територія навколо об’єкту упорядкована. З урахуванням існуючих зелених насаджень площа озеленення відповідає нормативним вимогам. Беручи до уваги розрахунки, виконані на підставі проектних даних, є підстави вважати, що рівень шуму не перевищуватиме допустимий рівень звукового тиску в житловій зоні. </w:t>
      </w:r>
    </w:p>
    <w:p w14:paraId="30864C0C" w14:textId="7777777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Вплив на рослинний  світ, на техногенне і соціальне середовище від діяльності кар’єру не виходитиме за рамки екологічних обмежень.</w:t>
      </w:r>
    </w:p>
    <w:p w14:paraId="2B204499" w14:textId="7777777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Ризик активної і масштабної зміни мікрокліматичних умов відсутній.</w:t>
      </w:r>
    </w:p>
    <w:p w14:paraId="0FF46C10" w14:textId="7777777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Ризик виникнення аварійних ситуацій зведений до мінімуму при дотриманні правил пожежної безпеки, охорони праці та техніки безпеки, своєчасному проведенні планово- попереджувальних ремонтів.</w:t>
      </w:r>
    </w:p>
    <w:p w14:paraId="2EE26A6B" w14:textId="7777777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Залишкові впливи на навколишнє середовище в цілому будуть перебувати в межах, що регламентуються вимогами чинного природоохоронного законодавства України.</w:t>
      </w:r>
    </w:p>
    <w:p w14:paraId="3F196516" w14:textId="12E78D17" w:rsidR="0013529C" w:rsidRPr="00051B75" w:rsidRDefault="0013529C"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Враховуючи вищенаведене, представляється можливим вважати, що експлуатація кар’єру по видобуванню вапняку та глини не призведе до погіршення існуючого екологічного стану прилеглої території.</w:t>
      </w:r>
      <w:r w:rsidR="00D50451" w:rsidRPr="00051B75">
        <w:rPr>
          <w:rFonts w:ascii="Times New Roman" w:eastAsia="Times New Roman" w:hAnsi="Times New Roman" w:cs="Times New Roman"/>
          <w:sz w:val="28"/>
          <w:szCs w:val="28"/>
        </w:rPr>
        <w:t xml:space="preserve"> </w:t>
      </w:r>
    </w:p>
    <w:p w14:paraId="5387918C" w14:textId="733B61DF" w:rsidR="00D50451" w:rsidRPr="00051B75" w:rsidRDefault="00C72586" w:rsidP="0013529C">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Згідно Висновку з оцінки впливу на довкілля планованої діяльності «Видобування вапняків та глини, придатних для використання у якості цементної сировини, Жовтокам’янського родовища (ділянка №3), розташованого в Апостолівському районі Дніпропетровської області. Проектна потужність видобутку </w:t>
      </w:r>
      <w:r w:rsidRPr="00051B75">
        <w:rPr>
          <w:rFonts w:ascii="Times New Roman" w:eastAsia="Times New Roman" w:hAnsi="Times New Roman" w:cs="Times New Roman"/>
          <w:sz w:val="28"/>
          <w:szCs w:val="28"/>
        </w:rPr>
        <w:lastRenderedPageBreak/>
        <w:t xml:space="preserve">становить 2565 тис. т/рік вапняку та 552,4 тис. т/рік глини»  №7-03/12-20181252328/2 від 20.03.2019 з’явились додаткові умови по захисту довкілля та здійсненню моніторингу його стану, а саме: </w:t>
      </w:r>
    </w:p>
    <w:p w14:paraId="77B32DF8" w14:textId="3C661073" w:rsidR="00C72586" w:rsidRPr="00051B75" w:rsidRDefault="00C72586" w:rsidP="00C72586">
      <w:pPr>
        <w:pStyle w:val="aa"/>
        <w:numPr>
          <w:ilvl w:val="0"/>
          <w:numId w:val="14"/>
        </w:numPr>
        <w:spacing w:after="0" w:line="360" w:lineRule="auto"/>
        <w:jc w:val="both"/>
        <w:rPr>
          <w:rFonts w:ascii="Times New Roman" w:eastAsia="Times New Roman" w:hAnsi="Times New Roman" w:cs="Times New Roman"/>
          <w:sz w:val="28"/>
          <w:szCs w:val="28"/>
          <w:lang w:val="uk-UA"/>
        </w:rPr>
      </w:pPr>
      <w:r w:rsidRPr="00051B75">
        <w:rPr>
          <w:rFonts w:ascii="Times New Roman" w:eastAsia="Times New Roman" w:hAnsi="Times New Roman" w:cs="Times New Roman"/>
          <w:sz w:val="28"/>
          <w:szCs w:val="28"/>
          <w:lang w:val="uk-UA"/>
        </w:rPr>
        <w:t xml:space="preserve">забезпечити дотримання «сезону тиші» у період з 1 квітня до 15 червня (додатковий захист для фауни в період гніздування від шуму вибухів); </w:t>
      </w:r>
    </w:p>
    <w:p w14:paraId="432C66ED" w14:textId="2250AE01" w:rsidR="00C72586" w:rsidRPr="00051B75" w:rsidRDefault="00C72586" w:rsidP="00C72586">
      <w:pPr>
        <w:pStyle w:val="aa"/>
        <w:numPr>
          <w:ilvl w:val="0"/>
          <w:numId w:val="14"/>
        </w:numPr>
        <w:spacing w:after="0" w:line="360" w:lineRule="auto"/>
        <w:jc w:val="both"/>
        <w:rPr>
          <w:rFonts w:ascii="Times New Roman" w:eastAsia="Times New Roman" w:hAnsi="Times New Roman" w:cs="Times New Roman"/>
          <w:sz w:val="28"/>
          <w:szCs w:val="28"/>
          <w:lang w:val="uk-UA"/>
        </w:rPr>
      </w:pPr>
      <w:r w:rsidRPr="00051B75">
        <w:rPr>
          <w:rFonts w:ascii="Times New Roman" w:eastAsia="Times New Roman" w:hAnsi="Times New Roman" w:cs="Times New Roman"/>
          <w:sz w:val="28"/>
          <w:szCs w:val="28"/>
          <w:lang w:val="uk-UA"/>
        </w:rPr>
        <w:t xml:space="preserve">здійснювати радіологічні заміри в об’єктах природного середовища (вода підземна та поверхнева, ґрунти) та води в р. Жовтенька – один раз на рік, післяпроектний моніторинг флори та фауни на 3 роки; моніторинг впливу планованої діяльності на якість поверхневих та підземних вод R=2 км (щопівроку); здійснювати моніторинг впливу планованої діяльності на р. Жовтенька (щоквартально); </w:t>
      </w:r>
    </w:p>
    <w:p w14:paraId="0C301A2F" w14:textId="64E8E9A6" w:rsidR="00C72586" w:rsidRPr="00051B75" w:rsidRDefault="00C72586" w:rsidP="00C72586">
      <w:pPr>
        <w:pStyle w:val="aa"/>
        <w:numPr>
          <w:ilvl w:val="0"/>
          <w:numId w:val="14"/>
        </w:numPr>
        <w:spacing w:after="0" w:line="360" w:lineRule="auto"/>
        <w:jc w:val="both"/>
        <w:rPr>
          <w:rFonts w:ascii="Times New Roman" w:eastAsia="Times New Roman" w:hAnsi="Times New Roman" w:cs="Times New Roman"/>
          <w:sz w:val="28"/>
          <w:szCs w:val="28"/>
          <w:lang w:val="uk-UA"/>
        </w:rPr>
      </w:pPr>
      <w:r w:rsidRPr="00051B75">
        <w:rPr>
          <w:rFonts w:ascii="Times New Roman" w:eastAsia="Times New Roman" w:hAnsi="Times New Roman" w:cs="Times New Roman"/>
          <w:sz w:val="28"/>
          <w:szCs w:val="28"/>
          <w:lang w:val="uk-UA"/>
        </w:rPr>
        <w:t xml:space="preserve">у випадку виявлення рослин чи тварин, що підлягають особливому захисту – занесені до Червоної Книги чи рідкісні для даного регіону, обрахувати та сплатити компенсацію згідно діючого законодавства. </w:t>
      </w:r>
    </w:p>
    <w:p w14:paraId="1A275E5D" w14:textId="77777777" w:rsidR="00F509A5" w:rsidRPr="00051B75" w:rsidRDefault="00C72586"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Заплановані заходи істотно не змінили видобувну діяльність, що відбувалась на підставі проєкту 1978 року, однак, з’явились вимоги до формування бази даних </w:t>
      </w:r>
      <w:r w:rsidR="00F509A5" w:rsidRPr="00051B75">
        <w:rPr>
          <w:rFonts w:ascii="Times New Roman" w:eastAsia="Times New Roman" w:hAnsi="Times New Roman" w:cs="Times New Roman"/>
          <w:sz w:val="28"/>
          <w:szCs w:val="28"/>
        </w:rPr>
        <w:t xml:space="preserve">щодо стану та динаміки компонентів довкілля в районі розташування кар’єру, що в майбутньому можна використати для формування правильних управлінських рішень для відновлення екосистем на території кар’єру та прилеглих ділянках у майбутньому після закриття кар’єру. </w:t>
      </w:r>
    </w:p>
    <w:p w14:paraId="40241300" w14:textId="750D3DA9" w:rsidR="00B04837" w:rsidRPr="00051B75" w:rsidRDefault="00F509A5"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Однак, </w:t>
      </w:r>
      <w:r w:rsidR="008D7E11" w:rsidRPr="00051B75">
        <w:rPr>
          <w:rFonts w:ascii="Times New Roman" w:eastAsia="Times New Roman" w:hAnsi="Times New Roman" w:cs="Times New Roman"/>
          <w:sz w:val="28"/>
          <w:szCs w:val="28"/>
        </w:rPr>
        <w:t>не зважаючи на оцінку кумулятивного ефекту впливу на довкілля видобувної діяльності, що був застосований вперше для оцінки діяльності завдяки впровадженню Закону України «Про оцінку впливу на довкілля»</w:t>
      </w:r>
      <w:r w:rsidR="00983678" w:rsidRPr="00051B75">
        <w:rPr>
          <w:rFonts w:ascii="Times New Roman" w:eastAsia="Times New Roman" w:hAnsi="Times New Roman" w:cs="Times New Roman"/>
          <w:sz w:val="28"/>
          <w:szCs w:val="28"/>
        </w:rPr>
        <w:t xml:space="preserve">, та була приділена істотна увага до </w:t>
      </w:r>
      <w:r w:rsidR="00011EDF" w:rsidRPr="00051B75">
        <w:rPr>
          <w:rFonts w:ascii="Times New Roman" w:eastAsia="Times New Roman" w:hAnsi="Times New Roman" w:cs="Times New Roman"/>
          <w:sz w:val="28"/>
          <w:szCs w:val="28"/>
        </w:rPr>
        <w:t xml:space="preserve">біологічної складової екосистем району розташування родовища, захисту від держави та умов для належного відновлення біорізноманіття після закриття кар’єру не з’явилось. </w:t>
      </w:r>
    </w:p>
    <w:p w14:paraId="18037BC6" w14:textId="2DE711F2" w:rsidR="00011EDF" w:rsidRPr="00051B75" w:rsidRDefault="00011EDF"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 xml:space="preserve">Що стосується соціально-економічної ситуації та її трансформації після завершення видобувної діяльності, то дослідження в цій сфері не проводилось та </w:t>
      </w:r>
      <w:r w:rsidRPr="00051B75">
        <w:rPr>
          <w:rFonts w:ascii="Times New Roman" w:eastAsia="Times New Roman" w:hAnsi="Times New Roman" w:cs="Times New Roman"/>
          <w:sz w:val="28"/>
          <w:szCs w:val="28"/>
        </w:rPr>
        <w:lastRenderedPageBreak/>
        <w:t xml:space="preserve">належної комплексної оцінки впливу на довкілля зміни соціально-економічних та управлінських факторів не здійснювалось. </w:t>
      </w:r>
    </w:p>
    <w:p w14:paraId="14A829B6" w14:textId="7F8168E6" w:rsidR="00011EDF" w:rsidRPr="00072EDE" w:rsidRDefault="00011EDF" w:rsidP="00F215BB">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В магістерський роботі було здійснено прогноз цих факторів та їх моделювання для оцінки впливу на екологічні аспекти та розроблені додаткові заходи, що мають бути проведені під час та після завершення видобувної діяльності для належного закриття кар’єру.</w:t>
      </w:r>
      <w:r>
        <w:rPr>
          <w:rFonts w:ascii="Times New Roman" w:eastAsia="Times New Roman" w:hAnsi="Times New Roman" w:cs="Times New Roman"/>
          <w:sz w:val="28"/>
          <w:szCs w:val="28"/>
        </w:rPr>
        <w:t xml:space="preserve"> </w:t>
      </w:r>
    </w:p>
    <w:p w14:paraId="280203EF" w14:textId="1BB5F29E" w:rsidR="003704E9" w:rsidRPr="00D103D5" w:rsidRDefault="003704E9" w:rsidP="00D103D5">
      <w:pPr>
        <w:spacing w:after="0" w:line="360" w:lineRule="auto"/>
        <w:ind w:firstLine="567"/>
        <w:jc w:val="both"/>
        <w:rPr>
          <w:rFonts w:ascii="Times New Roman" w:hAnsi="Times New Roman" w:cs="Times New Roman"/>
          <w:sz w:val="28"/>
          <w:szCs w:val="28"/>
        </w:rPr>
      </w:pPr>
      <w:r w:rsidRPr="00D103D5">
        <w:rPr>
          <w:rFonts w:ascii="Times New Roman" w:hAnsi="Times New Roman" w:cs="Times New Roman"/>
          <w:sz w:val="28"/>
          <w:szCs w:val="28"/>
        </w:rPr>
        <w:br w:type="page"/>
      </w:r>
    </w:p>
    <w:p w14:paraId="2E295896" w14:textId="77777777" w:rsidR="00CF2812" w:rsidRPr="00D6276F" w:rsidRDefault="00CF2812" w:rsidP="008E765D">
      <w:pPr>
        <w:spacing w:after="0"/>
        <w:rPr>
          <w:rFonts w:ascii="Times New Roman" w:eastAsia="Times New Roman" w:hAnsi="Times New Roman" w:cs="Times New Roman"/>
          <w:b/>
          <w:sz w:val="28"/>
          <w:szCs w:val="28"/>
        </w:rPr>
      </w:pPr>
    </w:p>
    <w:p w14:paraId="705D9D8C" w14:textId="77777777" w:rsidR="00CF2812" w:rsidRPr="00D6276F" w:rsidRDefault="00CF2812" w:rsidP="008E765D">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13" w:name="_Toc155658263"/>
      <w:r w:rsidRPr="00D6276F">
        <w:rPr>
          <w:rFonts w:ascii="Times New Roman" w:eastAsia="Times New Roman" w:hAnsi="Times New Roman" w:cs="Times New Roman"/>
          <w:sz w:val="28"/>
          <w:szCs w:val="28"/>
        </w:rPr>
        <w:t>РОЗДІЛ 3</w:t>
      </w:r>
      <w:bookmarkEnd w:id="13"/>
    </w:p>
    <w:p w14:paraId="5271E6C4" w14:textId="77777777" w:rsidR="00CF2812" w:rsidRPr="00D6276F" w:rsidRDefault="00CF2812" w:rsidP="008E765D">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14" w:name="_Toc155658264"/>
      <w:r w:rsidRPr="00D6276F">
        <w:rPr>
          <w:rFonts w:ascii="Times New Roman" w:eastAsia="Times New Roman" w:hAnsi="Times New Roman" w:cs="Times New Roman"/>
          <w:sz w:val="28"/>
          <w:szCs w:val="28"/>
        </w:rPr>
        <w:t>ЕКОЛОГІЧНІ АСПЕКТИ ЗАВЕРШЕННЯ КОРИСТУВАННЯ НАДРАМИ</w:t>
      </w:r>
      <w:bookmarkEnd w:id="14"/>
    </w:p>
    <w:p w14:paraId="28BDD230" w14:textId="77777777" w:rsidR="00B5077A" w:rsidRPr="00D6276F" w:rsidRDefault="00DD16FF"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15" w:name="_heading=h.nfjsqwgyktt6" w:colFirst="0" w:colLast="0"/>
      <w:bookmarkStart w:id="16" w:name="_Toc155658265"/>
      <w:bookmarkEnd w:id="15"/>
      <w:r w:rsidRPr="00D6276F">
        <w:rPr>
          <w:rFonts w:ascii="Times New Roman" w:eastAsia="Times New Roman" w:hAnsi="Times New Roman" w:cs="Times New Roman"/>
          <w:sz w:val="28"/>
          <w:szCs w:val="28"/>
        </w:rPr>
        <w:t>3.1. Стійкість та адаптація до змін клімату</w:t>
      </w:r>
      <w:bookmarkEnd w:id="16"/>
    </w:p>
    <w:p w14:paraId="153550C9"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Шахтні порожнечі, кар’єрні виїмки та відвали шахтних та розкривних порід, як правило, є постійними змінами рельєфу, і їх закриття вимагає проектних горизонтів, які простягаються на багато сотень років. Планування закриття має враховувати вплив зміни клімату на проект закриття. Клімат є важливим внеском у проектування закриття, і значні зміни глобального клімату прогнозуються на основі поточних кліматичних моделей. Зміна клімату також є предметом регулятивного та громадського занепокоєння. Питання про вплив зміни клімату щодо плану закриття та того, як він розглядається, слід очікувати в будь-якому процесі перегляду. Деякі країни на юридичному рівні мають чіткі нормативні вимоги щодо врахування зміни клімату в планах закриття кар’єрів.</w:t>
      </w:r>
    </w:p>
    <w:p w14:paraId="3968DE3A"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Зміна клімату може вплинути на багато аспектів конструкції закриття. Умови можуть стати вологішими, ніж це спостерігалося історично, або бути схильними до більш екстремальних природних умов [9].</w:t>
      </w:r>
    </w:p>
    <w:p w14:paraId="07221B2F"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Більш високі температури та посушливі умови також можуть вплинути на водний баланс.</w:t>
      </w:r>
    </w:p>
    <w:p w14:paraId="427991D2"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Нижче наведено кілька найпоширеніших проблем, які регулярно обговорюються:</w:t>
      </w:r>
    </w:p>
    <w:p w14:paraId="4CDC0486"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Зміни прогнозованих штормів: останній досвід показує, що зміни інтенсивності та частоти опадів впливатимуть на статистично прогнозовані штормові події. Тоді як опубліковані історичні записи, засновані на спостереженнях за попередній період, можуть свідчити про те, що певна величина події відповідає ймовірності настання 1 на 100 років, майбутня ймовірність може бути набагато вищою. Це може призвести до того, що для гідравлічних споруд і для боротьби з ерозією знадобляться набагато більш надійні конструкції.</w:t>
      </w:r>
    </w:p>
    <w:p w14:paraId="2FA65D5A"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Зміни водного балансу: більш сухі або вологі умови можуть вплинути на водний баланс, впливаючи на плани заходів із закриття, таких як поверхні та відновлення рослинності. Більш вологі умови можуть перевищити передбачені об’єми для зберігання й випуску вологи, що призведе до більшого проникнення. Крім того, більш сухі умови можуть ускладнити збереження водного балансу або насиченість ґрунтів вологою або зменшити доступність води для рослин.</w:t>
      </w:r>
    </w:p>
    <w:p w14:paraId="1C5802EA" w14:textId="77777777" w:rsidR="00B5077A" w:rsidRPr="00D6276F" w:rsidRDefault="00DD16FF" w:rsidP="00673F53">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Більш сухі умови також можуть принести користь, оскільки зменшаться обсяги води для очистки.</w:t>
      </w:r>
    </w:p>
    <w:p w14:paraId="77748DD7"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Базові умови стоку: більш сухі умови можуть призвести до зменшення базового потоку в струмках або інших водоймах, що призводить до меншої асиміляційної здатності.</w:t>
      </w:r>
    </w:p>
    <w:p w14:paraId="4D727235"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Пожежі: збільшення частоти або інтенсивності лісових або лукових пожеж може негативно вплинути на зусилля з відновлення або призвести до перебоїв у доступі до об’єкта.</w:t>
      </w:r>
    </w:p>
    <w:p w14:paraId="3A9433E5" w14:textId="77777777" w:rsidR="00B5077A" w:rsidRPr="00D6276F" w:rsidRDefault="00DD16FF" w:rsidP="00676BE2">
      <w:pPr>
        <w:spacing w:after="0" w:line="360" w:lineRule="auto"/>
        <w:ind w:left="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Зміни вічної мерзлоти: багато північних місць покладаються на умови вічної мерзлоти або для забезпечення фізичної стабільності, або для ізоляції відходів. Збільшення або зменшення активного шару вічної мерзлоти може негативно вплинути на стабільність.</w:t>
      </w:r>
    </w:p>
    <w:p w14:paraId="6297AD75" w14:textId="77777777" w:rsidR="00B5077A" w:rsidRPr="00D6276F" w:rsidRDefault="00DD16FF" w:rsidP="008E765D">
      <w:pPr>
        <w:spacing w:after="0" w:line="360" w:lineRule="auto"/>
        <w:ind w:firstLine="567"/>
        <w:jc w:val="both"/>
        <w:rPr>
          <w:rFonts w:ascii="Times New Roman" w:eastAsia="Times New Roman" w:hAnsi="Times New Roman" w:cs="Times New Roman"/>
          <w:b/>
          <w:i/>
          <w:sz w:val="28"/>
          <w:szCs w:val="28"/>
        </w:rPr>
      </w:pPr>
      <w:r w:rsidRPr="00D6276F">
        <w:rPr>
          <w:rFonts w:ascii="Times New Roman" w:eastAsia="Times New Roman" w:hAnsi="Times New Roman" w:cs="Times New Roman"/>
          <w:b/>
          <w:i/>
          <w:sz w:val="28"/>
          <w:szCs w:val="28"/>
        </w:rPr>
        <w:t>Підходи до управління</w:t>
      </w:r>
    </w:p>
    <w:p w14:paraId="6FE65677" w14:textId="77777777" w:rsidR="00B5077A" w:rsidRPr="00D6276F" w:rsidRDefault="00DD16FF" w:rsidP="008E765D">
      <w:pPr>
        <w:spacing w:after="0" w:line="360" w:lineRule="auto"/>
        <w:ind w:firstLine="567"/>
        <w:jc w:val="both"/>
        <w:rPr>
          <w:rFonts w:ascii="Times New Roman" w:hAnsi="Times New Roman" w:cs="Times New Roman"/>
          <w:sz w:val="28"/>
          <w:szCs w:val="28"/>
        </w:rPr>
      </w:pPr>
      <w:r w:rsidRPr="00D6276F">
        <w:rPr>
          <w:rFonts w:ascii="Times New Roman" w:hAnsi="Times New Roman" w:cs="Times New Roman"/>
          <w:sz w:val="28"/>
          <w:szCs w:val="28"/>
        </w:rPr>
        <w:t>Деякі гірничодобувні компанії вирішують питання зміни клімату за допомогою системи ризиків і концептуального моделювання (наприклад, підземні води, транспортування розчинених речовин тощо). Імовірність зміни клімату та їх наслідки оцінюються разом з іншими факторами ризику, і відповідні заходи пом’якшення приймаються на основі рівня ризику. У більш загальному плані підходи до управління можуть розділити на адаптацію або реакцію на зміну клімату.</w:t>
      </w:r>
    </w:p>
    <w:p w14:paraId="729001D2"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b/>
          <w:sz w:val="28"/>
          <w:szCs w:val="28"/>
        </w:rPr>
        <w:t>Адаптація до зміни клімату:</w:t>
      </w:r>
      <w:r w:rsidRPr="00D6276F">
        <w:rPr>
          <w:rFonts w:ascii="Times New Roman" w:eastAsia="Times New Roman" w:hAnsi="Times New Roman" w:cs="Times New Roman"/>
          <w:sz w:val="28"/>
          <w:szCs w:val="28"/>
        </w:rPr>
        <w:t xml:space="preserve"> у цьому підході результати чисельних моделей використовуються для прогнозування майбутнього клімату на місці за різними сценаріями.</w:t>
      </w:r>
    </w:p>
    <w:p w14:paraId="19A2D964" w14:textId="75145EF0"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Fifth Assessment Report (AR5), викладений Intergovernmental Pa</w:t>
      </w:r>
      <w:r w:rsidR="00673F53" w:rsidRPr="00D6276F">
        <w:rPr>
          <w:rFonts w:ascii="Times New Roman" w:eastAsia="Times New Roman" w:hAnsi="Times New Roman" w:cs="Times New Roman"/>
          <w:sz w:val="28"/>
          <w:szCs w:val="28"/>
        </w:rPr>
        <w:t>nel on Climate Change (IPCC) [1</w:t>
      </w:r>
      <w:r w:rsidR="00676BE2" w:rsidRPr="00D6276F">
        <w:rPr>
          <w:rFonts w:ascii="Times New Roman" w:eastAsia="Times New Roman" w:hAnsi="Times New Roman" w:cs="Times New Roman"/>
          <w:sz w:val="28"/>
          <w:szCs w:val="28"/>
        </w:rPr>
        <w:t>8</w:t>
      </w:r>
      <w:r w:rsidRPr="00D6276F">
        <w:rPr>
          <w:rFonts w:ascii="Times New Roman" w:eastAsia="Times New Roman" w:hAnsi="Times New Roman" w:cs="Times New Roman"/>
          <w:sz w:val="28"/>
          <w:szCs w:val="28"/>
        </w:rPr>
        <w:t>], окреслює чотири можливі майбутні зміни клімату, які представляють різні рівні майбутніх викидів парникових газів. Використання вихідних даних доступних моделей для проектування майбутніх умов може зменшити ймовірність значної помилки в проектуванні. Однак вихідні дані доступних моделей можуть бути недостатньо деталізованими або можуть містити невизначеність, яка не охоплює всіх питань, які, можливо, необхідно розглянути, і існують обмеження щодо впевненості в передбаченні. Також наразі немає чітко прийнятого стандарту практики вибору зміни клімату у проекті закриття.</w:t>
      </w:r>
    </w:p>
    <w:p w14:paraId="177A8DCC"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b/>
          <w:sz w:val="28"/>
          <w:szCs w:val="28"/>
        </w:rPr>
        <w:t>Реакція на зміну клімату:</w:t>
      </w:r>
      <w:r w:rsidRPr="00D6276F">
        <w:rPr>
          <w:rFonts w:ascii="Times New Roman" w:eastAsia="Times New Roman" w:hAnsi="Times New Roman" w:cs="Times New Roman"/>
          <w:sz w:val="28"/>
          <w:szCs w:val="28"/>
        </w:rPr>
        <w:t xml:space="preserve"> у реактивному підході заходи щодо закриття розробляються на основі нашого поточного стану знання. Наприклад, водогосподарські споруди можуть бути спроектовані таким чином, щоб витримати повені, що відбуваються 1 раз на 1000 років, або ймовірну максимальну кількість опадів, оцінюється на основі даних, зібраних на сьогоднішній день. Якщо в майбутньому відбудуться суттєві зміни клімату, які скасують або змінять припущення щодо проєкту, проєкти можуть бути оновлені або оцінений ризик їх неоновлення. Якщо зміна клімату призводить до пошкодження конструкцій, вони будуть відремонтовані в рамках поточного технічного обслуговування.</w:t>
      </w:r>
    </w:p>
    <w:p w14:paraId="539E94FD"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Реактивний підхід вимагає наявності ресурсів для оцінки, ремонту та модифікації запірних конструкцій. Реактивний підхід, як правило, буде дешевшим у короткостроковій перспективі, оскільки, як правило, призведе до відтермінування капітальних витрат і зменшить ризик надмірного проектування на основі невизначених прогнозів. Це може, однак у довгостроковій перспективі вони будуть значно дорожчими, якщо майбутні зміни призведуть до відмови конструкції та значного ремонту/переробки. Такий підхід також призведе до більших майбутніх ризиків, у тому числі ризиків для репутації.</w:t>
      </w:r>
    </w:p>
    <w:p w14:paraId="05C68B80"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Хоча на практиці можна побачити обидва підходи, включення адаптації до зміни клімату в проектування та оцінку ризиків тепер є стандартною практикою. Це також </w:t>
      </w:r>
      <w:r w:rsidRPr="00D6276F">
        <w:rPr>
          <w:rFonts w:ascii="Times New Roman" w:eastAsia="Times New Roman" w:hAnsi="Times New Roman" w:cs="Times New Roman"/>
          <w:sz w:val="28"/>
          <w:szCs w:val="28"/>
        </w:rPr>
        <w:lastRenderedPageBreak/>
        <w:t>єдиний підхід, який можна вважати сумісним із сценаріями закриття без постійного управління ділянкою (відмова або «відхід»).</w:t>
      </w:r>
    </w:p>
    <w:p w14:paraId="2CE25BF5" w14:textId="77777777" w:rsidR="00B5077A" w:rsidRPr="00D6276F" w:rsidRDefault="00DD16FF" w:rsidP="008E765D">
      <w:pPr>
        <w:spacing w:after="0" w:line="360" w:lineRule="auto"/>
        <w:ind w:firstLine="567"/>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Існує кілька доступних ресурсів, які допоможуть розглянути питання зміни клімату. Зміну клімату можна розглядати як ризик і керувати нею в контексті системи оцінки ризиків.</w:t>
      </w:r>
    </w:p>
    <w:p w14:paraId="02EE9129"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Звіт ICMM за 2013 рік «Адаптація до мінливого клімату: наслідки для гірничодобувної та металургійної промисловості» надає огляд вирішення проблеми зміни клімату в гірничодобувній промисловості, зосереджуючись на заходах для підвищення стійкості та подолання наслідків зміни клімату.</w:t>
      </w:r>
    </w:p>
    <w:p w14:paraId="15438C7E" w14:textId="74EBA02B"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У 2016 році ICMM запустила інтерактивний/онлайн-інструмент оцінки гірничого клімату, який з тих пір оновлено, щоб дозволити членам ICMM легко отримати доступ до відповідних, порівнянних прогнозованих даних щодо клімату в майбутньому для будь-якої точки світу. Доступ до таких даних є важливим першим кроком у розробці та реалізації планів, які реагують на істотні кліматичні ризики, які можуть </w:t>
      </w:r>
      <w:r w:rsidR="00673F53" w:rsidRPr="00D6276F">
        <w:rPr>
          <w:rFonts w:ascii="Times New Roman" w:eastAsia="Times New Roman" w:hAnsi="Times New Roman" w:cs="Times New Roman"/>
          <w:sz w:val="28"/>
          <w:szCs w:val="28"/>
        </w:rPr>
        <w:t>вплинути на проект закриття. [1</w:t>
      </w:r>
      <w:r w:rsidR="00FD3F4C" w:rsidRPr="00D6276F">
        <w:rPr>
          <w:rFonts w:ascii="Times New Roman" w:eastAsia="Times New Roman" w:hAnsi="Times New Roman" w:cs="Times New Roman"/>
          <w:sz w:val="28"/>
          <w:szCs w:val="28"/>
        </w:rPr>
        <w:t>9</w:t>
      </w:r>
      <w:r w:rsidRPr="00D6276F">
        <w:rPr>
          <w:rFonts w:ascii="Times New Roman" w:eastAsia="Times New Roman" w:hAnsi="Times New Roman" w:cs="Times New Roman"/>
          <w:sz w:val="28"/>
          <w:szCs w:val="28"/>
        </w:rPr>
        <w:t>]</w:t>
      </w:r>
    </w:p>
    <w:p w14:paraId="5B7172E6"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w:t>
      </w:r>
    </w:p>
    <w:p w14:paraId="2A51CA15" w14:textId="77777777" w:rsidR="00B5077A" w:rsidRPr="00D6276F" w:rsidRDefault="00DD16FF"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17" w:name="_heading=h.143x10tiia0y" w:colFirst="0" w:colLast="0"/>
      <w:bookmarkStart w:id="18" w:name="_Toc155658266"/>
      <w:bookmarkEnd w:id="17"/>
      <w:r w:rsidRPr="00D6276F">
        <w:rPr>
          <w:rFonts w:ascii="Times New Roman" w:eastAsia="Times New Roman" w:hAnsi="Times New Roman" w:cs="Times New Roman"/>
          <w:sz w:val="28"/>
          <w:szCs w:val="28"/>
        </w:rPr>
        <w:t>3.2. Відновлення та планування ландшафту, поводження з відходами</w:t>
      </w:r>
      <w:bookmarkEnd w:id="18"/>
    </w:p>
    <w:p w14:paraId="1EC24A05" w14:textId="001E8C1B" w:rsidR="00B5077A" w:rsidRPr="00D6276F" w:rsidRDefault="00DD16FF" w:rsidP="000A6363">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Розуміння та планування землекористування після закриття є складним завданням. Можливе та бажане землекористування після закриття буде залежати від кількох факторів, зокрема:</w:t>
      </w:r>
      <w:r w:rsidR="00E13B98" w:rsidRPr="00D6276F">
        <w:rPr>
          <w:rFonts w:ascii="Times New Roman" w:eastAsia="Times New Roman" w:hAnsi="Times New Roman" w:cs="Times New Roman"/>
          <w:sz w:val="28"/>
          <w:szCs w:val="28"/>
        </w:rPr>
        <w:t xml:space="preserve"> </w:t>
      </w:r>
    </w:p>
    <w:p w14:paraId="1E9E52BF"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Розташування активів (віддалені місця проти місць поблизу населення).</w:t>
      </w:r>
    </w:p>
    <w:p w14:paraId="3AD93451"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Передвидобувне землекористування та історичне, поточне та майбутнє використання навколишніх земель.</w:t>
      </w:r>
    </w:p>
    <w:p w14:paraId="39B8D37B"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Постійні зміни ландшафту внаслідок гірничодобувної діяльності.</w:t>
      </w:r>
    </w:p>
    <w:p w14:paraId="0295D72D"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Можливості землі (визначає доцільне використання землі).</w:t>
      </w:r>
    </w:p>
    <w:p w14:paraId="496C8362"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Регуляторні зобов’язання (можуть встановлювати вимоги до використання землі після закриття).</w:t>
      </w:r>
    </w:p>
    <w:p w14:paraId="62F91C9F"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Соціально-економічний контекст, включаючи бажання громади та інших зовнішніх зацікавлених сторін; це включає контекст, який розвивається з часом – до видобутку, під час видобутку та після видобутку.</w:t>
      </w:r>
    </w:p>
    <w:p w14:paraId="09CBDE53"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Землеволодіння — у багатьох випадках гірничодобувна компанія орендує землю, і власник може диктувати майбутнє землекористування, якщо таке буде.</w:t>
      </w:r>
    </w:p>
    <w:p w14:paraId="6D1CD278"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Економічна доцільність.</w:t>
      </w:r>
    </w:p>
    <w:p w14:paraId="05C327E7"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Регіональні плани.</w:t>
      </w:r>
    </w:p>
    <w:p w14:paraId="2ADE8862" w14:textId="77777777"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Відмова (перехід права власності та відповідальності за землю до третьої особи) часто обговорюється в контексті землекористування після закриття.</w:t>
      </w:r>
    </w:p>
    <w:p w14:paraId="3622EBAC" w14:textId="4B5E58F7"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Тип землекористування після закриття, який може сприяти </w:t>
      </w:r>
      <w:r w:rsidR="00D14A41">
        <w:rPr>
          <w:rFonts w:ascii="Times New Roman" w:eastAsia="Times New Roman" w:hAnsi="Times New Roman" w:cs="Times New Roman"/>
          <w:sz w:val="28"/>
          <w:szCs w:val="28"/>
        </w:rPr>
        <w:t>відмові</w:t>
      </w:r>
      <w:r w:rsidRPr="00D6276F">
        <w:rPr>
          <w:rFonts w:ascii="Times New Roman" w:eastAsia="Times New Roman" w:hAnsi="Times New Roman" w:cs="Times New Roman"/>
          <w:sz w:val="28"/>
          <w:szCs w:val="28"/>
        </w:rPr>
        <w:t xml:space="preserve">, і сумісність варіантів землекористування з </w:t>
      </w:r>
      <w:r w:rsidR="00D14A41">
        <w:rPr>
          <w:rFonts w:ascii="Times New Roman" w:eastAsia="Times New Roman" w:hAnsi="Times New Roman" w:cs="Times New Roman"/>
          <w:sz w:val="28"/>
          <w:szCs w:val="28"/>
        </w:rPr>
        <w:t>відмовою</w:t>
      </w:r>
      <w:r w:rsidRPr="00D6276F">
        <w:rPr>
          <w:rFonts w:ascii="Times New Roman" w:eastAsia="Times New Roman" w:hAnsi="Times New Roman" w:cs="Times New Roman"/>
          <w:sz w:val="28"/>
          <w:szCs w:val="28"/>
        </w:rPr>
        <w:t xml:space="preserve"> слід враховувати протягом усього процесу планування.</w:t>
      </w:r>
    </w:p>
    <w:p w14:paraId="74B7F7AE" w14:textId="2C6B2698"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Власне розуміння подальшого після закриття кар’єру використання земель впливатиме не тільки на процес закриття, але і на процес видобутку в цілому: враховується розташування відвалів розкривних порід з метою формування запланованого</w:t>
      </w:r>
      <w:r w:rsidR="00E15126" w:rsidRPr="00D6276F">
        <w:rPr>
          <w:rFonts w:ascii="Times New Roman" w:eastAsia="Times New Roman" w:hAnsi="Times New Roman" w:cs="Times New Roman"/>
          <w:sz w:val="28"/>
          <w:szCs w:val="28"/>
        </w:rPr>
        <w:t xml:space="preserve"> рельєфу після закриття кар’єру. </w:t>
      </w:r>
    </w:p>
    <w:p w14:paraId="50A5B204" w14:textId="77777777"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Для планування рельєфу традиційно використовують нетоксичні відходи видобувної діяльності – розкривні та порожні породи.</w:t>
      </w:r>
    </w:p>
    <w:p w14:paraId="7FAB1B31" w14:textId="77777777"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Частіше за все у відпрацьованому кар’єрі будуть сформовано западини навіть після зворотної засипки виїмки вийнятою породою.</w:t>
      </w:r>
    </w:p>
    <w:p w14:paraId="623F1B8A" w14:textId="25B461DF"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Найбільші обсяги відходів утворюються в результаті видобутку або переробки корисних копалин і включають розкривні породи, гірські відходи та хвости. Ці потоки відходів можуть містити токсичні або шкідливі речовини, такі як небезпечні важкі метали та мінерали, як азбест і сурма, миш'як, кадмій, хром, мідь, свинець, марганець, ртуть і талій. Відходи гірничодобувної діяльності можуть забруднювати поверхневі води, ґрунтові води та морську воду, а також джерела харчування. Відходи також мають негативний вплив на здоров'я людини та види тварин і рослин. Використання землі для зберігання відходів разом із забрудненням ґрунту призводить до ерозії та втрати продуктивних земель, що може в подальшому мати вплив на засоби до </w:t>
      </w:r>
      <w:r w:rsidRPr="00D6276F">
        <w:rPr>
          <w:rFonts w:ascii="Times New Roman" w:eastAsia="Times New Roman" w:hAnsi="Times New Roman" w:cs="Times New Roman"/>
          <w:sz w:val="28"/>
          <w:szCs w:val="28"/>
        </w:rPr>
        <w:lastRenderedPageBreak/>
        <w:t>існування місцевих громад. Вплив на відходи від гірничодобувної діяльності може залежати від підходу організації до управління відходами, нормативних актів, застосування технологій і наявності потужностей для відновлення та утилізації поблизу родовищ.</w:t>
      </w:r>
    </w:p>
    <w:p w14:paraId="2A1056F9" w14:textId="77777777"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Закриття кар’єрів передбачає ліквідацію чи депонування всіх відходів, що можуть становити небезпеку для довкілля, та здійснення гірничо-технічної рекультивації за допомогою інертних відходів видобувної галузі.</w:t>
      </w:r>
    </w:p>
    <w:p w14:paraId="4FE56021" w14:textId="77777777" w:rsidR="00B5077A" w:rsidRPr="00D6276F" w:rsidRDefault="00DD16FF" w:rsidP="00E13B98">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w:t>
      </w:r>
    </w:p>
    <w:p w14:paraId="2DA5AB61" w14:textId="77777777" w:rsidR="00B5077A" w:rsidRPr="00D6276F" w:rsidRDefault="00DD16FF"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19" w:name="_heading=h.oklwlflt8vtd" w:colFirst="0" w:colLast="0"/>
      <w:bookmarkStart w:id="20" w:name="_Toc155658267"/>
      <w:bookmarkEnd w:id="19"/>
      <w:r w:rsidRPr="00D6276F">
        <w:rPr>
          <w:rFonts w:ascii="Times New Roman" w:eastAsia="Times New Roman" w:hAnsi="Times New Roman" w:cs="Times New Roman"/>
          <w:sz w:val="28"/>
          <w:szCs w:val="28"/>
        </w:rPr>
        <w:t>3.3. Управління водними ресурсами</w:t>
      </w:r>
      <w:bookmarkEnd w:id="20"/>
    </w:p>
    <w:p w14:paraId="47AC7677"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До того моменту, коли кар’єр досягає кінця свого продуктивного терміну експлуатації, базовий контекст до видобутку, ймовірно, буде суттєво змінений через фізичні зміни, що відбулись під час експлуатації. Ці зміни можуть включати такі дії, як відведення водотоків, перерозподіл води, скидання або відкачування підземних вод для технологічного використання та/або осушення гірничих ділянок. Порожнечі (такі як котловани) і відходи розкривних та пустих порід (такі як хвостосховища та відвали) можуть суттєво впливати як на схему потоку поверхневих і підземних вод, так і на їх якість як на ділянці видобутку, так і за її межами. Документально оформлена інформація повинна служити орієнтиром для розуміння змін протягом терміну експлуатації родовища для проектування робіт із закриття.</w:t>
      </w:r>
    </w:p>
    <w:p w14:paraId="3E497EFC"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Багато гірничодобувних компаній працюють над стратегіями зменшення впливу ризиків, пов’язаних з водою (доступність, споживання, залежність).</w:t>
      </w:r>
    </w:p>
    <w:p w14:paraId="24995587"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Управління водними ресурсами перейшло від внутрішньо зосередженого оперативного підходу до більш цілісного, який враховує ширші потреби навколишнього водозбірного басейну, його екосистему, залежні громади та інших користувачів. Таким чином, ці питання повинні становити невід’ємну частину комунікації із зацікавленими сторонами та планування заходів щодо закриття.</w:t>
      </w:r>
    </w:p>
    <w:p w14:paraId="2972D690"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Розробка та вибір заходів із закриття для управління водними ресурсами має забезпечувати інтегрований підхід для вирішення проблем, що стосуються всієї ділянки, збалансований рішеннями, які специфічні для окремих установок.</w:t>
      </w:r>
    </w:p>
    <w:p w14:paraId="359E26D5" w14:textId="77777777" w:rsidR="00B5077A" w:rsidRPr="00D6276F" w:rsidRDefault="00DD16FF" w:rsidP="00E15126">
      <w:pPr>
        <w:spacing w:after="0" w:line="360" w:lineRule="auto"/>
        <w:ind w:firstLine="720"/>
        <w:jc w:val="both"/>
        <w:rPr>
          <w:rFonts w:ascii="Times New Roman" w:eastAsia="Times New Roman" w:hAnsi="Times New Roman" w:cs="Times New Roman"/>
          <w:b/>
          <w:sz w:val="28"/>
          <w:szCs w:val="28"/>
        </w:rPr>
      </w:pPr>
      <w:r w:rsidRPr="00D6276F">
        <w:rPr>
          <w:rFonts w:ascii="Times New Roman" w:eastAsia="Times New Roman" w:hAnsi="Times New Roman" w:cs="Times New Roman"/>
          <w:b/>
          <w:sz w:val="28"/>
          <w:szCs w:val="28"/>
        </w:rPr>
        <w:lastRenderedPageBreak/>
        <w:t>Оцінка та управління водним балансом на території</w:t>
      </w:r>
    </w:p>
    <w:p w14:paraId="0F448F06"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Водний баланс для всієї ділянки зазвичай розробляється під час проектування розробки родовища, щоб забезпечити загальне розуміння руху води на ділянці під час експлуатації. Цей водний баланс є основним інструментом для проектування закриття.</w:t>
      </w:r>
    </w:p>
    <w:p w14:paraId="542FA442"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Для оцінки впливу різних варіантів закриття часто використовується водний баланс для всієї ділянки. Зазвичай він розробляється як модель. Моделі водного балансу на території всієї ділянки часто включають зв’язки з більш детальними моделями управління водними ресурсами, такими як гідрогеологічні моделі, моделі фільтрації та моделі маршруту вододілу. Геохімічні моделі також часто пов’язують з моделями водного балансу, щоб додати якість води у компонент водного балансу. Ці моделі, як правило, використовують багато припущень.</w:t>
      </w:r>
    </w:p>
    <w:p w14:paraId="42BD51F7"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Управління водними ресурсами зазвичай має фізичний компонент для управління рухом води, а також взаємопов’язаний хімічний компонент для управління якістю води.</w:t>
      </w:r>
    </w:p>
    <w:p w14:paraId="73FE5056"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Закриття діяльності з управління водними ресурсами, які безпосередньо пов’язані з фізичним рухом води, включають:</w:t>
      </w:r>
    </w:p>
    <w:p w14:paraId="7E5CEAC0" w14:textId="6D3F345E"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Будівництво інженерних споруд для спрямування потоку води над ділянкою або її відводу навколо майданчика, включаючи водозливні канали, схили, канави та інші споруди</w:t>
      </w:r>
      <w:r w:rsidR="00120842" w:rsidRPr="00D6276F">
        <w:rPr>
          <w:rFonts w:ascii="Times New Roman" w:eastAsia="Times New Roman" w:hAnsi="Times New Roman" w:cs="Times New Roman"/>
          <w:sz w:val="28"/>
          <w:szCs w:val="28"/>
        </w:rPr>
        <w:t>,</w:t>
      </w:r>
    </w:p>
    <w:p w14:paraId="4DA6BD2A" w14:textId="3859EF54"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Модернізацію експлуатаційних структур (наприклад, водовідведення, побудоване з урахуванням шторму 1 раз на 50 років, можливо, потребуватиме модернізації, щоб відповідати події 1 раз на 200 років)</w:t>
      </w:r>
      <w:r w:rsidR="00120842" w:rsidRPr="00D6276F">
        <w:rPr>
          <w:rFonts w:ascii="Times New Roman" w:eastAsia="Times New Roman" w:hAnsi="Times New Roman" w:cs="Times New Roman"/>
          <w:sz w:val="28"/>
          <w:szCs w:val="28"/>
        </w:rPr>
        <w:t>,</w:t>
      </w:r>
    </w:p>
    <w:p w14:paraId="10B3C003" w14:textId="0046D4AF"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Розвиток поверхневого дренажу елементи, які контролюють ерозію за допомогою форм, аналогічних природним дренажним елементам (з використанням принципів геоморфологічного дизайну)</w:t>
      </w:r>
      <w:r w:rsidR="00120842" w:rsidRPr="00D6276F">
        <w:rPr>
          <w:rFonts w:ascii="Times New Roman" w:eastAsia="Times New Roman" w:hAnsi="Times New Roman" w:cs="Times New Roman"/>
          <w:sz w:val="28"/>
          <w:szCs w:val="28"/>
        </w:rPr>
        <w:t>,</w:t>
      </w:r>
    </w:p>
    <w:p w14:paraId="5AD9FF11" w14:textId="6A169B0B"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Відновлення дренажних елементів, що були наявні до видобутку, таких як струмки та водотоки, видалення тимчасових водорегулюючих споруд (водопропускні труби, </w:t>
      </w:r>
      <w:r w:rsidRPr="00D6276F">
        <w:rPr>
          <w:rFonts w:ascii="Times New Roman" w:eastAsia="Times New Roman" w:hAnsi="Times New Roman" w:cs="Times New Roman"/>
          <w:sz w:val="28"/>
          <w:szCs w:val="28"/>
        </w:rPr>
        <w:lastRenderedPageBreak/>
        <w:t>придорожні канави та водовідвідні дамби), щоб відновити схеми водного потоку, що існував до видобутку</w:t>
      </w:r>
      <w:r w:rsidR="00120842" w:rsidRPr="00D6276F">
        <w:rPr>
          <w:rFonts w:ascii="Times New Roman" w:eastAsia="Times New Roman" w:hAnsi="Times New Roman" w:cs="Times New Roman"/>
          <w:sz w:val="28"/>
          <w:szCs w:val="28"/>
        </w:rPr>
        <w:t>,</w:t>
      </w:r>
    </w:p>
    <w:p w14:paraId="781B100E" w14:textId="6A76C954"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Потенційна взаємодія громади, наприклад передача права власності на колодязі з питною водою або оцінка впливу закінчення осушення на водопостачання</w:t>
      </w:r>
      <w:r w:rsidR="00120842" w:rsidRPr="00D6276F">
        <w:rPr>
          <w:rFonts w:ascii="Times New Roman" w:eastAsia="Times New Roman" w:hAnsi="Times New Roman" w:cs="Times New Roman"/>
          <w:sz w:val="28"/>
          <w:szCs w:val="28"/>
        </w:rPr>
        <w:t>,</w:t>
      </w:r>
    </w:p>
    <w:p w14:paraId="4143E3F8"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Зміни в інфраструктурі нижче за течією з моменту початку видобутку.</w:t>
      </w:r>
    </w:p>
    <w:p w14:paraId="648D76BC" w14:textId="77777777" w:rsidR="00B5077A" w:rsidRPr="00D6276F" w:rsidRDefault="00DD16FF" w:rsidP="00E15126">
      <w:pPr>
        <w:spacing w:after="0" w:line="360" w:lineRule="auto"/>
        <w:ind w:firstLine="720"/>
        <w:jc w:val="both"/>
        <w:rPr>
          <w:rFonts w:ascii="Times New Roman" w:eastAsia="Times New Roman" w:hAnsi="Times New Roman" w:cs="Times New Roman"/>
          <w:b/>
          <w:sz w:val="28"/>
          <w:szCs w:val="28"/>
        </w:rPr>
      </w:pPr>
      <w:r w:rsidRPr="00D6276F">
        <w:rPr>
          <w:rFonts w:ascii="Times New Roman" w:eastAsia="Times New Roman" w:hAnsi="Times New Roman" w:cs="Times New Roman"/>
          <w:b/>
          <w:sz w:val="28"/>
          <w:szCs w:val="28"/>
        </w:rPr>
        <w:t>Усунення впливу або потенційного впливу на якість води</w:t>
      </w:r>
    </w:p>
    <w:p w14:paraId="2210FBBE" w14:textId="0216C359"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Об’єкти для зберігання відходів видобутку або інші землі, які зазнали впливу, можуть вплинути на якість поверхневих і підземних вод, що мають низький рівень. Не всі впливи обов’язково є неприйнятними, тому частина оцінки відповідних заходів із закриття має включати як прогноз потенційних впливів, так і оцінку наслідків цих впливів. Модель «джерело-шлях-</w:t>
      </w:r>
      <w:r w:rsidR="00AA3642" w:rsidRPr="00D6276F">
        <w:rPr>
          <w:rFonts w:ascii="Times New Roman" w:eastAsia="Times New Roman" w:hAnsi="Times New Roman" w:cs="Times New Roman"/>
          <w:sz w:val="28"/>
          <w:szCs w:val="28"/>
        </w:rPr>
        <w:t>реципієнт</w:t>
      </w:r>
      <w:r w:rsidRPr="00D6276F">
        <w:rPr>
          <w:rFonts w:ascii="Times New Roman" w:eastAsia="Times New Roman" w:hAnsi="Times New Roman" w:cs="Times New Roman"/>
          <w:sz w:val="28"/>
          <w:szCs w:val="28"/>
        </w:rPr>
        <w:t>» може бути використана, щоб допомогти визначити потенційний вплив на якість води. Якщо вплив на якість води видається неприйнятним, модель може бути використана, щоб допомогти визначити підходи до управління для порушення шляху (відведення, очищення).</w:t>
      </w:r>
    </w:p>
    <w:p w14:paraId="00965BA7" w14:textId="79814AD0"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Модель джерело–шлях–</w:t>
      </w:r>
      <w:r w:rsidR="00AA3642" w:rsidRPr="00D6276F">
        <w:rPr>
          <w:rFonts w:ascii="Times New Roman" w:eastAsia="Times New Roman" w:hAnsi="Times New Roman" w:cs="Times New Roman"/>
          <w:sz w:val="28"/>
          <w:szCs w:val="28"/>
        </w:rPr>
        <w:t>реципієнт</w:t>
      </w:r>
    </w:p>
    <w:p w14:paraId="2346CEEA"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«Джерело»: визначити потенційні джерела забруднюючих речовин у воді, включаючи: кислі відходи шахт, ґрунти забруднені металами, розлив палива, технологічні хімікати та ін., визначити вплив контакту з відходами розробки родовища на кількість  і якість води.</w:t>
      </w:r>
    </w:p>
    <w:p w14:paraId="6E7CB827"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«Шлях»: визначити шляхи між джерелом і потенційними рецепторами. Це можуть бути поверхневі води, підземні води або їх поєднання.</w:t>
      </w:r>
    </w:p>
    <w:p w14:paraId="41B1B102"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«Реципієнт»: визначити потенційні реципієнти: населення, екосистеми, оцінити потенційний вплив прогнозованих концентрацій на реципієнтів.</w:t>
      </w:r>
    </w:p>
    <w:p w14:paraId="58E06D1F"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Існує багато потенційних забруднювачів:</w:t>
      </w:r>
    </w:p>
    <w:p w14:paraId="34C71E78"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Поживні речовини: використання стандартних вибухових речовин може залишити порожню породу із залишками азоту, що може вплинути на якість поверхневих вод. Їх може бути важко кількісно оцінити без даних про здійснення видобувної діяльності.</w:t>
      </w:r>
    </w:p>
    <w:p w14:paraId="55E8C420"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Вилуговування неметалів: існує безліч неметалів, які можуть негативно впливати на якість води. Селен, ціанід і сульфати – це приклади неметалів, які можна зустріти у відходах гірничодобувної промисловості і, можливо, потребують вирішення під час управління водними ресурсами.</w:t>
      </w:r>
    </w:p>
    <w:p w14:paraId="5DB8D3FE"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Солі: підвищені концентрації солей у воді із забрудненням прісної води солоною водою можуть бути серйозною проблемою управління водними ресурсами. Деякі роботи з глибокого видобутку корисних копалин можуть вивести на поверхню солоні підземні води, і за цією водою може знадобитися контроль як під час роботи, так і під час закриття.</w:t>
      </w:r>
    </w:p>
    <w:p w14:paraId="16A9A559"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Вуглеводні: видобуток копалин може призвести до виникнення зон забруднення вуглеводнями, що може вплинути на якість води.</w:t>
      </w:r>
    </w:p>
    <w:p w14:paraId="0538F44B"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Переважними стратегіями (у порядку типових переваг) для запобігання проблемам забруднення вод є:</w:t>
      </w:r>
    </w:p>
    <w:p w14:paraId="7500941F"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1. Обмеження впливу кисню на матеріал, що може окислюватись, щоб обмежити швидкість утворення кислоти. Це можна зробити шляхом занурення у воду (підводна утилізація) або влаштування покриття, яке обмежує потік кисню та міграцію води через систему.</w:t>
      </w:r>
    </w:p>
    <w:p w14:paraId="323F4FEA"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2. Запобігання утворенню токсичних сполук, уникаючи контакту між реактивними матеріалами та водою.</w:t>
      </w:r>
    </w:p>
    <w:p w14:paraId="41E99827"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3. Запобігання транспортуванню від джерела забруднюючих речовин до чутливих реципієнтів.</w:t>
      </w:r>
    </w:p>
    <w:p w14:paraId="397EE955"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4. Нейтралізація кислих порід нейтральними або лужними матеріалами.</w:t>
      </w:r>
    </w:p>
    <w:p w14:paraId="54CA4190"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5. Очистка води:</w:t>
      </w:r>
    </w:p>
    <w:p w14:paraId="6E42096D"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системи активного очищення включають механізовані системи та різноманітні процеси для очищення шахтної води, включаючи аерацію, нейтралізацію, осадження вмісту металу, видалення металів, хімічне осадження, мембранні процеси, іонообмін та біологічне видалення сульфатів. Вони, як правило, вимагають постійних витрат енергії, витратних матеріалів і персоналу для щоденної експлуатації та обслуговування, включаючи управління мулом або розсолами.</w:t>
      </w:r>
    </w:p>
    <w:p w14:paraId="76708BD0"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пасивні системи включають різні системи очищення, які використовують природні процеси для видалення забруднюючих речовин, що викликають занепокоєння, і працюють без живлення чи хімічних джерел (хоча їм може знадобитися періодичне поповнення відпрацьованого середовища). Анаеробні відновлювальні клітини, водно-болотні угіддя та реактивні канали є пасивними системами очищення.</w:t>
      </w:r>
    </w:p>
    <w:p w14:paraId="56B09615"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Активні, пасивні та гібридні системи повинні бути розроблені та оцінені фахівцями. Процес оцінки зазвичай включає перевірку технології, лабораторні дослідження та пілотні установки перед повномасштабним впровадженням. Ідентифікація кращої системи залежатиме від умов конкретного місця, таких як швидкість потоку, мінливість потоку, забруднювачі, що викликають занепокоєння, клімат, характеристики середовища приймання та доступність земельних ділянок. Пасивні системи зазвичай пропонують нижчі поточні вимоги до експлуатації та обслуговування, але з більшими вимогами до наявності земельних ділянок, меншим контролем процесу, більшою чутливістю до клімату та меншою гнучкістю щодо забруднень, які можна очищати. Системи пасивної очистки не є рішенням «відходу» і вимагатимуть періодичного оновлення та обслуговування.</w:t>
      </w:r>
    </w:p>
    <w:p w14:paraId="4F7A96A5"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 </w:t>
      </w:r>
    </w:p>
    <w:p w14:paraId="2CF20AD0" w14:textId="77777777" w:rsidR="00B5077A" w:rsidRPr="00D6276F" w:rsidRDefault="00DD16FF"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21" w:name="_heading=h.blruq959uhp8" w:colFirst="0" w:colLast="0"/>
      <w:bookmarkStart w:id="22" w:name="_Toc155658268"/>
      <w:bookmarkEnd w:id="21"/>
      <w:r w:rsidRPr="00D6276F">
        <w:rPr>
          <w:rFonts w:ascii="Times New Roman" w:eastAsia="Times New Roman" w:hAnsi="Times New Roman" w:cs="Times New Roman"/>
          <w:sz w:val="28"/>
          <w:szCs w:val="28"/>
        </w:rPr>
        <w:t>3.4. Відновлення біорізноманіття</w:t>
      </w:r>
      <w:bookmarkEnd w:id="22"/>
    </w:p>
    <w:p w14:paraId="5C95A35B"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Кінцевою стадією рекультивації порушених земель є біологічний етап рекультивації, або просто біологічна рекультивація, яка виконується після гірничотехнічної і включає заходи щодо відновлення родючості порушених земель (агротехнічні, фітомеліоративні та ін.), спрямовані на відтворення флори і фауни.</w:t>
      </w:r>
    </w:p>
    <w:p w14:paraId="73A8B312"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Біологічну рекультивацію здійснюють землекористувачі, яким передають землі після гірничотехнічної рекультивації за рахунок коштів підприємств, які проводили на землях гірничі роботи.</w:t>
      </w:r>
    </w:p>
    <w:p w14:paraId="29EAB1A7"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У процесі вибору напрямку рекультивації земель необхідно мати на увазі, що рекультивовані землі і території, що їх оточують – після закінчення робіт, мають являти собою оптимально сформовану та екологічно збалансовану ландшафтну ділянку.</w:t>
      </w:r>
    </w:p>
    <w:p w14:paraId="2BAE0DBD" w14:textId="62D78F5B" w:rsidR="00B5077A" w:rsidRPr="00051B75"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xml:space="preserve">Біологічна рекультивація спрямована на повернення місць видобутку корисних копалин до економічно продуктивного використання після експлуатації. Спочатку це зазвичай означало повернення кар’єрів до сільськогосподарського або лісогосподарського використання шляхом заповнення їх відходами та покриття їх родючим </w:t>
      </w:r>
      <w:r w:rsidR="00F803B2" w:rsidRPr="00D6276F">
        <w:rPr>
          <w:rFonts w:ascii="Times New Roman" w:eastAsia="Times New Roman" w:hAnsi="Times New Roman" w:cs="Times New Roman"/>
          <w:sz w:val="28"/>
          <w:szCs w:val="28"/>
        </w:rPr>
        <w:t>поверхневим</w:t>
      </w:r>
      <w:r w:rsidRPr="00D6276F">
        <w:rPr>
          <w:rFonts w:ascii="Times New Roman" w:eastAsia="Times New Roman" w:hAnsi="Times New Roman" w:cs="Times New Roman"/>
          <w:sz w:val="28"/>
          <w:szCs w:val="28"/>
        </w:rPr>
        <w:t xml:space="preserve"> шаром ґрунту. (Озера кар’єрів також можна використовувати для рекреаційних цілей, таких як риболовля, вітрильний спорт і спостереження за </w:t>
      </w:r>
      <w:r w:rsidRPr="00051B75">
        <w:rPr>
          <w:rFonts w:ascii="Times New Roman" w:eastAsia="Times New Roman" w:hAnsi="Times New Roman" w:cs="Times New Roman"/>
          <w:sz w:val="28"/>
          <w:szCs w:val="28"/>
        </w:rPr>
        <w:t>птахами, діяльність, яку можна поєднати зі збереженням біорізноманіття.)</w:t>
      </w:r>
    </w:p>
    <w:p w14:paraId="4F51DCBB" w14:textId="0BC0BBF3" w:rsidR="00B5077A" w:rsidRPr="00051B75" w:rsidRDefault="009F4E43" w:rsidP="00E15126">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b/>
          <w:sz w:val="28"/>
          <w:szCs w:val="28"/>
        </w:rPr>
        <w:t>Реабілітація</w:t>
      </w:r>
      <w:r w:rsidR="00DD16FF" w:rsidRPr="00051B75">
        <w:rPr>
          <w:rFonts w:ascii="Times New Roman" w:eastAsia="Times New Roman" w:hAnsi="Times New Roman" w:cs="Times New Roman"/>
          <w:sz w:val="28"/>
          <w:szCs w:val="28"/>
        </w:rPr>
        <w:t xml:space="preserve">, з іншого боку, означає повернення території до природного стану, наскільки це можливо. У центрі уваги цілі та дії з охорони природи. Загалом важливо залучати місцеве населення та осіб, які приймають рішення, до будь-якого проекту відновлення корисних копалин, включаючи рішення про </w:t>
      </w:r>
      <w:r w:rsidRPr="00051B75">
        <w:rPr>
          <w:rFonts w:ascii="Times New Roman" w:eastAsia="Times New Roman" w:hAnsi="Times New Roman" w:cs="Times New Roman"/>
          <w:sz w:val="28"/>
          <w:szCs w:val="28"/>
        </w:rPr>
        <w:t>реабілітацію</w:t>
      </w:r>
      <w:r w:rsidR="00DD16FF" w:rsidRPr="00051B75">
        <w:rPr>
          <w:rFonts w:ascii="Times New Roman" w:eastAsia="Times New Roman" w:hAnsi="Times New Roman" w:cs="Times New Roman"/>
          <w:sz w:val="28"/>
          <w:szCs w:val="28"/>
        </w:rPr>
        <w:t xml:space="preserve"> чи рекультивацію.</w:t>
      </w:r>
    </w:p>
    <w:p w14:paraId="128DE04E" w14:textId="77777777" w:rsidR="00B5077A" w:rsidRPr="00051B75" w:rsidRDefault="00DD16FF" w:rsidP="00E15126">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Створення основи для планів реабілітації та управління біорізноманіття може спільно використовувати базову інформацію, у тому числі:</w:t>
      </w:r>
    </w:p>
    <w:p w14:paraId="67E2D92A" w14:textId="68106E98" w:rsidR="00B5077A" w:rsidRPr="00D6276F" w:rsidRDefault="00DD16FF" w:rsidP="00F803B2">
      <w:pPr>
        <w:spacing w:after="0" w:line="360" w:lineRule="auto"/>
        <w:ind w:firstLine="567"/>
        <w:jc w:val="both"/>
        <w:rPr>
          <w:rFonts w:ascii="Times New Roman" w:hAnsi="Times New Roman" w:cs="Times New Roman"/>
          <w:sz w:val="28"/>
          <w:szCs w:val="28"/>
        </w:rPr>
      </w:pPr>
      <w:r w:rsidRPr="00051B75">
        <w:rPr>
          <w:rFonts w:ascii="Times New Roman" w:eastAsia="Times New Roman" w:hAnsi="Times New Roman" w:cs="Times New Roman"/>
          <w:sz w:val="28"/>
          <w:szCs w:val="28"/>
        </w:rPr>
        <w:t>Ідентифікація даних, що стосуються ділянки: перше джерело, з яког</w:t>
      </w:r>
      <w:r w:rsidRPr="00D6276F">
        <w:rPr>
          <w:rFonts w:ascii="Times New Roman" w:eastAsia="Times New Roman" w:hAnsi="Times New Roman" w:cs="Times New Roman"/>
          <w:sz w:val="28"/>
          <w:szCs w:val="28"/>
        </w:rPr>
        <w:t>о отримується відповідна інформація, – це оцінка впливу на навколишн</w:t>
      </w:r>
      <w:r w:rsidR="00F803B2" w:rsidRPr="00D6276F">
        <w:rPr>
          <w:rFonts w:ascii="Times New Roman" w:eastAsia="Times New Roman" w:hAnsi="Times New Roman" w:cs="Times New Roman"/>
          <w:sz w:val="28"/>
          <w:szCs w:val="28"/>
        </w:rPr>
        <w:t>є та соціальне середовище - ОВНС (оцінка впливу на навколишнє середовище) чи ОВД (оцінка впливу на довкілля). ОВНС</w:t>
      </w:r>
      <w:r w:rsidRPr="00D6276F">
        <w:rPr>
          <w:rFonts w:ascii="Times New Roman" w:eastAsia="Times New Roman" w:hAnsi="Times New Roman" w:cs="Times New Roman"/>
          <w:sz w:val="28"/>
          <w:szCs w:val="28"/>
        </w:rPr>
        <w:t xml:space="preserve"> є суттєвим попередником будь-яких операцій і забезпечує, серед іншого, базову оцінку, а також очікуваний вплив на біорізноманіття. Ця інформація є основою та встановлює структуру для розробки </w:t>
      </w:r>
      <w:r w:rsidR="00F803B2" w:rsidRPr="00D6276F">
        <w:rPr>
          <w:rFonts w:ascii="Times New Roman" w:hAnsi="Times New Roman" w:cs="Times New Roman"/>
          <w:sz w:val="28"/>
          <w:szCs w:val="28"/>
        </w:rPr>
        <w:t xml:space="preserve">планів відновлення кар’єрів (Quarry Rehabilitation Plans - QRP) і Планів управління біорізноманіття (Biodiversity Management Plans - BMP) </w:t>
      </w:r>
      <w:r w:rsidRPr="00D6276F">
        <w:rPr>
          <w:rFonts w:ascii="Times New Roman" w:eastAsia="Times New Roman" w:hAnsi="Times New Roman" w:cs="Times New Roman"/>
          <w:sz w:val="28"/>
          <w:szCs w:val="28"/>
        </w:rPr>
        <w:t xml:space="preserve">та визначає ризики для біорізноманіття, стратегія управління якими повинна починатися із застосування ієрархії пом’якшення ризиків. Іншим додатковим інструментом є Інтегрований інструмент оцінки біорізноманіття (Integrated Biodiversity Assessment Tool - IBAT), який може стати корисною основою для фільтрації або проведення першого аналізу чутливості до біорізноманіття ділянки, хоча для проведення комплексної оцінки біорізноманіття ділянки потрібна додаткова інформація. Іншим інструментом </w:t>
      </w:r>
      <w:r w:rsidRPr="00D6276F">
        <w:rPr>
          <w:rFonts w:ascii="Times New Roman" w:eastAsia="Times New Roman" w:hAnsi="Times New Roman" w:cs="Times New Roman"/>
          <w:sz w:val="28"/>
          <w:szCs w:val="28"/>
        </w:rPr>
        <w:lastRenderedPageBreak/>
        <w:t>підтримки є Лабораторія біорізноманіття ООН, яка надає доступну просторову інформацію для прийняття обґрунтованих рішень щодо збереження біорізноманіття.</w:t>
      </w:r>
    </w:p>
    <w:p w14:paraId="04B20F61" w14:textId="77777777" w:rsidR="00B5077A" w:rsidRPr="00D6276F" w:rsidRDefault="00DD16FF" w:rsidP="00E15126">
      <w:pPr>
        <w:spacing w:after="0" w:line="360" w:lineRule="auto"/>
        <w:ind w:firstLine="720"/>
        <w:jc w:val="both"/>
        <w:rPr>
          <w:rFonts w:ascii="Times New Roman" w:eastAsia="Times New Roman" w:hAnsi="Times New Roman" w:cs="Times New Roman"/>
          <w:b/>
          <w:sz w:val="28"/>
          <w:szCs w:val="28"/>
        </w:rPr>
      </w:pPr>
      <w:r w:rsidRPr="00D6276F">
        <w:rPr>
          <w:rFonts w:ascii="Times New Roman" w:eastAsia="Times New Roman" w:hAnsi="Times New Roman" w:cs="Times New Roman"/>
          <w:b/>
          <w:sz w:val="28"/>
          <w:szCs w:val="28"/>
        </w:rPr>
        <w:t>Розробка та реалізація планів реабілітації та управління біорізноманіттям</w:t>
      </w:r>
    </w:p>
    <w:p w14:paraId="3E04BE07"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Після встановлення цілей план реабілітації може бути створений у відповідності з планом видобутку. План має проілюструвати, як буде виглядати ділянка на різних етапах розвитку ділянки, а також після закриття, і як компанія має намір відновити ділянку для досягнення узгоджених цілей, застосовуючи – де можливо, поступову реабілітацію протягом усього періоду життя кар'єру.</w:t>
      </w:r>
    </w:p>
    <w:p w14:paraId="56FAD873"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Структура для розробки та реалізації BMP: під час розробки BMP рекомендується працювати з партнерами-експертами, щоб допомогти визначити відповідні цілі та дії.</w:t>
      </w:r>
    </w:p>
    <w:p w14:paraId="704E9FAC"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Етапи розробки BMP підсумовуються таким чином:</w:t>
      </w:r>
    </w:p>
    <w:p w14:paraId="135078E8"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1: Дослідження існуючих фонових даних і контексту. Це може бути робочий процес або може знадобитися залучення консультанта для збирання інформації, що стосується місця розташування.</w:t>
      </w:r>
    </w:p>
    <w:p w14:paraId="113B13A8"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2: Польові дослідження (типи середовища існування, цільові види) для встановлення базової лінії біорізноманіття.</w:t>
      </w:r>
    </w:p>
    <w:p w14:paraId="226DD06D"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3: План залучення зацікавлених сторін.</w:t>
      </w:r>
    </w:p>
    <w:p w14:paraId="69E1A882"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4:</w:t>
      </w:r>
    </w:p>
    <w:p w14:paraId="110A64F0"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a.) Визначення пріоритетних видів і середовищ існування, екосистем на основі польових досліджень і консультацій із зацікавленими сторонами.</w:t>
      </w:r>
    </w:p>
    <w:p w14:paraId="56CEF944"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b.) Визначення цілей біорізноманіття та відповідних заходів.</w:t>
      </w:r>
    </w:p>
    <w:p w14:paraId="5D3D9ABD"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c.) Розробка програми моніторингу для оцінки прогресу та ефективності управління.</w:t>
      </w:r>
    </w:p>
    <w:p w14:paraId="1F663A3A"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Етап 5: Виготовлення BMP для ділянки. Немає стандартного шаблону для BMP, оскільки питання, які він має вирішити, пов’язані з місцем розташування, цінністю біорізноманіття на ділянці та характером діяльності компанії.</w:t>
      </w:r>
    </w:p>
    <w:p w14:paraId="2FD47653" w14:textId="2E528EF4"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 xml:space="preserve">План управління біорізноманіттям (Biodiversity Management Plan - BMP) – це інструмент управління ризиками, який охоплює весь термін експлуатації кар’єру і зосереджується на виявленні, оцінці та збереженні/збільшенні всіх відповідних </w:t>
      </w:r>
      <w:r w:rsidRPr="00D6276F">
        <w:rPr>
          <w:rFonts w:ascii="Times New Roman" w:eastAsia="Times New Roman" w:hAnsi="Times New Roman" w:cs="Times New Roman"/>
          <w:sz w:val="28"/>
          <w:szCs w:val="28"/>
        </w:rPr>
        <w:lastRenderedPageBreak/>
        <w:t>аспектів біорізноманіття, а також визначає пріоритетність цінностей біорізноманіття та інших форм землекористування, які не загрожують збереженню біорізноманіття. Враховуючи динамічний характер біорізноманіття, BMP слід розглядати як живий документ і періодично переглядати та оновлювати. BMP і План реабілітації кар’єру (Quarry Rehabilitation Plan - QRP) доповнюють один одного і повинні узгоджуватися один з одним, оскільки одні й ті самі компоненти біорізноманіття вимагатимуть належної уваги. Вимоги до BMP залежать від чутливості ділянки щодо біорізноманіття, тоді як найкраща практика полягає в тому, щоб мати QRP незалежно від цінності біорізноманіття на ділянці. Для деяких ділянок знадобиться стандартний план реабілітації, але для ділянок, багатих на біорізноманіття, знадобиться комплексний BMP [1</w:t>
      </w:r>
      <w:r w:rsidR="00F803B2" w:rsidRPr="00D6276F">
        <w:rPr>
          <w:rFonts w:ascii="Times New Roman" w:eastAsia="Times New Roman" w:hAnsi="Times New Roman" w:cs="Times New Roman"/>
          <w:sz w:val="28"/>
          <w:szCs w:val="28"/>
        </w:rPr>
        <w:t>2</w:t>
      </w:r>
      <w:r w:rsidRPr="00D6276F">
        <w:rPr>
          <w:rFonts w:ascii="Times New Roman" w:eastAsia="Times New Roman" w:hAnsi="Times New Roman" w:cs="Times New Roman"/>
          <w:sz w:val="28"/>
          <w:szCs w:val="28"/>
        </w:rPr>
        <w:t>].</w:t>
      </w:r>
    </w:p>
    <w:p w14:paraId="04CC0AEC" w14:textId="10BC16CE"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Оцінка біорізноманіття дає змогу видобувним компаніям вимірювати як позитивний, так і негативний вплив і таким чином просуватися до досягнення чистого нейтрального/без чистих втрат і навіть чистого позитивного впливу. Таким чином, на деяких ділянках можливо уникнути та зменшити негативний вплив і збільшити позитивний вплив на біорізноманіття, щоб принаймні не було чистих втрат або, в ідеалі, досягнуто загального чистого позитивного впливу. Документ WBCSD-CSI «Методологія оцінки чистого впливу біорізноманіття в цементному секторі, 2018» [1</w:t>
      </w:r>
      <w:r w:rsidR="00F803B2" w:rsidRPr="00D6276F">
        <w:rPr>
          <w:rFonts w:ascii="Times New Roman" w:eastAsia="Times New Roman" w:hAnsi="Times New Roman" w:cs="Times New Roman"/>
          <w:sz w:val="28"/>
          <w:szCs w:val="28"/>
        </w:rPr>
        <w:t>9</w:t>
      </w:r>
      <w:r w:rsidRPr="00D6276F">
        <w:rPr>
          <w:rFonts w:ascii="Times New Roman" w:eastAsia="Times New Roman" w:hAnsi="Times New Roman" w:cs="Times New Roman"/>
          <w:sz w:val="28"/>
          <w:szCs w:val="28"/>
        </w:rPr>
        <w:t>] пропонує компаніям методологію вимірювання впливів на біорізноманіття, як позитивних, так і негативних, у послідовний спосіб із використанням стандартизованого підходу, з метою розробки відповідних управлінських дій. Згідно з цією методологією, щоб оцінити чистий вплив кар’єру, необхідно визначити та порівняти значення біорізноманіття в певний момент часу (під час або після розробки кар’єру/експлуатації) з базовою лінією, яка має бути перед розробкою кар’єру/експлуатацією (стан перед початком будь-якої операції). В принципі, методологія базується на оцінці середовища існування, також використовуючи критерії, пов'язані з видами, і порівнює: • площу покриття; • важливість; та • якість/стан кожного середовища існування до та після (або під час) експлуатації кар’єру.</w:t>
      </w:r>
    </w:p>
    <w:p w14:paraId="22CBBF20" w14:textId="77777777" w:rsidR="00B5077A" w:rsidRPr="00D6276F" w:rsidRDefault="00DD16FF" w:rsidP="008E765D">
      <w:pPr>
        <w:spacing w:after="0" w:line="360" w:lineRule="auto"/>
        <w:ind w:firstLine="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lastRenderedPageBreak/>
        <w:t xml:space="preserve"> </w:t>
      </w:r>
    </w:p>
    <w:p w14:paraId="7D6FFBB9" w14:textId="77777777" w:rsidR="00B5077A" w:rsidRPr="00D6276F" w:rsidRDefault="00DD16FF"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23" w:name="_heading=h.p8id4e32ygzi" w:colFirst="0" w:colLast="0"/>
      <w:bookmarkStart w:id="24" w:name="_Toc155658269"/>
      <w:bookmarkEnd w:id="23"/>
      <w:r w:rsidRPr="00D6276F">
        <w:rPr>
          <w:rFonts w:ascii="Times New Roman" w:eastAsia="Times New Roman" w:hAnsi="Times New Roman" w:cs="Times New Roman"/>
          <w:sz w:val="28"/>
          <w:szCs w:val="28"/>
        </w:rPr>
        <w:t>3.5. Покращання якості атмосферного повітря</w:t>
      </w:r>
      <w:bookmarkEnd w:id="24"/>
    </w:p>
    <w:p w14:paraId="4C18E4E3" w14:textId="77777777" w:rsidR="00B5077A" w:rsidRPr="00D6276F"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Видобуток та первинна переробка корисних копалин супроводжується виділенням в атмосферне повітря значних обсягів забруднюючих речовин, що значно погіршують якість повітря в районі розташування видобувного підприємства.</w:t>
      </w:r>
    </w:p>
    <w:p w14:paraId="7211BBE4" w14:textId="45844CF3" w:rsidR="00B5077A" w:rsidRDefault="00DD16FF" w:rsidP="00E15126">
      <w:pPr>
        <w:spacing w:after="0" w:line="360" w:lineRule="auto"/>
        <w:ind w:firstLine="720"/>
        <w:jc w:val="both"/>
        <w:rPr>
          <w:rFonts w:ascii="Times New Roman" w:eastAsia="Times New Roman" w:hAnsi="Times New Roman" w:cs="Times New Roman"/>
          <w:sz w:val="28"/>
          <w:szCs w:val="28"/>
        </w:rPr>
      </w:pPr>
      <w:r w:rsidRPr="00D6276F">
        <w:rPr>
          <w:rFonts w:ascii="Times New Roman" w:eastAsia="Times New Roman" w:hAnsi="Times New Roman" w:cs="Times New Roman"/>
          <w:sz w:val="28"/>
          <w:szCs w:val="28"/>
        </w:rPr>
        <w:t>Утворення пилу, ймовірно, продовжуватиметься під час заходів із закриття, таких як знесення та реабілітація. Завершення закриття майже завжди призводить до різкого зменшення або усунення багатьох потенційних джерел впливу на якість повітря, таких як вибухові роботи, рух вантажівок і переробка. Проблеми щодо якості повітря після закриття зазвичай пов’язані з утворенням пилу з хвостосховищ або інших ділянок дрібнозернистих відкладень, якщо вони не були оброблені відповідно до найкращих практик. Оскільки технології контролю утворення пилу після закриття кар’єру надійні та ефективні, зазвичай можна продемонструвати покращення якості повітря швидко після завершення закриття та обмежити тривалість моніторингу якості повітря після закриття.</w:t>
      </w:r>
      <w:r w:rsidR="005C0DE0">
        <w:rPr>
          <w:rFonts w:ascii="Times New Roman" w:eastAsia="Times New Roman" w:hAnsi="Times New Roman" w:cs="Times New Roman"/>
          <w:sz w:val="28"/>
          <w:szCs w:val="28"/>
        </w:rPr>
        <w:t xml:space="preserve"> </w:t>
      </w:r>
    </w:p>
    <w:p w14:paraId="258DA1C8" w14:textId="629E78D0" w:rsidR="005C0DE0" w:rsidRPr="00D6276F" w:rsidRDefault="005C0DE0" w:rsidP="00E15126">
      <w:pPr>
        <w:spacing w:after="0" w:line="360" w:lineRule="auto"/>
        <w:ind w:firstLine="720"/>
        <w:jc w:val="both"/>
        <w:rPr>
          <w:rFonts w:ascii="Times New Roman" w:eastAsia="Times New Roman" w:hAnsi="Times New Roman" w:cs="Times New Roman"/>
          <w:sz w:val="28"/>
          <w:szCs w:val="28"/>
        </w:rPr>
      </w:pPr>
      <w:r w:rsidRPr="00051B75">
        <w:rPr>
          <w:rFonts w:ascii="Times New Roman" w:eastAsia="Times New Roman" w:hAnsi="Times New Roman" w:cs="Times New Roman"/>
          <w:sz w:val="28"/>
          <w:szCs w:val="28"/>
        </w:rPr>
        <w:t>Таким чином, якісне управління попередніми аспектами, а саме відновлення та планування ландшафтів, поводження з відходами, в т.ч. багатотоннажними, управлення водними ресурсами та здійснення заходів з реабілітації та відновлення біорізноманіття території відповідно до найкращих сучасних практик призведе до значного зниження негативного впливу на атмосферне повітря і буде відповідати природному рівню якості повітря регіону.</w:t>
      </w:r>
      <w:r>
        <w:rPr>
          <w:rFonts w:ascii="Times New Roman" w:eastAsia="Times New Roman" w:hAnsi="Times New Roman" w:cs="Times New Roman"/>
          <w:sz w:val="28"/>
          <w:szCs w:val="28"/>
        </w:rPr>
        <w:t xml:space="preserve"> </w:t>
      </w:r>
    </w:p>
    <w:p w14:paraId="2D621B75" w14:textId="77777777" w:rsidR="00B5077A" w:rsidRPr="00D6276F" w:rsidRDefault="00B5077A" w:rsidP="008E765D">
      <w:pPr>
        <w:spacing w:after="0" w:line="360" w:lineRule="auto"/>
        <w:ind w:firstLine="20"/>
        <w:jc w:val="both"/>
        <w:rPr>
          <w:rFonts w:ascii="Times New Roman" w:eastAsia="Times New Roman" w:hAnsi="Times New Roman" w:cs="Times New Roman"/>
          <w:sz w:val="28"/>
          <w:szCs w:val="28"/>
        </w:rPr>
      </w:pPr>
    </w:p>
    <w:p w14:paraId="27C41446" w14:textId="6388FCB9" w:rsidR="00B5077A" w:rsidRPr="00D6276F" w:rsidRDefault="00C84F10" w:rsidP="008E765D">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25" w:name="_heading=h.eijnnhsspid" w:colFirst="0" w:colLast="0"/>
      <w:bookmarkStart w:id="26" w:name="_Toc155658270"/>
      <w:bookmarkEnd w:id="25"/>
      <w:r w:rsidRPr="00D6276F">
        <w:rPr>
          <w:rFonts w:ascii="Times New Roman" w:eastAsia="Times New Roman" w:hAnsi="Times New Roman" w:cs="Times New Roman"/>
          <w:sz w:val="28"/>
          <w:szCs w:val="28"/>
        </w:rPr>
        <w:t>3</w:t>
      </w:r>
      <w:r w:rsidR="00DD16FF" w:rsidRPr="00D6276F">
        <w:rPr>
          <w:rFonts w:ascii="Times New Roman" w:eastAsia="Times New Roman" w:hAnsi="Times New Roman" w:cs="Times New Roman"/>
          <w:sz w:val="28"/>
          <w:szCs w:val="28"/>
        </w:rPr>
        <w:t>.</w:t>
      </w:r>
      <w:r w:rsidRPr="00D6276F">
        <w:rPr>
          <w:rFonts w:ascii="Times New Roman" w:eastAsia="Times New Roman" w:hAnsi="Times New Roman" w:cs="Times New Roman"/>
          <w:sz w:val="28"/>
          <w:szCs w:val="28"/>
        </w:rPr>
        <w:t>6</w:t>
      </w:r>
      <w:r w:rsidR="00DD16FF" w:rsidRPr="00D6276F">
        <w:rPr>
          <w:rFonts w:ascii="Times New Roman" w:eastAsia="Times New Roman" w:hAnsi="Times New Roman" w:cs="Times New Roman"/>
          <w:sz w:val="28"/>
          <w:szCs w:val="28"/>
        </w:rPr>
        <w:t>. Плани закриття Жовтокам’янського кар’єра</w:t>
      </w:r>
      <w:bookmarkEnd w:id="26"/>
    </w:p>
    <w:p w14:paraId="1701DD78" w14:textId="4BC0F3F9" w:rsidR="006D5DA4" w:rsidRPr="00D6276F" w:rsidRDefault="006D5DA4" w:rsidP="008E765D">
      <w:pPr>
        <w:spacing w:after="0" w:line="360" w:lineRule="auto"/>
        <w:ind w:firstLine="900"/>
        <w:jc w:val="both"/>
        <w:rPr>
          <w:rFonts w:ascii="Times New Roman" w:hAnsi="Times New Roman" w:cs="Times New Roman"/>
          <w:b/>
          <w:sz w:val="28"/>
          <w:szCs w:val="28"/>
        </w:rPr>
      </w:pPr>
      <w:r w:rsidRPr="00D6276F">
        <w:rPr>
          <w:rFonts w:ascii="Times New Roman" w:hAnsi="Times New Roman" w:cs="Times New Roman"/>
          <w:b/>
          <w:sz w:val="28"/>
          <w:szCs w:val="28"/>
        </w:rPr>
        <w:t>Сучасний стан плану закриття кар’єру</w:t>
      </w:r>
    </w:p>
    <w:p w14:paraId="445C7DA9" w14:textId="08E472EB" w:rsidR="006D5DA4" w:rsidRPr="00D6276F" w:rsidRDefault="006D5DA4" w:rsidP="008E765D">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Наразі, через обмежені вимоги до екологічних складових закриття кар’єру після видобутку, незважаючи на проведення процедури оцінки впливу на довкілля згідно діючого Закону України «Про оцінку впливу на довкілля» </w:t>
      </w:r>
      <w:r w:rsidR="00AE7DE5" w:rsidRPr="00D6276F">
        <w:rPr>
          <w:rFonts w:ascii="Times New Roman" w:hAnsi="Times New Roman" w:cs="Times New Roman"/>
          <w:sz w:val="28"/>
          <w:szCs w:val="28"/>
        </w:rPr>
        <w:t>[36]</w:t>
      </w:r>
      <w:r w:rsidR="00B42119" w:rsidRPr="00D6276F">
        <w:rPr>
          <w:rFonts w:ascii="Times New Roman" w:hAnsi="Times New Roman" w:cs="Times New Roman"/>
          <w:sz w:val="28"/>
          <w:szCs w:val="28"/>
        </w:rPr>
        <w:t xml:space="preserve">, плани закриття кар’єру визначають незначним переліком заходів. </w:t>
      </w:r>
    </w:p>
    <w:p w14:paraId="284A80D2" w14:textId="77777777" w:rsidR="00B5077A" w:rsidRPr="002A4A99" w:rsidRDefault="00DD16FF" w:rsidP="008E765D">
      <w:pPr>
        <w:spacing w:after="0" w:line="360" w:lineRule="auto"/>
        <w:ind w:firstLine="900"/>
        <w:jc w:val="both"/>
        <w:rPr>
          <w:rFonts w:ascii="Times New Roman" w:hAnsi="Times New Roman" w:cs="Times New Roman"/>
          <w:sz w:val="28"/>
          <w:szCs w:val="28"/>
        </w:rPr>
      </w:pPr>
      <w:r w:rsidRPr="002A4A99">
        <w:rPr>
          <w:rFonts w:ascii="Times New Roman" w:hAnsi="Times New Roman" w:cs="Times New Roman"/>
          <w:sz w:val="28"/>
          <w:szCs w:val="28"/>
        </w:rPr>
        <w:lastRenderedPageBreak/>
        <w:t>При відпрацюванні Жовтокам'янського  кар'єру передбачена технологія формування внутрішнього відвалу розкривних порід (розміщення порід розкриву у вироблений простір кар'єру) слідом за просуванням фронту розкривних та добувних робіт. При формуванні внутрішнього відвалу враховані вимоги подальшої  рекультивації поверхні відвалу. По суті, зняття розкривних порід та видобуток корисно копалини здійснюється одночасно з гірничотехнічною рекультивацією виробленого простору.</w:t>
      </w:r>
    </w:p>
    <w:p w14:paraId="4D3CC564" w14:textId="77777777" w:rsidR="00B5077A" w:rsidRPr="002A4A99" w:rsidRDefault="00DD16FF" w:rsidP="008E765D">
      <w:pPr>
        <w:spacing w:after="0" w:line="360" w:lineRule="auto"/>
        <w:ind w:firstLine="700"/>
        <w:jc w:val="both"/>
        <w:rPr>
          <w:rFonts w:ascii="Times New Roman" w:hAnsi="Times New Roman" w:cs="Times New Roman"/>
          <w:sz w:val="28"/>
          <w:szCs w:val="28"/>
        </w:rPr>
      </w:pPr>
      <w:r w:rsidRPr="002A4A99">
        <w:rPr>
          <w:rFonts w:ascii="Times New Roman" w:hAnsi="Times New Roman" w:cs="Times New Roman"/>
          <w:sz w:val="28"/>
          <w:szCs w:val="28"/>
        </w:rPr>
        <w:t>Метою проведення робіт з рекультивації Жовтокам’янського кар’єру є відновлення поверхні порушених гірничими роботами земель до похідного рівня, придатного для подальшого використання у господарській діяльності.</w:t>
      </w:r>
    </w:p>
    <w:p w14:paraId="2F6D63A6" w14:textId="77777777" w:rsidR="00B5077A" w:rsidRPr="002A4A99" w:rsidRDefault="00DD16FF" w:rsidP="008E765D">
      <w:pPr>
        <w:spacing w:after="0" w:line="360" w:lineRule="auto"/>
        <w:ind w:left="80" w:firstLine="640"/>
        <w:jc w:val="both"/>
        <w:rPr>
          <w:rFonts w:ascii="Times New Roman" w:hAnsi="Times New Roman" w:cs="Times New Roman"/>
          <w:sz w:val="28"/>
          <w:szCs w:val="28"/>
        </w:rPr>
      </w:pPr>
      <w:r w:rsidRPr="002A4A99">
        <w:rPr>
          <w:rFonts w:ascii="Times New Roman" w:hAnsi="Times New Roman" w:cs="Times New Roman"/>
          <w:sz w:val="28"/>
          <w:szCs w:val="28"/>
        </w:rPr>
        <w:t>Кінцевою задачею робіт з відновлення території відпрацьованих ділянок кар’єру є їх рекультивація у сільськогосподарському</w:t>
      </w:r>
      <w:r w:rsidRPr="002A4A99">
        <w:rPr>
          <w:rFonts w:ascii="Times New Roman" w:hAnsi="Times New Roman" w:cs="Times New Roman"/>
          <w:b/>
          <w:sz w:val="28"/>
          <w:szCs w:val="28"/>
        </w:rPr>
        <w:t xml:space="preserve"> </w:t>
      </w:r>
      <w:r w:rsidRPr="002A4A99">
        <w:rPr>
          <w:rFonts w:ascii="Times New Roman" w:hAnsi="Times New Roman" w:cs="Times New Roman"/>
          <w:sz w:val="28"/>
          <w:szCs w:val="28"/>
        </w:rPr>
        <w:t>та, частково,</w:t>
      </w:r>
      <w:r w:rsidRPr="002A4A99">
        <w:rPr>
          <w:rFonts w:ascii="Times New Roman" w:hAnsi="Times New Roman" w:cs="Times New Roman"/>
          <w:b/>
          <w:sz w:val="28"/>
          <w:szCs w:val="28"/>
        </w:rPr>
        <w:t xml:space="preserve"> </w:t>
      </w:r>
      <w:r w:rsidRPr="002A4A99">
        <w:rPr>
          <w:rFonts w:ascii="Times New Roman" w:hAnsi="Times New Roman" w:cs="Times New Roman"/>
          <w:sz w:val="28"/>
          <w:szCs w:val="28"/>
        </w:rPr>
        <w:t>у лісотехнічному напрямку з максимальним доведенням відміток відновлених земель до рівня відміток денної поверхні оточуючих територій. Відновлені території кар’єру в подальшому планується знімати з балансу орендованих земель Жовтокам’янського кар’єру та поступово передавати у землекористування місцевим органам (перш за все сільським господарствам).</w:t>
      </w:r>
    </w:p>
    <w:p w14:paraId="12949460" w14:textId="1450AF64" w:rsidR="00B5077A" w:rsidRPr="002A4A99" w:rsidRDefault="00E24B15" w:rsidP="008E765D">
      <w:pPr>
        <w:spacing w:after="0" w:line="360" w:lineRule="auto"/>
        <w:ind w:firstLine="700"/>
        <w:jc w:val="both"/>
        <w:rPr>
          <w:rFonts w:ascii="Times New Roman" w:hAnsi="Times New Roman" w:cs="Times New Roman"/>
          <w:sz w:val="28"/>
          <w:szCs w:val="28"/>
        </w:rPr>
      </w:pPr>
      <w:r w:rsidRPr="00D6276F">
        <w:rPr>
          <w:rFonts w:ascii="Times New Roman" w:hAnsi="Times New Roman" w:cs="Times New Roman"/>
          <w:sz w:val="28"/>
          <w:szCs w:val="28"/>
        </w:rPr>
        <w:t>За попередні 65</w:t>
      </w:r>
      <w:r w:rsidR="00DD16FF" w:rsidRPr="002A4A99">
        <w:rPr>
          <w:rFonts w:ascii="Times New Roman" w:hAnsi="Times New Roman" w:cs="Times New Roman"/>
          <w:sz w:val="28"/>
          <w:szCs w:val="28"/>
        </w:rPr>
        <w:t xml:space="preserve"> рок</w:t>
      </w:r>
      <w:r w:rsidRPr="00D6276F">
        <w:rPr>
          <w:rFonts w:ascii="Times New Roman" w:hAnsi="Times New Roman" w:cs="Times New Roman"/>
          <w:sz w:val="28"/>
          <w:szCs w:val="28"/>
        </w:rPr>
        <w:t>ів розробки кар’єру (1957 - 2022</w:t>
      </w:r>
      <w:r w:rsidR="00DD16FF" w:rsidRPr="002A4A99">
        <w:rPr>
          <w:rFonts w:ascii="Times New Roman" w:hAnsi="Times New Roman" w:cs="Times New Roman"/>
          <w:sz w:val="28"/>
          <w:szCs w:val="28"/>
        </w:rPr>
        <w:t>) відновлювальні роботи з рекультивації порушених земель проводились на вибіркових площах відпрацьованих у різні періоди майданчиках родовища та, переважно, у південно – східній частині вийомки на ділянці № 3. Технологія проведення цих робіт визначалась «Проектом рекультивации Желтокаменского месторождения известняков Криворожского цементного завода» (1974) та «Рабочим проектом биологич</w:t>
      </w:r>
      <w:hyperlink r:id="rId9" w:anchor="heading=h.2et92p0">
        <w:r w:rsidR="00DD16FF" w:rsidRPr="002A4A99">
          <w:rPr>
            <w:rFonts w:ascii="Times New Roman" w:hAnsi="Times New Roman" w:cs="Times New Roman"/>
            <w:sz w:val="28"/>
            <w:szCs w:val="28"/>
            <w:u w:val="single"/>
          </w:rPr>
          <w:t>е</w:t>
        </w:r>
      </w:hyperlink>
      <w:r w:rsidR="00DD16FF" w:rsidRPr="002A4A99">
        <w:rPr>
          <w:rFonts w:ascii="Times New Roman" w:hAnsi="Times New Roman" w:cs="Times New Roman"/>
          <w:sz w:val="28"/>
          <w:szCs w:val="28"/>
        </w:rPr>
        <w:t xml:space="preserve">ской рекультивации земель, нарушенных при разработке Желтокаменского месторождения известняков участка №3 Криворожского цементного завода в Апостоловском районе Днепропетровской области» (1982). За цими проектами гірничо–технічний етап рекультивації (безпосереднє заповнення порожнини відпрацьованих ділянок кар’єру) спочатку здійснювався за рахунок гірських розкривних порід, накопичених у зовнішніх відвалах, що були утворені в перші роки розробки кар’єру. Коли виїмка </w:t>
      </w:r>
      <w:r w:rsidR="00DD16FF" w:rsidRPr="002A4A99">
        <w:rPr>
          <w:rFonts w:ascii="Times New Roman" w:hAnsi="Times New Roman" w:cs="Times New Roman"/>
          <w:sz w:val="28"/>
          <w:szCs w:val="28"/>
        </w:rPr>
        <w:lastRenderedPageBreak/>
        <w:t xml:space="preserve">кар’єру зросла до кількох десятків гектарів, а зовнішні відвали були прибрані, гірничо–технічний етап рекультивації став реалізовуватися за технологією внутрішнього відвалоутворення із розкривних порід. Біологічна рекультивація включала проведення агро-меліоративних заходів з покращення родючості верхнього шару ґрунтів та передачу відновлених земель районним господарюючим суб’єктам переважно під рілля і, частково, під лісосмуги. </w:t>
      </w:r>
    </w:p>
    <w:p w14:paraId="690CDBC6" w14:textId="77777777" w:rsidR="00B5077A" w:rsidRPr="002A4A99" w:rsidRDefault="00DD16FF" w:rsidP="008E765D">
      <w:pPr>
        <w:spacing w:after="0" w:line="360" w:lineRule="auto"/>
        <w:ind w:firstLine="700"/>
        <w:jc w:val="both"/>
        <w:rPr>
          <w:rFonts w:ascii="Times New Roman" w:hAnsi="Times New Roman" w:cs="Times New Roman"/>
          <w:sz w:val="28"/>
          <w:szCs w:val="28"/>
        </w:rPr>
      </w:pPr>
      <w:r w:rsidRPr="002A4A99">
        <w:rPr>
          <w:rFonts w:ascii="Times New Roman" w:hAnsi="Times New Roman" w:cs="Times New Roman"/>
          <w:sz w:val="28"/>
          <w:szCs w:val="28"/>
        </w:rPr>
        <w:t>За новим проектом передбачається продовжити напрацьовану схему рекультивації відпрацьованих територій порожнини кар’єру, формуючи внутрішній відвал в продовж перших (приблизно 24 років) у північному напрямку у слід просування фронту основних добувних робіт, а з переходом на розробку площі 2 ділянки №3 кар’єру у південному напрямку - відповідно формуючи внутрішній відвал у південному напрямку.</w:t>
      </w:r>
    </w:p>
    <w:p w14:paraId="2D581DE9" w14:textId="77777777" w:rsidR="00B5077A" w:rsidRPr="002A4A99" w:rsidRDefault="00DD16FF" w:rsidP="008E765D">
      <w:pPr>
        <w:spacing w:after="0" w:line="360" w:lineRule="auto"/>
        <w:ind w:firstLine="900"/>
        <w:jc w:val="both"/>
        <w:rPr>
          <w:rFonts w:ascii="Times New Roman" w:hAnsi="Times New Roman" w:cs="Times New Roman"/>
          <w:sz w:val="28"/>
          <w:szCs w:val="28"/>
        </w:rPr>
      </w:pPr>
      <w:r w:rsidRPr="002A4A99">
        <w:rPr>
          <w:rFonts w:ascii="Times New Roman" w:hAnsi="Times New Roman" w:cs="Times New Roman"/>
          <w:sz w:val="28"/>
          <w:szCs w:val="28"/>
        </w:rPr>
        <w:t>В південно-західній відпрацьованої частини кар’єру (найстарішої ділянки розробки) сформовано виїмку (штучний яр), який не буде відновлений до рівня денної поверхні внаслідок видобутку корисних копалин.</w:t>
      </w:r>
    </w:p>
    <w:p w14:paraId="28804B76" w14:textId="77777777" w:rsidR="00B5077A" w:rsidRPr="002A4A99" w:rsidRDefault="00DD16FF" w:rsidP="008E765D">
      <w:pPr>
        <w:spacing w:after="0" w:line="360" w:lineRule="auto"/>
        <w:ind w:firstLine="900"/>
        <w:jc w:val="both"/>
        <w:rPr>
          <w:rFonts w:ascii="Times New Roman" w:hAnsi="Times New Roman" w:cs="Times New Roman"/>
          <w:sz w:val="28"/>
          <w:szCs w:val="28"/>
        </w:rPr>
      </w:pPr>
      <w:r w:rsidRPr="002A4A99">
        <w:rPr>
          <w:rFonts w:ascii="Times New Roman" w:hAnsi="Times New Roman" w:cs="Times New Roman"/>
          <w:sz w:val="28"/>
          <w:szCs w:val="28"/>
        </w:rPr>
        <w:t>Як вказувалося вище, з метою відновлення порушених гірничими роботами земель, проектом (в контурах підрахованих запасів) передбачається розміщення порід розкриву у вироблений простір кар'єру (формування внутрішнього відвалу розкривних порід) слідом за просуванням фронту робіт з наступною рекультивацією поверхні відвалу. Розміщенню підлягають: надмірна кількість червоно-бурих глин балансового обліку, вивітрені вапняки з глиною, суглинки та рослинно – родючий ґрунт.</w:t>
      </w:r>
    </w:p>
    <w:p w14:paraId="5CDBC336" w14:textId="77777777" w:rsidR="00B5077A" w:rsidRPr="00D6276F" w:rsidRDefault="00DD16FF" w:rsidP="008E765D">
      <w:pPr>
        <w:spacing w:after="0" w:line="360" w:lineRule="auto"/>
        <w:ind w:firstLine="900"/>
        <w:jc w:val="both"/>
        <w:rPr>
          <w:rFonts w:ascii="Times New Roman" w:hAnsi="Times New Roman" w:cs="Times New Roman"/>
          <w:sz w:val="28"/>
          <w:szCs w:val="28"/>
        </w:rPr>
      </w:pPr>
      <w:r w:rsidRPr="002A4A99">
        <w:rPr>
          <w:rFonts w:ascii="Times New Roman" w:hAnsi="Times New Roman" w:cs="Times New Roman"/>
          <w:sz w:val="28"/>
          <w:szCs w:val="28"/>
        </w:rPr>
        <w:t>Соціальний та економічний вплив закриття Жовтокам’янського кар’єру не оцінювався та, відповідно заходи пом’якшення наслідків не розроблялись.</w:t>
      </w:r>
    </w:p>
    <w:p w14:paraId="3F194A95" w14:textId="3AAFDA2C" w:rsidR="00B42119" w:rsidRPr="00D6276F" w:rsidRDefault="00B42119" w:rsidP="008E765D">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Однак, враховуючи сучасні підходи до аналізу екологічних аспектів закриття кар’єрів на принципах сталого розвитку можемо запропонувати певний перелік заходів, які можуть бути детально спроектовані та </w:t>
      </w:r>
      <w:r w:rsidR="002E3AD0" w:rsidRPr="00D6276F">
        <w:rPr>
          <w:rFonts w:ascii="Times New Roman" w:hAnsi="Times New Roman" w:cs="Times New Roman"/>
          <w:sz w:val="28"/>
          <w:szCs w:val="28"/>
        </w:rPr>
        <w:t xml:space="preserve">частково </w:t>
      </w:r>
      <w:r w:rsidR="00C72E35" w:rsidRPr="00D6276F">
        <w:rPr>
          <w:rFonts w:ascii="Times New Roman" w:hAnsi="Times New Roman" w:cs="Times New Roman"/>
          <w:sz w:val="28"/>
          <w:szCs w:val="28"/>
        </w:rPr>
        <w:t xml:space="preserve">реалізовані протягом періоду розробки кар’єру </w:t>
      </w:r>
      <w:r w:rsidR="002E3AD0" w:rsidRPr="00D6276F">
        <w:rPr>
          <w:rFonts w:ascii="Times New Roman" w:hAnsi="Times New Roman" w:cs="Times New Roman"/>
          <w:sz w:val="28"/>
          <w:szCs w:val="28"/>
        </w:rPr>
        <w:t xml:space="preserve">та завершенні після закінчення процесів видобутку корисних копалин. </w:t>
      </w:r>
    </w:p>
    <w:p w14:paraId="39FEDF6D" w14:textId="77777777" w:rsidR="002E3AD0" w:rsidRPr="00D6276F" w:rsidRDefault="002E3AD0" w:rsidP="002E3AD0">
      <w:pPr>
        <w:spacing w:after="0" w:line="360" w:lineRule="auto"/>
        <w:ind w:firstLine="900"/>
        <w:jc w:val="both"/>
        <w:rPr>
          <w:rFonts w:ascii="Times New Roman" w:hAnsi="Times New Roman" w:cs="Times New Roman"/>
          <w:b/>
          <w:i/>
          <w:sz w:val="28"/>
          <w:szCs w:val="28"/>
        </w:rPr>
      </w:pPr>
      <w:r w:rsidRPr="00D6276F">
        <w:rPr>
          <w:rFonts w:ascii="Times New Roman" w:hAnsi="Times New Roman" w:cs="Times New Roman"/>
          <w:b/>
          <w:i/>
          <w:sz w:val="28"/>
          <w:szCs w:val="28"/>
        </w:rPr>
        <w:lastRenderedPageBreak/>
        <w:t>Стійкість та адаптація до змін клімату</w:t>
      </w:r>
    </w:p>
    <w:p w14:paraId="03AB8B3C" w14:textId="5E1FE757" w:rsidR="00D87AC6" w:rsidRPr="00D6276F" w:rsidRDefault="008D3BAD" w:rsidP="00D87AC6">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На підставі даних післяпроектного моніторингу процедури оцінки впливу на довкілля [37] </w:t>
      </w:r>
      <w:r w:rsidR="00E5589F" w:rsidRPr="00D6276F">
        <w:rPr>
          <w:rFonts w:ascii="Times New Roman" w:hAnsi="Times New Roman" w:cs="Times New Roman"/>
          <w:sz w:val="28"/>
          <w:szCs w:val="28"/>
        </w:rPr>
        <w:t>ми спостерігаємо значну посушливість клімату, яка прогнозовано буде тільки підсилюватись з часом</w:t>
      </w:r>
      <w:r w:rsidR="00D87AC6" w:rsidRPr="00D6276F">
        <w:rPr>
          <w:rFonts w:ascii="Times New Roman" w:hAnsi="Times New Roman" w:cs="Times New Roman"/>
          <w:sz w:val="28"/>
          <w:szCs w:val="28"/>
        </w:rPr>
        <w:t xml:space="preserve">. </w:t>
      </w:r>
    </w:p>
    <w:p w14:paraId="2613F774" w14:textId="181353A9" w:rsidR="002E3AD0" w:rsidRPr="00D6276F" w:rsidRDefault="002E3AD0" w:rsidP="008E765D">
      <w:pPr>
        <w:spacing w:after="0" w:line="360" w:lineRule="auto"/>
        <w:ind w:firstLine="900"/>
        <w:jc w:val="both"/>
        <w:rPr>
          <w:rFonts w:ascii="Times New Roman" w:hAnsi="Times New Roman" w:cs="Times New Roman"/>
          <w:b/>
          <w:i/>
          <w:sz w:val="28"/>
          <w:szCs w:val="28"/>
        </w:rPr>
      </w:pPr>
      <w:r w:rsidRPr="00D6276F">
        <w:rPr>
          <w:rFonts w:ascii="Times New Roman" w:hAnsi="Times New Roman" w:cs="Times New Roman"/>
          <w:b/>
          <w:i/>
          <w:sz w:val="28"/>
          <w:szCs w:val="28"/>
        </w:rPr>
        <w:t>Відновлення та планування ландшафту, поводження з відходами</w:t>
      </w:r>
    </w:p>
    <w:p w14:paraId="1CDAFD8D" w14:textId="77777777" w:rsidR="00E5589F" w:rsidRPr="00D6276F" w:rsidRDefault="00E5589F" w:rsidP="00D87AC6">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Під час розробки проєкту рекультивації Жовтокам`янського кар’єру питанням відновлення рельєфу території та підготовка поверхні до наступного господарського використання під рілля та лісосмуги приділено значну увагу: визначені відмітки рельєфу, чітко прописане пошарове укладання порід при гірничотехнічній рекультивації, спроєктовані майбутні полезахисні лісосмуги та інші особливості. </w:t>
      </w:r>
    </w:p>
    <w:p w14:paraId="183DBBE7" w14:textId="77777777" w:rsidR="00E5589F" w:rsidRPr="00D6276F" w:rsidRDefault="00E5589F" w:rsidP="00D87AC6">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Крім того, визначені вимоги до окремого укладання та зберігання для перспектив можливої розробки надлишків червоно-бурих глин – сировини для виробництва керамічної цегли чи інших керамічних виробів. </w:t>
      </w:r>
    </w:p>
    <w:p w14:paraId="135E50CE" w14:textId="77777777" w:rsidR="00E5589F" w:rsidRPr="00D6276F" w:rsidRDefault="00E5589F" w:rsidP="00D87AC6">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Відповідно, вся система видобутку вапняку сформована з метою досягнення цих цілей подальшого використання земельної ділянки після закриття кар’єру, що дозволяє оптимізувати та розподілити витрати на рекультивацію на період отримання доходу від видобутку. </w:t>
      </w:r>
    </w:p>
    <w:p w14:paraId="661B00E7" w14:textId="02F0E435" w:rsidR="00D87AC6" w:rsidRPr="00D6276F" w:rsidRDefault="00D87AC6" w:rsidP="00D87AC6">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Однак, не встановлені вимоги до демонтажу об’єктів інфраструктури кар’єру, передачу на баланс громади об’єктів підтримки житлово-комунальної сфери (котельної та свердловини, що забезпечують опалення та технічне водопостачання багатоквартирних житлових будинків). </w:t>
      </w:r>
    </w:p>
    <w:p w14:paraId="367228E2" w14:textId="07330251" w:rsidR="002E3AD0" w:rsidRPr="00D6276F" w:rsidRDefault="002E3AD0" w:rsidP="008E765D">
      <w:pPr>
        <w:spacing w:after="0" w:line="360" w:lineRule="auto"/>
        <w:ind w:firstLine="900"/>
        <w:jc w:val="both"/>
        <w:rPr>
          <w:rFonts w:ascii="Times New Roman" w:hAnsi="Times New Roman" w:cs="Times New Roman"/>
          <w:b/>
          <w:i/>
          <w:sz w:val="28"/>
          <w:szCs w:val="28"/>
        </w:rPr>
      </w:pPr>
      <w:r w:rsidRPr="00D6276F">
        <w:rPr>
          <w:rFonts w:ascii="Times New Roman" w:hAnsi="Times New Roman" w:cs="Times New Roman"/>
          <w:b/>
          <w:i/>
          <w:sz w:val="28"/>
          <w:szCs w:val="28"/>
        </w:rPr>
        <w:t>Управління водними ресурсами</w:t>
      </w:r>
    </w:p>
    <w:p w14:paraId="3F8EC44A" w14:textId="350F773A" w:rsidR="002E3AD0" w:rsidRPr="00D6276F" w:rsidRDefault="00E5589F" w:rsidP="004057F1">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Впливу на поверхневі та підземні води уваги не достатньо, однак, як показали дослідження [</w:t>
      </w:r>
      <w:r w:rsidR="00D87AC6" w:rsidRPr="00D6276F">
        <w:rPr>
          <w:rFonts w:ascii="Times New Roman" w:hAnsi="Times New Roman" w:cs="Times New Roman"/>
          <w:sz w:val="28"/>
          <w:szCs w:val="28"/>
        </w:rPr>
        <w:t>37</w:t>
      </w:r>
      <w:r w:rsidRPr="00D6276F">
        <w:rPr>
          <w:rFonts w:ascii="Times New Roman" w:hAnsi="Times New Roman" w:cs="Times New Roman"/>
          <w:sz w:val="28"/>
          <w:szCs w:val="28"/>
        </w:rPr>
        <w:t xml:space="preserve">] погіршення якості підземних вод в результаті діяльності кар’єру не спостерігається через низький рівень залягання таких вод в районі розташування кар’єру, то погіршення якості і обводненості р. Жовтенька виявляється, хоча джерелом погіршення є не безпосередній вплив кар’єру, а сукупність різних факторів (зміни клімату, інтенсивне сільське господарство та змив мінеральних речовин з полів </w:t>
      </w:r>
      <w:r w:rsidRPr="00D6276F">
        <w:rPr>
          <w:rFonts w:ascii="Times New Roman" w:hAnsi="Times New Roman" w:cs="Times New Roman"/>
          <w:sz w:val="28"/>
          <w:szCs w:val="28"/>
        </w:rPr>
        <w:lastRenderedPageBreak/>
        <w:t xml:space="preserve">та ін.). Можна передбачити, що в майбутньому питання існування річки буде під великим питанням. </w:t>
      </w:r>
    </w:p>
    <w:p w14:paraId="7B4F35A0" w14:textId="77777777" w:rsidR="002E3AD0" w:rsidRPr="00D6276F" w:rsidRDefault="002E3AD0" w:rsidP="00677776">
      <w:pPr>
        <w:spacing w:after="0" w:line="360" w:lineRule="auto"/>
        <w:ind w:firstLine="900"/>
        <w:jc w:val="both"/>
        <w:rPr>
          <w:rFonts w:ascii="Times New Roman" w:hAnsi="Times New Roman" w:cs="Times New Roman"/>
          <w:b/>
          <w:i/>
          <w:sz w:val="28"/>
          <w:szCs w:val="28"/>
        </w:rPr>
      </w:pPr>
      <w:r w:rsidRPr="00D6276F">
        <w:rPr>
          <w:rFonts w:ascii="Times New Roman" w:hAnsi="Times New Roman" w:cs="Times New Roman"/>
          <w:b/>
          <w:i/>
          <w:sz w:val="28"/>
          <w:szCs w:val="28"/>
        </w:rPr>
        <w:t>Відновлення біорізноманіття</w:t>
      </w:r>
    </w:p>
    <w:p w14:paraId="5702E117" w14:textId="77777777" w:rsidR="00E5589F" w:rsidRPr="00D6276F" w:rsidRDefault="00E5589F" w:rsidP="00B55240">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Важливим компонентом довкілля є біорізноманіття флори і фауни та їх екосистемна цінність. Зрозуміло, що відкритий спосіб видобутку вапняку передбачає повне знищення базових екосистем на ділянці з усім наявним біорізноманіттям, в поєднанні з інтенсивним сільськогосподарським використанням території навколо родовища існує значний ризик втратити первинні екосистеми регіону взагалі. </w:t>
      </w:r>
    </w:p>
    <w:p w14:paraId="630D1031" w14:textId="10660661" w:rsidR="002E3AD0" w:rsidRPr="00D6276F" w:rsidRDefault="00E5589F" w:rsidP="004057F1">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 xml:space="preserve">Історично, досліджуваний кар’єр належав протягом близько 19 років міжнародній групі «Heidelberg Cement», в якій велику увагу приділяли умовам відновлення біорізноманіття кар’єрів. Частину відпрацьованого кар’єру в південно-західній частині родовища, що не можливо відновити до рівня денної поверхні і яка являє собою штучний яр, було перетворено на невеличкий осередок під відновлення біорізноманіття базової екосистеми, як методом природньої  сукцесії, так і зусиллями науковців та спеціалістів компанії. Як показав післяпроєктний моніторинг, біорізноманіття, що  відновлено на цій ділянці, в цілому відповідає рівню екосистем району, має декілька цінних видів флори і фауни та створює потенціал для організації резервату природи. </w:t>
      </w:r>
    </w:p>
    <w:p w14:paraId="28C933FC" w14:textId="59C0BA42" w:rsidR="002E3AD0" w:rsidRPr="00D6276F" w:rsidRDefault="002E3AD0" w:rsidP="008E765D">
      <w:pPr>
        <w:spacing w:after="0" w:line="360" w:lineRule="auto"/>
        <w:ind w:firstLine="900"/>
        <w:jc w:val="both"/>
        <w:rPr>
          <w:rFonts w:ascii="Times New Roman" w:hAnsi="Times New Roman" w:cs="Times New Roman"/>
          <w:b/>
          <w:i/>
          <w:sz w:val="28"/>
          <w:szCs w:val="28"/>
        </w:rPr>
      </w:pPr>
      <w:r w:rsidRPr="00D6276F">
        <w:rPr>
          <w:rFonts w:ascii="Times New Roman" w:hAnsi="Times New Roman" w:cs="Times New Roman"/>
          <w:b/>
          <w:i/>
          <w:sz w:val="28"/>
          <w:szCs w:val="28"/>
        </w:rPr>
        <w:t>Покращання якості атмосферного повітря</w:t>
      </w:r>
    </w:p>
    <w:p w14:paraId="60379282" w14:textId="370EDE98" w:rsidR="004057F1" w:rsidRPr="00D6276F" w:rsidRDefault="0005744B" w:rsidP="004057F1">
      <w:pPr>
        <w:spacing w:after="0" w:line="360" w:lineRule="auto"/>
        <w:ind w:firstLine="900"/>
        <w:jc w:val="both"/>
        <w:rPr>
          <w:rFonts w:ascii="Times New Roman" w:hAnsi="Times New Roman" w:cs="Times New Roman"/>
          <w:sz w:val="28"/>
          <w:szCs w:val="28"/>
        </w:rPr>
      </w:pPr>
      <w:r w:rsidRPr="00D6276F">
        <w:rPr>
          <w:rFonts w:ascii="Times New Roman" w:hAnsi="Times New Roman" w:cs="Times New Roman"/>
          <w:sz w:val="28"/>
          <w:szCs w:val="28"/>
        </w:rPr>
        <w:t>П</w:t>
      </w:r>
      <w:r w:rsidR="004057F1" w:rsidRPr="00D6276F">
        <w:rPr>
          <w:rFonts w:ascii="Times New Roman" w:hAnsi="Times New Roman" w:cs="Times New Roman"/>
          <w:sz w:val="28"/>
          <w:szCs w:val="28"/>
        </w:rPr>
        <w:t xml:space="preserve">ісля закриття кар’єру не прогнозований вплив на атмосферне повітря: чи зменшиться викиди забруднюючих речовин при заміні видобувної діяльності на сільськогосподарську. </w:t>
      </w:r>
      <w:r w:rsidRPr="00D6276F">
        <w:rPr>
          <w:rFonts w:ascii="Times New Roman" w:hAnsi="Times New Roman" w:cs="Times New Roman"/>
          <w:sz w:val="28"/>
          <w:szCs w:val="28"/>
        </w:rPr>
        <w:t xml:space="preserve">В будь-якому разі варто передбачити заходи щодо зниження забруднення повітря пиловими частинками. </w:t>
      </w:r>
    </w:p>
    <w:p w14:paraId="49DC23F0" w14:textId="77777777" w:rsidR="002E3AD0" w:rsidRPr="00D6276F" w:rsidRDefault="002E3AD0" w:rsidP="008E765D">
      <w:pPr>
        <w:spacing w:after="0" w:line="360" w:lineRule="auto"/>
        <w:ind w:firstLine="900"/>
        <w:jc w:val="both"/>
        <w:rPr>
          <w:rFonts w:ascii="Times New Roman" w:hAnsi="Times New Roman" w:cs="Times New Roman"/>
          <w:sz w:val="28"/>
          <w:szCs w:val="28"/>
        </w:rPr>
      </w:pPr>
    </w:p>
    <w:p w14:paraId="69835FC3" w14:textId="77777777" w:rsidR="00D87AC6" w:rsidRPr="00D6276F" w:rsidRDefault="00D87AC6" w:rsidP="00D87AC6">
      <w:pPr>
        <w:spacing w:after="0" w:line="360" w:lineRule="auto"/>
        <w:ind w:firstLine="900"/>
        <w:jc w:val="both"/>
        <w:rPr>
          <w:rFonts w:ascii="Times New Roman" w:hAnsi="Times New Roman" w:cs="Times New Roman"/>
          <w:b/>
          <w:sz w:val="28"/>
          <w:szCs w:val="28"/>
        </w:rPr>
      </w:pPr>
      <w:r w:rsidRPr="00D6276F">
        <w:rPr>
          <w:rFonts w:ascii="Times New Roman" w:hAnsi="Times New Roman" w:cs="Times New Roman"/>
          <w:b/>
          <w:sz w:val="28"/>
          <w:szCs w:val="28"/>
        </w:rPr>
        <w:t>Пропозиції по додатковим заходам для закриття Жовтокам’янського кар’єру</w:t>
      </w:r>
    </w:p>
    <w:p w14:paraId="27955243" w14:textId="18632DE2" w:rsidR="00D87AC6" w:rsidRPr="00D6276F" w:rsidRDefault="00D87AC6" w:rsidP="00D87AC6">
      <w:pPr>
        <w:pStyle w:val="aa"/>
        <w:numPr>
          <w:ilvl w:val="0"/>
          <w:numId w:val="6"/>
        </w:numPr>
        <w:spacing w:after="0" w:line="360" w:lineRule="auto"/>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запобігання ерозії за рахунок максимального укріплення поверхонь рельєфу (площі та схилів) за допомогою виположування схилів, </w:t>
      </w:r>
      <w:r w:rsidRPr="00D6276F">
        <w:rPr>
          <w:rFonts w:ascii="Times New Roman" w:hAnsi="Times New Roman" w:cs="Times New Roman"/>
          <w:sz w:val="28"/>
          <w:szCs w:val="28"/>
          <w:lang w:val="uk-UA"/>
        </w:rPr>
        <w:lastRenderedPageBreak/>
        <w:t xml:space="preserve">укріплення схилів багатоярусною рослинністю, що стійка до посушливих умов та здатна сформувати щільну кореневу систему, </w:t>
      </w:r>
    </w:p>
    <w:p w14:paraId="2681AC88" w14:textId="1227225C" w:rsidR="00D87AC6" w:rsidRPr="00D6276F" w:rsidRDefault="00D87AC6" w:rsidP="00D87AC6">
      <w:pPr>
        <w:pStyle w:val="aa"/>
        <w:numPr>
          <w:ilvl w:val="0"/>
          <w:numId w:val="6"/>
        </w:numPr>
        <w:spacing w:after="0" w:line="360" w:lineRule="auto"/>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сформувати водоохоронну зону </w:t>
      </w:r>
      <w:r w:rsidR="0091205F" w:rsidRPr="00D6276F">
        <w:rPr>
          <w:rFonts w:ascii="Times New Roman" w:hAnsi="Times New Roman" w:cs="Times New Roman"/>
          <w:sz w:val="28"/>
          <w:szCs w:val="28"/>
          <w:lang w:val="uk-UA"/>
        </w:rPr>
        <w:t>для р.</w:t>
      </w:r>
      <w:r w:rsidRPr="00D6276F">
        <w:rPr>
          <w:rFonts w:ascii="Times New Roman" w:hAnsi="Times New Roman" w:cs="Times New Roman"/>
          <w:sz w:val="28"/>
          <w:szCs w:val="28"/>
          <w:lang w:val="uk-UA"/>
        </w:rPr>
        <w:t xml:space="preserve"> Ж</w:t>
      </w:r>
      <w:r w:rsidR="0091205F" w:rsidRPr="00D6276F">
        <w:rPr>
          <w:rFonts w:ascii="Times New Roman" w:hAnsi="Times New Roman" w:cs="Times New Roman"/>
          <w:sz w:val="28"/>
          <w:szCs w:val="28"/>
          <w:lang w:val="uk-UA"/>
        </w:rPr>
        <w:t xml:space="preserve">овтенька з укріпленням берегів та пойми багатоярусною рослинністю з метою захисту водотоку від пилових частинок </w:t>
      </w:r>
      <w:r w:rsidR="00775FAF">
        <w:rPr>
          <w:rFonts w:ascii="Times New Roman" w:hAnsi="Times New Roman" w:cs="Times New Roman"/>
          <w:sz w:val="28"/>
          <w:szCs w:val="28"/>
          <w:lang w:val="uk-UA"/>
        </w:rPr>
        <w:t>при</w:t>
      </w:r>
      <w:r w:rsidR="0091205F" w:rsidRPr="00D6276F">
        <w:rPr>
          <w:rFonts w:ascii="Times New Roman" w:hAnsi="Times New Roman" w:cs="Times New Roman"/>
          <w:sz w:val="28"/>
          <w:szCs w:val="28"/>
          <w:lang w:val="uk-UA"/>
        </w:rPr>
        <w:t xml:space="preserve"> ерозії полів, забезпечення </w:t>
      </w:r>
      <w:r w:rsidR="00933090" w:rsidRPr="00D6276F">
        <w:rPr>
          <w:rFonts w:ascii="Times New Roman" w:hAnsi="Times New Roman" w:cs="Times New Roman"/>
          <w:sz w:val="28"/>
          <w:szCs w:val="28"/>
          <w:lang w:val="uk-UA"/>
        </w:rPr>
        <w:t xml:space="preserve">фільтрації поверхневого стоку в підземний, зменшення процесів випаровування, </w:t>
      </w:r>
    </w:p>
    <w:p w14:paraId="58DF9E07" w14:textId="77FCE6AD" w:rsidR="00933090" w:rsidRPr="00D6276F" w:rsidRDefault="00933090" w:rsidP="00D87AC6">
      <w:pPr>
        <w:pStyle w:val="aa"/>
        <w:numPr>
          <w:ilvl w:val="0"/>
          <w:numId w:val="6"/>
        </w:numPr>
        <w:spacing w:after="0" w:line="360" w:lineRule="auto"/>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передачі на баланс громади котельної та свердловини для забезпечення потреб громади та уникнення негативного впливу на довкілля за рахунок будівництва нових об’єктів для опалення та технічного водопостачання, </w:t>
      </w:r>
    </w:p>
    <w:p w14:paraId="2DC4F522" w14:textId="3A05C032" w:rsidR="00933090" w:rsidRPr="00D6276F" w:rsidRDefault="00933090" w:rsidP="00D87AC6">
      <w:pPr>
        <w:pStyle w:val="aa"/>
        <w:numPr>
          <w:ilvl w:val="0"/>
          <w:numId w:val="6"/>
        </w:numPr>
        <w:spacing w:after="0" w:line="360" w:lineRule="auto"/>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влаштування твердого покриття на дорогах місцевого значення та влаштування захисних смуг для цих доріг, </w:t>
      </w:r>
    </w:p>
    <w:p w14:paraId="1DF511CE" w14:textId="0914C32B" w:rsidR="00B55240" w:rsidRPr="00D6276F" w:rsidRDefault="00B55240" w:rsidP="0005744B">
      <w:pPr>
        <w:pStyle w:val="aa"/>
        <w:numPr>
          <w:ilvl w:val="0"/>
          <w:numId w:val="6"/>
        </w:numPr>
        <w:spacing w:after="0" w:line="360" w:lineRule="auto"/>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сформувати об’єкт особливої охорони природи на території штучного яру та передати його для захисту та наукового використання</w:t>
      </w:r>
      <w:r w:rsidR="0005744B" w:rsidRPr="00D6276F">
        <w:rPr>
          <w:rFonts w:ascii="Times New Roman" w:hAnsi="Times New Roman" w:cs="Times New Roman"/>
          <w:sz w:val="28"/>
          <w:szCs w:val="28"/>
          <w:lang w:val="uk-UA"/>
        </w:rPr>
        <w:t xml:space="preserve">. </w:t>
      </w:r>
    </w:p>
    <w:p w14:paraId="1850B898" w14:textId="42D53ACB" w:rsidR="001B6425" w:rsidRDefault="009936F4" w:rsidP="004645A9">
      <w:pPr>
        <w:spacing w:after="0" w:line="360" w:lineRule="auto"/>
        <w:ind w:firstLine="900"/>
        <w:jc w:val="both"/>
        <w:rPr>
          <w:rFonts w:ascii="Times New Roman" w:hAnsi="Times New Roman" w:cs="Times New Roman"/>
          <w:sz w:val="28"/>
          <w:szCs w:val="28"/>
        </w:rPr>
      </w:pPr>
      <w:r>
        <w:rPr>
          <w:rFonts w:ascii="Times New Roman" w:hAnsi="Times New Roman" w:cs="Times New Roman"/>
          <w:sz w:val="28"/>
          <w:szCs w:val="28"/>
        </w:rPr>
        <w:t xml:space="preserve">І ще варто зауважити, що планувати екологічні заходи при закритті кар’єру у відриві від планів щодо економічних та соціальних аспектів не ефективно, і навіть небезпечно. Даний висновок можна продемонструвати на прикладі планів закриття Жовтокам’янського кар’єру. </w:t>
      </w:r>
    </w:p>
    <w:p w14:paraId="242FCA78" w14:textId="368A37C4" w:rsidR="003D7944" w:rsidRDefault="009936F4" w:rsidP="004645A9">
      <w:pPr>
        <w:spacing w:after="0" w:line="360" w:lineRule="auto"/>
        <w:ind w:firstLine="900"/>
        <w:jc w:val="both"/>
        <w:rPr>
          <w:rFonts w:ascii="Times New Roman" w:hAnsi="Times New Roman" w:cs="Times New Roman"/>
          <w:sz w:val="28"/>
          <w:szCs w:val="28"/>
        </w:rPr>
      </w:pPr>
      <w:r>
        <w:rPr>
          <w:rFonts w:ascii="Times New Roman" w:hAnsi="Times New Roman" w:cs="Times New Roman"/>
          <w:sz w:val="28"/>
          <w:szCs w:val="28"/>
        </w:rPr>
        <w:t xml:space="preserve">Жителі громади с. Жовте працюють протягом останніх п’ятдесяти років в сільському господарстві та в кар’єрі, </w:t>
      </w:r>
      <w:r w:rsidR="003D7944">
        <w:rPr>
          <w:rFonts w:ascii="Times New Roman" w:hAnsi="Times New Roman" w:cs="Times New Roman"/>
          <w:sz w:val="28"/>
          <w:szCs w:val="28"/>
        </w:rPr>
        <w:t>видобувне підприємство</w:t>
      </w:r>
      <w:r>
        <w:rPr>
          <w:rFonts w:ascii="Times New Roman" w:hAnsi="Times New Roman" w:cs="Times New Roman"/>
          <w:sz w:val="28"/>
          <w:szCs w:val="28"/>
        </w:rPr>
        <w:t xml:space="preserve"> створює не тільки робочі місяця, а й здійснює централізоване </w:t>
      </w:r>
      <w:r w:rsidR="00F7517A">
        <w:rPr>
          <w:rFonts w:ascii="Times New Roman" w:hAnsi="Times New Roman" w:cs="Times New Roman"/>
          <w:sz w:val="28"/>
          <w:szCs w:val="28"/>
        </w:rPr>
        <w:t>водо- та теплопостачання</w:t>
      </w:r>
      <w:r w:rsidR="003D7944">
        <w:rPr>
          <w:rFonts w:ascii="Times New Roman" w:hAnsi="Times New Roman" w:cs="Times New Roman"/>
          <w:sz w:val="28"/>
          <w:szCs w:val="28"/>
        </w:rPr>
        <w:t xml:space="preserve"> села</w:t>
      </w:r>
      <w:r w:rsidR="00F7517A">
        <w:rPr>
          <w:rFonts w:ascii="Times New Roman" w:hAnsi="Times New Roman" w:cs="Times New Roman"/>
          <w:sz w:val="28"/>
          <w:szCs w:val="28"/>
        </w:rPr>
        <w:t>. При закритті кар’єру неможливо демонтувати котельну</w:t>
      </w:r>
      <w:r w:rsidR="003D7944">
        <w:rPr>
          <w:rFonts w:ascii="Times New Roman" w:hAnsi="Times New Roman" w:cs="Times New Roman"/>
          <w:sz w:val="28"/>
          <w:szCs w:val="28"/>
        </w:rPr>
        <w:t xml:space="preserve"> та затомпонувати свердловину, як того вимагає діюче законодавство та висновок з оцінки впливу на довкілля, оскільки це призведе до виникнення проблем в житлово-комунальному господарстві села та створить умови для міграції жителів у інші регіони, а кинуті без опалення будівлі стануть додатковим фактором впливу на довкілля (безпечний для довкілля демонтаж буде неможливий в умовах значного зниження надходжень до місцевого бюджету після припинення видобутку). Тому виникла пропозиція передачі котельної та свердловини на баланс громади. Однак, якщо питання  </w:t>
      </w:r>
      <w:r w:rsidR="008A7B62">
        <w:rPr>
          <w:rFonts w:ascii="Times New Roman" w:hAnsi="Times New Roman" w:cs="Times New Roman"/>
          <w:sz w:val="28"/>
          <w:szCs w:val="28"/>
        </w:rPr>
        <w:t xml:space="preserve">забезпечення робочими місцями жителів громади після закриття кар’єру не буде вирішено, то процес міграції </w:t>
      </w:r>
      <w:r w:rsidR="008A7B62">
        <w:rPr>
          <w:rFonts w:ascii="Times New Roman" w:hAnsi="Times New Roman" w:cs="Times New Roman"/>
          <w:sz w:val="28"/>
          <w:szCs w:val="28"/>
        </w:rPr>
        <w:lastRenderedPageBreak/>
        <w:t>жителів громади все одно відбудеться під впливом економічних факторів, тому</w:t>
      </w:r>
      <w:r w:rsidR="00F346F0">
        <w:rPr>
          <w:rFonts w:ascii="Times New Roman" w:hAnsi="Times New Roman" w:cs="Times New Roman"/>
          <w:sz w:val="28"/>
          <w:szCs w:val="28"/>
        </w:rPr>
        <w:t>,</w:t>
      </w:r>
      <w:r w:rsidR="008A7B62">
        <w:rPr>
          <w:rFonts w:ascii="Times New Roman" w:hAnsi="Times New Roman" w:cs="Times New Roman"/>
          <w:sz w:val="28"/>
          <w:szCs w:val="28"/>
        </w:rPr>
        <w:t xml:space="preserve"> скоріш за все, потреба в опаленні та водопостачанні не буде, а закинуті котельня та свердловина стануть джерелом додаткового негативного впливу на довкілля (будівля та конструкції котельної будуть поступово руйнуватись та можуть стати джерелом забруднюючих речовин, що потраплять в ґрунт та </w:t>
      </w:r>
      <w:r w:rsidR="00F346F0">
        <w:rPr>
          <w:rFonts w:ascii="Times New Roman" w:hAnsi="Times New Roman" w:cs="Times New Roman"/>
          <w:sz w:val="28"/>
          <w:szCs w:val="28"/>
        </w:rPr>
        <w:t xml:space="preserve">можуть </w:t>
      </w:r>
      <w:r w:rsidR="008A7B62">
        <w:rPr>
          <w:rFonts w:ascii="Times New Roman" w:hAnsi="Times New Roman" w:cs="Times New Roman"/>
          <w:sz w:val="28"/>
          <w:szCs w:val="28"/>
        </w:rPr>
        <w:t xml:space="preserve">мігрувати в підземні та поверхневі водні горизонти, в т. ч через конструкцію незатомпонованої свердловини, </w:t>
      </w:r>
      <w:r w:rsidR="00F346F0">
        <w:rPr>
          <w:rFonts w:ascii="Times New Roman" w:hAnsi="Times New Roman" w:cs="Times New Roman"/>
          <w:sz w:val="28"/>
          <w:szCs w:val="28"/>
        </w:rPr>
        <w:t>крім того, через конструкцію свердловини можливі міграції поверхневих забруднених вод в підземні горизонти з вмістом добрив та пестицидів, чи високомінералізованих вод з інших водоносних горизонтів у водоносний горизонт, що придатний для технічного водокористування). З</w:t>
      </w:r>
      <w:r w:rsidR="008A7B62">
        <w:rPr>
          <w:rFonts w:ascii="Times New Roman" w:hAnsi="Times New Roman" w:cs="Times New Roman"/>
          <w:sz w:val="28"/>
          <w:szCs w:val="28"/>
        </w:rPr>
        <w:t xml:space="preserve">абруднення підземного </w:t>
      </w:r>
      <w:r w:rsidR="00F346F0">
        <w:rPr>
          <w:rFonts w:ascii="Times New Roman" w:hAnsi="Times New Roman" w:cs="Times New Roman"/>
          <w:sz w:val="28"/>
          <w:szCs w:val="28"/>
        </w:rPr>
        <w:t xml:space="preserve">водоносного </w:t>
      </w:r>
      <w:r w:rsidR="008A7B62">
        <w:rPr>
          <w:rFonts w:ascii="Times New Roman" w:hAnsi="Times New Roman" w:cs="Times New Roman"/>
          <w:sz w:val="28"/>
          <w:szCs w:val="28"/>
        </w:rPr>
        <w:t xml:space="preserve">горизонту взагалі може поставити під сумнів доступність </w:t>
      </w:r>
      <w:r w:rsidR="00F346F0">
        <w:rPr>
          <w:rFonts w:ascii="Times New Roman" w:hAnsi="Times New Roman" w:cs="Times New Roman"/>
          <w:sz w:val="28"/>
          <w:szCs w:val="28"/>
        </w:rPr>
        <w:t xml:space="preserve">водопостачання в районі і призведе до складності не тільки в організації побуту, а й до проблем в сільському господарстві, оскільки підземна вода використовується для поливу в тому числі. </w:t>
      </w:r>
    </w:p>
    <w:p w14:paraId="3E56F17C" w14:textId="15186A23" w:rsidR="00F346F0" w:rsidRDefault="00F346F0" w:rsidP="004645A9">
      <w:pPr>
        <w:spacing w:after="0" w:line="360" w:lineRule="auto"/>
        <w:ind w:firstLine="900"/>
        <w:jc w:val="both"/>
        <w:rPr>
          <w:rFonts w:ascii="Times New Roman" w:hAnsi="Times New Roman" w:cs="Times New Roman"/>
          <w:sz w:val="28"/>
          <w:szCs w:val="28"/>
        </w:rPr>
      </w:pPr>
      <w:r>
        <w:rPr>
          <w:rFonts w:ascii="Times New Roman" w:hAnsi="Times New Roman" w:cs="Times New Roman"/>
          <w:sz w:val="28"/>
          <w:szCs w:val="28"/>
        </w:rPr>
        <w:t xml:space="preserve">Таким чином, неможливо прийняти правильне рішення щодо екологічних заходів під час закриття кар’єру без урахування збалансованої соціально-економічної стратегії громади в цілому. </w:t>
      </w:r>
    </w:p>
    <w:p w14:paraId="511F4927" w14:textId="77777777" w:rsidR="004645A9" w:rsidRPr="004645A9" w:rsidRDefault="004645A9" w:rsidP="004645A9">
      <w:pPr>
        <w:spacing w:after="0" w:line="360" w:lineRule="auto"/>
        <w:ind w:firstLine="900"/>
        <w:jc w:val="both"/>
        <w:rPr>
          <w:rFonts w:ascii="Times New Roman" w:hAnsi="Times New Roman" w:cs="Times New Roman"/>
          <w:sz w:val="28"/>
          <w:szCs w:val="28"/>
        </w:rPr>
      </w:pPr>
    </w:p>
    <w:p w14:paraId="0081C0DB" w14:textId="77777777" w:rsidR="001B6425" w:rsidRPr="00D6276F" w:rsidRDefault="001B6425" w:rsidP="008E765D">
      <w:pPr>
        <w:pStyle w:val="2"/>
        <w:spacing w:before="0" w:after="0" w:line="360" w:lineRule="auto"/>
        <w:ind w:left="2007"/>
        <w:rPr>
          <w:rFonts w:ascii="Times New Roman" w:hAnsi="Times New Roman" w:cs="Times New Roman"/>
          <w:sz w:val="28"/>
        </w:rPr>
      </w:pPr>
      <w:bookmarkStart w:id="27" w:name="_Toc155658271"/>
      <w:r w:rsidRPr="00D6276F">
        <w:rPr>
          <w:rFonts w:ascii="Times New Roman" w:hAnsi="Times New Roman" w:cs="Times New Roman"/>
          <w:sz w:val="28"/>
        </w:rPr>
        <w:t>Висновок до розділу 3</w:t>
      </w:r>
      <w:bookmarkEnd w:id="27"/>
      <w:r w:rsidRPr="00D6276F">
        <w:rPr>
          <w:rFonts w:ascii="Times New Roman" w:hAnsi="Times New Roman" w:cs="Times New Roman"/>
          <w:sz w:val="28"/>
        </w:rPr>
        <w:t xml:space="preserve"> </w:t>
      </w:r>
    </w:p>
    <w:p w14:paraId="0CD04F74" w14:textId="22E07F3A" w:rsidR="001B6425" w:rsidRDefault="001B6425" w:rsidP="00D068E8">
      <w:pPr>
        <w:pStyle w:val="aa"/>
        <w:numPr>
          <w:ilvl w:val="0"/>
          <w:numId w:val="12"/>
        </w:numPr>
        <w:spacing w:after="0" w:line="360" w:lineRule="auto"/>
        <w:jc w:val="both"/>
        <w:rPr>
          <w:rFonts w:ascii="Times New Roman" w:hAnsi="Times New Roman" w:cs="Times New Roman"/>
          <w:sz w:val="28"/>
          <w:szCs w:val="28"/>
          <w:lang w:val="uk-UA"/>
        </w:rPr>
      </w:pPr>
      <w:r w:rsidRPr="00D6276F">
        <w:rPr>
          <w:rFonts w:ascii="Times New Roman" w:hAnsi="Times New Roman" w:cs="Times New Roman"/>
          <w:sz w:val="28"/>
          <w:szCs w:val="28"/>
          <w:lang w:val="uk-UA"/>
        </w:rPr>
        <w:t xml:space="preserve"> </w:t>
      </w:r>
      <w:r w:rsidR="000F3B98" w:rsidRPr="00D6276F">
        <w:rPr>
          <w:rFonts w:ascii="Times New Roman" w:hAnsi="Times New Roman" w:cs="Times New Roman"/>
          <w:sz w:val="28"/>
          <w:szCs w:val="28"/>
          <w:lang w:val="uk-UA"/>
        </w:rPr>
        <w:t xml:space="preserve">Підготовка </w:t>
      </w:r>
      <w:r w:rsidR="00D068E8" w:rsidRPr="00D6276F">
        <w:rPr>
          <w:rFonts w:ascii="Times New Roman" w:hAnsi="Times New Roman" w:cs="Times New Roman"/>
          <w:sz w:val="28"/>
          <w:szCs w:val="28"/>
          <w:lang w:val="uk-UA"/>
        </w:rPr>
        <w:t xml:space="preserve">до закриття кар’єру вимагає ґрунтовного аналізу </w:t>
      </w:r>
      <w:r w:rsidR="00D6276F">
        <w:rPr>
          <w:rFonts w:ascii="Times New Roman" w:hAnsi="Times New Roman" w:cs="Times New Roman"/>
          <w:sz w:val="28"/>
          <w:szCs w:val="28"/>
          <w:lang w:val="uk-UA"/>
        </w:rPr>
        <w:t xml:space="preserve">екологічних аспектів </w:t>
      </w:r>
      <w:r w:rsidR="00D068E8" w:rsidRPr="00D6276F">
        <w:rPr>
          <w:rFonts w:ascii="Times New Roman" w:hAnsi="Times New Roman" w:cs="Times New Roman"/>
          <w:sz w:val="28"/>
          <w:szCs w:val="28"/>
          <w:lang w:val="uk-UA"/>
        </w:rPr>
        <w:t xml:space="preserve">району розташування родовища, дослідження </w:t>
      </w:r>
      <w:r w:rsidR="00D6276F">
        <w:rPr>
          <w:rFonts w:ascii="Times New Roman" w:hAnsi="Times New Roman" w:cs="Times New Roman"/>
          <w:sz w:val="28"/>
          <w:szCs w:val="28"/>
          <w:lang w:val="uk-UA"/>
        </w:rPr>
        <w:t xml:space="preserve">динаміки процесів перетворення компонентів довкілля під час розробки кар’єру та якісного прогнозування на підставі цих даних майбутніх змін і підготовки заходів для побудови збалансованої екосистеми території після завершення видобутку та закриття кар’єру. </w:t>
      </w:r>
    </w:p>
    <w:p w14:paraId="16454C3E" w14:textId="197D9230" w:rsidR="00D6276F" w:rsidRDefault="00D6276F" w:rsidP="00D068E8">
      <w:pPr>
        <w:pStyle w:val="aa"/>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підходи до управління екологічними компонентами після завершення видобутку нероздільно пов’язані з соціальними та економічними компонентами території. </w:t>
      </w:r>
    </w:p>
    <w:p w14:paraId="015E052C" w14:textId="5DFAED31" w:rsidR="00D6276F" w:rsidRDefault="00B77124" w:rsidP="00D068E8">
      <w:pPr>
        <w:pStyle w:val="aa"/>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Найкращій спосіб спланувати закриття кар’єру у сталий спосіб – почати планувати закриття одночасно з розробкою планів видобутку корисних копалин. </w:t>
      </w:r>
    </w:p>
    <w:p w14:paraId="4C1FB571" w14:textId="77777777" w:rsidR="001B6425" w:rsidRPr="002A4A99" w:rsidRDefault="001B6425" w:rsidP="008E765D">
      <w:pPr>
        <w:spacing w:after="0"/>
        <w:rPr>
          <w:rFonts w:ascii="Times New Roman" w:hAnsi="Times New Roman" w:cs="Times New Roman"/>
        </w:rPr>
      </w:pPr>
    </w:p>
    <w:p w14:paraId="63D17F13" w14:textId="77777777" w:rsidR="00D17235" w:rsidRPr="00D6276F" w:rsidRDefault="00D17235" w:rsidP="008E765D">
      <w:pPr>
        <w:spacing w:after="0"/>
        <w:rPr>
          <w:rFonts w:ascii="Times New Roman" w:eastAsia="Times New Roman" w:hAnsi="Times New Roman" w:cs="Times New Roman"/>
          <w:b/>
          <w:sz w:val="28"/>
          <w:szCs w:val="28"/>
        </w:rPr>
      </w:pPr>
      <w:r w:rsidRPr="00D6276F">
        <w:rPr>
          <w:rFonts w:ascii="Times New Roman" w:eastAsia="Times New Roman" w:hAnsi="Times New Roman" w:cs="Times New Roman"/>
          <w:sz w:val="28"/>
          <w:szCs w:val="28"/>
        </w:rPr>
        <w:br w:type="page"/>
      </w:r>
    </w:p>
    <w:p w14:paraId="7704DFDB" w14:textId="77777777" w:rsidR="00D17235" w:rsidRPr="00D6276F" w:rsidRDefault="00D17235" w:rsidP="008E765D">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28" w:name="_Toc155658272"/>
      <w:r w:rsidRPr="00D6276F">
        <w:rPr>
          <w:rFonts w:ascii="Times New Roman" w:eastAsia="Times New Roman" w:hAnsi="Times New Roman" w:cs="Times New Roman"/>
          <w:sz w:val="28"/>
          <w:szCs w:val="28"/>
        </w:rPr>
        <w:lastRenderedPageBreak/>
        <w:t>РОЗДІЛ 4</w:t>
      </w:r>
      <w:bookmarkEnd w:id="28"/>
    </w:p>
    <w:p w14:paraId="110CBA3D" w14:textId="77777777" w:rsidR="00D17235" w:rsidRPr="00D6276F" w:rsidRDefault="00D17235" w:rsidP="008E765D">
      <w:pPr>
        <w:pStyle w:val="2"/>
        <w:keepNext w:val="0"/>
        <w:keepLines w:val="0"/>
        <w:spacing w:before="0" w:after="0" w:line="360" w:lineRule="auto"/>
        <w:ind w:left="1080"/>
        <w:jc w:val="center"/>
        <w:rPr>
          <w:rFonts w:ascii="Times New Roman" w:eastAsia="Times New Roman" w:hAnsi="Times New Roman" w:cs="Times New Roman"/>
          <w:sz w:val="28"/>
          <w:szCs w:val="28"/>
        </w:rPr>
      </w:pPr>
      <w:bookmarkStart w:id="29" w:name="_Toc155658273"/>
      <w:r w:rsidRPr="00D6276F">
        <w:rPr>
          <w:rFonts w:ascii="Times New Roman" w:eastAsia="Times New Roman" w:hAnsi="Times New Roman" w:cs="Times New Roman"/>
          <w:sz w:val="28"/>
          <w:szCs w:val="28"/>
        </w:rPr>
        <w:t>СТАРТ-АП ПРОЄКТ smArtmining</w:t>
      </w:r>
      <w:bookmarkEnd w:id="29"/>
    </w:p>
    <w:p w14:paraId="0D4EBFCF" w14:textId="77777777" w:rsidR="000B7051" w:rsidRDefault="000B7051" w:rsidP="000B7051">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30" w:name="_Toc155658274"/>
      <w:r>
        <w:rPr>
          <w:rFonts w:ascii="Times New Roman" w:eastAsia="Times New Roman" w:hAnsi="Times New Roman" w:cs="Times New Roman"/>
          <w:sz w:val="28"/>
          <w:szCs w:val="28"/>
        </w:rPr>
        <w:t>4.</w:t>
      </w:r>
      <w:r w:rsidRPr="007C6BE6">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Pr="007C6BE6">
        <w:rPr>
          <w:rFonts w:ascii="Times New Roman" w:eastAsia="Times New Roman" w:hAnsi="Times New Roman" w:cs="Times New Roman"/>
          <w:sz w:val="28"/>
          <w:szCs w:val="28"/>
        </w:rPr>
        <w:t>Опис</w:t>
      </w:r>
      <w:r>
        <w:rPr>
          <w:rFonts w:ascii="Times New Roman" w:eastAsia="Times New Roman" w:hAnsi="Times New Roman" w:cs="Times New Roman"/>
          <w:sz w:val="28"/>
          <w:szCs w:val="28"/>
        </w:rPr>
        <w:t xml:space="preserve"> </w:t>
      </w:r>
      <w:r w:rsidRPr="007C6BE6">
        <w:rPr>
          <w:rFonts w:ascii="Times New Roman" w:eastAsia="Times New Roman" w:hAnsi="Times New Roman" w:cs="Times New Roman"/>
          <w:sz w:val="28"/>
          <w:szCs w:val="28"/>
        </w:rPr>
        <w:t>ідеї</w:t>
      </w:r>
      <w:r>
        <w:rPr>
          <w:rFonts w:ascii="Times New Roman" w:eastAsia="Times New Roman" w:hAnsi="Times New Roman" w:cs="Times New Roman"/>
          <w:sz w:val="28"/>
          <w:szCs w:val="28"/>
        </w:rPr>
        <w:t xml:space="preserve"> </w:t>
      </w:r>
      <w:r w:rsidRPr="007C6BE6">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7C6BE6">
        <w:rPr>
          <w:rFonts w:ascii="Times New Roman" w:eastAsia="Times New Roman" w:hAnsi="Times New Roman" w:cs="Times New Roman"/>
          <w:sz w:val="28"/>
          <w:szCs w:val="28"/>
        </w:rPr>
        <w:t>кту</w:t>
      </w:r>
      <w:r>
        <w:rPr>
          <w:rFonts w:ascii="Times New Roman" w:eastAsia="Times New Roman" w:hAnsi="Times New Roman" w:cs="Times New Roman"/>
          <w:sz w:val="28"/>
          <w:szCs w:val="28"/>
        </w:rPr>
        <w:t xml:space="preserve"> </w:t>
      </w:r>
      <w:r w:rsidRPr="007C6BE6">
        <w:rPr>
          <w:rFonts w:ascii="Times New Roman" w:eastAsia="Times New Roman" w:hAnsi="Times New Roman" w:cs="Times New Roman"/>
          <w:sz w:val="28"/>
          <w:szCs w:val="28"/>
        </w:rPr>
        <w:t>(товару,</w:t>
      </w:r>
      <w:r>
        <w:rPr>
          <w:rFonts w:ascii="Times New Roman" w:eastAsia="Times New Roman" w:hAnsi="Times New Roman" w:cs="Times New Roman"/>
          <w:sz w:val="28"/>
          <w:szCs w:val="28"/>
        </w:rPr>
        <w:t xml:space="preserve"> </w:t>
      </w:r>
      <w:r w:rsidRPr="007C6BE6">
        <w:rPr>
          <w:rFonts w:ascii="Times New Roman" w:eastAsia="Times New Roman" w:hAnsi="Times New Roman" w:cs="Times New Roman"/>
          <w:sz w:val="28"/>
          <w:szCs w:val="28"/>
        </w:rPr>
        <w:t>послуги,</w:t>
      </w:r>
      <w:r>
        <w:rPr>
          <w:rFonts w:ascii="Times New Roman" w:eastAsia="Times New Roman" w:hAnsi="Times New Roman" w:cs="Times New Roman"/>
          <w:sz w:val="28"/>
          <w:szCs w:val="28"/>
        </w:rPr>
        <w:t xml:space="preserve"> </w:t>
      </w:r>
      <w:r w:rsidRPr="007C6BE6">
        <w:rPr>
          <w:rFonts w:ascii="Times New Roman" w:eastAsia="Times New Roman" w:hAnsi="Times New Roman" w:cs="Times New Roman"/>
          <w:sz w:val="28"/>
          <w:szCs w:val="28"/>
        </w:rPr>
        <w:t>технології)</w:t>
      </w:r>
      <w:bookmarkEnd w:id="30"/>
    </w:p>
    <w:p w14:paraId="21212964" w14:textId="1F819093"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На підприємствах у видобувній галузі декілька різних фахівців обробляють дані про діяльності кар’єра і, як правило</w:t>
      </w:r>
      <w:r w:rsidR="00CB66DD">
        <w:rPr>
          <w:rFonts w:ascii="Times New Roman" w:hAnsi="Times New Roman" w:cs="Times New Roman"/>
          <w:sz w:val="28"/>
          <w:szCs w:val="28"/>
        </w:rPr>
        <w:t>,</w:t>
      </w:r>
      <w:r w:rsidRPr="000B7051">
        <w:rPr>
          <w:rFonts w:ascii="Times New Roman" w:hAnsi="Times New Roman" w:cs="Times New Roman"/>
          <w:sz w:val="28"/>
          <w:szCs w:val="28"/>
        </w:rPr>
        <w:t xml:space="preserve"> працюють з силосним підходом, обробляючі одні й ті самі дані</w:t>
      </w:r>
      <w:r w:rsidR="00CB66DD">
        <w:rPr>
          <w:rFonts w:ascii="Times New Roman" w:hAnsi="Times New Roman" w:cs="Times New Roman"/>
          <w:sz w:val="28"/>
          <w:szCs w:val="28"/>
        </w:rPr>
        <w:t>,</w:t>
      </w:r>
      <w:r w:rsidRPr="000B7051">
        <w:rPr>
          <w:rFonts w:ascii="Times New Roman" w:hAnsi="Times New Roman" w:cs="Times New Roman"/>
          <w:sz w:val="28"/>
          <w:szCs w:val="28"/>
        </w:rPr>
        <w:t xml:space="preserve"> однак</w:t>
      </w:r>
      <w:r w:rsidR="00CB66DD">
        <w:rPr>
          <w:rFonts w:ascii="Times New Roman" w:hAnsi="Times New Roman" w:cs="Times New Roman"/>
          <w:sz w:val="28"/>
          <w:szCs w:val="28"/>
        </w:rPr>
        <w:t>,</w:t>
      </w:r>
      <w:r w:rsidRPr="000B7051">
        <w:rPr>
          <w:rFonts w:ascii="Times New Roman" w:hAnsi="Times New Roman" w:cs="Times New Roman"/>
          <w:sz w:val="28"/>
          <w:szCs w:val="28"/>
        </w:rPr>
        <w:t xml:space="preserve"> створюючи різні звітні документи, які в подальшому використовуються для різних цілей, таких як робота геолога, маркшейдера, еколога, інженерів, бухгалтера. Так</w:t>
      </w:r>
      <w:r w:rsidR="00CB66DD">
        <w:rPr>
          <w:rFonts w:ascii="Times New Roman" w:hAnsi="Times New Roman" w:cs="Times New Roman"/>
          <w:sz w:val="28"/>
          <w:szCs w:val="28"/>
        </w:rPr>
        <w:t>,</w:t>
      </w:r>
      <w:r w:rsidRPr="000B7051">
        <w:rPr>
          <w:rFonts w:ascii="Times New Roman" w:hAnsi="Times New Roman" w:cs="Times New Roman"/>
          <w:sz w:val="28"/>
          <w:szCs w:val="28"/>
        </w:rPr>
        <w:t xml:space="preserve"> наприклад в Україні, не має програмного продукту, який би дозволяв обробляти всі дані видобувного підприємства в одному місці.</w:t>
      </w:r>
      <w:r w:rsidR="00CB66DD">
        <w:rPr>
          <w:rFonts w:ascii="Times New Roman" w:hAnsi="Times New Roman" w:cs="Times New Roman"/>
          <w:sz w:val="28"/>
          <w:szCs w:val="28"/>
        </w:rPr>
        <w:t xml:space="preserve"> </w:t>
      </w:r>
    </w:p>
    <w:p w14:paraId="103D95DB" w14:textId="77777777"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Тому пропонується розглянути створення свого роду ERP системи для видобувної діяльності, в які одночасно передбачена роботу з наступними категоріями інформації:</w:t>
      </w:r>
    </w:p>
    <w:p w14:paraId="25AAB2B3" w14:textId="77777777"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 геологічна – гірничий відвід, план розвитку кар’єра, річний план;</w:t>
      </w:r>
    </w:p>
    <w:p w14:paraId="20964316" w14:textId="77777777"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 маркшейдерська – облік запасів та їх категорії, дані про видобуту сировину, вихід гірничої маси, відходи гірничої маси;</w:t>
      </w:r>
    </w:p>
    <w:p w14:paraId="3F987676" w14:textId="77777777"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 інженерна – стан обладнання, машини/механізми у видобуванні, показники їх використання, споживання енергетичних ресурсів, палива, дотримання плану рекультивації;</w:t>
      </w:r>
    </w:p>
    <w:p w14:paraId="5705740B" w14:textId="77777777"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 екологічна – вимоги ОВД, відходи, викиди/скиди, дозвільна документація, дотримання плану рекультивації;</w:t>
      </w:r>
    </w:p>
    <w:p w14:paraId="0741A869" w14:textId="75046DCB"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 xml:space="preserve">- охорона праці – дотримання умов виконання небезпечних робіт, </w:t>
      </w:r>
      <w:r w:rsidR="00CB66DD">
        <w:rPr>
          <w:rFonts w:ascii="Times New Roman" w:hAnsi="Times New Roman" w:cs="Times New Roman"/>
          <w:sz w:val="28"/>
          <w:szCs w:val="28"/>
        </w:rPr>
        <w:t>аварійні та нещасні</w:t>
      </w:r>
      <w:r w:rsidRPr="000B7051">
        <w:rPr>
          <w:rFonts w:ascii="Times New Roman" w:hAnsi="Times New Roman" w:cs="Times New Roman"/>
          <w:sz w:val="28"/>
          <w:szCs w:val="28"/>
        </w:rPr>
        <w:t xml:space="preserve"> випадки;</w:t>
      </w:r>
    </w:p>
    <w:p w14:paraId="7CE67286" w14:textId="77777777" w:rsidR="000B7051" w:rsidRPr="000B7051" w:rsidRDefault="000B7051" w:rsidP="000B7051">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 юридична – стан оформлення дозвільних документів, дотримання їх вимог, оформлення земельних ділянок, перевірки контролюючих органів, позови контролюючих органів.</w:t>
      </w:r>
    </w:p>
    <w:p w14:paraId="488DA92A" w14:textId="6BEE5C6D" w:rsidR="00CB66DD" w:rsidRPr="00CB66DD" w:rsidRDefault="000B7051" w:rsidP="00CB66DD">
      <w:pPr>
        <w:spacing w:after="0" w:line="360" w:lineRule="auto"/>
        <w:ind w:firstLine="900"/>
        <w:jc w:val="both"/>
        <w:rPr>
          <w:rFonts w:ascii="Times New Roman" w:hAnsi="Times New Roman" w:cs="Times New Roman"/>
          <w:sz w:val="28"/>
          <w:szCs w:val="28"/>
        </w:rPr>
      </w:pPr>
      <w:r w:rsidRPr="000B7051">
        <w:rPr>
          <w:rFonts w:ascii="Times New Roman" w:hAnsi="Times New Roman" w:cs="Times New Roman"/>
          <w:sz w:val="28"/>
          <w:szCs w:val="28"/>
        </w:rPr>
        <w:t>Про цьому такий модуль повинен легко інтегруватись з основними ERP системами на ринку – SAP, Oracle, BAS ERP, IT En</w:t>
      </w:r>
      <w:r w:rsidR="00CB66DD">
        <w:rPr>
          <w:rFonts w:ascii="Times New Roman" w:hAnsi="Times New Roman" w:cs="Times New Roman"/>
          <w:sz w:val="28"/>
          <w:szCs w:val="28"/>
        </w:rPr>
        <w:t xml:space="preserve">terprise, Microsoft Dynamics AX. </w:t>
      </w:r>
    </w:p>
    <w:p w14:paraId="0FAA122C" w14:textId="77777777" w:rsidR="00CB66DD" w:rsidRDefault="00CB66DD" w:rsidP="00CB66DD">
      <w:pPr>
        <w:sectPr w:rsidR="00CB66DD" w:rsidSect="0022486D">
          <w:headerReference w:type="default" r:id="rId10"/>
          <w:footerReference w:type="even" r:id="rId11"/>
          <w:footerReference w:type="default" r:id="rId12"/>
          <w:footerReference w:type="first" r:id="rId13"/>
          <w:pgSz w:w="11907" w:h="16840" w:code="9"/>
          <w:pgMar w:top="1134" w:right="567" w:bottom="1134" w:left="1134" w:header="1134" w:footer="851" w:gutter="0"/>
          <w:pgNumType w:start="1"/>
          <w:cols w:space="397"/>
          <w:titlePg/>
        </w:sectPr>
      </w:pPr>
    </w:p>
    <w:p w14:paraId="1D05BB4D" w14:textId="6DB32B5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Таблиця 1. Опис ідеї старт</w:t>
      </w:r>
      <w:r w:rsidR="00F0701A">
        <w:rPr>
          <w:rFonts w:ascii="Times New Roman" w:eastAsia="Times New Roman" w:hAnsi="Times New Roman" w:cs="Times New Roman"/>
          <w:sz w:val="28"/>
          <w:szCs w:val="28"/>
        </w:rPr>
        <w:t>-</w:t>
      </w:r>
      <w:r w:rsidRPr="00AC33A5">
        <w:rPr>
          <w:rFonts w:ascii="Times New Roman" w:eastAsia="Times New Roman" w:hAnsi="Times New Roman" w:cs="Times New Roman"/>
          <w:sz w:val="28"/>
          <w:szCs w:val="28"/>
        </w:rPr>
        <w:t>ап</w:t>
      </w:r>
      <w:r>
        <w:rPr>
          <w:rFonts w:ascii="Times New Roman" w:eastAsia="Times New Roman" w:hAnsi="Times New Roman" w:cs="Times New Roman"/>
          <w:sz w:val="28"/>
          <w:szCs w:val="28"/>
        </w:rPr>
        <w:t xml:space="preserve"> </w:t>
      </w:r>
      <w:r w:rsidRPr="00AC33A5">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 xml:space="preserve">кту  </w:t>
      </w:r>
    </w:p>
    <w:tbl>
      <w:tblPr>
        <w:tblW w:w="10065" w:type="dxa"/>
        <w:tblInd w:w="-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52"/>
        <w:gridCol w:w="2977"/>
        <w:gridCol w:w="4536"/>
      </w:tblGrid>
      <w:tr w:rsidR="000B7051" w:rsidRPr="00AC33A5" w14:paraId="0D2B0F62" w14:textId="77777777" w:rsidTr="007019D0">
        <w:trPr>
          <w:trHeight w:val="95"/>
        </w:trPr>
        <w:tc>
          <w:tcPr>
            <w:tcW w:w="2552" w:type="dxa"/>
            <w:shd w:val="clear" w:color="auto" w:fill="auto"/>
            <w:tcMar>
              <w:top w:w="100" w:type="dxa"/>
              <w:left w:w="100" w:type="dxa"/>
              <w:bottom w:w="100" w:type="dxa"/>
              <w:right w:w="100" w:type="dxa"/>
            </w:tcMar>
          </w:tcPr>
          <w:p w14:paraId="7FEF3BA8"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Зміст ідеї</w:t>
            </w:r>
          </w:p>
        </w:tc>
        <w:tc>
          <w:tcPr>
            <w:tcW w:w="2977" w:type="dxa"/>
            <w:shd w:val="clear" w:color="auto" w:fill="auto"/>
            <w:tcMar>
              <w:top w:w="100" w:type="dxa"/>
              <w:left w:w="100" w:type="dxa"/>
              <w:bottom w:w="100" w:type="dxa"/>
              <w:right w:w="100" w:type="dxa"/>
            </w:tcMar>
          </w:tcPr>
          <w:p w14:paraId="17D08F33"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Напрямки застосування</w:t>
            </w:r>
          </w:p>
        </w:tc>
        <w:tc>
          <w:tcPr>
            <w:tcW w:w="4536" w:type="dxa"/>
            <w:shd w:val="clear" w:color="auto" w:fill="auto"/>
            <w:tcMar>
              <w:top w:w="100" w:type="dxa"/>
              <w:left w:w="100" w:type="dxa"/>
              <w:bottom w:w="100" w:type="dxa"/>
              <w:right w:w="100" w:type="dxa"/>
            </w:tcMar>
          </w:tcPr>
          <w:p w14:paraId="54E26AE1" w14:textId="36971E99"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Вигоди для користувача</w:t>
            </w:r>
            <w:r w:rsidR="00CB66DD">
              <w:rPr>
                <w:rFonts w:ascii="Times New Roman" w:eastAsia="Times New Roman" w:hAnsi="Times New Roman" w:cs="Times New Roman"/>
                <w:sz w:val="28"/>
                <w:szCs w:val="28"/>
              </w:rPr>
              <w:t xml:space="preserve"> </w:t>
            </w:r>
          </w:p>
        </w:tc>
      </w:tr>
      <w:tr w:rsidR="000B7051" w:rsidRPr="00AC33A5" w14:paraId="5EB0B9DC" w14:textId="77777777" w:rsidTr="007019D0">
        <w:trPr>
          <w:trHeight w:val="318"/>
        </w:trPr>
        <w:tc>
          <w:tcPr>
            <w:tcW w:w="2552" w:type="dxa"/>
            <w:vMerge w:val="restart"/>
            <w:shd w:val="clear" w:color="auto" w:fill="auto"/>
            <w:tcMar>
              <w:top w:w="100" w:type="dxa"/>
              <w:left w:w="100" w:type="dxa"/>
              <w:bottom w:w="100" w:type="dxa"/>
              <w:right w:w="100" w:type="dxa"/>
            </w:tcMar>
          </w:tcPr>
          <w:p w14:paraId="47F9EDA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Створення програмного забезпечення для обліку різних аспектів  в діяльності видобувних підприємств - геологічна, екологічна, економічна, технічна інформація - для контролю реалізації плану закриття гірничодобувного підприємства, контролю виконання дозвільних документів та підготовки звітності у органи статистики, НКЦПФР, Геонадрам, інвесторам, виявлення та управління неефективностями та ризиками  </w:t>
            </w:r>
          </w:p>
        </w:tc>
        <w:tc>
          <w:tcPr>
            <w:tcW w:w="2977" w:type="dxa"/>
            <w:shd w:val="clear" w:color="auto" w:fill="auto"/>
            <w:tcMar>
              <w:top w:w="100" w:type="dxa"/>
              <w:left w:w="100" w:type="dxa"/>
              <w:bottom w:w="100" w:type="dxa"/>
              <w:right w:w="100" w:type="dxa"/>
            </w:tcMar>
          </w:tcPr>
          <w:p w14:paraId="5A20063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Автоматизація ведення геологічної та маркшейдерської документації</w:t>
            </w:r>
          </w:p>
        </w:tc>
        <w:tc>
          <w:tcPr>
            <w:tcW w:w="4536" w:type="dxa"/>
            <w:shd w:val="clear" w:color="auto" w:fill="auto"/>
            <w:tcMar>
              <w:top w:w="100" w:type="dxa"/>
              <w:left w:w="100" w:type="dxa"/>
              <w:bottom w:w="100" w:type="dxa"/>
              <w:right w:w="100" w:type="dxa"/>
            </w:tcMar>
          </w:tcPr>
          <w:p w14:paraId="199AB22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Створюються достовірні, цілісні, актуальні дані про видобування, проводиться розрахунок податків та зборів </w:t>
            </w:r>
          </w:p>
        </w:tc>
      </w:tr>
      <w:tr w:rsidR="000B7051" w:rsidRPr="00AC33A5" w14:paraId="74C8AFD2" w14:textId="77777777" w:rsidTr="007019D0">
        <w:trPr>
          <w:trHeight w:val="318"/>
        </w:trPr>
        <w:tc>
          <w:tcPr>
            <w:tcW w:w="2552" w:type="dxa"/>
            <w:vMerge/>
            <w:shd w:val="clear" w:color="auto" w:fill="auto"/>
            <w:tcMar>
              <w:top w:w="100" w:type="dxa"/>
              <w:left w:w="100" w:type="dxa"/>
              <w:bottom w:w="100" w:type="dxa"/>
              <w:right w:w="100" w:type="dxa"/>
            </w:tcMar>
          </w:tcPr>
          <w:p w14:paraId="3CD7224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2977" w:type="dxa"/>
            <w:shd w:val="clear" w:color="auto" w:fill="auto"/>
            <w:tcMar>
              <w:top w:w="100" w:type="dxa"/>
              <w:left w:w="100" w:type="dxa"/>
              <w:bottom w:w="100" w:type="dxa"/>
              <w:right w:w="100" w:type="dxa"/>
            </w:tcMar>
          </w:tcPr>
          <w:p w14:paraId="244A290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Контроль дотримання екологічних вимог та дозвільних документів</w:t>
            </w:r>
          </w:p>
        </w:tc>
        <w:tc>
          <w:tcPr>
            <w:tcW w:w="4536" w:type="dxa"/>
            <w:shd w:val="clear" w:color="auto" w:fill="auto"/>
            <w:tcMar>
              <w:top w:w="100" w:type="dxa"/>
              <w:left w:w="100" w:type="dxa"/>
              <w:bottom w:w="100" w:type="dxa"/>
              <w:right w:w="100" w:type="dxa"/>
            </w:tcMar>
          </w:tcPr>
          <w:p w14:paraId="4C15A0D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Створюються актуальні дані про дотримання екологічного законодавства, контроль використання бюджету на відповідні заходи, відбувається управління ризиками невідповідності </w:t>
            </w:r>
          </w:p>
        </w:tc>
      </w:tr>
      <w:tr w:rsidR="000B7051" w:rsidRPr="00AC33A5" w14:paraId="472FA31D" w14:textId="77777777" w:rsidTr="007019D0">
        <w:trPr>
          <w:trHeight w:val="318"/>
        </w:trPr>
        <w:tc>
          <w:tcPr>
            <w:tcW w:w="2552" w:type="dxa"/>
            <w:vMerge/>
            <w:shd w:val="clear" w:color="auto" w:fill="auto"/>
            <w:tcMar>
              <w:top w:w="100" w:type="dxa"/>
              <w:left w:w="100" w:type="dxa"/>
              <w:bottom w:w="100" w:type="dxa"/>
              <w:right w:w="100" w:type="dxa"/>
            </w:tcMar>
          </w:tcPr>
          <w:p w14:paraId="520E095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2977" w:type="dxa"/>
            <w:shd w:val="clear" w:color="auto" w:fill="auto"/>
            <w:tcMar>
              <w:top w:w="100" w:type="dxa"/>
              <w:left w:w="100" w:type="dxa"/>
              <w:bottom w:w="100" w:type="dxa"/>
              <w:right w:w="100" w:type="dxa"/>
            </w:tcMar>
          </w:tcPr>
          <w:p w14:paraId="7F885658" w14:textId="508AE9CC"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Контроль дотримання норм з охорони праці, управління станом технолог</w:t>
            </w:r>
            <w:r w:rsidR="00CB66DD">
              <w:rPr>
                <w:rFonts w:ascii="Times New Roman" w:eastAsia="Times New Roman" w:hAnsi="Times New Roman" w:cs="Times New Roman"/>
                <w:sz w:val="28"/>
                <w:szCs w:val="28"/>
              </w:rPr>
              <w:t xml:space="preserve">ічного обладнання, ефективністю </w:t>
            </w:r>
            <w:r w:rsidRPr="00AC33A5">
              <w:rPr>
                <w:rFonts w:ascii="Times New Roman" w:eastAsia="Times New Roman" w:hAnsi="Times New Roman" w:cs="Times New Roman"/>
                <w:sz w:val="28"/>
                <w:szCs w:val="28"/>
              </w:rPr>
              <w:t xml:space="preserve">його використання </w:t>
            </w:r>
          </w:p>
        </w:tc>
        <w:tc>
          <w:tcPr>
            <w:tcW w:w="4536" w:type="dxa"/>
            <w:shd w:val="clear" w:color="auto" w:fill="auto"/>
            <w:tcMar>
              <w:top w:w="100" w:type="dxa"/>
              <w:left w:w="100" w:type="dxa"/>
              <w:bottom w:w="100" w:type="dxa"/>
              <w:right w:w="100" w:type="dxa"/>
            </w:tcMar>
          </w:tcPr>
          <w:p w14:paraId="2C6559B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Створюються система планових ремонтів, облік неробочого часу обладнання та причини цього, ведеться облік ефективності використання обладнання та витрат на його утримання</w:t>
            </w:r>
          </w:p>
        </w:tc>
      </w:tr>
      <w:tr w:rsidR="000B7051" w:rsidRPr="00AC33A5" w14:paraId="5A479904" w14:textId="77777777" w:rsidTr="007019D0">
        <w:trPr>
          <w:trHeight w:val="318"/>
        </w:trPr>
        <w:tc>
          <w:tcPr>
            <w:tcW w:w="2552" w:type="dxa"/>
            <w:vMerge/>
            <w:shd w:val="clear" w:color="auto" w:fill="auto"/>
            <w:tcMar>
              <w:top w:w="100" w:type="dxa"/>
              <w:left w:w="100" w:type="dxa"/>
              <w:bottom w:w="100" w:type="dxa"/>
              <w:right w:w="100" w:type="dxa"/>
            </w:tcMar>
          </w:tcPr>
          <w:p w14:paraId="09915D0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2977" w:type="dxa"/>
            <w:shd w:val="clear" w:color="auto" w:fill="auto"/>
            <w:tcMar>
              <w:top w:w="100" w:type="dxa"/>
              <w:left w:w="100" w:type="dxa"/>
              <w:bottom w:w="100" w:type="dxa"/>
              <w:right w:w="100" w:type="dxa"/>
            </w:tcMar>
          </w:tcPr>
          <w:p w14:paraId="28AA0EE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Автоматизація формування статистичної звітності </w:t>
            </w:r>
          </w:p>
        </w:tc>
        <w:tc>
          <w:tcPr>
            <w:tcW w:w="4536" w:type="dxa"/>
            <w:shd w:val="clear" w:color="auto" w:fill="auto"/>
            <w:tcMar>
              <w:top w:w="100" w:type="dxa"/>
              <w:left w:w="100" w:type="dxa"/>
              <w:bottom w:w="100" w:type="dxa"/>
              <w:right w:w="100" w:type="dxa"/>
            </w:tcMar>
          </w:tcPr>
          <w:p w14:paraId="1F09E94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Формування достовірної звітності</w:t>
            </w:r>
          </w:p>
        </w:tc>
      </w:tr>
      <w:tr w:rsidR="000B7051" w:rsidRPr="00AC33A5" w14:paraId="3147FDF8" w14:textId="77777777" w:rsidTr="007019D0">
        <w:trPr>
          <w:trHeight w:val="318"/>
        </w:trPr>
        <w:tc>
          <w:tcPr>
            <w:tcW w:w="2552" w:type="dxa"/>
            <w:vMerge/>
            <w:shd w:val="clear" w:color="auto" w:fill="auto"/>
            <w:tcMar>
              <w:top w:w="100" w:type="dxa"/>
              <w:left w:w="100" w:type="dxa"/>
              <w:bottom w:w="100" w:type="dxa"/>
              <w:right w:w="100" w:type="dxa"/>
            </w:tcMar>
          </w:tcPr>
          <w:p w14:paraId="07C6263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2977" w:type="dxa"/>
            <w:shd w:val="clear" w:color="auto" w:fill="auto"/>
            <w:tcMar>
              <w:top w:w="100" w:type="dxa"/>
              <w:left w:w="100" w:type="dxa"/>
              <w:bottom w:w="100" w:type="dxa"/>
              <w:right w:w="100" w:type="dxa"/>
            </w:tcMar>
          </w:tcPr>
          <w:p w14:paraId="57B3E35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Контроль плану розвитку та закриття гірничодобувного підприємства</w:t>
            </w:r>
          </w:p>
        </w:tc>
        <w:tc>
          <w:tcPr>
            <w:tcW w:w="4536" w:type="dxa"/>
            <w:shd w:val="clear" w:color="auto" w:fill="auto"/>
            <w:tcMar>
              <w:top w:w="100" w:type="dxa"/>
              <w:left w:w="100" w:type="dxa"/>
              <w:bottom w:w="100" w:type="dxa"/>
              <w:right w:w="100" w:type="dxa"/>
            </w:tcMar>
          </w:tcPr>
          <w:p w14:paraId="2B24792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Створення актуальних даних про розвиток видобувної діяльності, накопичення даних </w:t>
            </w:r>
          </w:p>
        </w:tc>
      </w:tr>
      <w:tr w:rsidR="000B7051" w:rsidRPr="00AC33A5" w14:paraId="3FAC84E1" w14:textId="77777777" w:rsidTr="007019D0">
        <w:trPr>
          <w:trHeight w:val="318"/>
        </w:trPr>
        <w:tc>
          <w:tcPr>
            <w:tcW w:w="2552" w:type="dxa"/>
            <w:vMerge/>
            <w:shd w:val="clear" w:color="auto" w:fill="auto"/>
            <w:tcMar>
              <w:top w:w="100" w:type="dxa"/>
              <w:left w:w="100" w:type="dxa"/>
              <w:bottom w:w="100" w:type="dxa"/>
              <w:right w:w="100" w:type="dxa"/>
            </w:tcMar>
          </w:tcPr>
          <w:p w14:paraId="31E6ED2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2977" w:type="dxa"/>
            <w:shd w:val="clear" w:color="auto" w:fill="auto"/>
            <w:tcMar>
              <w:top w:w="100" w:type="dxa"/>
              <w:left w:w="100" w:type="dxa"/>
              <w:bottom w:w="100" w:type="dxa"/>
              <w:right w:w="100" w:type="dxa"/>
            </w:tcMar>
          </w:tcPr>
          <w:p w14:paraId="0324FE1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Моделювання впровадження різних технологій та зміни надрокористування</w:t>
            </w:r>
          </w:p>
        </w:tc>
        <w:tc>
          <w:tcPr>
            <w:tcW w:w="4536" w:type="dxa"/>
            <w:shd w:val="clear" w:color="auto" w:fill="auto"/>
            <w:tcMar>
              <w:top w:w="100" w:type="dxa"/>
              <w:left w:w="100" w:type="dxa"/>
              <w:bottom w:w="100" w:type="dxa"/>
              <w:right w:w="100" w:type="dxa"/>
            </w:tcMar>
          </w:tcPr>
          <w:p w14:paraId="3D35453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Використовуючи накопичені дані за допомогою ШІ можуть створюватись цифрові моделі діяльності підприємства та прогнози впровадження різного роду змін </w:t>
            </w:r>
          </w:p>
        </w:tc>
      </w:tr>
    </w:tbl>
    <w:p w14:paraId="587283ED"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73FB9CC1" w14:textId="77777777" w:rsidR="00AC246D" w:rsidRDefault="00AC246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C3C1348" w14:textId="5CDBB6AB"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Таблиця 2. Визначення сильних, слабких та нейтральних характеристик ідеї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 xml:space="preserve">кту </w:t>
      </w:r>
    </w:p>
    <w:tbl>
      <w:tblPr>
        <w:tblW w:w="10352" w:type="dxa"/>
        <w:tblInd w:w="-3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10"/>
        <w:gridCol w:w="1984"/>
        <w:gridCol w:w="993"/>
        <w:gridCol w:w="993"/>
        <w:gridCol w:w="993"/>
        <w:gridCol w:w="993"/>
        <w:gridCol w:w="1276"/>
        <w:gridCol w:w="1276"/>
        <w:gridCol w:w="1134"/>
      </w:tblGrid>
      <w:tr w:rsidR="002C1A6A" w:rsidRPr="00AC33A5" w14:paraId="7340C6D1" w14:textId="77777777" w:rsidTr="002C1A6A">
        <w:trPr>
          <w:trHeight w:val="480"/>
        </w:trPr>
        <w:tc>
          <w:tcPr>
            <w:tcW w:w="710" w:type="dxa"/>
            <w:vMerge w:val="restart"/>
            <w:shd w:val="clear" w:color="auto" w:fill="auto"/>
            <w:tcMar>
              <w:top w:w="100" w:type="dxa"/>
              <w:left w:w="100" w:type="dxa"/>
              <w:bottom w:w="100" w:type="dxa"/>
              <w:right w:w="100" w:type="dxa"/>
            </w:tcMar>
          </w:tcPr>
          <w:p w14:paraId="67BC987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1984" w:type="dxa"/>
            <w:vMerge w:val="restart"/>
            <w:shd w:val="clear" w:color="auto" w:fill="auto"/>
            <w:tcMar>
              <w:top w:w="100" w:type="dxa"/>
              <w:left w:w="100" w:type="dxa"/>
              <w:bottom w:w="100" w:type="dxa"/>
              <w:right w:w="100" w:type="dxa"/>
            </w:tcMar>
          </w:tcPr>
          <w:p w14:paraId="49329308" w14:textId="01D6506F"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Техніко‐ економічні  </w:t>
            </w:r>
            <w:r w:rsidR="002C1A6A">
              <w:rPr>
                <w:rFonts w:ascii="Times New Roman" w:eastAsia="Times New Roman" w:hAnsi="Times New Roman" w:cs="Times New Roman"/>
                <w:sz w:val="28"/>
                <w:szCs w:val="28"/>
              </w:rPr>
              <w:t>характер-</w:t>
            </w:r>
            <w:r w:rsidRPr="00AC33A5">
              <w:rPr>
                <w:rFonts w:ascii="Times New Roman" w:eastAsia="Times New Roman" w:hAnsi="Times New Roman" w:cs="Times New Roman"/>
                <w:sz w:val="28"/>
                <w:szCs w:val="28"/>
              </w:rPr>
              <w:t>ристики ідеї</w:t>
            </w:r>
          </w:p>
        </w:tc>
        <w:tc>
          <w:tcPr>
            <w:tcW w:w="3972" w:type="dxa"/>
            <w:gridSpan w:val="4"/>
            <w:shd w:val="clear" w:color="auto" w:fill="auto"/>
            <w:tcMar>
              <w:top w:w="100" w:type="dxa"/>
              <w:left w:w="100" w:type="dxa"/>
              <w:bottom w:w="100" w:type="dxa"/>
              <w:right w:w="100" w:type="dxa"/>
            </w:tcMar>
          </w:tcPr>
          <w:p w14:paraId="343F666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(потенційні) товари/концепції конкурентів</w:t>
            </w:r>
          </w:p>
        </w:tc>
        <w:tc>
          <w:tcPr>
            <w:tcW w:w="1276" w:type="dxa"/>
            <w:vMerge w:val="restart"/>
            <w:shd w:val="clear" w:color="auto" w:fill="auto"/>
            <w:tcMar>
              <w:top w:w="100" w:type="dxa"/>
              <w:left w:w="100" w:type="dxa"/>
              <w:bottom w:w="100" w:type="dxa"/>
              <w:right w:w="100" w:type="dxa"/>
            </w:tcMar>
            <w:textDirection w:val="btLr"/>
          </w:tcPr>
          <w:p w14:paraId="7F488F13" w14:textId="77777777"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W   (слабка  сторона)</w:t>
            </w:r>
          </w:p>
        </w:tc>
        <w:tc>
          <w:tcPr>
            <w:tcW w:w="1276" w:type="dxa"/>
            <w:vMerge w:val="restart"/>
            <w:shd w:val="clear" w:color="auto" w:fill="auto"/>
            <w:tcMar>
              <w:top w:w="100" w:type="dxa"/>
              <w:left w:w="100" w:type="dxa"/>
              <w:bottom w:w="100" w:type="dxa"/>
              <w:right w:w="100" w:type="dxa"/>
            </w:tcMar>
            <w:textDirection w:val="btLr"/>
          </w:tcPr>
          <w:p w14:paraId="1DA5D04E" w14:textId="2B886042"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N   (ней</w:t>
            </w:r>
            <w:r w:rsidR="007019D0">
              <w:rPr>
                <w:rFonts w:ascii="Times New Roman" w:eastAsia="Times New Roman" w:hAnsi="Times New Roman" w:cs="Times New Roman"/>
                <w:sz w:val="28"/>
                <w:szCs w:val="28"/>
              </w:rPr>
              <w:t>-</w:t>
            </w:r>
            <w:r w:rsidRPr="00AC33A5">
              <w:rPr>
                <w:rFonts w:ascii="Times New Roman" w:eastAsia="Times New Roman" w:hAnsi="Times New Roman" w:cs="Times New Roman"/>
                <w:sz w:val="28"/>
                <w:szCs w:val="28"/>
              </w:rPr>
              <w:t>траль</w:t>
            </w:r>
            <w:r w:rsidR="007019D0">
              <w:rPr>
                <w:rFonts w:ascii="Times New Roman" w:eastAsia="Times New Roman" w:hAnsi="Times New Roman" w:cs="Times New Roman"/>
                <w:sz w:val="28"/>
                <w:szCs w:val="28"/>
              </w:rPr>
              <w:t xml:space="preserve">на </w:t>
            </w:r>
            <w:r w:rsidRPr="00AC33A5">
              <w:rPr>
                <w:rFonts w:ascii="Times New Roman" w:eastAsia="Times New Roman" w:hAnsi="Times New Roman" w:cs="Times New Roman"/>
                <w:sz w:val="28"/>
                <w:szCs w:val="28"/>
              </w:rPr>
              <w:t>сторона)</w:t>
            </w:r>
          </w:p>
        </w:tc>
        <w:tc>
          <w:tcPr>
            <w:tcW w:w="1134" w:type="dxa"/>
            <w:vMerge w:val="restart"/>
            <w:shd w:val="clear" w:color="auto" w:fill="auto"/>
            <w:tcMar>
              <w:top w:w="100" w:type="dxa"/>
              <w:left w:w="100" w:type="dxa"/>
              <w:bottom w:w="100" w:type="dxa"/>
              <w:right w:w="100" w:type="dxa"/>
            </w:tcMar>
            <w:textDirection w:val="btLr"/>
          </w:tcPr>
          <w:p w14:paraId="7D34F24F" w14:textId="4B8219DC"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   (сильна  сторона</w:t>
            </w:r>
            <w:r w:rsidR="002C1A6A">
              <w:rPr>
                <w:rFonts w:ascii="Times New Roman" w:eastAsia="Times New Roman" w:hAnsi="Times New Roman" w:cs="Times New Roman"/>
                <w:sz w:val="28"/>
                <w:szCs w:val="28"/>
              </w:rPr>
              <w:t>)</w:t>
            </w:r>
          </w:p>
        </w:tc>
      </w:tr>
      <w:tr w:rsidR="002C1A6A" w:rsidRPr="00AC33A5" w14:paraId="3C62A4D1" w14:textId="77777777" w:rsidTr="002C1A6A">
        <w:trPr>
          <w:cantSplit/>
          <w:trHeight w:val="1134"/>
        </w:trPr>
        <w:tc>
          <w:tcPr>
            <w:tcW w:w="710" w:type="dxa"/>
            <w:vMerge/>
            <w:shd w:val="clear" w:color="auto" w:fill="auto"/>
            <w:tcMar>
              <w:top w:w="100" w:type="dxa"/>
              <w:left w:w="100" w:type="dxa"/>
              <w:bottom w:w="100" w:type="dxa"/>
              <w:right w:w="100" w:type="dxa"/>
            </w:tcMar>
          </w:tcPr>
          <w:p w14:paraId="1718458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984" w:type="dxa"/>
            <w:vMerge/>
            <w:shd w:val="clear" w:color="auto" w:fill="auto"/>
            <w:tcMar>
              <w:top w:w="100" w:type="dxa"/>
              <w:left w:w="100" w:type="dxa"/>
              <w:bottom w:w="100" w:type="dxa"/>
              <w:right w:w="100" w:type="dxa"/>
            </w:tcMar>
          </w:tcPr>
          <w:p w14:paraId="192FFA6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993" w:type="dxa"/>
            <w:shd w:val="clear" w:color="auto" w:fill="auto"/>
            <w:tcMar>
              <w:top w:w="100" w:type="dxa"/>
              <w:left w:w="100" w:type="dxa"/>
              <w:bottom w:w="100" w:type="dxa"/>
              <w:right w:w="100" w:type="dxa"/>
            </w:tcMar>
            <w:textDirection w:val="btLr"/>
          </w:tcPr>
          <w:p w14:paraId="60A6EBC8" w14:textId="77777777"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Мій   проєкт</w:t>
            </w:r>
          </w:p>
        </w:tc>
        <w:tc>
          <w:tcPr>
            <w:tcW w:w="993" w:type="dxa"/>
            <w:shd w:val="clear" w:color="auto" w:fill="auto"/>
            <w:tcMar>
              <w:top w:w="100" w:type="dxa"/>
              <w:left w:w="100" w:type="dxa"/>
              <w:bottom w:w="100" w:type="dxa"/>
              <w:right w:w="100" w:type="dxa"/>
            </w:tcMar>
            <w:textDirection w:val="btLr"/>
          </w:tcPr>
          <w:p w14:paraId="7EB03CBB" w14:textId="3454C4C0"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Конку</w:t>
            </w:r>
            <w:r w:rsidR="007019D0">
              <w:rPr>
                <w:rFonts w:ascii="Times New Roman" w:eastAsia="Times New Roman" w:hAnsi="Times New Roman" w:cs="Times New Roman"/>
                <w:sz w:val="28"/>
                <w:szCs w:val="28"/>
              </w:rPr>
              <w:t>-</w:t>
            </w:r>
            <w:r w:rsidRPr="00AC33A5">
              <w:rPr>
                <w:rFonts w:ascii="Times New Roman" w:eastAsia="Times New Roman" w:hAnsi="Times New Roman" w:cs="Times New Roman"/>
                <w:sz w:val="28"/>
                <w:szCs w:val="28"/>
              </w:rPr>
              <w:t xml:space="preserve">рент 1 </w:t>
            </w:r>
          </w:p>
        </w:tc>
        <w:tc>
          <w:tcPr>
            <w:tcW w:w="993" w:type="dxa"/>
            <w:shd w:val="clear" w:color="auto" w:fill="auto"/>
            <w:tcMar>
              <w:top w:w="100" w:type="dxa"/>
              <w:left w:w="100" w:type="dxa"/>
              <w:bottom w:w="100" w:type="dxa"/>
              <w:right w:w="100" w:type="dxa"/>
            </w:tcMar>
            <w:textDirection w:val="btLr"/>
          </w:tcPr>
          <w:p w14:paraId="4A16D369" w14:textId="330CC20F"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Конку</w:t>
            </w:r>
            <w:r w:rsidR="007019D0">
              <w:rPr>
                <w:rFonts w:ascii="Times New Roman" w:eastAsia="Times New Roman" w:hAnsi="Times New Roman" w:cs="Times New Roman"/>
                <w:sz w:val="28"/>
                <w:szCs w:val="28"/>
              </w:rPr>
              <w:t>-</w:t>
            </w:r>
            <w:r w:rsidRPr="00AC33A5">
              <w:rPr>
                <w:rFonts w:ascii="Times New Roman" w:eastAsia="Times New Roman" w:hAnsi="Times New Roman" w:cs="Times New Roman"/>
                <w:sz w:val="28"/>
                <w:szCs w:val="28"/>
              </w:rPr>
              <w:t xml:space="preserve">рент 2  </w:t>
            </w:r>
          </w:p>
        </w:tc>
        <w:tc>
          <w:tcPr>
            <w:tcW w:w="993" w:type="dxa"/>
            <w:shd w:val="clear" w:color="auto" w:fill="auto"/>
            <w:tcMar>
              <w:top w:w="100" w:type="dxa"/>
              <w:left w:w="100" w:type="dxa"/>
              <w:bottom w:w="100" w:type="dxa"/>
              <w:right w:w="100" w:type="dxa"/>
            </w:tcMar>
            <w:textDirection w:val="btLr"/>
          </w:tcPr>
          <w:p w14:paraId="68B93830" w14:textId="0B7D77CB" w:rsidR="000B7051" w:rsidRPr="00AC33A5" w:rsidRDefault="00F0701A"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w:t>
            </w:r>
            <w:r w:rsidR="007019D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рент 3 </w:t>
            </w:r>
          </w:p>
        </w:tc>
        <w:tc>
          <w:tcPr>
            <w:tcW w:w="1276" w:type="dxa"/>
            <w:vMerge/>
            <w:shd w:val="clear" w:color="auto" w:fill="auto"/>
            <w:tcMar>
              <w:top w:w="100" w:type="dxa"/>
              <w:left w:w="100" w:type="dxa"/>
              <w:bottom w:w="100" w:type="dxa"/>
              <w:right w:w="100" w:type="dxa"/>
            </w:tcMar>
          </w:tcPr>
          <w:p w14:paraId="24AD697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276" w:type="dxa"/>
            <w:vMerge/>
            <w:shd w:val="clear" w:color="auto" w:fill="auto"/>
            <w:tcMar>
              <w:top w:w="100" w:type="dxa"/>
              <w:left w:w="100" w:type="dxa"/>
              <w:bottom w:w="100" w:type="dxa"/>
              <w:right w:w="100" w:type="dxa"/>
            </w:tcMar>
          </w:tcPr>
          <w:p w14:paraId="2BB501B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vMerge/>
            <w:shd w:val="clear" w:color="auto" w:fill="auto"/>
            <w:tcMar>
              <w:top w:w="100" w:type="dxa"/>
              <w:left w:w="100" w:type="dxa"/>
              <w:bottom w:w="100" w:type="dxa"/>
              <w:right w:w="100" w:type="dxa"/>
            </w:tcMar>
          </w:tcPr>
          <w:p w14:paraId="5A103F8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2C1A6A" w:rsidRPr="00AC33A5" w14:paraId="04416D46" w14:textId="77777777" w:rsidTr="002C1A6A">
        <w:trPr>
          <w:cantSplit/>
          <w:trHeight w:val="1134"/>
        </w:trPr>
        <w:tc>
          <w:tcPr>
            <w:tcW w:w="710" w:type="dxa"/>
            <w:shd w:val="clear" w:color="auto" w:fill="auto"/>
            <w:tcMar>
              <w:top w:w="100" w:type="dxa"/>
              <w:left w:w="100" w:type="dxa"/>
              <w:bottom w:w="100" w:type="dxa"/>
              <w:right w:w="100" w:type="dxa"/>
            </w:tcMar>
          </w:tcPr>
          <w:p w14:paraId="2F59C04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1984" w:type="dxa"/>
            <w:shd w:val="clear" w:color="auto" w:fill="auto"/>
            <w:tcMar>
              <w:top w:w="100" w:type="dxa"/>
              <w:left w:w="100" w:type="dxa"/>
              <w:bottom w:w="100" w:type="dxa"/>
              <w:right w:w="100" w:type="dxa"/>
            </w:tcMar>
          </w:tcPr>
          <w:p w14:paraId="2132B2F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Технічні: програмний продукт призначений для застосування у видобувній галузі </w:t>
            </w:r>
          </w:p>
        </w:tc>
        <w:tc>
          <w:tcPr>
            <w:tcW w:w="993" w:type="dxa"/>
            <w:shd w:val="clear" w:color="auto" w:fill="auto"/>
            <w:tcMar>
              <w:top w:w="100" w:type="dxa"/>
              <w:left w:w="100" w:type="dxa"/>
              <w:bottom w:w="100" w:type="dxa"/>
              <w:right w:w="100" w:type="dxa"/>
            </w:tcMar>
            <w:textDirection w:val="btLr"/>
          </w:tcPr>
          <w:p w14:paraId="3108B700" w14:textId="77777777"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smArtmining</w:t>
            </w:r>
          </w:p>
        </w:tc>
        <w:tc>
          <w:tcPr>
            <w:tcW w:w="993" w:type="dxa"/>
            <w:shd w:val="clear" w:color="auto" w:fill="auto"/>
            <w:tcMar>
              <w:top w:w="100" w:type="dxa"/>
              <w:left w:w="100" w:type="dxa"/>
              <w:bottom w:w="100" w:type="dxa"/>
              <w:right w:w="100" w:type="dxa"/>
            </w:tcMar>
            <w:textDirection w:val="btLr"/>
          </w:tcPr>
          <w:p w14:paraId="36614BD9"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SAP</w:t>
            </w:r>
          </w:p>
        </w:tc>
        <w:tc>
          <w:tcPr>
            <w:tcW w:w="993" w:type="dxa"/>
            <w:shd w:val="clear" w:color="auto" w:fill="auto"/>
            <w:tcMar>
              <w:top w:w="100" w:type="dxa"/>
              <w:left w:w="100" w:type="dxa"/>
              <w:bottom w:w="100" w:type="dxa"/>
              <w:right w:w="100" w:type="dxa"/>
            </w:tcMar>
            <w:textDirection w:val="btLr"/>
          </w:tcPr>
          <w:p w14:paraId="4DA79D4C"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BASERP</w:t>
            </w:r>
          </w:p>
          <w:p w14:paraId="324A41CE" w14:textId="77777777" w:rsidR="000B7051" w:rsidRPr="00AC33A5" w:rsidRDefault="000B7051" w:rsidP="00AC246D">
            <w:pPr>
              <w:widowControl w:val="0"/>
              <w:pBdr>
                <w:top w:val="nil"/>
                <w:left w:val="nil"/>
                <w:bottom w:val="nil"/>
                <w:right w:val="nil"/>
                <w:between w:val="nil"/>
              </w:pBdr>
              <w:spacing w:after="0" w:line="240" w:lineRule="auto"/>
              <w:ind w:left="113" w:right="113"/>
              <w:rPr>
                <w:rFonts w:ascii="Times New Roman" w:eastAsia="Times New Roman" w:hAnsi="Times New Roman" w:cs="Times New Roman"/>
                <w:sz w:val="28"/>
                <w:szCs w:val="28"/>
              </w:rPr>
            </w:pPr>
          </w:p>
        </w:tc>
        <w:tc>
          <w:tcPr>
            <w:tcW w:w="993" w:type="dxa"/>
            <w:shd w:val="clear" w:color="auto" w:fill="auto"/>
            <w:tcMar>
              <w:top w:w="100" w:type="dxa"/>
              <w:left w:w="100" w:type="dxa"/>
              <w:bottom w:w="100" w:type="dxa"/>
              <w:right w:w="100" w:type="dxa"/>
            </w:tcMar>
            <w:textDirection w:val="btLr"/>
          </w:tcPr>
          <w:p w14:paraId="65CB4377"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IT Enterprise</w:t>
            </w:r>
          </w:p>
        </w:tc>
        <w:tc>
          <w:tcPr>
            <w:tcW w:w="1276" w:type="dxa"/>
            <w:shd w:val="clear" w:color="auto" w:fill="auto"/>
            <w:tcMar>
              <w:top w:w="100" w:type="dxa"/>
              <w:left w:w="100" w:type="dxa"/>
              <w:bottom w:w="100" w:type="dxa"/>
              <w:right w:w="100" w:type="dxa"/>
            </w:tcMar>
          </w:tcPr>
          <w:p w14:paraId="41E81EF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276" w:type="dxa"/>
            <w:shd w:val="clear" w:color="auto" w:fill="auto"/>
            <w:tcMar>
              <w:top w:w="100" w:type="dxa"/>
              <w:left w:w="100" w:type="dxa"/>
              <w:bottom w:w="100" w:type="dxa"/>
              <w:right w:w="100" w:type="dxa"/>
            </w:tcMar>
          </w:tcPr>
          <w:p w14:paraId="00F8074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shd w:val="clear" w:color="auto" w:fill="auto"/>
            <w:tcMar>
              <w:top w:w="100" w:type="dxa"/>
              <w:left w:w="100" w:type="dxa"/>
              <w:bottom w:w="100" w:type="dxa"/>
              <w:right w:w="100" w:type="dxa"/>
            </w:tcMar>
          </w:tcPr>
          <w:p w14:paraId="463BEEB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w:t>
            </w:r>
          </w:p>
        </w:tc>
      </w:tr>
      <w:tr w:rsidR="002C1A6A" w:rsidRPr="00AC33A5" w14:paraId="75445CC3" w14:textId="77777777" w:rsidTr="002C1A6A">
        <w:trPr>
          <w:cantSplit/>
          <w:trHeight w:val="1512"/>
        </w:trPr>
        <w:tc>
          <w:tcPr>
            <w:tcW w:w="710" w:type="dxa"/>
            <w:shd w:val="clear" w:color="auto" w:fill="auto"/>
            <w:tcMar>
              <w:top w:w="100" w:type="dxa"/>
              <w:left w:w="100" w:type="dxa"/>
              <w:bottom w:w="100" w:type="dxa"/>
              <w:right w:w="100" w:type="dxa"/>
            </w:tcMar>
          </w:tcPr>
          <w:p w14:paraId="5D09DB5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1984" w:type="dxa"/>
            <w:shd w:val="clear" w:color="auto" w:fill="auto"/>
            <w:tcMar>
              <w:top w:w="100" w:type="dxa"/>
              <w:left w:w="100" w:type="dxa"/>
              <w:bottom w:w="100" w:type="dxa"/>
              <w:right w:w="100" w:type="dxa"/>
            </w:tcMar>
          </w:tcPr>
          <w:p w14:paraId="5E315CD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Технічні:</w:t>
            </w:r>
          </w:p>
          <w:p w14:paraId="26C2BC8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взаємодіє з обліковими системами</w:t>
            </w:r>
          </w:p>
        </w:tc>
        <w:tc>
          <w:tcPr>
            <w:tcW w:w="993" w:type="dxa"/>
            <w:shd w:val="clear" w:color="auto" w:fill="auto"/>
            <w:tcMar>
              <w:top w:w="100" w:type="dxa"/>
              <w:left w:w="100" w:type="dxa"/>
              <w:bottom w:w="100" w:type="dxa"/>
              <w:right w:w="100" w:type="dxa"/>
            </w:tcMar>
            <w:textDirection w:val="btLr"/>
          </w:tcPr>
          <w:p w14:paraId="17C86C61"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smArtmining</w:t>
            </w:r>
          </w:p>
        </w:tc>
        <w:tc>
          <w:tcPr>
            <w:tcW w:w="993" w:type="dxa"/>
            <w:shd w:val="clear" w:color="auto" w:fill="auto"/>
            <w:tcMar>
              <w:top w:w="100" w:type="dxa"/>
              <w:left w:w="100" w:type="dxa"/>
              <w:bottom w:w="100" w:type="dxa"/>
              <w:right w:w="100" w:type="dxa"/>
            </w:tcMar>
            <w:textDirection w:val="btLr"/>
          </w:tcPr>
          <w:p w14:paraId="7EF28214"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SAP</w:t>
            </w:r>
          </w:p>
        </w:tc>
        <w:tc>
          <w:tcPr>
            <w:tcW w:w="993" w:type="dxa"/>
            <w:shd w:val="clear" w:color="auto" w:fill="auto"/>
            <w:tcMar>
              <w:top w:w="100" w:type="dxa"/>
              <w:left w:w="100" w:type="dxa"/>
              <w:bottom w:w="100" w:type="dxa"/>
              <w:right w:w="100" w:type="dxa"/>
            </w:tcMar>
            <w:textDirection w:val="btLr"/>
          </w:tcPr>
          <w:p w14:paraId="387525FD"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BASERP</w:t>
            </w:r>
          </w:p>
          <w:p w14:paraId="013F23F8"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p>
        </w:tc>
        <w:tc>
          <w:tcPr>
            <w:tcW w:w="993" w:type="dxa"/>
            <w:shd w:val="clear" w:color="auto" w:fill="auto"/>
            <w:tcMar>
              <w:top w:w="100" w:type="dxa"/>
              <w:left w:w="100" w:type="dxa"/>
              <w:bottom w:w="100" w:type="dxa"/>
              <w:right w:w="100" w:type="dxa"/>
            </w:tcMar>
            <w:textDirection w:val="btLr"/>
          </w:tcPr>
          <w:p w14:paraId="6E539863"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IT Enterprise</w:t>
            </w:r>
          </w:p>
        </w:tc>
        <w:tc>
          <w:tcPr>
            <w:tcW w:w="1276" w:type="dxa"/>
            <w:shd w:val="clear" w:color="auto" w:fill="auto"/>
            <w:tcMar>
              <w:top w:w="100" w:type="dxa"/>
              <w:left w:w="100" w:type="dxa"/>
              <w:bottom w:w="100" w:type="dxa"/>
              <w:right w:w="100" w:type="dxa"/>
            </w:tcMar>
          </w:tcPr>
          <w:p w14:paraId="180A101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276" w:type="dxa"/>
            <w:shd w:val="clear" w:color="auto" w:fill="auto"/>
            <w:tcMar>
              <w:top w:w="100" w:type="dxa"/>
              <w:left w:w="100" w:type="dxa"/>
              <w:bottom w:w="100" w:type="dxa"/>
              <w:right w:w="100" w:type="dxa"/>
            </w:tcMar>
          </w:tcPr>
          <w:p w14:paraId="5519218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shd w:val="clear" w:color="auto" w:fill="auto"/>
            <w:tcMar>
              <w:top w:w="100" w:type="dxa"/>
              <w:left w:w="100" w:type="dxa"/>
              <w:bottom w:w="100" w:type="dxa"/>
              <w:right w:w="100" w:type="dxa"/>
            </w:tcMar>
          </w:tcPr>
          <w:p w14:paraId="4028B8B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w:t>
            </w:r>
          </w:p>
        </w:tc>
      </w:tr>
      <w:tr w:rsidR="002C1A6A" w:rsidRPr="00AC33A5" w14:paraId="490B0384" w14:textId="77777777" w:rsidTr="002C1A6A">
        <w:trPr>
          <w:cantSplit/>
          <w:trHeight w:val="1134"/>
        </w:trPr>
        <w:tc>
          <w:tcPr>
            <w:tcW w:w="710" w:type="dxa"/>
            <w:shd w:val="clear" w:color="auto" w:fill="auto"/>
            <w:tcMar>
              <w:top w:w="100" w:type="dxa"/>
              <w:left w:w="100" w:type="dxa"/>
              <w:bottom w:w="100" w:type="dxa"/>
              <w:right w:w="100" w:type="dxa"/>
            </w:tcMar>
          </w:tcPr>
          <w:p w14:paraId="5AA79BD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3. </w:t>
            </w:r>
          </w:p>
        </w:tc>
        <w:tc>
          <w:tcPr>
            <w:tcW w:w="1984" w:type="dxa"/>
            <w:shd w:val="clear" w:color="auto" w:fill="auto"/>
            <w:tcMar>
              <w:top w:w="100" w:type="dxa"/>
              <w:left w:w="100" w:type="dxa"/>
              <w:bottom w:w="100" w:type="dxa"/>
              <w:right w:w="100" w:type="dxa"/>
            </w:tcMar>
          </w:tcPr>
          <w:p w14:paraId="6B11D89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Безпека: накопичення та надійне зберігання комплексу даних </w:t>
            </w:r>
          </w:p>
        </w:tc>
        <w:tc>
          <w:tcPr>
            <w:tcW w:w="993" w:type="dxa"/>
            <w:shd w:val="clear" w:color="auto" w:fill="auto"/>
            <w:tcMar>
              <w:top w:w="100" w:type="dxa"/>
              <w:left w:w="100" w:type="dxa"/>
              <w:bottom w:w="100" w:type="dxa"/>
              <w:right w:w="100" w:type="dxa"/>
            </w:tcMar>
            <w:textDirection w:val="btLr"/>
          </w:tcPr>
          <w:p w14:paraId="26AE60F6" w14:textId="77777777" w:rsidR="000B7051" w:rsidRPr="00AC33A5" w:rsidRDefault="000B7051" w:rsidP="00AC246D">
            <w:pP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smArtmining</w:t>
            </w:r>
          </w:p>
        </w:tc>
        <w:tc>
          <w:tcPr>
            <w:tcW w:w="993" w:type="dxa"/>
            <w:shd w:val="clear" w:color="auto" w:fill="auto"/>
            <w:tcMar>
              <w:top w:w="100" w:type="dxa"/>
              <w:left w:w="100" w:type="dxa"/>
              <w:bottom w:w="100" w:type="dxa"/>
              <w:right w:w="100" w:type="dxa"/>
            </w:tcMar>
            <w:textDirection w:val="btLr"/>
          </w:tcPr>
          <w:p w14:paraId="0ACA8407"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SAP</w:t>
            </w:r>
          </w:p>
        </w:tc>
        <w:tc>
          <w:tcPr>
            <w:tcW w:w="993" w:type="dxa"/>
            <w:shd w:val="clear" w:color="auto" w:fill="auto"/>
            <w:tcMar>
              <w:top w:w="100" w:type="dxa"/>
              <w:left w:w="100" w:type="dxa"/>
              <w:bottom w:w="100" w:type="dxa"/>
              <w:right w:w="100" w:type="dxa"/>
            </w:tcMar>
            <w:textDirection w:val="btLr"/>
          </w:tcPr>
          <w:p w14:paraId="1637BF09"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BASERPF</w:t>
            </w:r>
          </w:p>
          <w:p w14:paraId="73A88279"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p>
        </w:tc>
        <w:tc>
          <w:tcPr>
            <w:tcW w:w="993" w:type="dxa"/>
            <w:shd w:val="clear" w:color="auto" w:fill="auto"/>
            <w:tcMar>
              <w:top w:w="100" w:type="dxa"/>
              <w:left w:w="100" w:type="dxa"/>
              <w:bottom w:w="100" w:type="dxa"/>
              <w:right w:w="100" w:type="dxa"/>
            </w:tcMar>
            <w:textDirection w:val="btLr"/>
          </w:tcPr>
          <w:p w14:paraId="22A263BB" w14:textId="77777777" w:rsidR="000B7051" w:rsidRPr="00AC33A5" w:rsidRDefault="000B7051" w:rsidP="00AC246D">
            <w:pP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Oracle</w:t>
            </w:r>
          </w:p>
        </w:tc>
        <w:tc>
          <w:tcPr>
            <w:tcW w:w="1276" w:type="dxa"/>
            <w:shd w:val="clear" w:color="auto" w:fill="auto"/>
            <w:tcMar>
              <w:top w:w="100" w:type="dxa"/>
              <w:left w:w="100" w:type="dxa"/>
              <w:bottom w:w="100" w:type="dxa"/>
              <w:right w:w="100" w:type="dxa"/>
            </w:tcMar>
          </w:tcPr>
          <w:p w14:paraId="4AD8B58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276" w:type="dxa"/>
            <w:shd w:val="clear" w:color="auto" w:fill="auto"/>
            <w:tcMar>
              <w:top w:w="100" w:type="dxa"/>
              <w:left w:w="100" w:type="dxa"/>
              <w:bottom w:w="100" w:type="dxa"/>
              <w:right w:w="100" w:type="dxa"/>
            </w:tcMar>
          </w:tcPr>
          <w:p w14:paraId="76B7F50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N</w:t>
            </w:r>
          </w:p>
        </w:tc>
        <w:tc>
          <w:tcPr>
            <w:tcW w:w="1134" w:type="dxa"/>
            <w:shd w:val="clear" w:color="auto" w:fill="auto"/>
            <w:tcMar>
              <w:top w:w="100" w:type="dxa"/>
              <w:left w:w="100" w:type="dxa"/>
              <w:bottom w:w="100" w:type="dxa"/>
              <w:right w:w="100" w:type="dxa"/>
            </w:tcMar>
          </w:tcPr>
          <w:p w14:paraId="0A3FB4E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r>
      <w:tr w:rsidR="002C1A6A" w:rsidRPr="00AC33A5" w14:paraId="7AB7122B" w14:textId="77777777" w:rsidTr="002C1A6A">
        <w:trPr>
          <w:cantSplit/>
          <w:trHeight w:val="1134"/>
        </w:trPr>
        <w:tc>
          <w:tcPr>
            <w:tcW w:w="710" w:type="dxa"/>
            <w:shd w:val="clear" w:color="auto" w:fill="auto"/>
            <w:tcMar>
              <w:top w:w="100" w:type="dxa"/>
              <w:left w:w="100" w:type="dxa"/>
              <w:bottom w:w="100" w:type="dxa"/>
              <w:right w:w="100" w:type="dxa"/>
            </w:tcMar>
          </w:tcPr>
          <w:p w14:paraId="4692A86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w:t>
            </w:r>
          </w:p>
        </w:tc>
        <w:tc>
          <w:tcPr>
            <w:tcW w:w="1984" w:type="dxa"/>
            <w:shd w:val="clear" w:color="auto" w:fill="auto"/>
            <w:tcMar>
              <w:top w:w="100" w:type="dxa"/>
              <w:left w:w="100" w:type="dxa"/>
              <w:bottom w:w="100" w:type="dxa"/>
              <w:right w:w="100" w:type="dxa"/>
            </w:tcMar>
          </w:tcPr>
          <w:p w14:paraId="035291B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Економічні: використання даного продукту є недорогим і окупається тими економічними вигодами, які отримуються в результаті підвищення ефективності </w:t>
            </w:r>
          </w:p>
        </w:tc>
        <w:tc>
          <w:tcPr>
            <w:tcW w:w="993" w:type="dxa"/>
            <w:shd w:val="clear" w:color="auto" w:fill="auto"/>
            <w:tcMar>
              <w:top w:w="100" w:type="dxa"/>
              <w:left w:w="100" w:type="dxa"/>
              <w:bottom w:w="100" w:type="dxa"/>
              <w:right w:w="100" w:type="dxa"/>
            </w:tcMar>
            <w:textDirection w:val="btLr"/>
          </w:tcPr>
          <w:p w14:paraId="11ADED35"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smArtmining</w:t>
            </w:r>
          </w:p>
        </w:tc>
        <w:tc>
          <w:tcPr>
            <w:tcW w:w="993" w:type="dxa"/>
            <w:shd w:val="clear" w:color="auto" w:fill="auto"/>
            <w:tcMar>
              <w:top w:w="100" w:type="dxa"/>
              <w:left w:w="100" w:type="dxa"/>
              <w:bottom w:w="100" w:type="dxa"/>
              <w:right w:w="100" w:type="dxa"/>
            </w:tcMar>
            <w:textDirection w:val="btLr"/>
          </w:tcPr>
          <w:p w14:paraId="5871D329"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SAP</w:t>
            </w:r>
          </w:p>
        </w:tc>
        <w:tc>
          <w:tcPr>
            <w:tcW w:w="993" w:type="dxa"/>
            <w:shd w:val="clear" w:color="auto" w:fill="auto"/>
            <w:tcMar>
              <w:top w:w="100" w:type="dxa"/>
              <w:left w:w="100" w:type="dxa"/>
              <w:bottom w:w="100" w:type="dxa"/>
              <w:right w:w="100" w:type="dxa"/>
            </w:tcMar>
            <w:textDirection w:val="btLr"/>
          </w:tcPr>
          <w:p w14:paraId="21BEB2A0"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BASERP</w:t>
            </w:r>
          </w:p>
          <w:p w14:paraId="2BD758BA"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p>
        </w:tc>
        <w:tc>
          <w:tcPr>
            <w:tcW w:w="993" w:type="dxa"/>
            <w:shd w:val="clear" w:color="auto" w:fill="auto"/>
            <w:tcMar>
              <w:top w:w="100" w:type="dxa"/>
              <w:left w:w="100" w:type="dxa"/>
              <w:bottom w:w="100" w:type="dxa"/>
              <w:right w:w="100" w:type="dxa"/>
            </w:tcMar>
            <w:textDirection w:val="btLr"/>
          </w:tcPr>
          <w:p w14:paraId="7F739EAC"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IT Enterprise</w:t>
            </w:r>
          </w:p>
        </w:tc>
        <w:tc>
          <w:tcPr>
            <w:tcW w:w="1276" w:type="dxa"/>
            <w:shd w:val="clear" w:color="auto" w:fill="auto"/>
            <w:tcMar>
              <w:top w:w="100" w:type="dxa"/>
              <w:left w:w="100" w:type="dxa"/>
              <w:bottom w:w="100" w:type="dxa"/>
              <w:right w:w="100" w:type="dxa"/>
            </w:tcMar>
          </w:tcPr>
          <w:p w14:paraId="119B3B2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276" w:type="dxa"/>
            <w:shd w:val="clear" w:color="auto" w:fill="auto"/>
            <w:tcMar>
              <w:top w:w="100" w:type="dxa"/>
              <w:left w:w="100" w:type="dxa"/>
              <w:bottom w:w="100" w:type="dxa"/>
              <w:right w:w="100" w:type="dxa"/>
            </w:tcMar>
          </w:tcPr>
          <w:p w14:paraId="0B38F4A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shd w:val="clear" w:color="auto" w:fill="auto"/>
            <w:tcMar>
              <w:top w:w="100" w:type="dxa"/>
              <w:left w:w="100" w:type="dxa"/>
              <w:bottom w:w="100" w:type="dxa"/>
              <w:right w:w="100" w:type="dxa"/>
            </w:tcMar>
          </w:tcPr>
          <w:p w14:paraId="230E67F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w:t>
            </w:r>
          </w:p>
        </w:tc>
      </w:tr>
      <w:tr w:rsidR="002C1A6A" w:rsidRPr="00AC33A5" w14:paraId="26FBEA1E" w14:textId="77777777" w:rsidTr="002C1A6A">
        <w:trPr>
          <w:cantSplit/>
          <w:trHeight w:val="1134"/>
        </w:trPr>
        <w:tc>
          <w:tcPr>
            <w:tcW w:w="710" w:type="dxa"/>
            <w:shd w:val="clear" w:color="auto" w:fill="auto"/>
            <w:tcMar>
              <w:top w:w="100" w:type="dxa"/>
              <w:left w:w="100" w:type="dxa"/>
              <w:bottom w:w="100" w:type="dxa"/>
              <w:right w:w="100" w:type="dxa"/>
            </w:tcMar>
          </w:tcPr>
          <w:p w14:paraId="5C40F89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5.</w:t>
            </w:r>
          </w:p>
        </w:tc>
        <w:tc>
          <w:tcPr>
            <w:tcW w:w="1984" w:type="dxa"/>
            <w:shd w:val="clear" w:color="auto" w:fill="auto"/>
            <w:tcMar>
              <w:top w:w="100" w:type="dxa"/>
              <w:left w:w="100" w:type="dxa"/>
              <w:bottom w:w="100" w:type="dxa"/>
              <w:right w:w="100" w:type="dxa"/>
            </w:tcMar>
          </w:tcPr>
          <w:p w14:paraId="438E04E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Технічні: можливість на основі накопичених даних робити сценарні прогнози діяльності</w:t>
            </w:r>
          </w:p>
        </w:tc>
        <w:tc>
          <w:tcPr>
            <w:tcW w:w="993" w:type="dxa"/>
            <w:shd w:val="clear" w:color="auto" w:fill="auto"/>
            <w:tcMar>
              <w:top w:w="100" w:type="dxa"/>
              <w:left w:w="100" w:type="dxa"/>
              <w:bottom w:w="100" w:type="dxa"/>
              <w:right w:w="100" w:type="dxa"/>
            </w:tcMar>
            <w:textDirection w:val="btLr"/>
          </w:tcPr>
          <w:p w14:paraId="3A5E433E" w14:textId="77777777" w:rsidR="000B7051" w:rsidRPr="00AC33A5" w:rsidRDefault="000B7051" w:rsidP="00AC246D">
            <w:pP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smArtmining</w:t>
            </w:r>
          </w:p>
        </w:tc>
        <w:tc>
          <w:tcPr>
            <w:tcW w:w="993" w:type="dxa"/>
            <w:shd w:val="clear" w:color="auto" w:fill="auto"/>
            <w:tcMar>
              <w:top w:w="100" w:type="dxa"/>
              <w:left w:w="100" w:type="dxa"/>
              <w:bottom w:w="100" w:type="dxa"/>
              <w:right w:w="100" w:type="dxa"/>
            </w:tcMar>
            <w:textDirection w:val="btLr"/>
          </w:tcPr>
          <w:p w14:paraId="4D468600"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SAP</w:t>
            </w:r>
          </w:p>
        </w:tc>
        <w:tc>
          <w:tcPr>
            <w:tcW w:w="993" w:type="dxa"/>
            <w:shd w:val="clear" w:color="auto" w:fill="auto"/>
            <w:tcMar>
              <w:top w:w="100" w:type="dxa"/>
              <w:left w:w="100" w:type="dxa"/>
              <w:bottom w:w="100" w:type="dxa"/>
              <w:right w:w="100" w:type="dxa"/>
            </w:tcMar>
            <w:textDirection w:val="btLr"/>
          </w:tcPr>
          <w:p w14:paraId="258F9E18"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BASERP</w:t>
            </w:r>
          </w:p>
          <w:p w14:paraId="11B0CE5F" w14:textId="77777777" w:rsidR="000B7051" w:rsidRPr="00AC33A5" w:rsidRDefault="000B7051" w:rsidP="00AC246D">
            <w:pPr>
              <w:widowControl w:val="0"/>
              <w:spacing w:after="0" w:line="240" w:lineRule="auto"/>
              <w:ind w:left="113" w:right="113"/>
              <w:rPr>
                <w:rFonts w:ascii="Times New Roman" w:eastAsia="Times New Roman" w:hAnsi="Times New Roman" w:cs="Times New Roman"/>
                <w:sz w:val="28"/>
                <w:szCs w:val="28"/>
              </w:rPr>
            </w:pPr>
          </w:p>
        </w:tc>
        <w:tc>
          <w:tcPr>
            <w:tcW w:w="993" w:type="dxa"/>
            <w:shd w:val="clear" w:color="auto" w:fill="auto"/>
            <w:tcMar>
              <w:top w:w="100" w:type="dxa"/>
              <w:left w:w="100" w:type="dxa"/>
              <w:bottom w:w="100" w:type="dxa"/>
              <w:right w:w="100" w:type="dxa"/>
            </w:tcMar>
            <w:textDirection w:val="btLr"/>
          </w:tcPr>
          <w:p w14:paraId="46E9C936" w14:textId="77777777" w:rsidR="000B7051" w:rsidRPr="00AC33A5" w:rsidRDefault="000B7051" w:rsidP="00AC246D">
            <w:pPr>
              <w:spacing w:after="0" w:line="240" w:lineRule="auto"/>
              <w:ind w:left="113" w:right="113"/>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Oracle</w:t>
            </w:r>
          </w:p>
        </w:tc>
        <w:tc>
          <w:tcPr>
            <w:tcW w:w="1276" w:type="dxa"/>
            <w:shd w:val="clear" w:color="auto" w:fill="auto"/>
            <w:tcMar>
              <w:top w:w="100" w:type="dxa"/>
              <w:left w:w="100" w:type="dxa"/>
              <w:bottom w:w="100" w:type="dxa"/>
              <w:right w:w="100" w:type="dxa"/>
            </w:tcMar>
          </w:tcPr>
          <w:p w14:paraId="11D8E70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276" w:type="dxa"/>
            <w:shd w:val="clear" w:color="auto" w:fill="auto"/>
            <w:tcMar>
              <w:top w:w="100" w:type="dxa"/>
              <w:left w:w="100" w:type="dxa"/>
              <w:bottom w:w="100" w:type="dxa"/>
              <w:right w:w="100" w:type="dxa"/>
            </w:tcMar>
          </w:tcPr>
          <w:p w14:paraId="492392D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134" w:type="dxa"/>
            <w:shd w:val="clear" w:color="auto" w:fill="auto"/>
            <w:tcMar>
              <w:top w:w="100" w:type="dxa"/>
              <w:left w:w="100" w:type="dxa"/>
              <w:bottom w:w="100" w:type="dxa"/>
              <w:right w:w="100" w:type="dxa"/>
            </w:tcMar>
          </w:tcPr>
          <w:p w14:paraId="74C43A4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w:t>
            </w:r>
          </w:p>
        </w:tc>
      </w:tr>
    </w:tbl>
    <w:p w14:paraId="2951495B"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2E77F456" w14:textId="5551FC17" w:rsidR="000B7051" w:rsidRPr="00AC33A5" w:rsidRDefault="00EA7F98" w:rsidP="00EA7F98">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31" w:name="_Toc155658275"/>
      <w:r>
        <w:rPr>
          <w:rFonts w:ascii="Times New Roman" w:eastAsia="Times New Roman" w:hAnsi="Times New Roman" w:cs="Times New Roman"/>
          <w:sz w:val="28"/>
          <w:szCs w:val="28"/>
        </w:rPr>
        <w:t>4.2.</w:t>
      </w:r>
      <w:r w:rsidR="000B7051" w:rsidRPr="00AC33A5">
        <w:rPr>
          <w:rFonts w:ascii="Times New Roman" w:eastAsia="Times New Roman" w:hAnsi="Times New Roman" w:cs="Times New Roman"/>
          <w:sz w:val="28"/>
          <w:szCs w:val="28"/>
        </w:rPr>
        <w:t>Технологічний аудит ідеї про</w:t>
      </w:r>
      <w:r w:rsidR="000B7051">
        <w:rPr>
          <w:rFonts w:ascii="Times New Roman" w:eastAsia="Times New Roman" w:hAnsi="Times New Roman" w:cs="Times New Roman"/>
          <w:sz w:val="28"/>
          <w:szCs w:val="28"/>
        </w:rPr>
        <w:t>є</w:t>
      </w:r>
      <w:r w:rsidR="000B7051" w:rsidRPr="00AC33A5">
        <w:rPr>
          <w:rFonts w:ascii="Times New Roman" w:eastAsia="Times New Roman" w:hAnsi="Times New Roman" w:cs="Times New Roman"/>
          <w:sz w:val="28"/>
          <w:szCs w:val="28"/>
        </w:rPr>
        <w:t>кту</w:t>
      </w:r>
      <w:bookmarkEnd w:id="31"/>
      <w:r w:rsidR="000B7051" w:rsidRPr="00AC33A5">
        <w:rPr>
          <w:rFonts w:ascii="Times New Roman" w:eastAsia="Times New Roman" w:hAnsi="Times New Roman" w:cs="Times New Roman"/>
          <w:sz w:val="28"/>
          <w:szCs w:val="28"/>
        </w:rPr>
        <w:t xml:space="preserve">  </w:t>
      </w:r>
    </w:p>
    <w:p w14:paraId="4AE55DA2"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5F5341">
        <w:rPr>
          <w:rFonts w:ascii="Times New Roman" w:eastAsia="Times New Roman" w:hAnsi="Times New Roman" w:cs="Times New Roman"/>
          <w:sz w:val="28"/>
          <w:szCs w:val="28"/>
        </w:rPr>
        <w:t>Таблиця 3. Технологічна здійсненність ідеї про</w:t>
      </w:r>
      <w:r>
        <w:rPr>
          <w:rFonts w:ascii="Times New Roman" w:eastAsia="Times New Roman" w:hAnsi="Times New Roman" w:cs="Times New Roman"/>
          <w:sz w:val="28"/>
          <w:szCs w:val="28"/>
        </w:rPr>
        <w:t>є</w:t>
      </w:r>
      <w:r w:rsidRPr="005F5341">
        <w:rPr>
          <w:rFonts w:ascii="Times New Roman" w:eastAsia="Times New Roman" w:hAnsi="Times New Roman" w:cs="Times New Roman"/>
          <w:sz w:val="28"/>
          <w:szCs w:val="28"/>
        </w:rPr>
        <w:t>кту</w:t>
      </w:r>
    </w:p>
    <w:tbl>
      <w:tblPr>
        <w:tblW w:w="98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2259"/>
        <w:gridCol w:w="3260"/>
        <w:gridCol w:w="1701"/>
        <w:gridCol w:w="1701"/>
      </w:tblGrid>
      <w:tr w:rsidR="000B7051" w:rsidRPr="00AC33A5" w14:paraId="69490C30" w14:textId="77777777" w:rsidTr="002C1A6A">
        <w:tc>
          <w:tcPr>
            <w:tcW w:w="960" w:type="dxa"/>
            <w:shd w:val="clear" w:color="auto" w:fill="auto"/>
            <w:tcMar>
              <w:top w:w="100" w:type="dxa"/>
              <w:left w:w="100" w:type="dxa"/>
              <w:bottom w:w="100" w:type="dxa"/>
              <w:right w:w="100" w:type="dxa"/>
            </w:tcMar>
          </w:tcPr>
          <w:p w14:paraId="5C45FA4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259" w:type="dxa"/>
            <w:shd w:val="clear" w:color="auto" w:fill="auto"/>
            <w:tcMar>
              <w:top w:w="100" w:type="dxa"/>
              <w:left w:w="100" w:type="dxa"/>
              <w:bottom w:w="100" w:type="dxa"/>
              <w:right w:w="100" w:type="dxa"/>
            </w:tcMar>
          </w:tcPr>
          <w:p w14:paraId="039E406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Ідея проєкту </w:t>
            </w:r>
          </w:p>
        </w:tc>
        <w:tc>
          <w:tcPr>
            <w:tcW w:w="3260" w:type="dxa"/>
            <w:shd w:val="clear" w:color="auto" w:fill="auto"/>
            <w:tcMar>
              <w:top w:w="100" w:type="dxa"/>
              <w:left w:w="100" w:type="dxa"/>
              <w:bottom w:w="100" w:type="dxa"/>
              <w:right w:w="100" w:type="dxa"/>
            </w:tcMar>
          </w:tcPr>
          <w:p w14:paraId="69191FAE"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Технології її реалізації</w:t>
            </w:r>
          </w:p>
        </w:tc>
        <w:tc>
          <w:tcPr>
            <w:tcW w:w="1701" w:type="dxa"/>
            <w:shd w:val="clear" w:color="auto" w:fill="auto"/>
            <w:tcMar>
              <w:top w:w="100" w:type="dxa"/>
              <w:left w:w="100" w:type="dxa"/>
              <w:bottom w:w="100" w:type="dxa"/>
              <w:right w:w="100" w:type="dxa"/>
            </w:tcMar>
          </w:tcPr>
          <w:p w14:paraId="03E150DF"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Наявність технологій</w:t>
            </w:r>
          </w:p>
        </w:tc>
        <w:tc>
          <w:tcPr>
            <w:tcW w:w="1701" w:type="dxa"/>
            <w:shd w:val="clear" w:color="auto" w:fill="auto"/>
            <w:tcMar>
              <w:top w:w="100" w:type="dxa"/>
              <w:left w:w="100" w:type="dxa"/>
              <w:bottom w:w="100" w:type="dxa"/>
              <w:right w:w="100" w:type="dxa"/>
            </w:tcMar>
          </w:tcPr>
          <w:p w14:paraId="75E83BB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Доступність технологій</w:t>
            </w:r>
          </w:p>
        </w:tc>
      </w:tr>
      <w:tr w:rsidR="000B7051" w:rsidRPr="00AC33A5" w14:paraId="0C57CCDA" w14:textId="77777777" w:rsidTr="002C1A6A">
        <w:tc>
          <w:tcPr>
            <w:tcW w:w="960" w:type="dxa"/>
            <w:shd w:val="clear" w:color="auto" w:fill="auto"/>
            <w:tcMar>
              <w:top w:w="100" w:type="dxa"/>
              <w:left w:w="100" w:type="dxa"/>
              <w:bottom w:w="100" w:type="dxa"/>
              <w:right w:w="100" w:type="dxa"/>
            </w:tcMar>
          </w:tcPr>
          <w:p w14:paraId="32658CB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259" w:type="dxa"/>
            <w:shd w:val="clear" w:color="auto" w:fill="auto"/>
            <w:tcMar>
              <w:top w:w="100" w:type="dxa"/>
              <w:left w:w="100" w:type="dxa"/>
              <w:bottom w:w="100" w:type="dxa"/>
              <w:right w:w="100" w:type="dxa"/>
            </w:tcMar>
          </w:tcPr>
          <w:p w14:paraId="7CD51FCC"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Створення програмного забезпечення для обліку різних аспектів  в діяльності видобувних підприємств</w:t>
            </w:r>
          </w:p>
        </w:tc>
        <w:tc>
          <w:tcPr>
            <w:tcW w:w="3260" w:type="dxa"/>
            <w:shd w:val="clear" w:color="auto" w:fill="auto"/>
            <w:tcMar>
              <w:top w:w="100" w:type="dxa"/>
              <w:left w:w="100" w:type="dxa"/>
              <w:bottom w:w="100" w:type="dxa"/>
              <w:right w:w="100" w:type="dxa"/>
            </w:tcMar>
          </w:tcPr>
          <w:p w14:paraId="1731DFF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1: ABAP (Advanced Business Application Programming) — це мова програмування, яку використовує компанія SAP — один із головних постачальників програмного забезпечення по всьому світу.</w:t>
            </w:r>
          </w:p>
        </w:tc>
        <w:tc>
          <w:tcPr>
            <w:tcW w:w="1701" w:type="dxa"/>
            <w:shd w:val="clear" w:color="auto" w:fill="auto"/>
            <w:tcMar>
              <w:top w:w="100" w:type="dxa"/>
              <w:left w:w="100" w:type="dxa"/>
              <w:bottom w:w="100" w:type="dxa"/>
              <w:right w:w="100" w:type="dxa"/>
            </w:tcMar>
          </w:tcPr>
          <w:p w14:paraId="6F695D7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наявна</w:t>
            </w:r>
          </w:p>
        </w:tc>
        <w:tc>
          <w:tcPr>
            <w:tcW w:w="1701" w:type="dxa"/>
            <w:shd w:val="clear" w:color="auto" w:fill="auto"/>
            <w:tcMar>
              <w:top w:w="100" w:type="dxa"/>
              <w:left w:w="100" w:type="dxa"/>
              <w:bottom w:w="100" w:type="dxa"/>
              <w:right w:w="100" w:type="dxa"/>
            </w:tcMar>
          </w:tcPr>
          <w:p w14:paraId="3832B50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може бути доступна авторам проєкту</w:t>
            </w:r>
          </w:p>
        </w:tc>
      </w:tr>
      <w:tr w:rsidR="000B7051" w:rsidRPr="00AC33A5" w14:paraId="0AD34E0C" w14:textId="77777777" w:rsidTr="002C1A6A">
        <w:tc>
          <w:tcPr>
            <w:tcW w:w="960" w:type="dxa"/>
            <w:shd w:val="clear" w:color="auto" w:fill="auto"/>
            <w:tcMar>
              <w:top w:w="100" w:type="dxa"/>
              <w:left w:w="100" w:type="dxa"/>
              <w:bottom w:w="100" w:type="dxa"/>
              <w:right w:w="100" w:type="dxa"/>
            </w:tcMar>
          </w:tcPr>
          <w:p w14:paraId="1F5A6B9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2259" w:type="dxa"/>
            <w:shd w:val="clear" w:color="auto" w:fill="auto"/>
            <w:tcMar>
              <w:top w:w="100" w:type="dxa"/>
              <w:left w:w="100" w:type="dxa"/>
              <w:bottom w:w="100" w:type="dxa"/>
              <w:right w:w="100" w:type="dxa"/>
            </w:tcMar>
          </w:tcPr>
          <w:p w14:paraId="6ADF242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Обробка масивів даних</w:t>
            </w:r>
          </w:p>
        </w:tc>
        <w:tc>
          <w:tcPr>
            <w:tcW w:w="3260" w:type="dxa"/>
            <w:shd w:val="clear" w:color="auto" w:fill="auto"/>
            <w:tcMar>
              <w:top w:w="100" w:type="dxa"/>
              <w:left w:w="100" w:type="dxa"/>
              <w:bottom w:w="100" w:type="dxa"/>
              <w:right w:w="100" w:type="dxa"/>
            </w:tcMar>
          </w:tcPr>
          <w:p w14:paraId="0D7AB5E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2: SQL (Structured query language - мова структурованих запитів) — декларативна мова програмування для взаємодії користувача з базами даних, що застосовується для формування запитів, оновлення і керування реляційними БД, створення схеми бази даних та її модифікації, системи контролю за доступом до бази даних.</w:t>
            </w:r>
          </w:p>
        </w:tc>
        <w:tc>
          <w:tcPr>
            <w:tcW w:w="1701" w:type="dxa"/>
            <w:shd w:val="clear" w:color="auto" w:fill="auto"/>
            <w:tcMar>
              <w:top w:w="100" w:type="dxa"/>
              <w:left w:w="100" w:type="dxa"/>
              <w:bottom w:w="100" w:type="dxa"/>
              <w:right w:w="100" w:type="dxa"/>
            </w:tcMar>
          </w:tcPr>
          <w:p w14:paraId="37A10834"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наявна</w:t>
            </w:r>
          </w:p>
        </w:tc>
        <w:tc>
          <w:tcPr>
            <w:tcW w:w="1701" w:type="dxa"/>
            <w:shd w:val="clear" w:color="auto" w:fill="auto"/>
            <w:tcMar>
              <w:top w:w="100" w:type="dxa"/>
              <w:left w:w="100" w:type="dxa"/>
              <w:bottom w:w="100" w:type="dxa"/>
              <w:right w:w="100" w:type="dxa"/>
            </w:tcMar>
          </w:tcPr>
          <w:p w14:paraId="37C48FF4"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може бути доступна авторам проєкту</w:t>
            </w:r>
          </w:p>
        </w:tc>
      </w:tr>
      <w:tr w:rsidR="000B7051" w:rsidRPr="00AC33A5" w14:paraId="0102A757" w14:textId="77777777" w:rsidTr="002C1A6A">
        <w:tc>
          <w:tcPr>
            <w:tcW w:w="960" w:type="dxa"/>
            <w:shd w:val="clear" w:color="auto" w:fill="auto"/>
            <w:tcMar>
              <w:top w:w="100" w:type="dxa"/>
              <w:left w:w="100" w:type="dxa"/>
              <w:bottom w:w="100" w:type="dxa"/>
              <w:right w:w="100" w:type="dxa"/>
            </w:tcMar>
          </w:tcPr>
          <w:p w14:paraId="6765E3F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3.</w:t>
            </w:r>
          </w:p>
        </w:tc>
        <w:tc>
          <w:tcPr>
            <w:tcW w:w="2259" w:type="dxa"/>
            <w:shd w:val="clear" w:color="auto" w:fill="auto"/>
            <w:tcMar>
              <w:top w:w="100" w:type="dxa"/>
              <w:left w:w="100" w:type="dxa"/>
              <w:bottom w:w="100" w:type="dxa"/>
              <w:right w:w="100" w:type="dxa"/>
            </w:tcMar>
          </w:tcPr>
          <w:p w14:paraId="4AE88BF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Обробка даних та прогнозування майбутніх сценаріїв </w:t>
            </w:r>
          </w:p>
        </w:tc>
        <w:tc>
          <w:tcPr>
            <w:tcW w:w="3260" w:type="dxa"/>
            <w:shd w:val="clear" w:color="auto" w:fill="auto"/>
            <w:tcMar>
              <w:top w:w="100" w:type="dxa"/>
              <w:left w:w="100" w:type="dxa"/>
              <w:bottom w:w="100" w:type="dxa"/>
              <w:right w:w="100" w:type="dxa"/>
            </w:tcMar>
          </w:tcPr>
          <w:p w14:paraId="20F2CF1B" w14:textId="3219D54C"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3: Мова програмування Python використовується для Machine Learning, бекенд веб-сервісів, десктоп-застосунки, data science, створення 2D-зображень та 3D-анімації, для науково-дослідних рішень, системного адміністрування</w:t>
            </w:r>
            <w:r w:rsidR="00F0701A">
              <w:rPr>
                <w:rFonts w:ascii="Times New Roman" w:eastAsia="Times New Roman" w:hAnsi="Times New Roman" w:cs="Times New Roman"/>
                <w:sz w:val="28"/>
                <w:szCs w:val="28"/>
              </w:rPr>
              <w:t xml:space="preserve"> </w:t>
            </w:r>
          </w:p>
        </w:tc>
        <w:tc>
          <w:tcPr>
            <w:tcW w:w="1701" w:type="dxa"/>
            <w:shd w:val="clear" w:color="auto" w:fill="auto"/>
            <w:tcMar>
              <w:top w:w="100" w:type="dxa"/>
              <w:left w:w="100" w:type="dxa"/>
              <w:bottom w:w="100" w:type="dxa"/>
              <w:right w:w="100" w:type="dxa"/>
            </w:tcMar>
          </w:tcPr>
          <w:p w14:paraId="1DFFFD27"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наявна</w:t>
            </w:r>
          </w:p>
        </w:tc>
        <w:tc>
          <w:tcPr>
            <w:tcW w:w="1701" w:type="dxa"/>
            <w:shd w:val="clear" w:color="auto" w:fill="auto"/>
            <w:tcMar>
              <w:top w:w="100" w:type="dxa"/>
              <w:left w:w="100" w:type="dxa"/>
              <w:bottom w:w="100" w:type="dxa"/>
              <w:right w:w="100" w:type="dxa"/>
            </w:tcMar>
          </w:tcPr>
          <w:p w14:paraId="009F797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може бути доступна авторам проєкту</w:t>
            </w:r>
          </w:p>
        </w:tc>
      </w:tr>
      <w:tr w:rsidR="000B7051" w:rsidRPr="00AC33A5" w14:paraId="66020229" w14:textId="77777777" w:rsidTr="002C1A6A">
        <w:tc>
          <w:tcPr>
            <w:tcW w:w="960" w:type="dxa"/>
            <w:shd w:val="clear" w:color="auto" w:fill="auto"/>
            <w:tcMar>
              <w:top w:w="100" w:type="dxa"/>
              <w:left w:w="100" w:type="dxa"/>
              <w:bottom w:w="100" w:type="dxa"/>
              <w:right w:w="100" w:type="dxa"/>
            </w:tcMar>
          </w:tcPr>
          <w:p w14:paraId="5DDA6C6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w:t>
            </w:r>
          </w:p>
        </w:tc>
        <w:tc>
          <w:tcPr>
            <w:tcW w:w="2259" w:type="dxa"/>
            <w:shd w:val="clear" w:color="auto" w:fill="auto"/>
            <w:tcMar>
              <w:top w:w="100" w:type="dxa"/>
              <w:left w:w="100" w:type="dxa"/>
              <w:bottom w:w="100" w:type="dxa"/>
              <w:right w:w="100" w:type="dxa"/>
            </w:tcMar>
          </w:tcPr>
          <w:p w14:paraId="1F7E834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R</w:t>
            </w:r>
          </w:p>
        </w:tc>
        <w:tc>
          <w:tcPr>
            <w:tcW w:w="3260" w:type="dxa"/>
            <w:shd w:val="clear" w:color="auto" w:fill="auto"/>
            <w:tcMar>
              <w:top w:w="100" w:type="dxa"/>
              <w:left w:w="100" w:type="dxa"/>
              <w:bottom w:w="100" w:type="dxa"/>
              <w:right w:w="100" w:type="dxa"/>
            </w:tcMar>
          </w:tcPr>
          <w:p w14:paraId="537FE93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4: До цієї мови найчастіше вдаються для аналізу даних та популярного нині машинного навчання</w:t>
            </w:r>
          </w:p>
        </w:tc>
        <w:tc>
          <w:tcPr>
            <w:tcW w:w="1701" w:type="dxa"/>
            <w:shd w:val="clear" w:color="auto" w:fill="auto"/>
            <w:tcMar>
              <w:top w:w="100" w:type="dxa"/>
              <w:left w:w="100" w:type="dxa"/>
              <w:bottom w:w="100" w:type="dxa"/>
              <w:right w:w="100" w:type="dxa"/>
            </w:tcMar>
          </w:tcPr>
          <w:p w14:paraId="6D224DA0"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наявна</w:t>
            </w:r>
          </w:p>
        </w:tc>
        <w:tc>
          <w:tcPr>
            <w:tcW w:w="1701" w:type="dxa"/>
            <w:shd w:val="clear" w:color="auto" w:fill="auto"/>
            <w:tcMar>
              <w:top w:w="100" w:type="dxa"/>
              <w:left w:w="100" w:type="dxa"/>
              <w:bottom w:w="100" w:type="dxa"/>
              <w:right w:w="100" w:type="dxa"/>
            </w:tcMar>
          </w:tcPr>
          <w:p w14:paraId="5808D5E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Технологія може бути доступна авторам проєкту</w:t>
            </w:r>
          </w:p>
        </w:tc>
      </w:tr>
      <w:tr w:rsidR="000B7051" w:rsidRPr="00AC33A5" w14:paraId="57155055" w14:textId="77777777" w:rsidTr="002C1A6A">
        <w:trPr>
          <w:trHeight w:val="480"/>
        </w:trPr>
        <w:tc>
          <w:tcPr>
            <w:tcW w:w="9881" w:type="dxa"/>
            <w:gridSpan w:val="5"/>
            <w:shd w:val="clear" w:color="auto" w:fill="auto"/>
            <w:tcMar>
              <w:top w:w="100" w:type="dxa"/>
              <w:left w:w="100" w:type="dxa"/>
              <w:bottom w:w="100" w:type="dxa"/>
              <w:right w:w="100" w:type="dxa"/>
            </w:tcMar>
          </w:tcPr>
          <w:p w14:paraId="7619CE8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Обрана технологія реалізації ідеї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 ABAP та R - зазначені технології дозволяють створювати структуровані бази даних, аналітичні дані, впроваджувати контролі та моделювати різні сценарії</w:t>
            </w:r>
          </w:p>
        </w:tc>
      </w:tr>
    </w:tbl>
    <w:p w14:paraId="0D35908A" w14:textId="77777777" w:rsidR="00AC246D" w:rsidRDefault="00AC246D">
      <w:pPr>
        <w:rPr>
          <w:rFonts w:ascii="Times New Roman" w:eastAsia="Times New Roman" w:hAnsi="Times New Roman" w:cs="Times New Roman"/>
          <w:sz w:val="28"/>
          <w:szCs w:val="28"/>
        </w:rPr>
      </w:pPr>
    </w:p>
    <w:p w14:paraId="0FB6C227" w14:textId="7934710C" w:rsidR="000B7051" w:rsidRPr="00AC33A5" w:rsidRDefault="00EA7F98" w:rsidP="00EA7F98">
      <w:pPr>
        <w:pStyle w:val="2"/>
        <w:keepNext w:val="0"/>
        <w:keepLines w:val="0"/>
        <w:spacing w:before="0" w:after="0" w:line="360" w:lineRule="auto"/>
        <w:ind w:left="1080"/>
        <w:jc w:val="both"/>
        <w:rPr>
          <w:rFonts w:ascii="Times New Roman" w:eastAsia="Times New Roman" w:hAnsi="Times New Roman" w:cs="Times New Roman"/>
          <w:sz w:val="28"/>
          <w:szCs w:val="28"/>
        </w:rPr>
      </w:pPr>
      <w:bookmarkStart w:id="32" w:name="_Toc155658276"/>
      <w:r>
        <w:rPr>
          <w:rFonts w:ascii="Times New Roman" w:eastAsia="Times New Roman" w:hAnsi="Times New Roman" w:cs="Times New Roman"/>
          <w:sz w:val="28"/>
          <w:szCs w:val="28"/>
        </w:rPr>
        <w:t>4.3</w:t>
      </w:r>
      <w:r w:rsidR="000B7051" w:rsidRPr="00AC33A5">
        <w:rPr>
          <w:rFonts w:ascii="Times New Roman" w:eastAsia="Times New Roman" w:hAnsi="Times New Roman" w:cs="Times New Roman"/>
          <w:sz w:val="28"/>
          <w:szCs w:val="28"/>
        </w:rPr>
        <w:t xml:space="preserve"> Аналіз ринкових можливостей запуску стартап проєкту</w:t>
      </w:r>
      <w:bookmarkEnd w:id="32"/>
      <w:r w:rsidR="000B7051" w:rsidRPr="00AC33A5">
        <w:rPr>
          <w:rFonts w:ascii="Times New Roman" w:eastAsia="Times New Roman" w:hAnsi="Times New Roman" w:cs="Times New Roman"/>
          <w:sz w:val="28"/>
          <w:szCs w:val="28"/>
        </w:rPr>
        <w:t xml:space="preserve">  </w:t>
      </w:r>
    </w:p>
    <w:p w14:paraId="32286908"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4. Попередня характеристика потенційного ринку стартап</w:t>
      </w:r>
      <w:r>
        <w:rPr>
          <w:rFonts w:ascii="Times New Roman" w:eastAsia="Times New Roman" w:hAnsi="Times New Roman" w:cs="Times New Roman"/>
          <w:sz w:val="28"/>
          <w:szCs w:val="28"/>
        </w:rPr>
        <w:t xml:space="preserve"> </w:t>
      </w:r>
      <w:r w:rsidRPr="00AC33A5">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w:t>
      </w:r>
    </w:p>
    <w:tbl>
      <w:tblPr>
        <w:tblW w:w="10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55"/>
        <w:gridCol w:w="5057"/>
        <w:gridCol w:w="4111"/>
      </w:tblGrid>
      <w:tr w:rsidR="000B7051" w:rsidRPr="00AC33A5" w14:paraId="0BF2E426" w14:textId="77777777" w:rsidTr="002C1A6A">
        <w:tc>
          <w:tcPr>
            <w:tcW w:w="855" w:type="dxa"/>
            <w:shd w:val="clear" w:color="auto" w:fill="auto"/>
            <w:tcMar>
              <w:top w:w="100" w:type="dxa"/>
              <w:left w:w="100" w:type="dxa"/>
              <w:bottom w:w="100" w:type="dxa"/>
              <w:right w:w="100" w:type="dxa"/>
            </w:tcMar>
          </w:tcPr>
          <w:p w14:paraId="5352171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5057" w:type="dxa"/>
            <w:shd w:val="clear" w:color="auto" w:fill="auto"/>
            <w:tcMar>
              <w:top w:w="100" w:type="dxa"/>
              <w:left w:w="100" w:type="dxa"/>
              <w:bottom w:w="100" w:type="dxa"/>
              <w:right w:w="100" w:type="dxa"/>
            </w:tcMar>
          </w:tcPr>
          <w:p w14:paraId="0F4BEC1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Показники стану ринку (найменування) </w:t>
            </w:r>
          </w:p>
        </w:tc>
        <w:tc>
          <w:tcPr>
            <w:tcW w:w="4111" w:type="dxa"/>
            <w:shd w:val="clear" w:color="auto" w:fill="auto"/>
            <w:tcMar>
              <w:top w:w="100" w:type="dxa"/>
              <w:left w:w="100" w:type="dxa"/>
              <w:bottom w:w="100" w:type="dxa"/>
              <w:right w:w="100" w:type="dxa"/>
            </w:tcMar>
          </w:tcPr>
          <w:p w14:paraId="6EAD5DC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Характеристика</w:t>
            </w:r>
          </w:p>
        </w:tc>
      </w:tr>
      <w:tr w:rsidR="000B7051" w:rsidRPr="00AC33A5" w14:paraId="21BBC8EA" w14:textId="77777777" w:rsidTr="002C1A6A">
        <w:tc>
          <w:tcPr>
            <w:tcW w:w="855" w:type="dxa"/>
            <w:shd w:val="clear" w:color="auto" w:fill="auto"/>
            <w:tcMar>
              <w:top w:w="100" w:type="dxa"/>
              <w:left w:w="100" w:type="dxa"/>
              <w:bottom w:w="100" w:type="dxa"/>
              <w:right w:w="100" w:type="dxa"/>
            </w:tcMar>
          </w:tcPr>
          <w:p w14:paraId="0027454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5057" w:type="dxa"/>
            <w:shd w:val="clear" w:color="auto" w:fill="auto"/>
            <w:tcMar>
              <w:top w:w="100" w:type="dxa"/>
              <w:left w:w="100" w:type="dxa"/>
              <w:bottom w:w="100" w:type="dxa"/>
              <w:right w:w="100" w:type="dxa"/>
            </w:tcMar>
          </w:tcPr>
          <w:p w14:paraId="7D993C2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Кількість головних гравців, од</w:t>
            </w:r>
          </w:p>
        </w:tc>
        <w:tc>
          <w:tcPr>
            <w:tcW w:w="4111" w:type="dxa"/>
            <w:shd w:val="clear" w:color="auto" w:fill="auto"/>
            <w:tcMar>
              <w:top w:w="100" w:type="dxa"/>
              <w:left w:w="100" w:type="dxa"/>
              <w:bottom w:w="100" w:type="dxa"/>
              <w:right w:w="100" w:type="dxa"/>
            </w:tcMar>
          </w:tcPr>
          <w:p w14:paraId="7AA4DCE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5</w:t>
            </w:r>
          </w:p>
        </w:tc>
      </w:tr>
      <w:tr w:rsidR="000B7051" w:rsidRPr="00AC33A5" w14:paraId="102FDA6E" w14:textId="77777777" w:rsidTr="002C1A6A">
        <w:tc>
          <w:tcPr>
            <w:tcW w:w="855" w:type="dxa"/>
            <w:shd w:val="clear" w:color="auto" w:fill="auto"/>
            <w:tcMar>
              <w:top w:w="100" w:type="dxa"/>
              <w:left w:w="100" w:type="dxa"/>
              <w:bottom w:w="100" w:type="dxa"/>
              <w:right w:w="100" w:type="dxa"/>
            </w:tcMar>
          </w:tcPr>
          <w:p w14:paraId="3C176CA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5057" w:type="dxa"/>
            <w:shd w:val="clear" w:color="auto" w:fill="auto"/>
            <w:tcMar>
              <w:top w:w="100" w:type="dxa"/>
              <w:left w:w="100" w:type="dxa"/>
              <w:bottom w:w="100" w:type="dxa"/>
              <w:right w:w="100" w:type="dxa"/>
            </w:tcMar>
          </w:tcPr>
          <w:p w14:paraId="69AF627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Загальний обсяг продаж, грн/ум.од </w:t>
            </w:r>
          </w:p>
        </w:tc>
        <w:tc>
          <w:tcPr>
            <w:tcW w:w="4111" w:type="dxa"/>
            <w:shd w:val="clear" w:color="auto" w:fill="auto"/>
            <w:tcMar>
              <w:top w:w="100" w:type="dxa"/>
              <w:left w:w="100" w:type="dxa"/>
              <w:bottom w:w="100" w:type="dxa"/>
              <w:right w:w="100" w:type="dxa"/>
            </w:tcMar>
          </w:tcPr>
          <w:p w14:paraId="08611A0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млн. ум. од</w:t>
            </w:r>
          </w:p>
        </w:tc>
      </w:tr>
      <w:tr w:rsidR="000B7051" w:rsidRPr="00AC33A5" w14:paraId="3275B180" w14:textId="77777777" w:rsidTr="002C1A6A">
        <w:tc>
          <w:tcPr>
            <w:tcW w:w="855" w:type="dxa"/>
            <w:shd w:val="clear" w:color="auto" w:fill="auto"/>
            <w:tcMar>
              <w:top w:w="100" w:type="dxa"/>
              <w:left w:w="100" w:type="dxa"/>
              <w:bottom w:w="100" w:type="dxa"/>
              <w:right w:w="100" w:type="dxa"/>
            </w:tcMar>
          </w:tcPr>
          <w:p w14:paraId="16DB72A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w:t>
            </w:r>
          </w:p>
        </w:tc>
        <w:tc>
          <w:tcPr>
            <w:tcW w:w="5057" w:type="dxa"/>
            <w:shd w:val="clear" w:color="auto" w:fill="auto"/>
            <w:tcMar>
              <w:top w:w="100" w:type="dxa"/>
              <w:left w:w="100" w:type="dxa"/>
              <w:bottom w:w="100" w:type="dxa"/>
              <w:right w:w="100" w:type="dxa"/>
            </w:tcMar>
          </w:tcPr>
          <w:p w14:paraId="7BCAF99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Динаміка ринку (якісна оцінка) </w:t>
            </w:r>
          </w:p>
        </w:tc>
        <w:tc>
          <w:tcPr>
            <w:tcW w:w="4111" w:type="dxa"/>
            <w:shd w:val="clear" w:color="auto" w:fill="auto"/>
            <w:tcMar>
              <w:top w:w="100" w:type="dxa"/>
              <w:left w:w="100" w:type="dxa"/>
              <w:bottom w:w="100" w:type="dxa"/>
              <w:right w:w="100" w:type="dxa"/>
            </w:tcMar>
          </w:tcPr>
          <w:p w14:paraId="34D6E0A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Помірно зростає після різкого падіння у 2022 році</w:t>
            </w:r>
          </w:p>
        </w:tc>
      </w:tr>
      <w:tr w:rsidR="000B7051" w:rsidRPr="00AC33A5" w14:paraId="0BB6EF48" w14:textId="77777777" w:rsidTr="002C1A6A">
        <w:tc>
          <w:tcPr>
            <w:tcW w:w="855" w:type="dxa"/>
            <w:shd w:val="clear" w:color="auto" w:fill="auto"/>
            <w:tcMar>
              <w:top w:w="100" w:type="dxa"/>
              <w:left w:w="100" w:type="dxa"/>
              <w:bottom w:w="100" w:type="dxa"/>
              <w:right w:w="100" w:type="dxa"/>
            </w:tcMar>
          </w:tcPr>
          <w:p w14:paraId="682749D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w:t>
            </w:r>
          </w:p>
        </w:tc>
        <w:tc>
          <w:tcPr>
            <w:tcW w:w="5057" w:type="dxa"/>
            <w:shd w:val="clear" w:color="auto" w:fill="auto"/>
            <w:tcMar>
              <w:top w:w="100" w:type="dxa"/>
              <w:left w:w="100" w:type="dxa"/>
              <w:bottom w:w="100" w:type="dxa"/>
              <w:right w:w="100" w:type="dxa"/>
            </w:tcMar>
          </w:tcPr>
          <w:p w14:paraId="4649F01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Наявність обмежень для входу (вказати характер обмежень)</w:t>
            </w:r>
          </w:p>
        </w:tc>
        <w:tc>
          <w:tcPr>
            <w:tcW w:w="4111" w:type="dxa"/>
            <w:shd w:val="clear" w:color="auto" w:fill="auto"/>
            <w:tcMar>
              <w:top w:w="100" w:type="dxa"/>
              <w:left w:w="100" w:type="dxa"/>
              <w:bottom w:w="100" w:type="dxa"/>
              <w:right w:w="100" w:type="dxa"/>
            </w:tcMar>
          </w:tcPr>
          <w:p w14:paraId="1D8B7FE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Дефіцит кваліфікованого персоналу, необхідність формування ринку для даної послуги з нуля</w:t>
            </w:r>
          </w:p>
        </w:tc>
      </w:tr>
      <w:tr w:rsidR="000B7051" w:rsidRPr="00AC33A5" w14:paraId="46A1AD4F" w14:textId="77777777" w:rsidTr="002C1A6A">
        <w:tc>
          <w:tcPr>
            <w:tcW w:w="855" w:type="dxa"/>
            <w:shd w:val="clear" w:color="auto" w:fill="auto"/>
            <w:tcMar>
              <w:top w:w="100" w:type="dxa"/>
              <w:left w:w="100" w:type="dxa"/>
              <w:bottom w:w="100" w:type="dxa"/>
              <w:right w:w="100" w:type="dxa"/>
            </w:tcMar>
          </w:tcPr>
          <w:p w14:paraId="0406444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5.</w:t>
            </w:r>
          </w:p>
        </w:tc>
        <w:tc>
          <w:tcPr>
            <w:tcW w:w="5057" w:type="dxa"/>
            <w:shd w:val="clear" w:color="auto" w:fill="auto"/>
            <w:tcMar>
              <w:top w:w="100" w:type="dxa"/>
              <w:left w:w="100" w:type="dxa"/>
              <w:bottom w:w="100" w:type="dxa"/>
              <w:right w:w="100" w:type="dxa"/>
            </w:tcMar>
          </w:tcPr>
          <w:p w14:paraId="7F75DDD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Специфічні вимоги до стандартизації та сертифікації</w:t>
            </w:r>
          </w:p>
        </w:tc>
        <w:tc>
          <w:tcPr>
            <w:tcW w:w="4111" w:type="dxa"/>
            <w:shd w:val="clear" w:color="auto" w:fill="auto"/>
            <w:tcMar>
              <w:top w:w="100" w:type="dxa"/>
              <w:left w:w="100" w:type="dxa"/>
              <w:bottom w:w="100" w:type="dxa"/>
              <w:right w:w="100" w:type="dxa"/>
            </w:tcMar>
          </w:tcPr>
          <w:p w14:paraId="67CD361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Не має, однак перевагою буде сертифікація безпеки систем за стандартами ІСО</w:t>
            </w:r>
          </w:p>
        </w:tc>
      </w:tr>
      <w:tr w:rsidR="000B7051" w:rsidRPr="00AC33A5" w14:paraId="033C5463" w14:textId="77777777" w:rsidTr="002C1A6A">
        <w:tc>
          <w:tcPr>
            <w:tcW w:w="855" w:type="dxa"/>
            <w:shd w:val="clear" w:color="auto" w:fill="auto"/>
            <w:tcMar>
              <w:top w:w="100" w:type="dxa"/>
              <w:left w:w="100" w:type="dxa"/>
              <w:bottom w:w="100" w:type="dxa"/>
              <w:right w:w="100" w:type="dxa"/>
            </w:tcMar>
          </w:tcPr>
          <w:p w14:paraId="4382811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6.</w:t>
            </w:r>
          </w:p>
        </w:tc>
        <w:tc>
          <w:tcPr>
            <w:tcW w:w="5057" w:type="dxa"/>
            <w:shd w:val="clear" w:color="auto" w:fill="auto"/>
            <w:tcMar>
              <w:top w:w="100" w:type="dxa"/>
              <w:left w:w="100" w:type="dxa"/>
              <w:bottom w:w="100" w:type="dxa"/>
              <w:right w:w="100" w:type="dxa"/>
            </w:tcMar>
          </w:tcPr>
          <w:p w14:paraId="009E736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Середня норма рентабельності в галузі (або по ринку), %</w:t>
            </w:r>
          </w:p>
        </w:tc>
        <w:tc>
          <w:tcPr>
            <w:tcW w:w="4111" w:type="dxa"/>
            <w:shd w:val="clear" w:color="auto" w:fill="auto"/>
            <w:tcMar>
              <w:top w:w="100" w:type="dxa"/>
              <w:left w:w="100" w:type="dxa"/>
              <w:bottom w:w="100" w:type="dxa"/>
              <w:right w:w="100" w:type="dxa"/>
            </w:tcMar>
          </w:tcPr>
          <w:p w14:paraId="59BEAE9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Для ERP систем до 40 %</w:t>
            </w:r>
          </w:p>
        </w:tc>
      </w:tr>
    </w:tbl>
    <w:p w14:paraId="3C7E1921" w14:textId="77777777" w:rsidR="000B7051" w:rsidRPr="00AC33A5" w:rsidRDefault="000B7051" w:rsidP="000B7051">
      <w:pPr>
        <w:spacing w:after="0" w:line="36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Висновок: за попереднім оцінюванням продукт є новим для ринку України з прогнозним високим рівнем дохідності, тому є привабливим, хоча буде вимагати значних витрат по часу та ресурсах для формування попиту та залучення клієнтів. </w:t>
      </w:r>
    </w:p>
    <w:p w14:paraId="4C96E58D"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53F1258B"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5. Характеристика потенційних клієнтів стартап</w:t>
      </w:r>
      <w:r>
        <w:rPr>
          <w:rFonts w:ascii="Times New Roman" w:eastAsia="Times New Roman" w:hAnsi="Times New Roman" w:cs="Times New Roman"/>
          <w:sz w:val="28"/>
          <w:szCs w:val="28"/>
        </w:rPr>
        <w:t xml:space="preserve"> </w:t>
      </w:r>
      <w:r w:rsidRPr="00AC33A5">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w:t>
      </w:r>
    </w:p>
    <w:tbl>
      <w:tblPr>
        <w:tblW w:w="10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36"/>
        <w:gridCol w:w="2199"/>
        <w:gridCol w:w="2410"/>
        <w:gridCol w:w="2552"/>
        <w:gridCol w:w="2126"/>
      </w:tblGrid>
      <w:tr w:rsidR="000B7051" w:rsidRPr="00AC33A5" w14:paraId="25E280D2" w14:textId="77777777" w:rsidTr="002C1A6A">
        <w:tc>
          <w:tcPr>
            <w:tcW w:w="736" w:type="dxa"/>
            <w:shd w:val="clear" w:color="auto" w:fill="auto"/>
            <w:tcMar>
              <w:top w:w="100" w:type="dxa"/>
              <w:left w:w="100" w:type="dxa"/>
              <w:bottom w:w="100" w:type="dxa"/>
              <w:right w:w="100" w:type="dxa"/>
            </w:tcMar>
          </w:tcPr>
          <w:p w14:paraId="653A1EB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п/п </w:t>
            </w:r>
          </w:p>
        </w:tc>
        <w:tc>
          <w:tcPr>
            <w:tcW w:w="2199" w:type="dxa"/>
            <w:shd w:val="clear" w:color="auto" w:fill="auto"/>
            <w:tcMar>
              <w:top w:w="100" w:type="dxa"/>
              <w:left w:w="100" w:type="dxa"/>
              <w:bottom w:w="100" w:type="dxa"/>
              <w:right w:w="100" w:type="dxa"/>
            </w:tcMar>
          </w:tcPr>
          <w:p w14:paraId="01B9F8F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Потреба, що формує ринок</w:t>
            </w:r>
          </w:p>
        </w:tc>
        <w:tc>
          <w:tcPr>
            <w:tcW w:w="2410" w:type="dxa"/>
            <w:shd w:val="clear" w:color="auto" w:fill="auto"/>
            <w:tcMar>
              <w:top w:w="100" w:type="dxa"/>
              <w:left w:w="100" w:type="dxa"/>
              <w:bottom w:w="100" w:type="dxa"/>
              <w:right w:w="100" w:type="dxa"/>
            </w:tcMar>
          </w:tcPr>
          <w:p w14:paraId="5690564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Цільова аудиторія  (цільові сегменти  ринку)</w:t>
            </w:r>
          </w:p>
        </w:tc>
        <w:tc>
          <w:tcPr>
            <w:tcW w:w="2552" w:type="dxa"/>
            <w:shd w:val="clear" w:color="auto" w:fill="auto"/>
            <w:tcMar>
              <w:top w:w="100" w:type="dxa"/>
              <w:left w:w="100" w:type="dxa"/>
              <w:bottom w:w="100" w:type="dxa"/>
              <w:right w:w="100" w:type="dxa"/>
            </w:tcMar>
          </w:tcPr>
          <w:p w14:paraId="7A4A86A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Відмінності у поведінці різних потенційних  цільових груп клієнтів</w:t>
            </w:r>
          </w:p>
        </w:tc>
        <w:tc>
          <w:tcPr>
            <w:tcW w:w="2126" w:type="dxa"/>
            <w:shd w:val="clear" w:color="auto" w:fill="auto"/>
            <w:tcMar>
              <w:top w:w="100" w:type="dxa"/>
              <w:left w:w="100" w:type="dxa"/>
              <w:bottom w:w="100" w:type="dxa"/>
              <w:right w:w="100" w:type="dxa"/>
            </w:tcMar>
          </w:tcPr>
          <w:p w14:paraId="181CD9F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Вимоги споживачів до товару </w:t>
            </w:r>
          </w:p>
        </w:tc>
      </w:tr>
      <w:tr w:rsidR="000B7051" w:rsidRPr="00AC33A5" w14:paraId="53E1D313" w14:textId="77777777" w:rsidTr="002C1A6A">
        <w:tc>
          <w:tcPr>
            <w:tcW w:w="736" w:type="dxa"/>
            <w:shd w:val="clear" w:color="auto" w:fill="auto"/>
            <w:tcMar>
              <w:top w:w="100" w:type="dxa"/>
              <w:left w:w="100" w:type="dxa"/>
              <w:bottom w:w="100" w:type="dxa"/>
              <w:right w:w="100" w:type="dxa"/>
            </w:tcMar>
          </w:tcPr>
          <w:p w14:paraId="7D74B29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199" w:type="dxa"/>
            <w:shd w:val="clear" w:color="auto" w:fill="auto"/>
            <w:tcMar>
              <w:top w:w="100" w:type="dxa"/>
              <w:left w:w="100" w:type="dxa"/>
              <w:bottom w:w="100" w:type="dxa"/>
              <w:right w:w="100" w:type="dxa"/>
            </w:tcMar>
          </w:tcPr>
          <w:p w14:paraId="00F3E41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Автоматизація видобувної діяльності </w:t>
            </w:r>
          </w:p>
        </w:tc>
        <w:tc>
          <w:tcPr>
            <w:tcW w:w="2410" w:type="dxa"/>
            <w:shd w:val="clear" w:color="auto" w:fill="auto"/>
            <w:tcMar>
              <w:top w:w="100" w:type="dxa"/>
              <w:left w:w="100" w:type="dxa"/>
              <w:bottom w:w="100" w:type="dxa"/>
              <w:right w:w="100" w:type="dxa"/>
            </w:tcMar>
          </w:tcPr>
          <w:p w14:paraId="2782C1E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Приватні видобувні компанії</w:t>
            </w:r>
          </w:p>
        </w:tc>
        <w:tc>
          <w:tcPr>
            <w:tcW w:w="2552" w:type="dxa"/>
            <w:shd w:val="clear" w:color="auto" w:fill="auto"/>
            <w:tcMar>
              <w:top w:w="100" w:type="dxa"/>
              <w:left w:w="100" w:type="dxa"/>
              <w:bottom w:w="100" w:type="dxa"/>
              <w:right w:w="100" w:type="dxa"/>
            </w:tcMar>
          </w:tcPr>
          <w:p w14:paraId="5E5518C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Шукають механізми покращення економічних показників діяльності та зменшення збитків</w:t>
            </w:r>
          </w:p>
        </w:tc>
        <w:tc>
          <w:tcPr>
            <w:tcW w:w="2126" w:type="dxa"/>
            <w:shd w:val="clear" w:color="auto" w:fill="auto"/>
            <w:tcMar>
              <w:top w:w="100" w:type="dxa"/>
              <w:left w:w="100" w:type="dxa"/>
              <w:bottom w:w="100" w:type="dxa"/>
              <w:right w:w="100" w:type="dxa"/>
            </w:tcMar>
          </w:tcPr>
          <w:p w14:paraId="01A369B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Легкість у використанні; </w:t>
            </w:r>
          </w:p>
          <w:p w14:paraId="751A3E5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можливість адаптації під конкретні потреби;</w:t>
            </w:r>
          </w:p>
          <w:p w14:paraId="0AD621F8" w14:textId="77777777" w:rsidR="000B7051" w:rsidRPr="00AC33A5" w:rsidRDefault="000B7051" w:rsidP="00AC246D">
            <w:pPr>
              <w:widowControl w:val="0"/>
              <w:pBdr>
                <w:top w:val="nil"/>
                <w:left w:val="nil"/>
                <w:bottom w:val="nil"/>
                <w:right w:val="nil"/>
                <w:between w:val="nil"/>
              </w:pBdr>
              <w:spacing w:after="0" w:line="240" w:lineRule="auto"/>
              <w:ind w:left="-141"/>
              <w:rPr>
                <w:rFonts w:ascii="Times New Roman" w:eastAsia="Times New Roman" w:hAnsi="Times New Roman" w:cs="Times New Roman"/>
                <w:sz w:val="28"/>
                <w:szCs w:val="28"/>
              </w:rPr>
            </w:pPr>
          </w:p>
        </w:tc>
      </w:tr>
      <w:tr w:rsidR="000B7051" w:rsidRPr="00AC33A5" w14:paraId="3036F10F" w14:textId="77777777" w:rsidTr="002C1A6A">
        <w:tc>
          <w:tcPr>
            <w:tcW w:w="736" w:type="dxa"/>
            <w:shd w:val="clear" w:color="auto" w:fill="auto"/>
            <w:tcMar>
              <w:top w:w="100" w:type="dxa"/>
              <w:left w:w="100" w:type="dxa"/>
              <w:bottom w:w="100" w:type="dxa"/>
              <w:right w:w="100" w:type="dxa"/>
            </w:tcMar>
          </w:tcPr>
          <w:p w14:paraId="196B71A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2. </w:t>
            </w:r>
          </w:p>
        </w:tc>
        <w:tc>
          <w:tcPr>
            <w:tcW w:w="2199" w:type="dxa"/>
            <w:shd w:val="clear" w:color="auto" w:fill="auto"/>
            <w:tcMar>
              <w:top w:w="100" w:type="dxa"/>
              <w:left w:w="100" w:type="dxa"/>
              <w:bottom w:w="100" w:type="dxa"/>
              <w:right w:w="100" w:type="dxa"/>
            </w:tcMar>
          </w:tcPr>
          <w:p w14:paraId="49F3967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Стандартизація управління бізнес -процесами та забезпечення прозорості</w:t>
            </w:r>
          </w:p>
        </w:tc>
        <w:tc>
          <w:tcPr>
            <w:tcW w:w="2410" w:type="dxa"/>
            <w:shd w:val="clear" w:color="auto" w:fill="auto"/>
            <w:tcMar>
              <w:top w:w="100" w:type="dxa"/>
              <w:left w:w="100" w:type="dxa"/>
              <w:bottom w:w="100" w:type="dxa"/>
              <w:right w:w="100" w:type="dxa"/>
            </w:tcMar>
          </w:tcPr>
          <w:p w14:paraId="20DF3C2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Державні видобувні компанії</w:t>
            </w:r>
          </w:p>
        </w:tc>
        <w:tc>
          <w:tcPr>
            <w:tcW w:w="2552" w:type="dxa"/>
            <w:shd w:val="clear" w:color="auto" w:fill="auto"/>
            <w:tcMar>
              <w:top w:w="100" w:type="dxa"/>
              <w:left w:w="100" w:type="dxa"/>
              <w:bottom w:w="100" w:type="dxa"/>
              <w:right w:w="100" w:type="dxa"/>
            </w:tcMar>
          </w:tcPr>
          <w:p w14:paraId="2F145CF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Шукають простих механізмів формування звітності </w:t>
            </w:r>
          </w:p>
        </w:tc>
        <w:tc>
          <w:tcPr>
            <w:tcW w:w="2126" w:type="dxa"/>
            <w:shd w:val="clear" w:color="auto" w:fill="auto"/>
            <w:tcMar>
              <w:top w:w="100" w:type="dxa"/>
              <w:left w:w="100" w:type="dxa"/>
              <w:bottom w:w="100" w:type="dxa"/>
              <w:right w:w="100" w:type="dxa"/>
            </w:tcMar>
          </w:tcPr>
          <w:p w14:paraId="3B40638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Підготовка звітності, яка приймається контролюючими органами</w:t>
            </w:r>
          </w:p>
        </w:tc>
      </w:tr>
      <w:tr w:rsidR="000B7051" w:rsidRPr="00AC33A5" w14:paraId="40401A05" w14:textId="77777777" w:rsidTr="002C1A6A">
        <w:tc>
          <w:tcPr>
            <w:tcW w:w="736" w:type="dxa"/>
            <w:shd w:val="clear" w:color="auto" w:fill="auto"/>
            <w:tcMar>
              <w:top w:w="100" w:type="dxa"/>
              <w:left w:w="100" w:type="dxa"/>
              <w:bottom w:w="100" w:type="dxa"/>
              <w:right w:w="100" w:type="dxa"/>
            </w:tcMar>
          </w:tcPr>
          <w:p w14:paraId="46CA9D1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3. </w:t>
            </w:r>
          </w:p>
        </w:tc>
        <w:tc>
          <w:tcPr>
            <w:tcW w:w="2199" w:type="dxa"/>
            <w:shd w:val="clear" w:color="auto" w:fill="auto"/>
            <w:tcMar>
              <w:top w:w="100" w:type="dxa"/>
              <w:left w:w="100" w:type="dxa"/>
              <w:bottom w:w="100" w:type="dxa"/>
              <w:right w:w="100" w:type="dxa"/>
            </w:tcMar>
          </w:tcPr>
          <w:p w14:paraId="65F8A67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Стандартизація управління бізнес-процесами, демонстрація відповідності та прозоре звітування</w:t>
            </w:r>
          </w:p>
        </w:tc>
        <w:tc>
          <w:tcPr>
            <w:tcW w:w="2410" w:type="dxa"/>
            <w:shd w:val="clear" w:color="auto" w:fill="auto"/>
            <w:tcMar>
              <w:top w:w="100" w:type="dxa"/>
              <w:left w:w="100" w:type="dxa"/>
              <w:bottom w:w="100" w:type="dxa"/>
              <w:right w:w="100" w:type="dxa"/>
            </w:tcMar>
          </w:tcPr>
          <w:p w14:paraId="0F16DE6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Державні органи</w:t>
            </w:r>
          </w:p>
        </w:tc>
        <w:tc>
          <w:tcPr>
            <w:tcW w:w="2552" w:type="dxa"/>
            <w:shd w:val="clear" w:color="auto" w:fill="auto"/>
            <w:tcMar>
              <w:top w:w="100" w:type="dxa"/>
              <w:left w:w="100" w:type="dxa"/>
              <w:bottom w:w="100" w:type="dxa"/>
              <w:right w:w="100" w:type="dxa"/>
            </w:tcMar>
          </w:tcPr>
          <w:p w14:paraId="7B5FC21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Шукають інвесторів для спільних проєктів</w:t>
            </w:r>
          </w:p>
        </w:tc>
        <w:tc>
          <w:tcPr>
            <w:tcW w:w="2126" w:type="dxa"/>
            <w:shd w:val="clear" w:color="auto" w:fill="auto"/>
            <w:tcMar>
              <w:top w:w="100" w:type="dxa"/>
              <w:left w:w="100" w:type="dxa"/>
              <w:bottom w:w="100" w:type="dxa"/>
              <w:right w:w="100" w:type="dxa"/>
            </w:tcMar>
          </w:tcPr>
          <w:p w14:paraId="23A65CB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Проходження due diligence в проєктах M&amp;A </w:t>
            </w:r>
          </w:p>
        </w:tc>
      </w:tr>
      <w:tr w:rsidR="000B7051" w:rsidRPr="00AC33A5" w14:paraId="1B0343BB" w14:textId="77777777" w:rsidTr="002C1A6A">
        <w:tc>
          <w:tcPr>
            <w:tcW w:w="736" w:type="dxa"/>
            <w:shd w:val="clear" w:color="auto" w:fill="auto"/>
            <w:tcMar>
              <w:top w:w="100" w:type="dxa"/>
              <w:left w:w="100" w:type="dxa"/>
              <w:bottom w:w="100" w:type="dxa"/>
              <w:right w:w="100" w:type="dxa"/>
            </w:tcMar>
          </w:tcPr>
          <w:p w14:paraId="7633127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4. </w:t>
            </w:r>
          </w:p>
        </w:tc>
        <w:tc>
          <w:tcPr>
            <w:tcW w:w="2199" w:type="dxa"/>
            <w:shd w:val="clear" w:color="auto" w:fill="auto"/>
            <w:tcMar>
              <w:top w:w="100" w:type="dxa"/>
              <w:left w:w="100" w:type="dxa"/>
              <w:bottom w:w="100" w:type="dxa"/>
              <w:right w:w="100" w:type="dxa"/>
            </w:tcMar>
          </w:tcPr>
          <w:p w14:paraId="205891F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Управління безпековими факторами </w:t>
            </w:r>
            <w:r w:rsidRPr="00AC33A5">
              <w:rPr>
                <w:rFonts w:ascii="Times New Roman" w:eastAsia="Times New Roman" w:hAnsi="Times New Roman" w:cs="Times New Roman"/>
                <w:sz w:val="28"/>
                <w:szCs w:val="28"/>
              </w:rPr>
              <w:lastRenderedPageBreak/>
              <w:t>кинутих видобувних підприємств</w:t>
            </w:r>
          </w:p>
        </w:tc>
        <w:tc>
          <w:tcPr>
            <w:tcW w:w="2410" w:type="dxa"/>
            <w:shd w:val="clear" w:color="auto" w:fill="auto"/>
            <w:tcMar>
              <w:top w:w="100" w:type="dxa"/>
              <w:left w:w="100" w:type="dxa"/>
              <w:bottom w:w="100" w:type="dxa"/>
              <w:right w:w="100" w:type="dxa"/>
            </w:tcMar>
          </w:tcPr>
          <w:p w14:paraId="00E35FE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Органи місцевого самоврядування на територіях, на </w:t>
            </w:r>
            <w:r w:rsidRPr="00AC33A5">
              <w:rPr>
                <w:rFonts w:ascii="Times New Roman" w:eastAsia="Times New Roman" w:hAnsi="Times New Roman" w:cs="Times New Roman"/>
                <w:sz w:val="28"/>
                <w:szCs w:val="28"/>
              </w:rPr>
              <w:lastRenderedPageBreak/>
              <w:t>яких велись бойові дії, звільнених територіях і тих, які будуть звільненні</w:t>
            </w:r>
          </w:p>
        </w:tc>
        <w:tc>
          <w:tcPr>
            <w:tcW w:w="2552" w:type="dxa"/>
            <w:shd w:val="clear" w:color="auto" w:fill="auto"/>
            <w:tcMar>
              <w:top w:w="100" w:type="dxa"/>
              <w:left w:w="100" w:type="dxa"/>
              <w:bottom w:w="100" w:type="dxa"/>
              <w:right w:w="100" w:type="dxa"/>
            </w:tcMar>
          </w:tcPr>
          <w:p w14:paraId="2DE3183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Ефективне виділення ресурсів для забезпечення </w:t>
            </w:r>
            <w:r w:rsidRPr="00AC33A5">
              <w:rPr>
                <w:rFonts w:ascii="Times New Roman" w:eastAsia="Times New Roman" w:hAnsi="Times New Roman" w:cs="Times New Roman"/>
                <w:sz w:val="28"/>
                <w:szCs w:val="28"/>
              </w:rPr>
              <w:lastRenderedPageBreak/>
              <w:t>безпечного навколишнього середовища</w:t>
            </w:r>
          </w:p>
        </w:tc>
        <w:tc>
          <w:tcPr>
            <w:tcW w:w="2126" w:type="dxa"/>
            <w:shd w:val="clear" w:color="auto" w:fill="auto"/>
            <w:tcMar>
              <w:top w:w="100" w:type="dxa"/>
              <w:left w:w="100" w:type="dxa"/>
              <w:bottom w:w="100" w:type="dxa"/>
              <w:right w:w="100" w:type="dxa"/>
            </w:tcMar>
          </w:tcPr>
          <w:p w14:paraId="7C24635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Розрахунок та контроль видатків </w:t>
            </w:r>
            <w:r w:rsidRPr="00AC33A5">
              <w:rPr>
                <w:rFonts w:ascii="Times New Roman" w:eastAsia="Times New Roman" w:hAnsi="Times New Roman" w:cs="Times New Roman"/>
                <w:sz w:val="28"/>
                <w:szCs w:val="28"/>
              </w:rPr>
              <w:lastRenderedPageBreak/>
              <w:t>бюджетів</w:t>
            </w:r>
          </w:p>
        </w:tc>
      </w:tr>
    </w:tbl>
    <w:p w14:paraId="674A0D43"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1EEBA340"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Таблиця 6. Фактори загроз </w:t>
      </w:r>
    </w:p>
    <w:tbl>
      <w:tblPr>
        <w:tblW w:w="97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03"/>
        <w:gridCol w:w="2132"/>
        <w:gridCol w:w="3118"/>
        <w:gridCol w:w="3686"/>
      </w:tblGrid>
      <w:tr w:rsidR="000B7051" w:rsidRPr="00AC33A5" w14:paraId="70896C02" w14:textId="77777777" w:rsidTr="002C1A6A">
        <w:tc>
          <w:tcPr>
            <w:tcW w:w="803" w:type="dxa"/>
            <w:shd w:val="clear" w:color="auto" w:fill="auto"/>
            <w:tcMar>
              <w:top w:w="100" w:type="dxa"/>
              <w:left w:w="100" w:type="dxa"/>
              <w:bottom w:w="100" w:type="dxa"/>
              <w:right w:w="100" w:type="dxa"/>
            </w:tcMar>
          </w:tcPr>
          <w:p w14:paraId="50E294E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132" w:type="dxa"/>
            <w:shd w:val="clear" w:color="auto" w:fill="auto"/>
            <w:tcMar>
              <w:top w:w="100" w:type="dxa"/>
              <w:left w:w="100" w:type="dxa"/>
              <w:bottom w:w="100" w:type="dxa"/>
              <w:right w:w="100" w:type="dxa"/>
            </w:tcMar>
          </w:tcPr>
          <w:p w14:paraId="1F776D2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Фактор </w:t>
            </w:r>
          </w:p>
        </w:tc>
        <w:tc>
          <w:tcPr>
            <w:tcW w:w="3118" w:type="dxa"/>
            <w:shd w:val="clear" w:color="auto" w:fill="auto"/>
            <w:tcMar>
              <w:top w:w="100" w:type="dxa"/>
              <w:left w:w="100" w:type="dxa"/>
              <w:bottom w:w="100" w:type="dxa"/>
              <w:right w:w="100" w:type="dxa"/>
            </w:tcMar>
          </w:tcPr>
          <w:p w14:paraId="43A29DE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Зміст загрози</w:t>
            </w:r>
          </w:p>
        </w:tc>
        <w:tc>
          <w:tcPr>
            <w:tcW w:w="3686" w:type="dxa"/>
            <w:shd w:val="clear" w:color="auto" w:fill="auto"/>
            <w:tcMar>
              <w:top w:w="100" w:type="dxa"/>
              <w:left w:w="100" w:type="dxa"/>
              <w:bottom w:w="100" w:type="dxa"/>
              <w:right w:w="100" w:type="dxa"/>
            </w:tcMar>
          </w:tcPr>
          <w:p w14:paraId="5091482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Можлива реакція компанії</w:t>
            </w:r>
          </w:p>
        </w:tc>
      </w:tr>
      <w:tr w:rsidR="000B7051" w:rsidRPr="00AC33A5" w14:paraId="54A1369B" w14:textId="77777777" w:rsidTr="002C1A6A">
        <w:tc>
          <w:tcPr>
            <w:tcW w:w="803" w:type="dxa"/>
            <w:shd w:val="clear" w:color="auto" w:fill="auto"/>
            <w:tcMar>
              <w:top w:w="100" w:type="dxa"/>
              <w:left w:w="100" w:type="dxa"/>
              <w:bottom w:w="100" w:type="dxa"/>
              <w:right w:w="100" w:type="dxa"/>
            </w:tcMar>
          </w:tcPr>
          <w:p w14:paraId="63018E3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132" w:type="dxa"/>
            <w:shd w:val="clear" w:color="auto" w:fill="auto"/>
            <w:tcMar>
              <w:top w:w="100" w:type="dxa"/>
              <w:left w:w="100" w:type="dxa"/>
              <w:bottom w:w="100" w:type="dxa"/>
              <w:right w:w="100" w:type="dxa"/>
            </w:tcMar>
          </w:tcPr>
          <w:p w14:paraId="4DBAFB1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Продовження воєнних дій</w:t>
            </w:r>
          </w:p>
        </w:tc>
        <w:tc>
          <w:tcPr>
            <w:tcW w:w="3118" w:type="dxa"/>
            <w:shd w:val="clear" w:color="auto" w:fill="auto"/>
            <w:tcMar>
              <w:top w:w="100" w:type="dxa"/>
              <w:left w:w="100" w:type="dxa"/>
              <w:bottom w:w="100" w:type="dxa"/>
              <w:right w:w="100" w:type="dxa"/>
            </w:tcMar>
          </w:tcPr>
          <w:p w14:paraId="193FE3B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Зменшення обсягу видобувної галузі</w:t>
            </w:r>
          </w:p>
        </w:tc>
        <w:tc>
          <w:tcPr>
            <w:tcW w:w="3686" w:type="dxa"/>
            <w:shd w:val="clear" w:color="auto" w:fill="auto"/>
            <w:tcMar>
              <w:top w:w="100" w:type="dxa"/>
              <w:left w:w="100" w:type="dxa"/>
              <w:bottom w:w="100" w:type="dxa"/>
              <w:right w:w="100" w:type="dxa"/>
            </w:tcMar>
          </w:tcPr>
          <w:p w14:paraId="430FEA6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Розгляд можливості виходу на іноземні ринки</w:t>
            </w:r>
          </w:p>
        </w:tc>
      </w:tr>
      <w:tr w:rsidR="000B7051" w:rsidRPr="00AC33A5" w14:paraId="2495023D" w14:textId="77777777" w:rsidTr="002C1A6A">
        <w:tc>
          <w:tcPr>
            <w:tcW w:w="803" w:type="dxa"/>
            <w:shd w:val="clear" w:color="auto" w:fill="auto"/>
            <w:tcMar>
              <w:top w:w="100" w:type="dxa"/>
              <w:left w:w="100" w:type="dxa"/>
              <w:bottom w:w="100" w:type="dxa"/>
              <w:right w:w="100" w:type="dxa"/>
            </w:tcMar>
          </w:tcPr>
          <w:p w14:paraId="47B8BE7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2132" w:type="dxa"/>
            <w:shd w:val="clear" w:color="auto" w:fill="auto"/>
            <w:tcMar>
              <w:top w:w="100" w:type="dxa"/>
              <w:left w:w="100" w:type="dxa"/>
              <w:bottom w:w="100" w:type="dxa"/>
              <w:right w:w="100" w:type="dxa"/>
            </w:tcMar>
          </w:tcPr>
          <w:p w14:paraId="156E9845"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Продовження воєнних дій</w:t>
            </w:r>
          </w:p>
        </w:tc>
        <w:tc>
          <w:tcPr>
            <w:tcW w:w="3118" w:type="dxa"/>
            <w:shd w:val="clear" w:color="auto" w:fill="auto"/>
            <w:tcMar>
              <w:top w:w="100" w:type="dxa"/>
              <w:left w:w="100" w:type="dxa"/>
              <w:bottom w:w="100" w:type="dxa"/>
              <w:right w:w="100" w:type="dxa"/>
            </w:tcMar>
          </w:tcPr>
          <w:p w14:paraId="4ED450C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Дефіцит кваліфікованих кадрів, мобілізація ключових працівників</w:t>
            </w:r>
          </w:p>
        </w:tc>
        <w:tc>
          <w:tcPr>
            <w:tcW w:w="3686" w:type="dxa"/>
            <w:shd w:val="clear" w:color="auto" w:fill="auto"/>
            <w:tcMar>
              <w:top w:w="100" w:type="dxa"/>
              <w:left w:w="100" w:type="dxa"/>
              <w:bottom w:w="100" w:type="dxa"/>
              <w:right w:w="100" w:type="dxa"/>
            </w:tcMar>
          </w:tcPr>
          <w:p w14:paraId="422BC79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Розгляд можливості наймання іноземних фахівців, демобілізованих працівників, ветеранів</w:t>
            </w:r>
          </w:p>
        </w:tc>
      </w:tr>
      <w:tr w:rsidR="000B7051" w:rsidRPr="00AC33A5" w14:paraId="1004DF47" w14:textId="77777777" w:rsidTr="002C1A6A">
        <w:tc>
          <w:tcPr>
            <w:tcW w:w="803" w:type="dxa"/>
            <w:shd w:val="clear" w:color="auto" w:fill="auto"/>
            <w:tcMar>
              <w:top w:w="100" w:type="dxa"/>
              <w:left w:w="100" w:type="dxa"/>
              <w:bottom w:w="100" w:type="dxa"/>
              <w:right w:w="100" w:type="dxa"/>
            </w:tcMar>
          </w:tcPr>
          <w:p w14:paraId="0383A6D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w:t>
            </w:r>
          </w:p>
        </w:tc>
        <w:tc>
          <w:tcPr>
            <w:tcW w:w="2132" w:type="dxa"/>
            <w:shd w:val="clear" w:color="auto" w:fill="auto"/>
            <w:tcMar>
              <w:top w:w="100" w:type="dxa"/>
              <w:left w:w="100" w:type="dxa"/>
              <w:bottom w:w="100" w:type="dxa"/>
              <w:right w:w="100" w:type="dxa"/>
            </w:tcMar>
          </w:tcPr>
          <w:p w14:paraId="6CA46749"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Продовження воєнних дій</w:t>
            </w:r>
          </w:p>
        </w:tc>
        <w:tc>
          <w:tcPr>
            <w:tcW w:w="3118" w:type="dxa"/>
            <w:shd w:val="clear" w:color="auto" w:fill="auto"/>
            <w:tcMar>
              <w:top w:w="100" w:type="dxa"/>
              <w:left w:w="100" w:type="dxa"/>
              <w:bottom w:w="100" w:type="dxa"/>
              <w:right w:w="100" w:type="dxa"/>
            </w:tcMar>
          </w:tcPr>
          <w:p w14:paraId="7A1B4BE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Складнощі з пошуком фінансування</w:t>
            </w:r>
          </w:p>
        </w:tc>
        <w:tc>
          <w:tcPr>
            <w:tcW w:w="3686" w:type="dxa"/>
            <w:shd w:val="clear" w:color="auto" w:fill="auto"/>
            <w:tcMar>
              <w:top w:w="100" w:type="dxa"/>
              <w:left w:w="100" w:type="dxa"/>
              <w:bottom w:w="100" w:type="dxa"/>
              <w:right w:w="100" w:type="dxa"/>
            </w:tcMar>
          </w:tcPr>
          <w:p w14:paraId="043C152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Спроби участі в державних програмах фінансування розвитку </w:t>
            </w:r>
          </w:p>
        </w:tc>
      </w:tr>
      <w:tr w:rsidR="000B7051" w:rsidRPr="00AC33A5" w14:paraId="377786B7" w14:textId="77777777" w:rsidTr="002C1A6A">
        <w:tc>
          <w:tcPr>
            <w:tcW w:w="803" w:type="dxa"/>
            <w:shd w:val="clear" w:color="auto" w:fill="auto"/>
            <w:tcMar>
              <w:top w:w="100" w:type="dxa"/>
              <w:left w:w="100" w:type="dxa"/>
              <w:bottom w:w="100" w:type="dxa"/>
              <w:right w:w="100" w:type="dxa"/>
            </w:tcMar>
          </w:tcPr>
          <w:p w14:paraId="25F6534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w:t>
            </w:r>
          </w:p>
        </w:tc>
        <w:tc>
          <w:tcPr>
            <w:tcW w:w="2132" w:type="dxa"/>
            <w:shd w:val="clear" w:color="auto" w:fill="auto"/>
            <w:tcMar>
              <w:top w:w="100" w:type="dxa"/>
              <w:left w:w="100" w:type="dxa"/>
              <w:bottom w:w="100" w:type="dxa"/>
              <w:right w:w="100" w:type="dxa"/>
            </w:tcMar>
          </w:tcPr>
          <w:p w14:paraId="75E686C3"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Продовження воєнних дій</w:t>
            </w:r>
          </w:p>
        </w:tc>
        <w:tc>
          <w:tcPr>
            <w:tcW w:w="3118" w:type="dxa"/>
            <w:shd w:val="clear" w:color="auto" w:fill="auto"/>
            <w:tcMar>
              <w:top w:w="100" w:type="dxa"/>
              <w:left w:w="100" w:type="dxa"/>
              <w:bottom w:w="100" w:type="dxa"/>
              <w:right w:w="100" w:type="dxa"/>
            </w:tcMar>
          </w:tcPr>
          <w:p w14:paraId="27CCE63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Фізичні загрози знищення основних засобів</w:t>
            </w:r>
          </w:p>
        </w:tc>
        <w:tc>
          <w:tcPr>
            <w:tcW w:w="3686" w:type="dxa"/>
            <w:shd w:val="clear" w:color="auto" w:fill="auto"/>
            <w:tcMar>
              <w:top w:w="100" w:type="dxa"/>
              <w:left w:w="100" w:type="dxa"/>
              <w:bottom w:w="100" w:type="dxa"/>
              <w:right w:w="100" w:type="dxa"/>
            </w:tcMar>
          </w:tcPr>
          <w:p w14:paraId="7AA8C41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Робота в хмарних сховищах</w:t>
            </w:r>
          </w:p>
        </w:tc>
      </w:tr>
      <w:tr w:rsidR="000B7051" w:rsidRPr="00AC33A5" w14:paraId="51AD9AAC" w14:textId="77777777" w:rsidTr="002C1A6A">
        <w:tc>
          <w:tcPr>
            <w:tcW w:w="803" w:type="dxa"/>
            <w:shd w:val="clear" w:color="auto" w:fill="auto"/>
            <w:tcMar>
              <w:top w:w="100" w:type="dxa"/>
              <w:left w:w="100" w:type="dxa"/>
              <w:bottom w:w="100" w:type="dxa"/>
              <w:right w:w="100" w:type="dxa"/>
            </w:tcMar>
          </w:tcPr>
          <w:p w14:paraId="7F77E4B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5.</w:t>
            </w:r>
          </w:p>
        </w:tc>
        <w:tc>
          <w:tcPr>
            <w:tcW w:w="2132" w:type="dxa"/>
            <w:shd w:val="clear" w:color="auto" w:fill="auto"/>
            <w:tcMar>
              <w:top w:w="100" w:type="dxa"/>
              <w:left w:w="100" w:type="dxa"/>
              <w:bottom w:w="100" w:type="dxa"/>
              <w:right w:w="100" w:type="dxa"/>
            </w:tcMar>
          </w:tcPr>
          <w:p w14:paraId="358EDA5D"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Копіювання продукту конкурентами</w:t>
            </w:r>
          </w:p>
        </w:tc>
        <w:tc>
          <w:tcPr>
            <w:tcW w:w="3118" w:type="dxa"/>
            <w:shd w:val="clear" w:color="auto" w:fill="auto"/>
            <w:tcMar>
              <w:top w:w="100" w:type="dxa"/>
              <w:left w:w="100" w:type="dxa"/>
              <w:bottom w:w="100" w:type="dxa"/>
              <w:right w:w="100" w:type="dxa"/>
            </w:tcMar>
          </w:tcPr>
          <w:p w14:paraId="445BE22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Створення подібних продуктів та конкуренції</w:t>
            </w:r>
          </w:p>
        </w:tc>
        <w:tc>
          <w:tcPr>
            <w:tcW w:w="3686" w:type="dxa"/>
            <w:shd w:val="clear" w:color="auto" w:fill="auto"/>
            <w:tcMar>
              <w:top w:w="100" w:type="dxa"/>
              <w:left w:w="100" w:type="dxa"/>
              <w:bottom w:w="100" w:type="dxa"/>
              <w:right w:w="100" w:type="dxa"/>
            </w:tcMar>
          </w:tcPr>
          <w:p w14:paraId="13FFA6C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Швидкий вихід на ринок, захист прав інтелектуальної власності </w:t>
            </w:r>
          </w:p>
        </w:tc>
      </w:tr>
    </w:tbl>
    <w:p w14:paraId="0C13A0CA"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47CDF1B7" w14:textId="34BFE9E5" w:rsidR="002C1A6A" w:rsidRDefault="002C1A6A">
      <w:pPr>
        <w:rPr>
          <w:rFonts w:ascii="Times New Roman" w:eastAsia="Times New Roman" w:hAnsi="Times New Roman" w:cs="Times New Roman"/>
          <w:sz w:val="28"/>
          <w:szCs w:val="28"/>
        </w:rPr>
      </w:pPr>
    </w:p>
    <w:p w14:paraId="680C12DD" w14:textId="5926FD3D"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Таблиця 7. Фактори можливостей </w:t>
      </w:r>
    </w:p>
    <w:tbl>
      <w:tblPr>
        <w:tblW w:w="98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03"/>
        <w:gridCol w:w="2558"/>
        <w:gridCol w:w="3260"/>
        <w:gridCol w:w="3260"/>
      </w:tblGrid>
      <w:tr w:rsidR="000B7051" w:rsidRPr="00AC33A5" w14:paraId="3463A02A" w14:textId="77777777" w:rsidTr="002C1A6A">
        <w:tc>
          <w:tcPr>
            <w:tcW w:w="803" w:type="dxa"/>
            <w:shd w:val="clear" w:color="auto" w:fill="auto"/>
            <w:tcMar>
              <w:top w:w="100" w:type="dxa"/>
              <w:left w:w="100" w:type="dxa"/>
              <w:bottom w:w="100" w:type="dxa"/>
              <w:right w:w="100" w:type="dxa"/>
            </w:tcMar>
          </w:tcPr>
          <w:p w14:paraId="323C8BF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558" w:type="dxa"/>
            <w:shd w:val="clear" w:color="auto" w:fill="auto"/>
            <w:tcMar>
              <w:top w:w="100" w:type="dxa"/>
              <w:left w:w="100" w:type="dxa"/>
              <w:bottom w:w="100" w:type="dxa"/>
              <w:right w:w="100" w:type="dxa"/>
            </w:tcMar>
          </w:tcPr>
          <w:p w14:paraId="57D1665B"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Фактор </w:t>
            </w:r>
          </w:p>
        </w:tc>
        <w:tc>
          <w:tcPr>
            <w:tcW w:w="3260" w:type="dxa"/>
            <w:shd w:val="clear" w:color="auto" w:fill="auto"/>
            <w:tcMar>
              <w:top w:w="100" w:type="dxa"/>
              <w:left w:w="100" w:type="dxa"/>
              <w:bottom w:w="100" w:type="dxa"/>
              <w:right w:w="100" w:type="dxa"/>
            </w:tcMar>
          </w:tcPr>
          <w:p w14:paraId="175087AE"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Зміст можливості</w:t>
            </w:r>
          </w:p>
        </w:tc>
        <w:tc>
          <w:tcPr>
            <w:tcW w:w="3260" w:type="dxa"/>
            <w:shd w:val="clear" w:color="auto" w:fill="auto"/>
            <w:tcMar>
              <w:top w:w="100" w:type="dxa"/>
              <w:left w:w="100" w:type="dxa"/>
              <w:bottom w:w="100" w:type="dxa"/>
              <w:right w:w="100" w:type="dxa"/>
            </w:tcMar>
          </w:tcPr>
          <w:p w14:paraId="0771D0CB"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Можлива реакція компанії</w:t>
            </w:r>
          </w:p>
        </w:tc>
      </w:tr>
      <w:tr w:rsidR="000B7051" w:rsidRPr="00AC33A5" w14:paraId="4BC68094" w14:textId="77777777" w:rsidTr="002C1A6A">
        <w:tc>
          <w:tcPr>
            <w:tcW w:w="803" w:type="dxa"/>
            <w:shd w:val="clear" w:color="auto" w:fill="auto"/>
            <w:tcMar>
              <w:top w:w="100" w:type="dxa"/>
              <w:left w:w="100" w:type="dxa"/>
              <w:bottom w:w="100" w:type="dxa"/>
              <w:right w:w="100" w:type="dxa"/>
            </w:tcMar>
          </w:tcPr>
          <w:p w14:paraId="6D04295F"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558" w:type="dxa"/>
            <w:shd w:val="clear" w:color="auto" w:fill="auto"/>
            <w:tcMar>
              <w:top w:w="100" w:type="dxa"/>
              <w:left w:w="100" w:type="dxa"/>
              <w:bottom w:w="100" w:type="dxa"/>
              <w:right w:w="100" w:type="dxa"/>
            </w:tcMar>
          </w:tcPr>
          <w:p w14:paraId="53B4119B"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Продовження воєнних дій</w:t>
            </w:r>
          </w:p>
        </w:tc>
        <w:tc>
          <w:tcPr>
            <w:tcW w:w="3260" w:type="dxa"/>
            <w:shd w:val="clear" w:color="auto" w:fill="auto"/>
            <w:tcMar>
              <w:top w:w="100" w:type="dxa"/>
              <w:left w:w="100" w:type="dxa"/>
              <w:bottom w:w="100" w:type="dxa"/>
              <w:right w:w="100" w:type="dxa"/>
            </w:tcMar>
          </w:tcPr>
          <w:p w14:paraId="3E1436F5"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Формування потреби управляти кинутими видобувними підприємствами</w:t>
            </w:r>
          </w:p>
        </w:tc>
        <w:tc>
          <w:tcPr>
            <w:tcW w:w="3260" w:type="dxa"/>
            <w:shd w:val="clear" w:color="auto" w:fill="auto"/>
            <w:tcMar>
              <w:top w:w="100" w:type="dxa"/>
              <w:left w:w="100" w:type="dxa"/>
              <w:bottom w:w="100" w:type="dxa"/>
              <w:right w:w="100" w:type="dxa"/>
            </w:tcMar>
          </w:tcPr>
          <w:p w14:paraId="288D321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Просування продукту державним органам та органам місцевого самоврядування</w:t>
            </w:r>
          </w:p>
        </w:tc>
      </w:tr>
      <w:tr w:rsidR="000B7051" w:rsidRPr="00AC33A5" w14:paraId="7A6061FA" w14:textId="77777777" w:rsidTr="002C1A6A">
        <w:tc>
          <w:tcPr>
            <w:tcW w:w="803" w:type="dxa"/>
            <w:shd w:val="clear" w:color="auto" w:fill="auto"/>
            <w:tcMar>
              <w:top w:w="100" w:type="dxa"/>
              <w:left w:w="100" w:type="dxa"/>
              <w:bottom w:w="100" w:type="dxa"/>
              <w:right w:w="100" w:type="dxa"/>
            </w:tcMar>
          </w:tcPr>
          <w:p w14:paraId="193F95C5"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2558" w:type="dxa"/>
            <w:shd w:val="clear" w:color="auto" w:fill="auto"/>
            <w:tcMar>
              <w:top w:w="100" w:type="dxa"/>
              <w:left w:w="100" w:type="dxa"/>
              <w:bottom w:w="100" w:type="dxa"/>
              <w:right w:w="100" w:type="dxa"/>
            </w:tcMar>
          </w:tcPr>
          <w:p w14:paraId="37615E8A"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Залучення </w:t>
            </w:r>
            <w:r w:rsidRPr="00AC33A5">
              <w:rPr>
                <w:rFonts w:ascii="Times New Roman" w:eastAsia="Times New Roman" w:hAnsi="Times New Roman" w:cs="Times New Roman"/>
                <w:sz w:val="28"/>
                <w:szCs w:val="28"/>
              </w:rPr>
              <w:lastRenderedPageBreak/>
              <w:t>широ</w:t>
            </w:r>
            <w:r>
              <w:rPr>
                <w:rFonts w:ascii="Times New Roman" w:eastAsia="Times New Roman" w:hAnsi="Times New Roman" w:cs="Times New Roman"/>
                <w:sz w:val="28"/>
                <w:szCs w:val="28"/>
              </w:rPr>
              <w:t>ко</w:t>
            </w:r>
            <w:r w:rsidRPr="00AC33A5">
              <w:rPr>
                <w:rFonts w:ascii="Times New Roman" w:eastAsia="Times New Roman" w:hAnsi="Times New Roman" w:cs="Times New Roman"/>
                <w:sz w:val="28"/>
                <w:szCs w:val="28"/>
              </w:rPr>
              <w:t>го кола міжнародних партнерів для відновлення України</w:t>
            </w:r>
          </w:p>
        </w:tc>
        <w:tc>
          <w:tcPr>
            <w:tcW w:w="3260" w:type="dxa"/>
            <w:shd w:val="clear" w:color="auto" w:fill="auto"/>
            <w:tcMar>
              <w:top w:w="100" w:type="dxa"/>
              <w:left w:w="100" w:type="dxa"/>
              <w:bottom w:w="100" w:type="dxa"/>
              <w:right w:w="100" w:type="dxa"/>
            </w:tcMar>
          </w:tcPr>
          <w:p w14:paraId="2D74A1E9"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Можливість отримання </w:t>
            </w:r>
            <w:r w:rsidRPr="00AC33A5">
              <w:rPr>
                <w:rFonts w:ascii="Times New Roman" w:eastAsia="Times New Roman" w:hAnsi="Times New Roman" w:cs="Times New Roman"/>
                <w:sz w:val="28"/>
                <w:szCs w:val="28"/>
              </w:rPr>
              <w:lastRenderedPageBreak/>
              <w:t>фінансування або партнерства з міжнародними партнерами</w:t>
            </w:r>
          </w:p>
        </w:tc>
        <w:tc>
          <w:tcPr>
            <w:tcW w:w="3260" w:type="dxa"/>
            <w:shd w:val="clear" w:color="auto" w:fill="auto"/>
            <w:tcMar>
              <w:top w:w="100" w:type="dxa"/>
              <w:left w:w="100" w:type="dxa"/>
              <w:bottom w:w="100" w:type="dxa"/>
              <w:right w:w="100" w:type="dxa"/>
            </w:tcMar>
          </w:tcPr>
          <w:p w14:paraId="6E742FF3"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Звернення для </w:t>
            </w:r>
            <w:r w:rsidRPr="00AC33A5">
              <w:rPr>
                <w:rFonts w:ascii="Times New Roman" w:eastAsia="Times New Roman" w:hAnsi="Times New Roman" w:cs="Times New Roman"/>
                <w:sz w:val="28"/>
                <w:szCs w:val="28"/>
              </w:rPr>
              <w:lastRenderedPageBreak/>
              <w:t>отримання грантів та участі у проєктах відновлення</w:t>
            </w:r>
          </w:p>
        </w:tc>
      </w:tr>
      <w:tr w:rsidR="000B7051" w:rsidRPr="00AC33A5" w14:paraId="4222D96A" w14:textId="77777777" w:rsidTr="002C1A6A">
        <w:tc>
          <w:tcPr>
            <w:tcW w:w="803" w:type="dxa"/>
            <w:shd w:val="clear" w:color="auto" w:fill="auto"/>
            <w:tcMar>
              <w:top w:w="100" w:type="dxa"/>
              <w:left w:w="100" w:type="dxa"/>
              <w:bottom w:w="100" w:type="dxa"/>
              <w:right w:w="100" w:type="dxa"/>
            </w:tcMar>
          </w:tcPr>
          <w:p w14:paraId="5E9BB8D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3.</w:t>
            </w:r>
          </w:p>
        </w:tc>
        <w:tc>
          <w:tcPr>
            <w:tcW w:w="2558" w:type="dxa"/>
            <w:shd w:val="clear" w:color="auto" w:fill="auto"/>
            <w:tcMar>
              <w:top w:w="100" w:type="dxa"/>
              <w:left w:w="100" w:type="dxa"/>
              <w:bottom w:w="100" w:type="dxa"/>
              <w:right w:w="100" w:type="dxa"/>
            </w:tcMar>
          </w:tcPr>
          <w:p w14:paraId="170E13A7"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Наміри уряду залучати іноземних інвесторів у післявоєнний період</w:t>
            </w:r>
          </w:p>
        </w:tc>
        <w:tc>
          <w:tcPr>
            <w:tcW w:w="3260" w:type="dxa"/>
            <w:shd w:val="clear" w:color="auto" w:fill="auto"/>
            <w:tcMar>
              <w:top w:w="100" w:type="dxa"/>
              <w:left w:w="100" w:type="dxa"/>
              <w:bottom w:w="100" w:type="dxa"/>
              <w:right w:w="100" w:type="dxa"/>
            </w:tcMar>
          </w:tcPr>
          <w:p w14:paraId="1214AC76"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Реформування державних підприємств для пропонування інвесторам</w:t>
            </w:r>
          </w:p>
        </w:tc>
        <w:tc>
          <w:tcPr>
            <w:tcW w:w="3260" w:type="dxa"/>
            <w:shd w:val="clear" w:color="auto" w:fill="auto"/>
            <w:tcMar>
              <w:top w:w="100" w:type="dxa"/>
              <w:left w:w="100" w:type="dxa"/>
              <w:bottom w:w="100" w:type="dxa"/>
              <w:right w:w="100" w:type="dxa"/>
            </w:tcMar>
          </w:tcPr>
          <w:p w14:paraId="3E28E696"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Просування продукту в урядових заходах</w:t>
            </w:r>
          </w:p>
        </w:tc>
      </w:tr>
      <w:tr w:rsidR="000B7051" w:rsidRPr="00AC33A5" w14:paraId="791ACFD4" w14:textId="77777777" w:rsidTr="002C1A6A">
        <w:tc>
          <w:tcPr>
            <w:tcW w:w="803" w:type="dxa"/>
            <w:shd w:val="clear" w:color="auto" w:fill="auto"/>
            <w:tcMar>
              <w:top w:w="100" w:type="dxa"/>
              <w:left w:w="100" w:type="dxa"/>
              <w:bottom w:w="100" w:type="dxa"/>
              <w:right w:w="100" w:type="dxa"/>
            </w:tcMar>
          </w:tcPr>
          <w:p w14:paraId="4DFB97F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w:t>
            </w:r>
          </w:p>
        </w:tc>
        <w:tc>
          <w:tcPr>
            <w:tcW w:w="2558" w:type="dxa"/>
            <w:shd w:val="clear" w:color="auto" w:fill="auto"/>
            <w:tcMar>
              <w:top w:w="100" w:type="dxa"/>
              <w:left w:w="100" w:type="dxa"/>
              <w:bottom w:w="100" w:type="dxa"/>
              <w:right w:w="100" w:type="dxa"/>
            </w:tcMar>
          </w:tcPr>
          <w:p w14:paraId="4800C99F"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Наміри вступу до ЄС</w:t>
            </w:r>
          </w:p>
        </w:tc>
        <w:tc>
          <w:tcPr>
            <w:tcW w:w="3260" w:type="dxa"/>
            <w:shd w:val="clear" w:color="auto" w:fill="auto"/>
            <w:tcMar>
              <w:top w:w="100" w:type="dxa"/>
              <w:left w:w="100" w:type="dxa"/>
              <w:bottom w:w="100" w:type="dxa"/>
              <w:right w:w="100" w:type="dxa"/>
            </w:tcMar>
          </w:tcPr>
          <w:p w14:paraId="6143C721"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Необхідність адаптації до норм ЄС</w:t>
            </w:r>
          </w:p>
        </w:tc>
        <w:tc>
          <w:tcPr>
            <w:tcW w:w="3260" w:type="dxa"/>
            <w:shd w:val="clear" w:color="auto" w:fill="auto"/>
            <w:tcMar>
              <w:top w:w="100" w:type="dxa"/>
              <w:left w:w="100" w:type="dxa"/>
              <w:bottom w:w="100" w:type="dxa"/>
              <w:right w:w="100" w:type="dxa"/>
            </w:tcMar>
          </w:tcPr>
          <w:p w14:paraId="003B2C30" w14:textId="77777777" w:rsidR="000B7051" w:rsidRPr="00AC33A5" w:rsidRDefault="000B7051" w:rsidP="00AC246D">
            <w:pPr>
              <w:widowControl w:val="0"/>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Створення продукту в тому числі за вимогами норм ЄС</w:t>
            </w:r>
          </w:p>
        </w:tc>
      </w:tr>
    </w:tbl>
    <w:p w14:paraId="14A3E02C"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6DDBA5EA"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8. Ступеневий аналіз конкуренції на ринку</w:t>
      </w:r>
    </w:p>
    <w:tbl>
      <w:tblPr>
        <w:tblW w:w="98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19"/>
        <w:gridCol w:w="2977"/>
        <w:gridCol w:w="3685"/>
      </w:tblGrid>
      <w:tr w:rsidR="000B7051" w:rsidRPr="00AC33A5" w14:paraId="01E982BB" w14:textId="77777777" w:rsidTr="002C1A6A">
        <w:tc>
          <w:tcPr>
            <w:tcW w:w="3219" w:type="dxa"/>
            <w:shd w:val="clear" w:color="auto" w:fill="auto"/>
            <w:tcMar>
              <w:top w:w="100" w:type="dxa"/>
              <w:left w:w="100" w:type="dxa"/>
              <w:bottom w:w="100" w:type="dxa"/>
              <w:right w:w="100" w:type="dxa"/>
            </w:tcMar>
          </w:tcPr>
          <w:p w14:paraId="1E78E91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Особливості конкурентного  середовища </w:t>
            </w:r>
          </w:p>
        </w:tc>
        <w:tc>
          <w:tcPr>
            <w:tcW w:w="2977" w:type="dxa"/>
            <w:shd w:val="clear" w:color="auto" w:fill="auto"/>
            <w:tcMar>
              <w:top w:w="100" w:type="dxa"/>
              <w:left w:w="100" w:type="dxa"/>
              <w:bottom w:w="100" w:type="dxa"/>
              <w:right w:w="100" w:type="dxa"/>
            </w:tcMar>
          </w:tcPr>
          <w:p w14:paraId="1F93AE9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 чому проявляється дана  характеристика</w:t>
            </w:r>
          </w:p>
        </w:tc>
        <w:tc>
          <w:tcPr>
            <w:tcW w:w="3685" w:type="dxa"/>
            <w:shd w:val="clear" w:color="auto" w:fill="auto"/>
            <w:tcMar>
              <w:top w:w="100" w:type="dxa"/>
              <w:left w:w="100" w:type="dxa"/>
              <w:bottom w:w="100" w:type="dxa"/>
              <w:right w:w="100" w:type="dxa"/>
            </w:tcMar>
          </w:tcPr>
          <w:p w14:paraId="7F9E95E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Вплив на діяльність підприємства (можливі дії компанії, щоб бути конкурентоспроможною)</w:t>
            </w:r>
          </w:p>
        </w:tc>
      </w:tr>
      <w:tr w:rsidR="000B7051" w:rsidRPr="00AC33A5" w14:paraId="3FCA64F7" w14:textId="77777777" w:rsidTr="002C1A6A">
        <w:tc>
          <w:tcPr>
            <w:tcW w:w="3219" w:type="dxa"/>
            <w:shd w:val="clear" w:color="auto" w:fill="auto"/>
            <w:tcMar>
              <w:top w:w="100" w:type="dxa"/>
              <w:left w:w="100" w:type="dxa"/>
              <w:bottom w:w="100" w:type="dxa"/>
              <w:right w:w="100" w:type="dxa"/>
            </w:tcMar>
          </w:tcPr>
          <w:p w14:paraId="7649023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 Вказати тип конкуренції  ‐ монополія/олігополія/ монополістична/чиста</w:t>
            </w:r>
          </w:p>
        </w:tc>
        <w:tc>
          <w:tcPr>
            <w:tcW w:w="2977" w:type="dxa"/>
            <w:shd w:val="clear" w:color="auto" w:fill="auto"/>
            <w:tcMar>
              <w:top w:w="100" w:type="dxa"/>
              <w:left w:w="100" w:type="dxa"/>
              <w:bottom w:w="100" w:type="dxa"/>
              <w:right w:w="100" w:type="dxa"/>
            </w:tcMar>
          </w:tcPr>
          <w:p w14:paraId="69E7FB3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Олігополія</w:t>
            </w:r>
          </w:p>
        </w:tc>
        <w:tc>
          <w:tcPr>
            <w:tcW w:w="3685" w:type="dxa"/>
            <w:shd w:val="clear" w:color="auto" w:fill="auto"/>
            <w:tcMar>
              <w:top w:w="100" w:type="dxa"/>
              <w:left w:w="100" w:type="dxa"/>
              <w:bottom w:w="100" w:type="dxa"/>
              <w:right w:w="100" w:type="dxa"/>
            </w:tcMar>
          </w:tcPr>
          <w:p w14:paraId="039D2CC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Обрання стратегії диференціації </w:t>
            </w:r>
          </w:p>
        </w:tc>
      </w:tr>
      <w:tr w:rsidR="000B7051" w:rsidRPr="00AC33A5" w14:paraId="3FB1C9FB" w14:textId="77777777" w:rsidTr="002C1A6A">
        <w:tc>
          <w:tcPr>
            <w:tcW w:w="3219" w:type="dxa"/>
            <w:shd w:val="clear" w:color="auto" w:fill="auto"/>
            <w:tcMar>
              <w:top w:w="100" w:type="dxa"/>
              <w:left w:w="100" w:type="dxa"/>
              <w:bottom w:w="100" w:type="dxa"/>
              <w:right w:w="100" w:type="dxa"/>
            </w:tcMar>
          </w:tcPr>
          <w:p w14:paraId="52903FC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За рівнем конкурентної боротьби  ‐ локальний/національний/…</w:t>
            </w:r>
          </w:p>
        </w:tc>
        <w:tc>
          <w:tcPr>
            <w:tcW w:w="2977" w:type="dxa"/>
            <w:shd w:val="clear" w:color="auto" w:fill="auto"/>
            <w:tcMar>
              <w:top w:w="100" w:type="dxa"/>
              <w:left w:w="100" w:type="dxa"/>
              <w:bottom w:w="100" w:type="dxa"/>
              <w:right w:w="100" w:type="dxa"/>
            </w:tcMar>
          </w:tcPr>
          <w:p w14:paraId="02ECA725"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національний</w:t>
            </w:r>
          </w:p>
        </w:tc>
        <w:tc>
          <w:tcPr>
            <w:tcW w:w="3685" w:type="dxa"/>
            <w:shd w:val="clear" w:color="auto" w:fill="auto"/>
            <w:tcMar>
              <w:top w:w="100" w:type="dxa"/>
              <w:left w:w="100" w:type="dxa"/>
              <w:bottom w:w="100" w:type="dxa"/>
              <w:right w:w="100" w:type="dxa"/>
            </w:tcMar>
          </w:tcPr>
          <w:p w14:paraId="4BD4D9B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розгортання діяльності на національному рівні та поступові спроби розширення на міжнародний ринок</w:t>
            </w:r>
          </w:p>
        </w:tc>
      </w:tr>
      <w:tr w:rsidR="000B7051" w:rsidRPr="00AC33A5" w14:paraId="7436D205" w14:textId="77777777" w:rsidTr="002C1A6A">
        <w:tc>
          <w:tcPr>
            <w:tcW w:w="3219" w:type="dxa"/>
            <w:shd w:val="clear" w:color="auto" w:fill="auto"/>
            <w:tcMar>
              <w:top w:w="100" w:type="dxa"/>
              <w:left w:w="100" w:type="dxa"/>
              <w:bottom w:w="100" w:type="dxa"/>
              <w:right w:w="100" w:type="dxa"/>
            </w:tcMar>
          </w:tcPr>
          <w:p w14:paraId="229E740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 За галузевою ознакою  ‐ міжгалузева/ внутрішньогалузева</w:t>
            </w:r>
          </w:p>
        </w:tc>
        <w:tc>
          <w:tcPr>
            <w:tcW w:w="2977" w:type="dxa"/>
            <w:shd w:val="clear" w:color="auto" w:fill="auto"/>
            <w:tcMar>
              <w:top w:w="100" w:type="dxa"/>
              <w:left w:w="100" w:type="dxa"/>
              <w:bottom w:w="100" w:type="dxa"/>
              <w:right w:w="100" w:type="dxa"/>
            </w:tcMar>
          </w:tcPr>
          <w:p w14:paraId="33D531B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міжгалузева</w:t>
            </w:r>
          </w:p>
        </w:tc>
        <w:tc>
          <w:tcPr>
            <w:tcW w:w="3685" w:type="dxa"/>
            <w:shd w:val="clear" w:color="auto" w:fill="auto"/>
            <w:tcMar>
              <w:top w:w="100" w:type="dxa"/>
              <w:left w:w="100" w:type="dxa"/>
              <w:bottom w:w="100" w:type="dxa"/>
              <w:right w:w="100" w:type="dxa"/>
            </w:tcMar>
          </w:tcPr>
          <w:p w14:paraId="14E0194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розширення застосування до інших галузей</w:t>
            </w:r>
          </w:p>
        </w:tc>
      </w:tr>
      <w:tr w:rsidR="000B7051" w:rsidRPr="00AC33A5" w14:paraId="32ABCCFF" w14:textId="77777777" w:rsidTr="002C1A6A">
        <w:tc>
          <w:tcPr>
            <w:tcW w:w="3219" w:type="dxa"/>
            <w:shd w:val="clear" w:color="auto" w:fill="auto"/>
            <w:tcMar>
              <w:top w:w="100" w:type="dxa"/>
              <w:left w:w="100" w:type="dxa"/>
              <w:bottom w:w="100" w:type="dxa"/>
              <w:right w:w="100" w:type="dxa"/>
            </w:tcMar>
          </w:tcPr>
          <w:p w14:paraId="7623F51C"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4. Конкуренція за видами товарів: ‐ товарно‐родова  ‐ товарно‐видова  ‐ між бажаннями </w:t>
            </w:r>
          </w:p>
        </w:tc>
        <w:tc>
          <w:tcPr>
            <w:tcW w:w="2977" w:type="dxa"/>
            <w:shd w:val="clear" w:color="auto" w:fill="auto"/>
            <w:tcMar>
              <w:top w:w="100" w:type="dxa"/>
              <w:left w:w="100" w:type="dxa"/>
              <w:bottom w:w="100" w:type="dxa"/>
              <w:right w:w="100" w:type="dxa"/>
            </w:tcMar>
          </w:tcPr>
          <w:p w14:paraId="5C7F379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товарно-родова</w:t>
            </w:r>
          </w:p>
        </w:tc>
        <w:tc>
          <w:tcPr>
            <w:tcW w:w="3685" w:type="dxa"/>
            <w:shd w:val="clear" w:color="auto" w:fill="auto"/>
            <w:tcMar>
              <w:top w:w="100" w:type="dxa"/>
              <w:left w:w="100" w:type="dxa"/>
              <w:bottom w:w="100" w:type="dxa"/>
              <w:right w:w="100" w:type="dxa"/>
            </w:tcMar>
          </w:tcPr>
          <w:p w14:paraId="1783B46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розширення застосування окремих частин для конкретних цілей</w:t>
            </w:r>
          </w:p>
        </w:tc>
      </w:tr>
      <w:tr w:rsidR="000B7051" w:rsidRPr="00AC33A5" w14:paraId="73CD582C" w14:textId="77777777" w:rsidTr="002C1A6A">
        <w:tc>
          <w:tcPr>
            <w:tcW w:w="3219" w:type="dxa"/>
            <w:shd w:val="clear" w:color="auto" w:fill="auto"/>
            <w:tcMar>
              <w:top w:w="100" w:type="dxa"/>
              <w:left w:w="100" w:type="dxa"/>
              <w:bottom w:w="100" w:type="dxa"/>
              <w:right w:w="100" w:type="dxa"/>
            </w:tcMar>
          </w:tcPr>
          <w:p w14:paraId="03E431BA"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5.  За характером </w:t>
            </w:r>
            <w:r w:rsidRPr="00AC33A5">
              <w:rPr>
                <w:rFonts w:ascii="Times New Roman" w:eastAsia="Times New Roman" w:hAnsi="Times New Roman" w:cs="Times New Roman"/>
                <w:sz w:val="28"/>
                <w:szCs w:val="28"/>
              </w:rPr>
              <w:lastRenderedPageBreak/>
              <w:t xml:space="preserve">конкурентних переваг  ‐ цінова / нецінова </w:t>
            </w:r>
          </w:p>
        </w:tc>
        <w:tc>
          <w:tcPr>
            <w:tcW w:w="2977" w:type="dxa"/>
            <w:shd w:val="clear" w:color="auto" w:fill="auto"/>
            <w:tcMar>
              <w:top w:w="100" w:type="dxa"/>
              <w:left w:w="100" w:type="dxa"/>
              <w:bottom w:w="100" w:type="dxa"/>
              <w:right w:w="100" w:type="dxa"/>
            </w:tcMar>
          </w:tcPr>
          <w:p w14:paraId="64544CF0"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нецінова</w:t>
            </w:r>
          </w:p>
        </w:tc>
        <w:tc>
          <w:tcPr>
            <w:tcW w:w="3685" w:type="dxa"/>
            <w:shd w:val="clear" w:color="auto" w:fill="auto"/>
            <w:tcMar>
              <w:top w:w="100" w:type="dxa"/>
              <w:left w:w="100" w:type="dxa"/>
              <w:bottom w:w="100" w:type="dxa"/>
              <w:right w:w="100" w:type="dxa"/>
            </w:tcMar>
          </w:tcPr>
          <w:p w14:paraId="11187F0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покращення якості за </w:t>
            </w:r>
            <w:r w:rsidRPr="00AC33A5">
              <w:rPr>
                <w:rFonts w:ascii="Times New Roman" w:eastAsia="Times New Roman" w:hAnsi="Times New Roman" w:cs="Times New Roman"/>
                <w:sz w:val="28"/>
                <w:szCs w:val="28"/>
              </w:rPr>
              <w:lastRenderedPageBreak/>
              <w:t>рахунок додавання функцій та вдосконалення використання</w:t>
            </w:r>
          </w:p>
        </w:tc>
      </w:tr>
      <w:tr w:rsidR="000B7051" w:rsidRPr="00AC33A5" w14:paraId="50F12BEC" w14:textId="77777777" w:rsidTr="002C1A6A">
        <w:tc>
          <w:tcPr>
            <w:tcW w:w="3219" w:type="dxa"/>
            <w:shd w:val="clear" w:color="auto" w:fill="auto"/>
            <w:tcMar>
              <w:top w:w="100" w:type="dxa"/>
              <w:left w:w="100" w:type="dxa"/>
              <w:bottom w:w="100" w:type="dxa"/>
              <w:right w:w="100" w:type="dxa"/>
            </w:tcMar>
          </w:tcPr>
          <w:p w14:paraId="27BC982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6. За інтенсивністю  ‐ марочна/не марочна </w:t>
            </w:r>
          </w:p>
        </w:tc>
        <w:tc>
          <w:tcPr>
            <w:tcW w:w="2977" w:type="dxa"/>
            <w:shd w:val="clear" w:color="auto" w:fill="auto"/>
            <w:tcMar>
              <w:top w:w="100" w:type="dxa"/>
              <w:left w:w="100" w:type="dxa"/>
              <w:bottom w:w="100" w:type="dxa"/>
              <w:right w:w="100" w:type="dxa"/>
            </w:tcMar>
          </w:tcPr>
          <w:p w14:paraId="0925057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марочна</w:t>
            </w:r>
          </w:p>
        </w:tc>
        <w:tc>
          <w:tcPr>
            <w:tcW w:w="3685" w:type="dxa"/>
            <w:shd w:val="clear" w:color="auto" w:fill="auto"/>
            <w:tcMar>
              <w:top w:w="100" w:type="dxa"/>
              <w:left w:w="100" w:type="dxa"/>
              <w:bottom w:w="100" w:type="dxa"/>
              <w:right w:w="100" w:type="dxa"/>
            </w:tcMar>
          </w:tcPr>
          <w:p w14:paraId="6C4FEAD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маркетингові заходи направлені на популяризацію та впізнаваність бренду</w:t>
            </w:r>
          </w:p>
        </w:tc>
      </w:tr>
    </w:tbl>
    <w:p w14:paraId="4F2ED347"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2C5F123D" w14:textId="70C16561" w:rsidR="002C1A6A" w:rsidRDefault="002C1A6A">
      <w:pPr>
        <w:rPr>
          <w:rFonts w:ascii="Times New Roman" w:eastAsia="Times New Roman" w:hAnsi="Times New Roman" w:cs="Times New Roman"/>
          <w:sz w:val="28"/>
          <w:szCs w:val="28"/>
        </w:rPr>
      </w:pPr>
    </w:p>
    <w:p w14:paraId="526C1CC4" w14:textId="42BECA2E"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9. Аналіз конкуренції в галузі за М. Портером</w:t>
      </w:r>
    </w:p>
    <w:tbl>
      <w:tblPr>
        <w:tblW w:w="10915" w:type="dxa"/>
        <w:tblInd w:w="-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76"/>
        <w:gridCol w:w="1957"/>
        <w:gridCol w:w="1913"/>
        <w:gridCol w:w="2126"/>
        <w:gridCol w:w="1843"/>
        <w:gridCol w:w="1700"/>
      </w:tblGrid>
      <w:tr w:rsidR="000B7051" w:rsidRPr="00AC33A5" w14:paraId="75AF3FC4" w14:textId="77777777" w:rsidTr="002C1A6A">
        <w:trPr>
          <w:trHeight w:val="480"/>
        </w:trPr>
        <w:tc>
          <w:tcPr>
            <w:tcW w:w="1376" w:type="dxa"/>
            <w:vMerge w:val="restart"/>
            <w:shd w:val="clear" w:color="auto" w:fill="auto"/>
            <w:tcMar>
              <w:top w:w="100" w:type="dxa"/>
              <w:left w:w="100" w:type="dxa"/>
              <w:bottom w:w="100" w:type="dxa"/>
              <w:right w:w="100" w:type="dxa"/>
            </w:tcMar>
          </w:tcPr>
          <w:p w14:paraId="18985A1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Складові  аналізу</w:t>
            </w:r>
          </w:p>
        </w:tc>
        <w:tc>
          <w:tcPr>
            <w:tcW w:w="1957" w:type="dxa"/>
            <w:shd w:val="clear" w:color="auto" w:fill="auto"/>
            <w:tcMar>
              <w:top w:w="100" w:type="dxa"/>
              <w:left w:w="100" w:type="dxa"/>
              <w:bottom w:w="100" w:type="dxa"/>
              <w:right w:w="100" w:type="dxa"/>
            </w:tcMar>
          </w:tcPr>
          <w:p w14:paraId="27C57B8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Прямі конкуренти в галузі </w:t>
            </w:r>
          </w:p>
        </w:tc>
        <w:tc>
          <w:tcPr>
            <w:tcW w:w="1913" w:type="dxa"/>
            <w:shd w:val="clear" w:color="auto" w:fill="auto"/>
            <w:tcMar>
              <w:top w:w="100" w:type="dxa"/>
              <w:left w:w="100" w:type="dxa"/>
              <w:bottom w:w="100" w:type="dxa"/>
              <w:right w:w="100" w:type="dxa"/>
            </w:tcMar>
          </w:tcPr>
          <w:p w14:paraId="5E219D7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Потенційні  конкуренти</w:t>
            </w:r>
          </w:p>
        </w:tc>
        <w:tc>
          <w:tcPr>
            <w:tcW w:w="2126" w:type="dxa"/>
            <w:shd w:val="clear" w:color="auto" w:fill="auto"/>
            <w:tcMar>
              <w:top w:w="100" w:type="dxa"/>
              <w:left w:w="100" w:type="dxa"/>
              <w:bottom w:w="100" w:type="dxa"/>
              <w:right w:w="100" w:type="dxa"/>
            </w:tcMar>
          </w:tcPr>
          <w:p w14:paraId="4AA30F36"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Постачальники</w:t>
            </w:r>
          </w:p>
        </w:tc>
        <w:tc>
          <w:tcPr>
            <w:tcW w:w="1843" w:type="dxa"/>
            <w:shd w:val="clear" w:color="auto" w:fill="auto"/>
            <w:tcMar>
              <w:top w:w="100" w:type="dxa"/>
              <w:left w:w="100" w:type="dxa"/>
              <w:bottom w:w="100" w:type="dxa"/>
              <w:right w:w="100" w:type="dxa"/>
            </w:tcMar>
          </w:tcPr>
          <w:p w14:paraId="6C8B65C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Клієнти</w:t>
            </w:r>
          </w:p>
        </w:tc>
        <w:tc>
          <w:tcPr>
            <w:tcW w:w="1700" w:type="dxa"/>
            <w:shd w:val="clear" w:color="auto" w:fill="auto"/>
            <w:tcMar>
              <w:top w:w="100" w:type="dxa"/>
              <w:left w:w="100" w:type="dxa"/>
              <w:bottom w:w="100" w:type="dxa"/>
              <w:right w:w="100" w:type="dxa"/>
            </w:tcMar>
          </w:tcPr>
          <w:p w14:paraId="3ACD6BD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Товари‐ замінники</w:t>
            </w:r>
          </w:p>
        </w:tc>
      </w:tr>
      <w:tr w:rsidR="000B7051" w:rsidRPr="00AC33A5" w14:paraId="226670C6" w14:textId="77777777" w:rsidTr="002C1A6A">
        <w:trPr>
          <w:trHeight w:val="480"/>
        </w:trPr>
        <w:tc>
          <w:tcPr>
            <w:tcW w:w="1376" w:type="dxa"/>
            <w:vMerge/>
            <w:shd w:val="clear" w:color="auto" w:fill="auto"/>
            <w:tcMar>
              <w:top w:w="100" w:type="dxa"/>
              <w:left w:w="100" w:type="dxa"/>
              <w:bottom w:w="100" w:type="dxa"/>
              <w:right w:w="100" w:type="dxa"/>
            </w:tcMar>
          </w:tcPr>
          <w:p w14:paraId="5F2E3D89"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p>
        </w:tc>
        <w:tc>
          <w:tcPr>
            <w:tcW w:w="1957" w:type="dxa"/>
            <w:shd w:val="clear" w:color="auto" w:fill="auto"/>
            <w:tcMar>
              <w:top w:w="100" w:type="dxa"/>
              <w:left w:w="100" w:type="dxa"/>
              <w:bottom w:w="100" w:type="dxa"/>
              <w:right w:w="100" w:type="dxa"/>
            </w:tcMar>
          </w:tcPr>
          <w:p w14:paraId="0BFB8A03"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Навести перелік прямих конкурентів:</w:t>
            </w:r>
          </w:p>
          <w:p w14:paraId="4BEA556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Геологічна інвестиційна група  </w:t>
            </w:r>
          </w:p>
          <w:p w14:paraId="77DA3E3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Інститут геології </w:t>
            </w:r>
          </w:p>
          <w:p w14:paraId="0A924F0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Національна акціонерна компанія (НАК) «Надра Украї́ни»</w:t>
            </w:r>
          </w:p>
          <w:p w14:paraId="29EE811B" w14:textId="77777777" w:rsidR="000B7051" w:rsidRPr="00AC33A5" w:rsidRDefault="000B7051" w:rsidP="00AC246D">
            <w:pPr>
              <w:widowControl w:val="0"/>
              <w:pBdr>
                <w:top w:val="nil"/>
                <w:left w:val="nil"/>
                <w:bottom w:val="nil"/>
                <w:right w:val="nil"/>
                <w:between w:val="nil"/>
              </w:pBdr>
              <w:spacing w:after="0" w:line="240" w:lineRule="auto"/>
              <w:rPr>
                <w:rFonts w:ascii="Times New Roman" w:hAnsi="Times New Roman" w:cs="Times New Roman"/>
                <w:color w:val="707070"/>
                <w:sz w:val="28"/>
                <w:szCs w:val="28"/>
                <w:shd w:val="clear" w:color="auto" w:fill="FCFCFC"/>
              </w:rPr>
            </w:pPr>
            <w:r w:rsidRPr="00AC33A5">
              <w:rPr>
                <w:rFonts w:ascii="Times New Roman" w:eastAsia="Times New Roman" w:hAnsi="Times New Roman" w:cs="Times New Roman"/>
                <w:sz w:val="28"/>
                <w:szCs w:val="28"/>
              </w:rPr>
              <w:t>ТОВ “Пласт</w:t>
            </w:r>
            <w:r w:rsidRPr="00AC33A5">
              <w:rPr>
                <w:rFonts w:ascii="Times New Roman" w:hAnsi="Times New Roman" w:cs="Times New Roman"/>
                <w:color w:val="111111"/>
                <w:sz w:val="28"/>
                <w:szCs w:val="28"/>
                <w:shd w:val="clear" w:color="auto" w:fill="FCFCFC"/>
              </w:rPr>
              <w:t>”</w:t>
            </w:r>
          </w:p>
        </w:tc>
        <w:tc>
          <w:tcPr>
            <w:tcW w:w="1913" w:type="dxa"/>
            <w:shd w:val="clear" w:color="auto" w:fill="auto"/>
            <w:tcMar>
              <w:top w:w="100" w:type="dxa"/>
              <w:left w:w="100" w:type="dxa"/>
              <w:bottom w:w="100" w:type="dxa"/>
              <w:right w:w="100" w:type="dxa"/>
            </w:tcMar>
          </w:tcPr>
          <w:p w14:paraId="3DDBC02D"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Визначити  бар’єри входження в ринок:</w:t>
            </w:r>
          </w:p>
          <w:p w14:paraId="3268503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комбінування знань в різних галузях та залучення до створення продукту різних фахівців, що призводить до значних витрат на початковому етапі </w:t>
            </w:r>
          </w:p>
        </w:tc>
        <w:tc>
          <w:tcPr>
            <w:tcW w:w="2126" w:type="dxa"/>
            <w:shd w:val="clear" w:color="auto" w:fill="auto"/>
            <w:tcMar>
              <w:top w:w="100" w:type="dxa"/>
              <w:left w:w="100" w:type="dxa"/>
              <w:bottom w:w="100" w:type="dxa"/>
              <w:right w:w="100" w:type="dxa"/>
            </w:tcMar>
          </w:tcPr>
          <w:p w14:paraId="66DB48D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Визначити  фактори сили  постачальників: так як продукт створюється за рахунок праці фахівців без залучення інших ресурсів, постачальники не є впливовим фактором</w:t>
            </w:r>
          </w:p>
        </w:tc>
        <w:tc>
          <w:tcPr>
            <w:tcW w:w="1843" w:type="dxa"/>
            <w:shd w:val="clear" w:color="auto" w:fill="auto"/>
            <w:tcMar>
              <w:top w:w="100" w:type="dxa"/>
              <w:left w:w="100" w:type="dxa"/>
              <w:bottom w:w="100" w:type="dxa"/>
              <w:right w:w="100" w:type="dxa"/>
            </w:tcMar>
          </w:tcPr>
          <w:p w14:paraId="0585622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Визначити  фактори  сили споживачів: розмір закупівель, продуктова диференціація</w:t>
            </w:r>
          </w:p>
        </w:tc>
        <w:tc>
          <w:tcPr>
            <w:tcW w:w="1700" w:type="dxa"/>
            <w:shd w:val="clear" w:color="auto" w:fill="auto"/>
            <w:tcMar>
              <w:top w:w="100" w:type="dxa"/>
              <w:left w:w="100" w:type="dxa"/>
              <w:bottom w:w="100" w:type="dxa"/>
              <w:right w:w="100" w:type="dxa"/>
            </w:tcMar>
          </w:tcPr>
          <w:p w14:paraId="69133F0B"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Фактори  загроз з боку замінників: лояльність споживачів</w:t>
            </w:r>
          </w:p>
        </w:tc>
      </w:tr>
      <w:tr w:rsidR="000B7051" w:rsidRPr="00AC33A5" w14:paraId="42FB2236" w14:textId="77777777" w:rsidTr="002C1A6A">
        <w:tc>
          <w:tcPr>
            <w:tcW w:w="1376" w:type="dxa"/>
            <w:shd w:val="clear" w:color="auto" w:fill="auto"/>
            <w:tcMar>
              <w:top w:w="100" w:type="dxa"/>
              <w:left w:w="100" w:type="dxa"/>
              <w:bottom w:w="100" w:type="dxa"/>
              <w:right w:w="100" w:type="dxa"/>
            </w:tcMar>
          </w:tcPr>
          <w:p w14:paraId="4F01255C" w14:textId="3E35ED55" w:rsidR="000B7051" w:rsidRPr="00AC33A5" w:rsidRDefault="002C1A6A"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1957" w:type="dxa"/>
            <w:shd w:val="clear" w:color="auto" w:fill="auto"/>
            <w:tcMar>
              <w:top w:w="100" w:type="dxa"/>
              <w:left w:w="100" w:type="dxa"/>
              <w:bottom w:w="100" w:type="dxa"/>
              <w:right w:w="100" w:type="dxa"/>
            </w:tcMar>
          </w:tcPr>
          <w:p w14:paraId="7A03148F"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Визначити інтенсивність  конкурентної  боротьби з боку прямих конкурентів: продукт старт-апу є унікальним і </w:t>
            </w:r>
            <w:r w:rsidRPr="00AC33A5">
              <w:rPr>
                <w:rFonts w:ascii="Times New Roman" w:eastAsia="Times New Roman" w:hAnsi="Times New Roman" w:cs="Times New Roman"/>
                <w:sz w:val="28"/>
                <w:szCs w:val="28"/>
              </w:rPr>
              <w:lastRenderedPageBreak/>
              <w:t>конкуренти конкурують тільки в його окремих частинах. І виходячи з цього конкуренція обмежена</w:t>
            </w:r>
          </w:p>
        </w:tc>
        <w:tc>
          <w:tcPr>
            <w:tcW w:w="1913" w:type="dxa"/>
            <w:shd w:val="clear" w:color="auto" w:fill="auto"/>
            <w:tcMar>
              <w:top w:w="100" w:type="dxa"/>
              <w:left w:w="100" w:type="dxa"/>
              <w:bottom w:w="100" w:type="dxa"/>
              <w:right w:w="100" w:type="dxa"/>
            </w:tcMar>
          </w:tcPr>
          <w:p w14:paraId="63389F7E"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чи є можливості входу в ринок? ‐ чи є потенційні  конкуренти? Строки виходу  їх на ринок?</w:t>
            </w:r>
          </w:p>
          <w:p w14:paraId="0E4B9432"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Міжнародні компанії, які надають послуги ERP систем можуть розширити функціонал та також створити нішеві продукти і вийти на ринок протягом півроку за рахунок економії на масштабах, наявності товарних знаків, гнучких цін та доступу до ресурсів</w:t>
            </w:r>
          </w:p>
        </w:tc>
        <w:tc>
          <w:tcPr>
            <w:tcW w:w="2126" w:type="dxa"/>
            <w:shd w:val="clear" w:color="auto" w:fill="auto"/>
            <w:tcMar>
              <w:top w:w="100" w:type="dxa"/>
              <w:left w:w="100" w:type="dxa"/>
              <w:bottom w:w="100" w:type="dxa"/>
              <w:right w:w="100" w:type="dxa"/>
            </w:tcMar>
          </w:tcPr>
          <w:p w14:paraId="0480F97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Чи постачальники диктують  умови роботи  на ринку? Які?</w:t>
            </w:r>
          </w:p>
          <w:p w14:paraId="62EEFFA7"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Не диктують</w:t>
            </w:r>
          </w:p>
        </w:tc>
        <w:tc>
          <w:tcPr>
            <w:tcW w:w="1843" w:type="dxa"/>
            <w:shd w:val="clear" w:color="auto" w:fill="auto"/>
            <w:tcMar>
              <w:top w:w="100" w:type="dxa"/>
              <w:left w:w="100" w:type="dxa"/>
              <w:bottom w:w="100" w:type="dxa"/>
              <w:right w:w="100" w:type="dxa"/>
            </w:tcMar>
          </w:tcPr>
          <w:p w14:paraId="05D29711"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Чи клієнти  диктують  умови роботи на ринку? Які?</w:t>
            </w:r>
          </w:p>
          <w:p w14:paraId="7AFA2224"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Так, клієнти диктують умови через можливі </w:t>
            </w:r>
            <w:r w:rsidRPr="00AC33A5">
              <w:rPr>
                <w:rFonts w:ascii="Times New Roman" w:eastAsia="Times New Roman" w:hAnsi="Times New Roman" w:cs="Times New Roman"/>
                <w:sz w:val="28"/>
                <w:szCs w:val="28"/>
              </w:rPr>
              <w:lastRenderedPageBreak/>
              <w:t>значні обсяги закупівель у певних клієнтів, через продуктову диференціацію, вимагаючи кастомізацію під власні потреби</w:t>
            </w:r>
          </w:p>
        </w:tc>
        <w:tc>
          <w:tcPr>
            <w:tcW w:w="1700" w:type="dxa"/>
            <w:shd w:val="clear" w:color="auto" w:fill="auto"/>
            <w:tcMar>
              <w:top w:w="100" w:type="dxa"/>
              <w:left w:w="100" w:type="dxa"/>
              <w:bottom w:w="100" w:type="dxa"/>
              <w:right w:w="100" w:type="dxa"/>
            </w:tcMar>
          </w:tcPr>
          <w:p w14:paraId="68FCBD68" w14:textId="77777777" w:rsidR="000B7051" w:rsidRPr="00AC33A5" w:rsidRDefault="000B7051" w:rsidP="00AC246D">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Обмеження  для роботи  на ринку  через товари  замінники: клієнти можуть використов</w:t>
            </w:r>
            <w:r w:rsidRPr="00AC33A5">
              <w:rPr>
                <w:rFonts w:ascii="Times New Roman" w:eastAsia="Times New Roman" w:hAnsi="Times New Roman" w:cs="Times New Roman"/>
                <w:sz w:val="28"/>
                <w:szCs w:val="28"/>
              </w:rPr>
              <w:lastRenderedPageBreak/>
              <w:t xml:space="preserve">увати замінники з інших частин ERP систем та задовольнятись частковою автоматизацією </w:t>
            </w:r>
          </w:p>
        </w:tc>
      </w:tr>
    </w:tbl>
    <w:p w14:paraId="375C4CE1"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6AFE36B7" w14:textId="77777777" w:rsidR="000B7051" w:rsidRDefault="000B7051" w:rsidP="000B7051">
      <w:pPr>
        <w:spacing w:after="0" w:line="360" w:lineRule="auto"/>
        <w:jc w:val="both"/>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Висновок щодо принципової можливості роботи на ринку з огляду на конкурентну ситуацію: за умови значних капіталовкладень в маркетингові заходи по формуванню нового ринку, залученню клієнтів та захисту прав інтелектуальної власності вихід на ринок можливий. Додатково поточна ситуація є сприятливою, так як можливо залучення нетипових споживачів: органи державної влади, органи місцевого самоврядування та потенційні повоєнні інвестори.</w:t>
      </w:r>
    </w:p>
    <w:p w14:paraId="4F99C771" w14:textId="35DEB869" w:rsidR="00B9108F" w:rsidRDefault="00B9108F">
      <w:pPr>
        <w:rPr>
          <w:rFonts w:ascii="Times New Roman" w:eastAsia="Times New Roman" w:hAnsi="Times New Roman" w:cs="Times New Roman"/>
          <w:sz w:val="28"/>
          <w:szCs w:val="28"/>
        </w:rPr>
      </w:pPr>
    </w:p>
    <w:p w14:paraId="62576C86" w14:textId="77777777" w:rsidR="00AC246D" w:rsidRDefault="00AC246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20710BC" w14:textId="7388CE18"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Таблиця 10. Обґрунтування факторів конкурентоспроможності </w:t>
      </w:r>
    </w:p>
    <w:tbl>
      <w:tblPr>
        <w:tblW w:w="9929" w:type="dxa"/>
        <w:tblBorders>
          <w:top w:val="nil"/>
          <w:left w:val="nil"/>
          <w:bottom w:val="nil"/>
          <w:right w:val="nil"/>
          <w:insideH w:val="nil"/>
          <w:insideV w:val="nil"/>
        </w:tblBorders>
        <w:tblLayout w:type="fixed"/>
        <w:tblLook w:val="0600" w:firstRow="0" w:lastRow="0" w:firstColumn="0" w:lastColumn="0" w:noHBand="1" w:noVBand="1"/>
      </w:tblPr>
      <w:tblGrid>
        <w:gridCol w:w="570"/>
        <w:gridCol w:w="4114"/>
        <w:gridCol w:w="5245"/>
      </w:tblGrid>
      <w:tr w:rsidR="000B7051" w:rsidRPr="00AC33A5" w14:paraId="1C558094" w14:textId="77777777" w:rsidTr="002C1A6A">
        <w:trPr>
          <w:trHeight w:val="1380"/>
        </w:trPr>
        <w:tc>
          <w:tcPr>
            <w:tcW w:w="570"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1419F83B" w14:textId="77777777" w:rsidR="000B7051" w:rsidRPr="00AC33A5" w:rsidRDefault="000B7051" w:rsidP="00AC246D">
            <w:pPr>
              <w:spacing w:after="0" w:line="240" w:lineRule="auto"/>
              <w:ind w:left="160"/>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w:t>
            </w:r>
          </w:p>
          <w:p w14:paraId="4354B3B2" w14:textId="77777777" w:rsidR="000B7051" w:rsidRPr="00AC33A5" w:rsidRDefault="000B7051" w:rsidP="00AC246D">
            <w:pPr>
              <w:spacing w:after="0" w:line="240" w:lineRule="auto"/>
              <w:ind w:left="120"/>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п/п</w:t>
            </w:r>
          </w:p>
        </w:tc>
        <w:tc>
          <w:tcPr>
            <w:tcW w:w="4114"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237E7959" w14:textId="77777777" w:rsidR="000B7051" w:rsidRPr="00AC33A5" w:rsidRDefault="000B7051" w:rsidP="00AC246D">
            <w:pPr>
              <w:spacing w:after="0" w:line="240" w:lineRule="auto"/>
              <w:ind w:left="200" w:right="180"/>
              <w:jc w:val="center"/>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Фактор конкурентоспроможності</w:t>
            </w:r>
          </w:p>
        </w:tc>
        <w:tc>
          <w:tcPr>
            <w:tcW w:w="5245"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5AEB9F92" w14:textId="31F6495C" w:rsidR="000B7051" w:rsidRPr="00AC33A5" w:rsidRDefault="000B7051" w:rsidP="00AC246D">
            <w:pPr>
              <w:spacing w:after="0" w:line="240" w:lineRule="auto"/>
              <w:ind w:left="260"/>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Обґрунтування (нав</w:t>
            </w:r>
            <w:r w:rsidR="00B9108F">
              <w:rPr>
                <w:rFonts w:ascii="Times New Roman" w:eastAsia="Times New Roman" w:hAnsi="Times New Roman" w:cs="Times New Roman"/>
                <w:sz w:val="28"/>
                <w:szCs w:val="28"/>
              </w:rPr>
              <w:t>едення чинників, що роблять фак</w:t>
            </w:r>
            <w:r w:rsidRPr="00AC33A5">
              <w:rPr>
                <w:rFonts w:ascii="Times New Roman" w:eastAsia="Times New Roman" w:hAnsi="Times New Roman" w:cs="Times New Roman"/>
                <w:sz w:val="28"/>
                <w:szCs w:val="28"/>
              </w:rPr>
              <w:t>тор для порівняння конкурентних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ктів значущим)</w:t>
            </w:r>
          </w:p>
        </w:tc>
      </w:tr>
      <w:tr w:rsidR="000B7051" w:rsidRPr="00AC33A5" w14:paraId="5B03E3AC" w14:textId="77777777" w:rsidTr="002C1A6A">
        <w:trPr>
          <w:trHeight w:val="285"/>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17326DC2"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04A9639A"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Мікромаркетингові фактори</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715EC04B"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r>
      <w:tr w:rsidR="000B7051" w:rsidRPr="00AC33A5" w14:paraId="428EFC06" w14:textId="77777777" w:rsidTr="002C1A6A">
        <w:trPr>
          <w:trHeight w:val="1395"/>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3F422303"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1.1.</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674608A6"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Споживачі</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04C6AAFD"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Споживачем є надрокористувач або інвестор, які мають на меті не формально виконати обов’язкові вимоги, а забезпечити сталий розвиток . Тому пропонування сталого рішення полегшує перехід саме до такої діяльності та приваблює інвесторів.</w:t>
            </w:r>
          </w:p>
          <w:p w14:paraId="549A67DA"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Органи державної влади та місцевого самоврядування мають убезпечити безпечність довкілля та керувати ресурсами на відновлення територій</w:t>
            </w:r>
          </w:p>
        </w:tc>
      </w:tr>
      <w:tr w:rsidR="000B7051" w:rsidRPr="00AC33A5" w14:paraId="267112AB" w14:textId="77777777" w:rsidTr="002C1A6A">
        <w:trPr>
          <w:trHeight w:val="1950"/>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02674641"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4EFED772"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Контактні аудиторії – громади, суспільство</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219C1439"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Запит на сталий розвиток зростає, вимоги до безпеки навколишнього середовища також стають більш жорсткими, громади поступово починають своє значення та право надавати «social license to operate». Тому надрокористувачі мають шукати сталі пропозиції для громад, які і має на меті пропонувати проєкт.</w:t>
            </w:r>
          </w:p>
          <w:p w14:paraId="7BC09716"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Органи державної влади та місцевого самоврядування мають демонструвати ефективне та прозоре використання ресурсів та забезпечувати добробут громад</w:t>
            </w:r>
          </w:p>
        </w:tc>
      </w:tr>
      <w:tr w:rsidR="000B7051" w:rsidRPr="00AC33A5" w14:paraId="23E0399E" w14:textId="77777777" w:rsidTr="002C1A6A">
        <w:trPr>
          <w:trHeight w:val="285"/>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5AE5DE58"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3F8FC6F6"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Макромаркетингові фактори</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09D0A1EA"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r>
      <w:tr w:rsidR="000B7051" w:rsidRPr="00AC33A5" w14:paraId="7A4A532F" w14:textId="77777777" w:rsidTr="002C1A6A">
        <w:trPr>
          <w:trHeight w:val="2220"/>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6C0F314C"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2.1.</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1DE314B7"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Економічний – обмеженість первинних ресурсів робить Україну привабливою для інвесторів, але вони не можуть інвестувати в сірі проєкти, їм потрібні проєкти, які відповідають міжнародним стандартам</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2B9E7DBC"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Для того, щоб отримати інвестиції надрокористувач, громади мають привести свою діяльність до моделі сталого розвитку, врахування ESG аспектів, виключення недоброчесних практик, досягнення економічних показників. Для цього їм потрібні консультаційні послуги комплексного характеру та достовірна звітність за цілісними даними, що і пропонує проєкт</w:t>
            </w:r>
          </w:p>
        </w:tc>
      </w:tr>
      <w:tr w:rsidR="000B7051" w:rsidRPr="00AC33A5" w14:paraId="6D9CBC86" w14:textId="77777777" w:rsidTr="002C1A6A">
        <w:trPr>
          <w:trHeight w:val="1665"/>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106633A1"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sz w:val="28"/>
                <w:szCs w:val="28"/>
              </w:rPr>
              <w:t>2.2.</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3BD75D36"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Політико-правове середовище – попит на застосування міжнародних стандартів посилює вимоги до діяльності. Працювати в сіру все важче і важче</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501FC386"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Виникає попит не на послуги рознесення хабарів, а на рішення, які забезпечать дотримання вимог та економічної ефективності</w:t>
            </w:r>
          </w:p>
        </w:tc>
      </w:tr>
      <w:tr w:rsidR="000B7051" w:rsidRPr="00AC33A5" w14:paraId="5D11F2C8" w14:textId="77777777" w:rsidTr="002C1A6A">
        <w:trPr>
          <w:trHeight w:val="1268"/>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30F96082"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2.3.</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69F83091"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Соціо-культурне середовище – зростає рівень обізнаності населення про довкілля, зростають вимоги до підприємств, які працюють поруч, вимушені переміщені особи, які знаходяться в Європі відчувають на собі європейські правила та стандарти життя</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716C269B"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Попит від суспільства до сталого надрокористування та безпечного довкілля</w:t>
            </w:r>
          </w:p>
        </w:tc>
      </w:tr>
      <w:tr w:rsidR="000B7051" w:rsidRPr="00AC33A5" w14:paraId="78724DD7" w14:textId="77777777" w:rsidTr="002C1A6A">
        <w:trPr>
          <w:trHeight w:val="1950"/>
        </w:trPr>
        <w:tc>
          <w:tcPr>
            <w:tcW w:w="570"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149BC0D8"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2.4.</w:t>
            </w:r>
          </w:p>
        </w:tc>
        <w:tc>
          <w:tcPr>
            <w:tcW w:w="4114" w:type="dxa"/>
            <w:tcBorders>
              <w:top w:val="nil"/>
              <w:left w:val="nil"/>
              <w:bottom w:val="single" w:sz="5" w:space="0" w:color="000000"/>
              <w:right w:val="single" w:sz="5" w:space="0" w:color="000000"/>
            </w:tcBorders>
            <w:tcMar>
              <w:top w:w="0" w:type="dxa"/>
              <w:left w:w="0" w:type="dxa"/>
              <w:bottom w:w="0" w:type="dxa"/>
              <w:right w:w="0" w:type="dxa"/>
            </w:tcMar>
          </w:tcPr>
          <w:p w14:paraId="3641DE4F"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Науково-технологічне середовище – є необхідність підвищення технологічного рівня галузі для досягнення норм ефективності, які є в світі, для того щоб мати можливість конкурувати</w:t>
            </w:r>
          </w:p>
        </w:tc>
        <w:tc>
          <w:tcPr>
            <w:tcW w:w="5245" w:type="dxa"/>
            <w:tcBorders>
              <w:top w:val="nil"/>
              <w:left w:val="nil"/>
              <w:bottom w:val="single" w:sz="5" w:space="0" w:color="000000"/>
              <w:right w:val="single" w:sz="5" w:space="0" w:color="000000"/>
            </w:tcBorders>
            <w:tcMar>
              <w:top w:w="0" w:type="dxa"/>
              <w:left w:w="0" w:type="dxa"/>
              <w:bottom w:w="0" w:type="dxa"/>
              <w:right w:w="0" w:type="dxa"/>
            </w:tcMar>
          </w:tcPr>
          <w:p w14:paraId="17FA4D40"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Будь-яка зміна технологій має бути оцінена не тільки з технічної сторони, а з багато інших аспектів. Тому комплексна міждисциплінарна послуга може забезпечити більш успішний перехід.</w:t>
            </w:r>
          </w:p>
        </w:tc>
      </w:tr>
    </w:tbl>
    <w:p w14:paraId="542116C8"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1473E33B" w14:textId="77777777" w:rsidR="000B7051" w:rsidRPr="00FB7DF8"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Таблиця 11. Порівняльний аналіз сильних та слабких сторін </w:t>
      </w:r>
      <w:r w:rsidRPr="00AC33A5">
        <w:rPr>
          <w:rFonts w:ascii="Times New Roman" w:eastAsia="Times New Roman" w:hAnsi="Times New Roman" w:cs="Times New Roman"/>
          <w:i/>
          <w:sz w:val="28"/>
          <w:szCs w:val="28"/>
        </w:rPr>
        <w:t>smArtmining</w:t>
      </w:r>
    </w:p>
    <w:sdt>
      <w:sdtPr>
        <w:rPr>
          <w:rFonts w:ascii="Times New Roman" w:hAnsi="Times New Roman" w:cs="Times New Roman"/>
          <w:i/>
          <w:sz w:val="24"/>
          <w:szCs w:val="24"/>
        </w:rPr>
        <w:id w:val="-390430571"/>
        <w:lock w:val="contentLocked"/>
        <w:group/>
      </w:sdtPr>
      <w:sdtEndPr>
        <w:rPr>
          <w:i w:val="0"/>
        </w:rPr>
      </w:sdtEndPr>
      <w:sdtContent>
        <w:tbl>
          <w:tblPr>
            <w:tblW w:w="856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8"/>
            <w:gridCol w:w="3032"/>
            <w:gridCol w:w="820"/>
            <w:gridCol w:w="592"/>
            <w:gridCol w:w="593"/>
            <w:gridCol w:w="592"/>
            <w:gridCol w:w="592"/>
            <w:gridCol w:w="593"/>
            <w:gridCol w:w="592"/>
            <w:gridCol w:w="592"/>
          </w:tblGrid>
          <w:tr w:rsidR="000B7051" w:rsidRPr="00EB3A1D" w14:paraId="2AAB8CD5" w14:textId="77777777" w:rsidTr="00CB66DD">
            <w:trPr>
              <w:trHeight w:val="585"/>
            </w:trPr>
            <w:tc>
              <w:tcPr>
                <w:tcW w:w="568" w:type="dxa"/>
                <w:vMerge w:val="restart"/>
                <w:tcBorders>
                  <w:top w:val="single" w:sz="4" w:space="0" w:color="000000"/>
                  <w:left w:val="single" w:sz="4" w:space="0" w:color="000000"/>
                  <w:bottom w:val="single" w:sz="4" w:space="0" w:color="000000"/>
                  <w:right w:val="single" w:sz="4" w:space="0" w:color="000000"/>
                </w:tcBorders>
              </w:tcPr>
              <w:p w14:paraId="3CE1097A" w14:textId="77777777" w:rsidR="000B7051" w:rsidRPr="00EB3A1D" w:rsidRDefault="000B7051" w:rsidP="00CB66DD">
                <w:pPr>
                  <w:pStyle w:val="TableParagraph"/>
                  <w:spacing w:before="145"/>
                  <w:ind w:left="111" w:right="84" w:firstLine="49"/>
                  <w:rPr>
                    <w:rFonts w:ascii="Times New Roman" w:hAnsi="Times New Roman" w:cs="Times New Roman"/>
                    <w:i/>
                    <w:sz w:val="24"/>
                    <w:szCs w:val="24"/>
                  </w:rPr>
                </w:pPr>
                <w:r w:rsidRPr="00EB3A1D">
                  <w:rPr>
                    <w:rFonts w:ascii="Times New Roman" w:hAnsi="Times New Roman" w:cs="Times New Roman"/>
                    <w:i/>
                    <w:sz w:val="24"/>
                    <w:szCs w:val="24"/>
                  </w:rPr>
                  <w:t>№</w:t>
                </w:r>
                <w:r w:rsidRPr="00EB3A1D">
                  <w:rPr>
                    <w:rFonts w:ascii="Times New Roman" w:hAnsi="Times New Roman" w:cs="Times New Roman"/>
                    <w:i/>
                    <w:spacing w:val="-52"/>
                    <w:sz w:val="24"/>
                    <w:szCs w:val="24"/>
                  </w:rPr>
                  <w:t xml:space="preserve"> </w:t>
                </w:r>
                <w:r w:rsidRPr="00EB3A1D">
                  <w:rPr>
                    <w:rFonts w:ascii="Times New Roman" w:hAnsi="Times New Roman" w:cs="Times New Roman"/>
                    <w:i/>
                    <w:sz w:val="24"/>
                    <w:szCs w:val="24"/>
                  </w:rPr>
                  <w:t>п/п</w:t>
                </w:r>
              </w:p>
            </w:tc>
            <w:tc>
              <w:tcPr>
                <w:tcW w:w="3032" w:type="dxa"/>
                <w:vMerge w:val="restart"/>
                <w:tcBorders>
                  <w:top w:val="single" w:sz="4" w:space="0" w:color="000000"/>
                  <w:left w:val="single" w:sz="4" w:space="0" w:color="000000"/>
                  <w:bottom w:val="single" w:sz="4" w:space="0" w:color="000000"/>
                  <w:right w:val="single" w:sz="4" w:space="0" w:color="000000"/>
                </w:tcBorders>
              </w:tcPr>
              <w:p w14:paraId="20356C42" w14:textId="77777777" w:rsidR="000B7051" w:rsidRPr="00EB3A1D" w:rsidRDefault="000B7051" w:rsidP="00CB66DD">
                <w:pPr>
                  <w:pStyle w:val="TableParagraph"/>
                  <w:spacing w:before="11"/>
                  <w:rPr>
                    <w:rFonts w:ascii="Times New Roman" w:hAnsi="Times New Roman" w:cs="Times New Roman"/>
                    <w:b/>
                    <w:i/>
                    <w:sz w:val="24"/>
                    <w:szCs w:val="24"/>
                  </w:rPr>
                </w:pPr>
              </w:p>
              <w:p w14:paraId="3C86D8C6" w14:textId="77777777" w:rsidR="000B7051" w:rsidRPr="00EB3A1D" w:rsidRDefault="000B7051" w:rsidP="00CB66DD">
                <w:pPr>
                  <w:pStyle w:val="TableParagraph"/>
                  <w:ind w:left="301"/>
                  <w:rPr>
                    <w:rFonts w:ascii="Times New Roman" w:hAnsi="Times New Roman" w:cs="Times New Roman"/>
                    <w:i/>
                    <w:sz w:val="24"/>
                    <w:szCs w:val="24"/>
                  </w:rPr>
                </w:pPr>
                <w:r w:rsidRPr="00EB3A1D">
                  <w:rPr>
                    <w:rFonts w:ascii="Times New Roman" w:hAnsi="Times New Roman" w:cs="Times New Roman"/>
                    <w:i/>
                    <w:sz w:val="24"/>
                    <w:szCs w:val="24"/>
                  </w:rPr>
                  <w:t>Фактор</w:t>
                </w:r>
                <w:r w:rsidRPr="00EB3A1D">
                  <w:rPr>
                    <w:rFonts w:ascii="Times New Roman" w:hAnsi="Times New Roman" w:cs="Times New Roman"/>
                    <w:i/>
                    <w:spacing w:val="-3"/>
                    <w:sz w:val="24"/>
                    <w:szCs w:val="24"/>
                  </w:rPr>
                  <w:t xml:space="preserve"> </w:t>
                </w:r>
                <w:r w:rsidRPr="00EB3A1D">
                  <w:rPr>
                    <w:rFonts w:ascii="Times New Roman" w:hAnsi="Times New Roman" w:cs="Times New Roman"/>
                    <w:i/>
                    <w:sz w:val="24"/>
                    <w:szCs w:val="24"/>
                  </w:rPr>
                  <w:t>конкурентоспроможності</w:t>
                </w:r>
              </w:p>
            </w:tc>
            <w:tc>
              <w:tcPr>
                <w:tcW w:w="820" w:type="dxa"/>
                <w:vMerge w:val="restart"/>
                <w:tcBorders>
                  <w:top w:val="single" w:sz="4" w:space="0" w:color="000000"/>
                  <w:left w:val="single" w:sz="4" w:space="0" w:color="000000"/>
                  <w:bottom w:val="single" w:sz="4" w:space="0" w:color="000000"/>
                  <w:right w:val="single" w:sz="4" w:space="0" w:color="000000"/>
                </w:tcBorders>
              </w:tcPr>
              <w:p w14:paraId="1C36F1A2" w14:textId="77777777" w:rsidR="000B7051" w:rsidRPr="00EB3A1D" w:rsidRDefault="000B7051" w:rsidP="00CB66DD">
                <w:pPr>
                  <w:pStyle w:val="TableParagraph"/>
                  <w:spacing w:before="145"/>
                  <w:ind w:left="208"/>
                  <w:rPr>
                    <w:rFonts w:ascii="Times New Roman" w:hAnsi="Times New Roman" w:cs="Times New Roman"/>
                    <w:i/>
                    <w:sz w:val="24"/>
                    <w:szCs w:val="24"/>
                  </w:rPr>
                </w:pPr>
                <w:r w:rsidRPr="00EB3A1D">
                  <w:rPr>
                    <w:rFonts w:ascii="Times New Roman" w:hAnsi="Times New Roman" w:cs="Times New Roman"/>
                    <w:i/>
                    <w:sz w:val="24"/>
                    <w:szCs w:val="24"/>
                  </w:rPr>
                  <w:t>Бали</w:t>
                </w:r>
              </w:p>
              <w:p w14:paraId="02E09531" w14:textId="77777777" w:rsidR="000B7051" w:rsidRPr="00EB3A1D" w:rsidRDefault="000B7051" w:rsidP="00CB66DD">
                <w:pPr>
                  <w:pStyle w:val="TableParagraph"/>
                  <w:ind w:left="240"/>
                  <w:rPr>
                    <w:rFonts w:ascii="Times New Roman" w:hAnsi="Times New Roman" w:cs="Times New Roman"/>
                    <w:i/>
                    <w:sz w:val="24"/>
                    <w:szCs w:val="24"/>
                  </w:rPr>
                </w:pPr>
                <w:r w:rsidRPr="00EB3A1D">
                  <w:rPr>
                    <w:rFonts w:ascii="Times New Roman" w:hAnsi="Times New Roman" w:cs="Times New Roman"/>
                    <w:i/>
                    <w:sz w:val="24"/>
                    <w:szCs w:val="24"/>
                  </w:rPr>
                  <w:t>1</w:t>
                </w:r>
                <w:r w:rsidRPr="00EB3A1D">
                  <w:rPr>
                    <w:rFonts w:cs="Times New Roman"/>
                    <w:i/>
                    <w:sz w:val="24"/>
                    <w:szCs w:val="24"/>
                  </w:rPr>
                  <w:t>‐</w:t>
                </w:r>
                <w:r w:rsidRPr="00EB3A1D">
                  <w:rPr>
                    <w:rFonts w:ascii="Times New Roman" w:hAnsi="Times New Roman" w:cs="Times New Roman"/>
                    <w:i/>
                    <w:sz w:val="24"/>
                    <w:szCs w:val="24"/>
                  </w:rPr>
                  <w:t>20</w:t>
                </w:r>
              </w:p>
            </w:tc>
            <w:tc>
              <w:tcPr>
                <w:tcW w:w="4146" w:type="dxa"/>
                <w:gridSpan w:val="7"/>
                <w:tcBorders>
                  <w:top w:val="single" w:sz="4" w:space="0" w:color="000000"/>
                  <w:left w:val="single" w:sz="4" w:space="0" w:color="000000"/>
                  <w:bottom w:val="single" w:sz="4" w:space="0" w:color="000000"/>
                  <w:right w:val="single" w:sz="4" w:space="0" w:color="000000"/>
                </w:tcBorders>
              </w:tcPr>
              <w:p w14:paraId="7CC83B42" w14:textId="77777777" w:rsidR="000B7051" w:rsidRPr="00EB3A1D" w:rsidRDefault="000B7051" w:rsidP="00CB66DD">
                <w:pPr>
                  <w:pStyle w:val="TableParagraph"/>
                  <w:spacing w:line="292" w:lineRule="exact"/>
                  <w:ind w:left="211"/>
                  <w:rPr>
                    <w:rFonts w:ascii="Times New Roman" w:hAnsi="Times New Roman" w:cs="Times New Roman"/>
                    <w:i/>
                    <w:sz w:val="24"/>
                    <w:szCs w:val="24"/>
                  </w:rPr>
                </w:pPr>
                <w:r w:rsidRPr="00EB3A1D">
                  <w:rPr>
                    <w:rFonts w:ascii="Times New Roman" w:hAnsi="Times New Roman" w:cs="Times New Roman"/>
                    <w:i/>
                    <w:sz w:val="24"/>
                    <w:szCs w:val="24"/>
                  </w:rPr>
                  <w:t>Рейтинг товарів</w:t>
                </w:r>
                <w:r w:rsidRPr="00EB3A1D">
                  <w:rPr>
                    <w:rFonts w:cs="Times New Roman"/>
                    <w:i/>
                    <w:sz w:val="24"/>
                    <w:szCs w:val="24"/>
                  </w:rPr>
                  <w:t>‐</w:t>
                </w:r>
                <w:r w:rsidRPr="00EB3A1D">
                  <w:rPr>
                    <w:rFonts w:ascii="Times New Roman" w:hAnsi="Times New Roman" w:cs="Times New Roman"/>
                    <w:i/>
                    <w:sz w:val="24"/>
                    <w:szCs w:val="24"/>
                  </w:rPr>
                  <w:t>конкурентів у</w:t>
                </w:r>
                <w:r w:rsidRPr="00EB3A1D">
                  <w:rPr>
                    <w:rFonts w:ascii="Times New Roman" w:hAnsi="Times New Roman" w:cs="Times New Roman"/>
                    <w:i/>
                    <w:spacing w:val="-1"/>
                    <w:sz w:val="24"/>
                    <w:szCs w:val="24"/>
                  </w:rPr>
                  <w:t xml:space="preserve"> </w:t>
                </w:r>
                <w:r w:rsidRPr="00EB3A1D">
                  <w:rPr>
                    <w:rFonts w:ascii="Times New Roman" w:hAnsi="Times New Roman" w:cs="Times New Roman"/>
                    <w:i/>
                    <w:sz w:val="24"/>
                    <w:szCs w:val="24"/>
                  </w:rPr>
                  <w:t>по</w:t>
                </w:r>
                <w:r w:rsidRPr="00EB3A1D">
                  <w:rPr>
                    <w:rFonts w:cs="Times New Roman"/>
                    <w:i/>
                    <w:sz w:val="24"/>
                    <w:szCs w:val="24"/>
                  </w:rPr>
                  <w:t>‐</w:t>
                </w:r>
              </w:p>
              <w:p w14:paraId="2896579B" w14:textId="77777777" w:rsidR="000B7051" w:rsidRPr="00F11255" w:rsidRDefault="000B7051" w:rsidP="00CB66DD">
                <w:pPr>
                  <w:pStyle w:val="TableParagraph"/>
                  <w:spacing w:line="273" w:lineRule="exact"/>
                  <w:ind w:left="301"/>
                  <w:rPr>
                    <w:rFonts w:ascii="Times New Roman" w:hAnsi="Times New Roman" w:cs="Times New Roman"/>
                    <w:i/>
                    <w:sz w:val="24"/>
                    <w:szCs w:val="24"/>
                    <w:lang w:val="en-US"/>
                  </w:rPr>
                </w:pPr>
                <w:r w:rsidRPr="00EB3A1D">
                  <w:rPr>
                    <w:rFonts w:ascii="Times New Roman" w:hAnsi="Times New Roman" w:cs="Times New Roman"/>
                    <w:i/>
                    <w:sz w:val="24"/>
                    <w:szCs w:val="24"/>
                  </w:rPr>
                  <w:t>рівнянні</w:t>
                </w:r>
                <w:r w:rsidRPr="00EB3A1D">
                  <w:rPr>
                    <w:rFonts w:ascii="Times New Roman" w:hAnsi="Times New Roman" w:cs="Times New Roman"/>
                    <w:i/>
                    <w:spacing w:val="-3"/>
                    <w:sz w:val="24"/>
                    <w:szCs w:val="24"/>
                  </w:rPr>
                  <w:t xml:space="preserve"> </w:t>
                </w:r>
                <w:r w:rsidRPr="00EB3A1D">
                  <w:rPr>
                    <w:rFonts w:ascii="Times New Roman" w:hAnsi="Times New Roman" w:cs="Times New Roman"/>
                    <w:i/>
                    <w:sz w:val="24"/>
                    <w:szCs w:val="24"/>
                  </w:rPr>
                  <w:t>з</w:t>
                </w:r>
                <w:r w:rsidRPr="00EB3A1D">
                  <w:rPr>
                    <w:rFonts w:ascii="Times New Roman" w:hAnsi="Times New Roman" w:cs="Times New Roman"/>
                    <w:i/>
                    <w:spacing w:val="-2"/>
                    <w:sz w:val="24"/>
                    <w:szCs w:val="24"/>
                  </w:rPr>
                  <w:t xml:space="preserve"> </w:t>
                </w:r>
                <w:r>
                  <w:rPr>
                    <w:rFonts w:ascii="Times New Roman" w:hAnsi="Times New Roman" w:cs="Times New Roman"/>
                    <w:i/>
                    <w:spacing w:val="-2"/>
                    <w:sz w:val="24"/>
                    <w:szCs w:val="24"/>
                    <w:lang w:val="en-GB"/>
                  </w:rPr>
                  <w:t>smArtmining</w:t>
                </w:r>
              </w:p>
            </w:tc>
          </w:tr>
          <w:tr w:rsidR="000B7051" w:rsidRPr="00EB3A1D" w14:paraId="755E9A88" w14:textId="77777777" w:rsidTr="00CB66DD">
            <w:trPr>
              <w:trHeight w:val="293"/>
            </w:trPr>
            <w:tc>
              <w:tcPr>
                <w:tcW w:w="568" w:type="dxa"/>
                <w:vMerge/>
                <w:tcBorders>
                  <w:top w:val="nil"/>
                  <w:left w:val="single" w:sz="4" w:space="0" w:color="000000"/>
                  <w:bottom w:val="single" w:sz="4" w:space="0" w:color="000000"/>
                  <w:right w:val="single" w:sz="4" w:space="0" w:color="000000"/>
                </w:tcBorders>
              </w:tcPr>
              <w:p w14:paraId="124691B6" w14:textId="77777777" w:rsidR="000B7051" w:rsidRPr="00EB3A1D" w:rsidRDefault="000B7051" w:rsidP="00CB66DD"/>
            </w:tc>
            <w:tc>
              <w:tcPr>
                <w:tcW w:w="3032" w:type="dxa"/>
                <w:vMerge/>
                <w:tcBorders>
                  <w:top w:val="nil"/>
                  <w:left w:val="single" w:sz="4" w:space="0" w:color="000000"/>
                  <w:bottom w:val="single" w:sz="4" w:space="0" w:color="000000"/>
                  <w:right w:val="single" w:sz="4" w:space="0" w:color="000000"/>
                </w:tcBorders>
              </w:tcPr>
              <w:p w14:paraId="3850ADC9" w14:textId="77777777" w:rsidR="000B7051" w:rsidRPr="00EB3A1D" w:rsidRDefault="000B7051" w:rsidP="00CB66DD"/>
            </w:tc>
            <w:tc>
              <w:tcPr>
                <w:tcW w:w="820" w:type="dxa"/>
                <w:vMerge/>
                <w:tcBorders>
                  <w:top w:val="nil"/>
                  <w:left w:val="single" w:sz="4" w:space="0" w:color="000000"/>
                  <w:bottom w:val="single" w:sz="4" w:space="0" w:color="000000"/>
                  <w:right w:val="single" w:sz="4" w:space="0" w:color="000000"/>
                </w:tcBorders>
              </w:tcPr>
              <w:p w14:paraId="0A27DA7B" w14:textId="77777777" w:rsidR="000B7051" w:rsidRPr="00EB3A1D" w:rsidRDefault="000B7051" w:rsidP="00CB66DD"/>
            </w:tc>
            <w:tc>
              <w:tcPr>
                <w:tcW w:w="592" w:type="dxa"/>
                <w:tcBorders>
                  <w:top w:val="single" w:sz="4" w:space="0" w:color="000000"/>
                  <w:left w:val="single" w:sz="4" w:space="0" w:color="000000"/>
                  <w:bottom w:val="single" w:sz="4" w:space="0" w:color="000000"/>
                  <w:right w:val="single" w:sz="4" w:space="0" w:color="000000"/>
                </w:tcBorders>
              </w:tcPr>
              <w:p w14:paraId="35F547B9" w14:textId="77777777" w:rsidR="000B7051" w:rsidRPr="00EB3A1D" w:rsidRDefault="000B7051" w:rsidP="00CB66DD">
                <w:pPr>
                  <w:pStyle w:val="TableParagraph"/>
                  <w:spacing w:line="274" w:lineRule="exact"/>
                  <w:ind w:left="173"/>
                  <w:rPr>
                    <w:rFonts w:ascii="Times New Roman" w:hAnsi="Times New Roman" w:cs="Times New Roman"/>
                    <w:i/>
                    <w:sz w:val="24"/>
                    <w:szCs w:val="24"/>
                  </w:rPr>
                </w:pPr>
                <w:r w:rsidRPr="00EB3A1D">
                  <w:rPr>
                    <w:rFonts w:ascii="Times New Roman" w:hAnsi="Times New Roman" w:cs="Times New Roman"/>
                    <w:i/>
                    <w:sz w:val="24"/>
                    <w:szCs w:val="24"/>
                  </w:rPr>
                  <w:t>–3</w:t>
                </w:r>
              </w:p>
            </w:tc>
            <w:tc>
              <w:tcPr>
                <w:tcW w:w="593" w:type="dxa"/>
                <w:tcBorders>
                  <w:top w:val="single" w:sz="4" w:space="0" w:color="000000"/>
                  <w:left w:val="single" w:sz="4" w:space="0" w:color="000000"/>
                  <w:bottom w:val="single" w:sz="4" w:space="0" w:color="000000"/>
                  <w:right w:val="single" w:sz="4" w:space="0" w:color="000000"/>
                </w:tcBorders>
              </w:tcPr>
              <w:p w14:paraId="1DCD5009" w14:textId="77777777" w:rsidR="000B7051" w:rsidRPr="00EB3A1D" w:rsidRDefault="000B7051" w:rsidP="00CB66DD">
                <w:pPr>
                  <w:pStyle w:val="TableParagraph"/>
                  <w:spacing w:line="274" w:lineRule="exact"/>
                  <w:ind w:left="172"/>
                  <w:rPr>
                    <w:rFonts w:ascii="Times New Roman" w:hAnsi="Times New Roman" w:cs="Times New Roman"/>
                    <w:i/>
                    <w:sz w:val="24"/>
                    <w:szCs w:val="24"/>
                  </w:rPr>
                </w:pPr>
                <w:r w:rsidRPr="00EB3A1D">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tcPr>
              <w:p w14:paraId="68843C37" w14:textId="77777777" w:rsidR="000B7051" w:rsidRPr="00EB3A1D" w:rsidRDefault="000B7051" w:rsidP="00CB66DD">
                <w:pPr>
                  <w:pStyle w:val="TableParagraph"/>
                  <w:spacing w:line="274" w:lineRule="exact"/>
                  <w:ind w:left="172"/>
                  <w:rPr>
                    <w:rFonts w:ascii="Times New Roman" w:hAnsi="Times New Roman" w:cs="Times New Roman"/>
                    <w:i/>
                    <w:sz w:val="24"/>
                    <w:szCs w:val="24"/>
                  </w:rPr>
                </w:pPr>
                <w:r w:rsidRPr="00EB3A1D">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3406E6BE" w14:textId="77777777" w:rsidR="000B7051" w:rsidRPr="00EB3A1D" w:rsidRDefault="000B7051" w:rsidP="00CB66DD">
                <w:pPr>
                  <w:pStyle w:val="TableParagraph"/>
                  <w:spacing w:line="274" w:lineRule="exact"/>
                  <w:ind w:left="4"/>
                  <w:jc w:val="center"/>
                  <w:rPr>
                    <w:rFonts w:ascii="Times New Roman" w:hAnsi="Times New Roman" w:cs="Times New Roman"/>
                    <w:i/>
                    <w:sz w:val="24"/>
                    <w:szCs w:val="24"/>
                  </w:rPr>
                </w:pPr>
                <w:r w:rsidRPr="00EB3A1D">
                  <w:rPr>
                    <w:rFonts w:ascii="Times New Roman" w:hAnsi="Times New Roman" w:cs="Times New Roman"/>
                    <w:i/>
                    <w:sz w:val="24"/>
                    <w:szCs w:val="24"/>
                  </w:rPr>
                  <w:t>0</w:t>
                </w:r>
              </w:p>
            </w:tc>
            <w:tc>
              <w:tcPr>
                <w:tcW w:w="593" w:type="dxa"/>
                <w:tcBorders>
                  <w:top w:val="single" w:sz="4" w:space="0" w:color="000000"/>
                  <w:left w:val="single" w:sz="4" w:space="0" w:color="000000"/>
                  <w:bottom w:val="single" w:sz="4" w:space="0" w:color="000000"/>
                  <w:right w:val="single" w:sz="4" w:space="0" w:color="000000"/>
                </w:tcBorders>
              </w:tcPr>
              <w:p w14:paraId="07CEDBEC" w14:textId="77777777" w:rsidR="000B7051" w:rsidRPr="00EB3A1D" w:rsidRDefault="000B7051" w:rsidP="00CB66DD">
                <w:pPr>
                  <w:pStyle w:val="TableParagraph"/>
                  <w:spacing w:line="274" w:lineRule="exact"/>
                  <w:ind w:left="171"/>
                  <w:rPr>
                    <w:rFonts w:ascii="Times New Roman" w:hAnsi="Times New Roman" w:cs="Times New Roman"/>
                    <w:i/>
                    <w:sz w:val="24"/>
                    <w:szCs w:val="24"/>
                  </w:rPr>
                </w:pPr>
                <w:r w:rsidRPr="00EB3A1D">
                  <w:rPr>
                    <w:rFonts w:ascii="Times New Roman" w:hAnsi="Times New Roman" w:cs="Times New Roman"/>
                    <w:i/>
                    <w:sz w:val="24"/>
                    <w:szCs w:val="24"/>
                  </w:rPr>
                  <w:t>+1</w:t>
                </w:r>
              </w:p>
            </w:tc>
            <w:tc>
              <w:tcPr>
                <w:tcW w:w="592" w:type="dxa"/>
                <w:tcBorders>
                  <w:top w:val="single" w:sz="4" w:space="0" w:color="000000"/>
                  <w:left w:val="single" w:sz="4" w:space="0" w:color="000000"/>
                  <w:bottom w:val="single" w:sz="4" w:space="0" w:color="000000"/>
                  <w:right w:val="single" w:sz="4" w:space="0" w:color="000000"/>
                </w:tcBorders>
              </w:tcPr>
              <w:p w14:paraId="25D7987F" w14:textId="77777777" w:rsidR="000B7051" w:rsidRPr="00EB3A1D" w:rsidRDefault="000B7051" w:rsidP="00CB66DD">
                <w:pPr>
                  <w:pStyle w:val="TableParagraph"/>
                  <w:spacing w:line="274" w:lineRule="exact"/>
                  <w:ind w:left="171"/>
                  <w:rPr>
                    <w:rFonts w:ascii="Times New Roman" w:hAnsi="Times New Roman" w:cs="Times New Roman"/>
                    <w:i/>
                    <w:sz w:val="24"/>
                    <w:szCs w:val="24"/>
                  </w:rPr>
                </w:pPr>
                <w:r w:rsidRPr="00EB3A1D">
                  <w:rPr>
                    <w:rFonts w:ascii="Times New Roman" w:hAnsi="Times New Roman" w:cs="Times New Roman"/>
                    <w:i/>
                    <w:sz w:val="24"/>
                    <w:szCs w:val="24"/>
                  </w:rPr>
                  <w:t>+2</w:t>
                </w:r>
              </w:p>
            </w:tc>
            <w:tc>
              <w:tcPr>
                <w:tcW w:w="592" w:type="dxa"/>
                <w:tcBorders>
                  <w:top w:val="single" w:sz="4" w:space="0" w:color="000000"/>
                  <w:left w:val="single" w:sz="4" w:space="0" w:color="000000"/>
                  <w:bottom w:val="single" w:sz="4" w:space="0" w:color="000000"/>
                  <w:right w:val="single" w:sz="4" w:space="0" w:color="000000"/>
                </w:tcBorders>
              </w:tcPr>
              <w:p w14:paraId="5B01F69C" w14:textId="77777777" w:rsidR="000B7051" w:rsidRPr="00EB3A1D" w:rsidRDefault="000B7051" w:rsidP="00CB66DD">
                <w:pPr>
                  <w:pStyle w:val="TableParagraph"/>
                  <w:spacing w:line="274" w:lineRule="exact"/>
                  <w:ind w:left="171"/>
                  <w:rPr>
                    <w:rFonts w:ascii="Times New Roman" w:hAnsi="Times New Roman" w:cs="Times New Roman"/>
                    <w:i/>
                    <w:sz w:val="24"/>
                    <w:szCs w:val="24"/>
                  </w:rPr>
                </w:pPr>
                <w:r w:rsidRPr="00EB3A1D">
                  <w:rPr>
                    <w:rFonts w:ascii="Times New Roman" w:hAnsi="Times New Roman" w:cs="Times New Roman"/>
                    <w:i/>
                    <w:sz w:val="24"/>
                    <w:szCs w:val="24"/>
                  </w:rPr>
                  <w:t>+3</w:t>
                </w:r>
              </w:p>
            </w:tc>
          </w:tr>
          <w:tr w:rsidR="000B7051" w:rsidRPr="00EB3A1D" w14:paraId="3E464711" w14:textId="77777777" w:rsidTr="00CB66DD">
            <w:trPr>
              <w:trHeight w:val="292"/>
            </w:trPr>
            <w:tc>
              <w:tcPr>
                <w:tcW w:w="568" w:type="dxa"/>
                <w:tcBorders>
                  <w:top w:val="single" w:sz="4" w:space="0" w:color="000000"/>
                  <w:left w:val="single" w:sz="4" w:space="0" w:color="000000"/>
                  <w:bottom w:val="single" w:sz="4" w:space="0" w:color="000000"/>
                  <w:right w:val="single" w:sz="4" w:space="0" w:color="000000"/>
                </w:tcBorders>
              </w:tcPr>
              <w:p w14:paraId="495B47C5" w14:textId="77777777" w:rsidR="000B7051" w:rsidRPr="00EB3A1D" w:rsidRDefault="000B7051" w:rsidP="00CB66DD">
                <w:pPr>
                  <w:pStyle w:val="TableParagraph"/>
                  <w:spacing w:line="272" w:lineRule="exact"/>
                  <w:ind w:left="107"/>
                  <w:rPr>
                    <w:rFonts w:ascii="Times New Roman" w:hAnsi="Times New Roman" w:cs="Times New Roman"/>
                    <w:sz w:val="24"/>
                    <w:szCs w:val="24"/>
                  </w:rPr>
                </w:pPr>
                <w:r w:rsidRPr="00EB3A1D">
                  <w:rPr>
                    <w:rFonts w:ascii="Times New Roman" w:hAnsi="Times New Roman" w:cs="Times New Roman"/>
                    <w:sz w:val="24"/>
                    <w:szCs w:val="24"/>
                  </w:rPr>
                  <w:t>1</w:t>
                </w:r>
              </w:p>
            </w:tc>
            <w:tc>
              <w:tcPr>
                <w:tcW w:w="3032" w:type="dxa"/>
                <w:tcBorders>
                  <w:top w:val="single" w:sz="4" w:space="0" w:color="000000"/>
                  <w:left w:val="single" w:sz="4" w:space="0" w:color="000000"/>
                  <w:bottom w:val="single" w:sz="4" w:space="0" w:color="000000"/>
                  <w:right w:val="single" w:sz="4" w:space="0" w:color="000000"/>
                </w:tcBorders>
              </w:tcPr>
              <w:p w14:paraId="4DDD2DDA" w14:textId="77777777" w:rsidR="000B7051" w:rsidRPr="00F11255" w:rsidRDefault="000B7051" w:rsidP="00CB66DD">
                <w:pPr>
                  <w:pStyle w:val="TableParagraph"/>
                  <w:rPr>
                    <w:rFonts w:ascii="Times New Roman" w:hAnsi="Times New Roman" w:cs="Times New Roman"/>
                    <w:sz w:val="24"/>
                    <w:szCs w:val="24"/>
                  </w:rPr>
                </w:pPr>
                <w:r>
                  <w:rPr>
                    <w:rFonts w:ascii="Times New Roman" w:hAnsi="Times New Roman" w:cs="Times New Roman"/>
                    <w:sz w:val="24"/>
                    <w:szCs w:val="24"/>
                  </w:rPr>
                  <w:t>Споживачі</w:t>
                </w:r>
              </w:p>
            </w:tc>
            <w:tc>
              <w:tcPr>
                <w:tcW w:w="820" w:type="dxa"/>
                <w:tcBorders>
                  <w:top w:val="single" w:sz="4" w:space="0" w:color="000000"/>
                  <w:left w:val="single" w:sz="4" w:space="0" w:color="000000"/>
                  <w:bottom w:val="single" w:sz="4" w:space="0" w:color="000000"/>
                  <w:right w:val="single" w:sz="4" w:space="0" w:color="000000"/>
                </w:tcBorders>
              </w:tcPr>
              <w:p w14:paraId="3934E381"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3D08A780"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100EB8F6" w14:textId="77777777" w:rsidR="000B7051" w:rsidRPr="00EB3A1D" w:rsidRDefault="000B7051" w:rsidP="00CB66DD">
                <w:pPr>
                  <w:pStyle w:val="TableParagraph"/>
                  <w:rPr>
                    <w:rFonts w:ascii="Times New Roman" w:hAnsi="Times New Roman" w:cs="Times New Roman"/>
                    <w:sz w:val="24"/>
                    <w:szCs w:val="24"/>
                  </w:rPr>
                </w:pPr>
                <w:r>
                  <w:rPr>
                    <w:rFonts w:ascii="Times New Roman" w:hAnsi="Times New Roman" w:cs="Times New Roman"/>
                    <w:noProof/>
                    <w:sz w:val="24"/>
                    <w:szCs w:val="24"/>
                    <w:lang w:val="ru-RU" w:eastAsia="ru-RU"/>
                  </w:rPr>
                  <mc:AlternateContent>
                    <mc:Choice Requires="wpi">
                      <w:drawing>
                        <wp:anchor distT="0" distB="0" distL="114300" distR="114300" simplePos="0" relativeHeight="251659264" behindDoc="0" locked="0" layoutInCell="1" allowOverlap="1" wp14:anchorId="1C067FBC" wp14:editId="405F0578">
                          <wp:simplePos x="0" y="0"/>
                          <wp:positionH relativeFrom="column">
                            <wp:posOffset>122240</wp:posOffset>
                          </wp:positionH>
                          <wp:positionV relativeFrom="paragraph">
                            <wp:posOffset>78165</wp:posOffset>
                          </wp:positionV>
                          <wp:extent cx="1572120" cy="196200"/>
                          <wp:effectExtent l="57150" t="57150" r="47625" b="52070"/>
                          <wp:wrapNone/>
                          <wp:docPr id="122562224" name="Рукописный ввод 3"/>
                          <wp:cNvGraphicFramePr/>
                          <a:graphic xmlns:a="http://schemas.openxmlformats.org/drawingml/2006/main">
                            <a:graphicData uri="http://schemas.microsoft.com/office/word/2010/wordprocessingInk">
                              <w14:contentPart bwMode="auto" r:id="rId14">
                                <w14:nvContentPartPr>
                                  <w14:cNvContentPartPr/>
                                </w14:nvContentPartPr>
                                <w14:xfrm>
                                  <a:off x="0" y="0"/>
                                  <a:ext cx="1572120" cy="196200"/>
                                </w14:xfrm>
                              </w14:contentPart>
                            </a:graphicData>
                          </a:graphic>
                        </wp:anchor>
                      </w:drawing>
                    </mc:Choice>
                    <mc:Fallback xmlns:w16sdtdh="http://schemas.microsoft.com/office/word/2020/wordml/sdtdatahash" xmlns:oel="http://schemas.microsoft.com/office/2019/extlst">
                      <w:pict>
                        <v:shapetype w14:anchorId="5613515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3" o:spid="_x0000_s1026" type="#_x0000_t75" style="position:absolute;margin-left:8.95pt;margin-top:5.45pt;width:125.25pt;height:16.9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">
                          <v:imagedata r:id="rId15" o:title=""/>
                        </v:shape>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1FDA7895"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1B509CFC"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7EA33381"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55FBD266"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38C37AAE" w14:textId="77777777" w:rsidR="000B7051" w:rsidRPr="00EB3A1D" w:rsidRDefault="000B7051" w:rsidP="00CB66DD">
                <w:pPr>
                  <w:pStyle w:val="TableParagraph"/>
                  <w:rPr>
                    <w:rFonts w:ascii="Times New Roman" w:hAnsi="Times New Roman" w:cs="Times New Roman"/>
                    <w:sz w:val="24"/>
                    <w:szCs w:val="24"/>
                  </w:rPr>
                </w:pPr>
              </w:p>
            </w:tc>
          </w:tr>
          <w:tr w:rsidR="000B7051" w:rsidRPr="00EB3A1D" w14:paraId="7314812C" w14:textId="77777777" w:rsidTr="00CB66DD">
            <w:trPr>
              <w:trHeight w:val="293"/>
            </w:trPr>
            <w:tc>
              <w:tcPr>
                <w:tcW w:w="568" w:type="dxa"/>
                <w:tcBorders>
                  <w:top w:val="single" w:sz="4" w:space="0" w:color="000000"/>
                  <w:left w:val="single" w:sz="4" w:space="0" w:color="000000"/>
                  <w:bottom w:val="single" w:sz="4" w:space="0" w:color="000000"/>
                  <w:right w:val="single" w:sz="4" w:space="0" w:color="000000"/>
                </w:tcBorders>
              </w:tcPr>
              <w:p w14:paraId="2921398F" w14:textId="77777777" w:rsidR="000B7051" w:rsidRPr="00EB3A1D" w:rsidRDefault="000B7051" w:rsidP="00CB66DD">
                <w:pPr>
                  <w:pStyle w:val="TableParagraph"/>
                  <w:spacing w:line="274" w:lineRule="exact"/>
                  <w:ind w:left="107"/>
                  <w:rPr>
                    <w:rFonts w:ascii="Times New Roman" w:hAnsi="Times New Roman" w:cs="Times New Roman"/>
                    <w:sz w:val="24"/>
                    <w:szCs w:val="24"/>
                  </w:rPr>
                </w:pPr>
                <w:r w:rsidRPr="00EB3A1D">
                  <w:rPr>
                    <w:rFonts w:ascii="Times New Roman" w:hAnsi="Times New Roman" w:cs="Times New Roman"/>
                    <w:sz w:val="24"/>
                    <w:szCs w:val="24"/>
                  </w:rPr>
                  <w:t>2</w:t>
                </w:r>
              </w:p>
            </w:tc>
            <w:tc>
              <w:tcPr>
                <w:tcW w:w="3032" w:type="dxa"/>
                <w:tcBorders>
                  <w:top w:val="single" w:sz="4" w:space="0" w:color="000000"/>
                  <w:left w:val="single" w:sz="4" w:space="0" w:color="000000"/>
                  <w:bottom w:val="single" w:sz="4" w:space="0" w:color="000000"/>
                  <w:right w:val="single" w:sz="4" w:space="0" w:color="000000"/>
                </w:tcBorders>
              </w:tcPr>
              <w:p w14:paraId="7AA9E961" w14:textId="77777777" w:rsidR="000B7051" w:rsidRPr="00EB3A1D" w:rsidRDefault="000B7051" w:rsidP="00CB66DD">
                <w:pPr>
                  <w:pStyle w:val="TableParagraph"/>
                  <w:rPr>
                    <w:rFonts w:ascii="Times New Roman" w:hAnsi="Times New Roman" w:cs="Times New Roman"/>
                    <w:sz w:val="24"/>
                    <w:szCs w:val="24"/>
                  </w:rPr>
                </w:pPr>
                <w:r>
                  <w:rPr>
                    <w:rFonts w:ascii="Times New Roman" w:hAnsi="Times New Roman" w:cs="Times New Roman"/>
                    <w:sz w:val="24"/>
                    <w:szCs w:val="24"/>
                  </w:rPr>
                  <w:t>Контактні аудиторії</w:t>
                </w:r>
              </w:p>
            </w:tc>
            <w:tc>
              <w:tcPr>
                <w:tcW w:w="820" w:type="dxa"/>
                <w:tcBorders>
                  <w:top w:val="single" w:sz="4" w:space="0" w:color="000000"/>
                  <w:left w:val="single" w:sz="4" w:space="0" w:color="000000"/>
                  <w:bottom w:val="single" w:sz="4" w:space="0" w:color="000000"/>
                  <w:right w:val="single" w:sz="4" w:space="0" w:color="000000"/>
                </w:tcBorders>
              </w:tcPr>
              <w:p w14:paraId="636B248C"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206607DF"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0548B6E7"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519D7AEF"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2181F373"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11654757"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756E8FCC"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2D8F71FB" w14:textId="77777777" w:rsidR="000B7051" w:rsidRPr="00EB3A1D" w:rsidRDefault="000B7051" w:rsidP="00CB66DD">
                <w:pPr>
                  <w:pStyle w:val="TableParagraph"/>
                  <w:rPr>
                    <w:rFonts w:ascii="Times New Roman" w:hAnsi="Times New Roman" w:cs="Times New Roman"/>
                    <w:sz w:val="24"/>
                    <w:szCs w:val="24"/>
                  </w:rPr>
                </w:pPr>
              </w:p>
            </w:tc>
          </w:tr>
          <w:tr w:rsidR="000B7051" w:rsidRPr="00EB3A1D" w14:paraId="154FFAC2" w14:textId="77777777" w:rsidTr="00CB66DD">
            <w:trPr>
              <w:trHeight w:val="292"/>
            </w:trPr>
            <w:tc>
              <w:tcPr>
                <w:tcW w:w="568" w:type="dxa"/>
                <w:tcBorders>
                  <w:top w:val="single" w:sz="4" w:space="0" w:color="000000"/>
                  <w:left w:val="single" w:sz="4" w:space="0" w:color="000000"/>
                  <w:bottom w:val="single" w:sz="4" w:space="0" w:color="000000"/>
                  <w:right w:val="single" w:sz="4" w:space="0" w:color="000000"/>
                </w:tcBorders>
              </w:tcPr>
              <w:p w14:paraId="74AC70C3" w14:textId="77777777" w:rsidR="000B7051" w:rsidRPr="00EB3A1D" w:rsidRDefault="000B7051" w:rsidP="00CB66DD">
                <w:pPr>
                  <w:pStyle w:val="TableParagraph"/>
                  <w:spacing w:line="272" w:lineRule="exact"/>
                  <w:ind w:left="107"/>
                  <w:rPr>
                    <w:rFonts w:ascii="Times New Roman" w:hAnsi="Times New Roman" w:cs="Times New Roman"/>
                    <w:sz w:val="24"/>
                    <w:szCs w:val="24"/>
                  </w:rPr>
                </w:pPr>
                <w:r w:rsidRPr="00EB3A1D">
                  <w:rPr>
                    <w:rFonts w:ascii="Times New Roman" w:hAnsi="Times New Roman" w:cs="Times New Roman"/>
                    <w:sz w:val="24"/>
                    <w:szCs w:val="24"/>
                  </w:rPr>
                  <w:t>3</w:t>
                </w:r>
              </w:p>
            </w:tc>
            <w:tc>
              <w:tcPr>
                <w:tcW w:w="3032" w:type="dxa"/>
                <w:tcBorders>
                  <w:top w:val="single" w:sz="4" w:space="0" w:color="000000"/>
                  <w:left w:val="single" w:sz="4" w:space="0" w:color="000000"/>
                  <w:bottom w:val="single" w:sz="4" w:space="0" w:color="000000"/>
                  <w:right w:val="single" w:sz="4" w:space="0" w:color="000000"/>
                </w:tcBorders>
              </w:tcPr>
              <w:p w14:paraId="166EEBBE" w14:textId="77777777" w:rsidR="000B7051" w:rsidRPr="00EB3A1D" w:rsidRDefault="000B7051" w:rsidP="00CB66DD">
                <w:pPr>
                  <w:pStyle w:val="TableParagraph"/>
                  <w:rPr>
                    <w:rFonts w:ascii="Times New Roman" w:hAnsi="Times New Roman" w:cs="Times New Roman"/>
                    <w:sz w:val="24"/>
                    <w:szCs w:val="24"/>
                  </w:rPr>
                </w:pPr>
                <w:r>
                  <w:rPr>
                    <w:rFonts w:ascii="Times New Roman" w:hAnsi="Times New Roman" w:cs="Times New Roman"/>
                    <w:sz w:val="24"/>
                    <w:szCs w:val="24"/>
                  </w:rPr>
                  <w:t>Економічний фактор</w:t>
                </w:r>
              </w:p>
            </w:tc>
            <w:tc>
              <w:tcPr>
                <w:tcW w:w="820" w:type="dxa"/>
                <w:tcBorders>
                  <w:top w:val="single" w:sz="4" w:space="0" w:color="000000"/>
                  <w:left w:val="single" w:sz="4" w:space="0" w:color="000000"/>
                  <w:bottom w:val="single" w:sz="4" w:space="0" w:color="000000"/>
                  <w:right w:val="single" w:sz="4" w:space="0" w:color="000000"/>
                </w:tcBorders>
              </w:tcPr>
              <w:p w14:paraId="38569817"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6D156971"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697B1201"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316E973E"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7AACE80E"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564F6CAD"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400911F9"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3703513A" w14:textId="77777777" w:rsidR="000B7051" w:rsidRPr="00EB3A1D" w:rsidRDefault="000B7051" w:rsidP="00CB66DD">
                <w:pPr>
                  <w:pStyle w:val="TableParagraph"/>
                  <w:rPr>
                    <w:rFonts w:ascii="Times New Roman" w:hAnsi="Times New Roman" w:cs="Times New Roman"/>
                    <w:sz w:val="24"/>
                    <w:szCs w:val="24"/>
                  </w:rPr>
                </w:pPr>
              </w:p>
            </w:tc>
          </w:tr>
          <w:tr w:rsidR="000B7051" w:rsidRPr="00EB3A1D" w14:paraId="5C715210" w14:textId="77777777" w:rsidTr="00CB66DD">
            <w:trPr>
              <w:trHeight w:val="292"/>
            </w:trPr>
            <w:tc>
              <w:tcPr>
                <w:tcW w:w="568" w:type="dxa"/>
                <w:tcBorders>
                  <w:top w:val="single" w:sz="4" w:space="0" w:color="000000"/>
                  <w:left w:val="single" w:sz="4" w:space="0" w:color="000000"/>
                  <w:bottom w:val="single" w:sz="4" w:space="0" w:color="000000"/>
                  <w:right w:val="single" w:sz="4" w:space="0" w:color="000000"/>
                </w:tcBorders>
              </w:tcPr>
              <w:p w14:paraId="3853B267" w14:textId="77777777" w:rsidR="000B7051" w:rsidRPr="00EB3A1D" w:rsidRDefault="000B7051" w:rsidP="00CB66DD">
                <w:pPr>
                  <w:pStyle w:val="TableParagraph"/>
                  <w:spacing w:line="272" w:lineRule="exact"/>
                  <w:ind w:left="107"/>
                  <w:rPr>
                    <w:rFonts w:ascii="Times New Roman" w:hAnsi="Times New Roman" w:cs="Times New Roman"/>
                    <w:sz w:val="24"/>
                    <w:szCs w:val="24"/>
                  </w:rPr>
                </w:pPr>
                <w:r>
                  <w:rPr>
                    <w:rFonts w:ascii="Times New Roman" w:hAnsi="Times New Roman" w:cs="Times New Roman"/>
                    <w:sz w:val="24"/>
                    <w:szCs w:val="24"/>
                  </w:rPr>
                  <w:t>4</w:t>
                </w:r>
              </w:p>
            </w:tc>
            <w:tc>
              <w:tcPr>
                <w:tcW w:w="3032" w:type="dxa"/>
                <w:tcBorders>
                  <w:top w:val="single" w:sz="4" w:space="0" w:color="000000"/>
                  <w:left w:val="single" w:sz="4" w:space="0" w:color="000000"/>
                  <w:bottom w:val="single" w:sz="4" w:space="0" w:color="000000"/>
                  <w:right w:val="single" w:sz="4" w:space="0" w:color="000000"/>
                </w:tcBorders>
              </w:tcPr>
              <w:p w14:paraId="7DEFEFA8" w14:textId="77777777" w:rsidR="000B7051" w:rsidRDefault="000B7051" w:rsidP="00CB66DD">
                <w:pPr>
                  <w:pStyle w:val="TableParagraph"/>
                  <w:rPr>
                    <w:rFonts w:ascii="Times New Roman" w:hAnsi="Times New Roman" w:cs="Times New Roman"/>
                    <w:sz w:val="24"/>
                    <w:szCs w:val="24"/>
                  </w:rPr>
                </w:pPr>
                <w:r>
                  <w:rPr>
                    <w:rFonts w:ascii="Times New Roman" w:hAnsi="Times New Roman" w:cs="Times New Roman"/>
                    <w:sz w:val="24"/>
                    <w:szCs w:val="24"/>
                  </w:rPr>
                  <w:t>Політико-правове середовище</w:t>
                </w:r>
              </w:p>
            </w:tc>
            <w:tc>
              <w:tcPr>
                <w:tcW w:w="820" w:type="dxa"/>
                <w:tcBorders>
                  <w:top w:val="single" w:sz="4" w:space="0" w:color="000000"/>
                  <w:left w:val="single" w:sz="4" w:space="0" w:color="000000"/>
                  <w:bottom w:val="single" w:sz="4" w:space="0" w:color="000000"/>
                  <w:right w:val="single" w:sz="4" w:space="0" w:color="000000"/>
                </w:tcBorders>
              </w:tcPr>
              <w:p w14:paraId="78CA02DA"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78DC6B17" w14:textId="77777777" w:rsidR="000B7051" w:rsidRPr="00EB3A1D" w:rsidRDefault="000B7051" w:rsidP="00CB66DD">
                <w:pPr>
                  <w:pStyle w:val="TableParagraph"/>
                  <w:rPr>
                    <w:rFonts w:ascii="Times New Roman" w:hAnsi="Times New Roman" w:cs="Times New Roman"/>
                    <w:sz w:val="24"/>
                    <w:szCs w:val="24"/>
                  </w:rPr>
                </w:pPr>
                <w:r>
                  <w:rPr>
                    <w:rFonts w:ascii="Times New Roman" w:hAnsi="Times New Roman" w:cs="Times New Roman"/>
                    <w:noProof/>
                    <w:sz w:val="24"/>
                    <w:szCs w:val="24"/>
                    <w:lang w:val="ru-RU" w:eastAsia="ru-RU"/>
                  </w:rPr>
                  <mc:AlternateContent>
                    <mc:Choice Requires="wpi">
                      <w:drawing>
                        <wp:anchor distT="0" distB="0" distL="114300" distR="114300" simplePos="0" relativeHeight="251663360" behindDoc="0" locked="0" layoutInCell="1" allowOverlap="1" wp14:anchorId="1861B2F3" wp14:editId="771ACC65">
                          <wp:simplePos x="0" y="0"/>
                          <wp:positionH relativeFrom="column">
                            <wp:posOffset>20800</wp:posOffset>
                          </wp:positionH>
                          <wp:positionV relativeFrom="paragraph">
                            <wp:posOffset>-413900</wp:posOffset>
                          </wp:positionV>
                          <wp:extent cx="2151000" cy="1151280"/>
                          <wp:effectExtent l="57150" t="57150" r="40005" b="48895"/>
                          <wp:wrapNone/>
                          <wp:docPr id="27987085" name="Рукописный ввод 8"/>
                          <wp:cNvGraphicFramePr/>
                          <a:graphic xmlns:a="http://schemas.openxmlformats.org/drawingml/2006/main">
                            <a:graphicData uri="http://schemas.microsoft.com/office/word/2010/wordprocessingInk">
                              <w14:contentPart bwMode="auto" r:id="rId16">
                                <w14:nvContentPartPr>
                                  <w14:cNvContentPartPr/>
                                </w14:nvContentPartPr>
                                <w14:xfrm>
                                  <a:off x="0" y="0"/>
                                  <a:ext cx="2151000" cy="1151280"/>
                                </w14:xfrm>
                              </w14:contentPart>
                            </a:graphicData>
                          </a:graphic>
                        </wp:anchor>
                      </w:drawing>
                    </mc:Choice>
                    <mc:Fallback xmlns:w16sdtdh="http://schemas.microsoft.com/office/word/2020/wordml/sdtdatahash" xmlns:oel="http://schemas.microsoft.com/office/2019/extlst">
                      <w:pict>
                        <v:shape w14:anchorId="139282CC" id="Рукописный ввод 8" o:spid="_x0000_s1026" type="#_x0000_t75" style="position:absolute;margin-left:.95pt;margin-top:-33.3pt;width:170.75pt;height:92.0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">
                          <v:imagedata r:id="rId17" o:title=""/>
                        </v:shape>
                      </w:pict>
                    </mc:Fallback>
                  </mc:AlternateContent>
                </w:r>
                <w:r>
                  <w:rPr>
                    <w:rFonts w:ascii="Times New Roman" w:hAnsi="Times New Roman" w:cs="Times New Roman"/>
                    <w:noProof/>
                    <w:sz w:val="24"/>
                    <w:szCs w:val="24"/>
                    <w:lang w:val="ru-RU" w:eastAsia="ru-RU"/>
                  </w:rPr>
                  <mc:AlternateContent>
                    <mc:Choice Requires="wpi">
                      <w:drawing>
                        <wp:anchor distT="0" distB="0" distL="114300" distR="114300" simplePos="0" relativeHeight="251661312" behindDoc="0" locked="0" layoutInCell="1" allowOverlap="1" wp14:anchorId="5A2040C4" wp14:editId="226185A2">
                          <wp:simplePos x="0" y="0"/>
                          <wp:positionH relativeFrom="column">
                            <wp:posOffset>13960</wp:posOffset>
                          </wp:positionH>
                          <wp:positionV relativeFrom="paragraph">
                            <wp:posOffset>-459620</wp:posOffset>
                          </wp:positionV>
                          <wp:extent cx="2399400" cy="1243440"/>
                          <wp:effectExtent l="38100" t="38100" r="58420" b="52070"/>
                          <wp:wrapNone/>
                          <wp:docPr id="860948350" name="Рукописный ввод 6"/>
                          <wp:cNvGraphicFramePr/>
                          <a:graphic xmlns:a="http://schemas.openxmlformats.org/drawingml/2006/main">
                            <a:graphicData uri="http://schemas.microsoft.com/office/word/2010/wordprocessingInk">
                              <w14:contentPart bwMode="auto" r:id="rId18">
                                <w14:nvContentPartPr>
                                  <w14:cNvContentPartPr/>
                                </w14:nvContentPartPr>
                                <w14:xfrm>
                                  <a:off x="0" y="0"/>
                                  <a:ext cx="2399400" cy="1243440"/>
                                </w14:xfrm>
                              </w14:contentPart>
                            </a:graphicData>
                          </a:graphic>
                        </wp:anchor>
                      </w:drawing>
                    </mc:Choice>
                    <mc:Fallback xmlns:w16sdtdh="http://schemas.microsoft.com/office/word/2020/wordml/sdtdatahash" xmlns:oel="http://schemas.microsoft.com/office/2019/extlst">
                      <w:pict>
                        <v:shape w14:anchorId="7AA20FA8" id="Рукописный ввод 6" o:spid="_x0000_s1026" type="#_x0000_t75" style="position:absolute;margin-left:.4pt;margin-top:-36.9pt;width:190.35pt;height:99.3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">
                          <v:imagedata r:id="rId19" o:title=""/>
                        </v:shape>
                      </w:pict>
                    </mc:Fallback>
                  </mc:AlternateContent>
                </w:r>
                <w:r>
                  <w:rPr>
                    <w:rFonts w:ascii="Times New Roman" w:hAnsi="Times New Roman" w:cs="Times New Roman"/>
                    <w:noProof/>
                    <w:sz w:val="24"/>
                    <w:szCs w:val="24"/>
                    <w:lang w:val="ru-RU" w:eastAsia="ru-RU"/>
                  </w:rPr>
                  <mc:AlternateContent>
                    <mc:Choice Requires="wpi">
                      <w:drawing>
                        <wp:anchor distT="0" distB="0" distL="114300" distR="114300" simplePos="0" relativeHeight="251660288" behindDoc="0" locked="0" layoutInCell="1" allowOverlap="1" wp14:anchorId="125056F2" wp14:editId="2F243325">
                          <wp:simplePos x="0" y="0"/>
                          <wp:positionH relativeFrom="column">
                            <wp:posOffset>157240</wp:posOffset>
                          </wp:positionH>
                          <wp:positionV relativeFrom="paragraph">
                            <wp:posOffset>-292220</wp:posOffset>
                          </wp:positionV>
                          <wp:extent cx="1873800" cy="1002960"/>
                          <wp:effectExtent l="57150" t="57150" r="12700" b="45085"/>
                          <wp:wrapNone/>
                          <wp:docPr id="804115057" name="Рукописный ввод 4"/>
                          <wp:cNvGraphicFramePr/>
                          <a:graphic xmlns:a="http://schemas.openxmlformats.org/drawingml/2006/main">
                            <a:graphicData uri="http://schemas.microsoft.com/office/word/2010/wordprocessingInk">
                              <w14:contentPart bwMode="auto" r:id="rId20">
                                <w14:nvContentPartPr>
                                  <w14:cNvContentPartPr/>
                                </w14:nvContentPartPr>
                                <w14:xfrm>
                                  <a:off x="0" y="0"/>
                                  <a:ext cx="1873800" cy="1002960"/>
                                </w14:xfrm>
                              </w14:contentPart>
                            </a:graphicData>
                          </a:graphic>
                        </wp:anchor>
                      </w:drawing>
                    </mc:Choice>
                    <mc:Fallback xmlns:w16sdtdh="http://schemas.microsoft.com/office/word/2020/wordml/sdtdatahash" xmlns:oel="http://schemas.microsoft.com/office/2019/extlst">
                      <w:pict>
                        <v:shape w14:anchorId="17754014" id="Рукописный ввод 4" o:spid="_x0000_s1026" type="#_x0000_t75" style="position:absolute;margin-left:11.7pt;margin-top:-23.7pt;width:149pt;height:80.3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">
                          <v:imagedata r:id="rId21" o:title=""/>
                        </v:shape>
                      </w:pict>
                    </mc:Fallback>
                  </mc:AlternateContent>
                </w:r>
              </w:p>
            </w:tc>
            <w:tc>
              <w:tcPr>
                <w:tcW w:w="593" w:type="dxa"/>
                <w:tcBorders>
                  <w:top w:val="single" w:sz="4" w:space="0" w:color="000000"/>
                  <w:left w:val="single" w:sz="4" w:space="0" w:color="000000"/>
                  <w:bottom w:val="single" w:sz="4" w:space="0" w:color="000000"/>
                  <w:right w:val="single" w:sz="4" w:space="0" w:color="000000"/>
                </w:tcBorders>
              </w:tcPr>
              <w:p w14:paraId="3B0541F9" w14:textId="77777777" w:rsidR="000B7051" w:rsidRPr="00EB3A1D" w:rsidRDefault="000B7051" w:rsidP="00CB66DD">
                <w:pPr>
                  <w:pStyle w:val="TableParagraph"/>
                  <w:rPr>
                    <w:rFonts w:ascii="Times New Roman" w:hAnsi="Times New Roman" w:cs="Times New Roman"/>
                    <w:sz w:val="24"/>
                    <w:szCs w:val="24"/>
                  </w:rPr>
                </w:pPr>
                <w:r>
                  <w:rPr>
                    <w:rFonts w:ascii="Times New Roman" w:hAnsi="Times New Roman" w:cs="Times New Roman"/>
                    <w:noProof/>
                    <w:sz w:val="24"/>
                    <w:szCs w:val="24"/>
                    <w:lang w:val="ru-RU" w:eastAsia="ru-RU"/>
                  </w:rPr>
                  <mc:AlternateContent>
                    <mc:Choice Requires="wpi">
                      <w:drawing>
                        <wp:anchor distT="0" distB="0" distL="114300" distR="114300" simplePos="0" relativeHeight="251662336" behindDoc="0" locked="0" layoutInCell="1" allowOverlap="1" wp14:anchorId="1ACAD2E2" wp14:editId="7208E3AB">
                          <wp:simplePos x="0" y="0"/>
                          <wp:positionH relativeFrom="column">
                            <wp:posOffset>99920</wp:posOffset>
                          </wp:positionH>
                          <wp:positionV relativeFrom="paragraph">
                            <wp:posOffset>-513260</wp:posOffset>
                          </wp:positionV>
                          <wp:extent cx="1257120" cy="1237680"/>
                          <wp:effectExtent l="38100" t="38100" r="57785" b="57785"/>
                          <wp:wrapNone/>
                          <wp:docPr id="705018433" name="Рукописный ввод 7"/>
                          <wp:cNvGraphicFramePr/>
                          <a:graphic xmlns:a="http://schemas.openxmlformats.org/drawingml/2006/main">
                            <a:graphicData uri="http://schemas.microsoft.com/office/word/2010/wordprocessingInk">
                              <w14:contentPart bwMode="auto" r:id="rId22">
                                <w14:nvContentPartPr>
                                  <w14:cNvContentPartPr/>
                                </w14:nvContentPartPr>
                                <w14:xfrm>
                                  <a:off x="0" y="0"/>
                                  <a:ext cx="1257120" cy="1237680"/>
                                </w14:xfrm>
                              </w14:contentPart>
                            </a:graphicData>
                          </a:graphic>
                        </wp:anchor>
                      </w:drawing>
                    </mc:Choice>
                    <mc:Fallback xmlns:w16sdtdh="http://schemas.microsoft.com/office/word/2020/wordml/sdtdatahash" xmlns:oel="http://schemas.microsoft.com/office/2019/extlst">
                      <w:pict>
                        <v:shape w14:anchorId="4807B47C" id="Рукописный ввод 7" o:spid="_x0000_s1026" type="#_x0000_t75" style="position:absolute;margin-left:7.15pt;margin-top:-41.1pt;width:100.45pt;height:98.8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">
                          <v:imagedata r:id="rId23" o:title=""/>
                        </v:shape>
                      </w:pict>
                    </mc:Fallback>
                  </mc:AlternateContent>
                </w:r>
              </w:p>
            </w:tc>
            <w:tc>
              <w:tcPr>
                <w:tcW w:w="592" w:type="dxa"/>
                <w:tcBorders>
                  <w:top w:val="single" w:sz="4" w:space="0" w:color="000000"/>
                  <w:left w:val="single" w:sz="4" w:space="0" w:color="000000"/>
                  <w:bottom w:val="single" w:sz="4" w:space="0" w:color="000000"/>
                  <w:right w:val="single" w:sz="4" w:space="0" w:color="000000"/>
                </w:tcBorders>
              </w:tcPr>
              <w:p w14:paraId="53C0C798"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25B5FFC4"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5221CB1C"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7579C0E5"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5AE9F538" w14:textId="77777777" w:rsidR="000B7051" w:rsidRPr="00EB3A1D" w:rsidRDefault="000B7051" w:rsidP="00CB66DD">
                <w:pPr>
                  <w:pStyle w:val="TableParagraph"/>
                  <w:rPr>
                    <w:rFonts w:ascii="Times New Roman" w:hAnsi="Times New Roman" w:cs="Times New Roman"/>
                    <w:sz w:val="24"/>
                    <w:szCs w:val="24"/>
                  </w:rPr>
                </w:pPr>
              </w:p>
            </w:tc>
          </w:tr>
          <w:tr w:rsidR="000B7051" w:rsidRPr="00EB3A1D" w14:paraId="462BED7D" w14:textId="77777777" w:rsidTr="00CB66DD">
            <w:trPr>
              <w:trHeight w:val="292"/>
            </w:trPr>
            <w:tc>
              <w:tcPr>
                <w:tcW w:w="568" w:type="dxa"/>
                <w:tcBorders>
                  <w:top w:val="single" w:sz="4" w:space="0" w:color="000000"/>
                  <w:left w:val="single" w:sz="4" w:space="0" w:color="000000"/>
                  <w:bottom w:val="single" w:sz="4" w:space="0" w:color="000000"/>
                  <w:right w:val="single" w:sz="4" w:space="0" w:color="000000"/>
                </w:tcBorders>
              </w:tcPr>
              <w:p w14:paraId="02661F29" w14:textId="77777777" w:rsidR="000B7051" w:rsidRDefault="000B7051" w:rsidP="00CB66DD">
                <w:pPr>
                  <w:pStyle w:val="TableParagraph"/>
                  <w:spacing w:line="272" w:lineRule="exact"/>
                  <w:ind w:left="107"/>
                  <w:rPr>
                    <w:rFonts w:ascii="Times New Roman" w:hAnsi="Times New Roman" w:cs="Times New Roman"/>
                    <w:sz w:val="24"/>
                    <w:szCs w:val="24"/>
                  </w:rPr>
                </w:pPr>
                <w:r>
                  <w:rPr>
                    <w:rFonts w:ascii="Times New Roman" w:hAnsi="Times New Roman" w:cs="Times New Roman"/>
                    <w:sz w:val="24"/>
                    <w:szCs w:val="24"/>
                  </w:rPr>
                  <w:t>5</w:t>
                </w:r>
              </w:p>
            </w:tc>
            <w:tc>
              <w:tcPr>
                <w:tcW w:w="3032" w:type="dxa"/>
                <w:tcBorders>
                  <w:top w:val="single" w:sz="4" w:space="0" w:color="000000"/>
                  <w:left w:val="single" w:sz="4" w:space="0" w:color="000000"/>
                  <w:bottom w:val="single" w:sz="4" w:space="0" w:color="000000"/>
                  <w:right w:val="single" w:sz="4" w:space="0" w:color="000000"/>
                </w:tcBorders>
              </w:tcPr>
              <w:p w14:paraId="22C6183A" w14:textId="77777777" w:rsidR="000B7051" w:rsidRDefault="000B7051" w:rsidP="00CB66DD">
                <w:pPr>
                  <w:pStyle w:val="TableParagraph"/>
                  <w:rPr>
                    <w:rFonts w:ascii="Times New Roman" w:hAnsi="Times New Roman" w:cs="Times New Roman"/>
                    <w:sz w:val="24"/>
                    <w:szCs w:val="24"/>
                  </w:rPr>
                </w:pPr>
                <w:r>
                  <w:rPr>
                    <w:rFonts w:ascii="Times New Roman" w:hAnsi="Times New Roman" w:cs="Times New Roman"/>
                    <w:sz w:val="24"/>
                    <w:szCs w:val="24"/>
                  </w:rPr>
                  <w:t>Соціо-культурне середовище</w:t>
                </w:r>
              </w:p>
            </w:tc>
            <w:tc>
              <w:tcPr>
                <w:tcW w:w="820" w:type="dxa"/>
                <w:tcBorders>
                  <w:top w:val="single" w:sz="4" w:space="0" w:color="000000"/>
                  <w:left w:val="single" w:sz="4" w:space="0" w:color="000000"/>
                  <w:bottom w:val="single" w:sz="4" w:space="0" w:color="000000"/>
                  <w:right w:val="single" w:sz="4" w:space="0" w:color="000000"/>
                </w:tcBorders>
              </w:tcPr>
              <w:p w14:paraId="249C229F"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14E8E510"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45A84C3D"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64818731"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582C4422"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353EA452"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3F329AB5"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1365DF15" w14:textId="77777777" w:rsidR="000B7051" w:rsidRPr="00EB3A1D" w:rsidRDefault="000B7051" w:rsidP="00CB66DD">
                <w:pPr>
                  <w:pStyle w:val="TableParagraph"/>
                  <w:rPr>
                    <w:rFonts w:ascii="Times New Roman" w:hAnsi="Times New Roman" w:cs="Times New Roman"/>
                    <w:sz w:val="24"/>
                    <w:szCs w:val="24"/>
                  </w:rPr>
                </w:pPr>
              </w:p>
            </w:tc>
          </w:tr>
          <w:tr w:rsidR="000B7051" w:rsidRPr="00EB3A1D" w14:paraId="1CFD659A" w14:textId="77777777" w:rsidTr="00CB66DD">
            <w:trPr>
              <w:trHeight w:val="292"/>
            </w:trPr>
            <w:tc>
              <w:tcPr>
                <w:tcW w:w="568" w:type="dxa"/>
                <w:tcBorders>
                  <w:top w:val="single" w:sz="4" w:space="0" w:color="000000"/>
                  <w:left w:val="single" w:sz="4" w:space="0" w:color="000000"/>
                  <w:bottom w:val="single" w:sz="4" w:space="0" w:color="000000"/>
                  <w:right w:val="single" w:sz="4" w:space="0" w:color="000000"/>
                </w:tcBorders>
              </w:tcPr>
              <w:p w14:paraId="1E42AB7B" w14:textId="77777777" w:rsidR="000B7051" w:rsidRDefault="000B7051" w:rsidP="00CB66DD">
                <w:pPr>
                  <w:pStyle w:val="TableParagraph"/>
                  <w:spacing w:line="272" w:lineRule="exact"/>
                  <w:ind w:left="107"/>
                  <w:rPr>
                    <w:rFonts w:ascii="Times New Roman" w:hAnsi="Times New Roman" w:cs="Times New Roman"/>
                    <w:sz w:val="24"/>
                    <w:szCs w:val="24"/>
                  </w:rPr>
                </w:pPr>
                <w:r>
                  <w:rPr>
                    <w:rFonts w:ascii="Times New Roman" w:hAnsi="Times New Roman" w:cs="Times New Roman"/>
                    <w:sz w:val="24"/>
                    <w:szCs w:val="24"/>
                  </w:rPr>
                  <w:t>6</w:t>
                </w:r>
              </w:p>
            </w:tc>
            <w:tc>
              <w:tcPr>
                <w:tcW w:w="3032" w:type="dxa"/>
                <w:tcBorders>
                  <w:top w:val="single" w:sz="4" w:space="0" w:color="000000"/>
                  <w:left w:val="single" w:sz="4" w:space="0" w:color="000000"/>
                  <w:bottom w:val="single" w:sz="4" w:space="0" w:color="000000"/>
                  <w:right w:val="single" w:sz="4" w:space="0" w:color="000000"/>
                </w:tcBorders>
              </w:tcPr>
              <w:p w14:paraId="7EB943B4" w14:textId="77777777" w:rsidR="000B7051" w:rsidRDefault="000B7051" w:rsidP="00CB66DD">
                <w:pPr>
                  <w:pStyle w:val="TableParagraph"/>
                  <w:rPr>
                    <w:rFonts w:ascii="Times New Roman" w:hAnsi="Times New Roman" w:cs="Times New Roman"/>
                    <w:sz w:val="24"/>
                    <w:szCs w:val="24"/>
                  </w:rPr>
                </w:pPr>
                <w:r>
                  <w:rPr>
                    <w:rFonts w:ascii="Times New Roman" w:hAnsi="Times New Roman" w:cs="Times New Roman"/>
                    <w:sz w:val="24"/>
                    <w:szCs w:val="24"/>
                  </w:rPr>
                  <w:t>Науково-технологічне середовище</w:t>
                </w:r>
              </w:p>
            </w:tc>
            <w:tc>
              <w:tcPr>
                <w:tcW w:w="820" w:type="dxa"/>
                <w:tcBorders>
                  <w:top w:val="single" w:sz="4" w:space="0" w:color="000000"/>
                  <w:left w:val="single" w:sz="4" w:space="0" w:color="000000"/>
                  <w:bottom w:val="single" w:sz="4" w:space="0" w:color="000000"/>
                  <w:right w:val="single" w:sz="4" w:space="0" w:color="000000"/>
                </w:tcBorders>
              </w:tcPr>
              <w:p w14:paraId="24674F2C"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2A550B59"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1BA1304C"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11C69AB8"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shd w:val="clear" w:color="auto" w:fill="C6D9F1"/>
              </w:tcPr>
              <w:p w14:paraId="0B2A46C9" w14:textId="77777777" w:rsidR="000B7051" w:rsidRPr="00EB3A1D" w:rsidRDefault="000B7051" w:rsidP="00CB66DD">
                <w:pPr>
                  <w:pStyle w:val="TableParagraph"/>
                  <w:rPr>
                    <w:rFonts w:ascii="Times New Roman" w:hAnsi="Times New Roman" w:cs="Times New Roman"/>
                    <w:sz w:val="24"/>
                    <w:szCs w:val="24"/>
                  </w:rPr>
                </w:pPr>
              </w:p>
            </w:tc>
            <w:tc>
              <w:tcPr>
                <w:tcW w:w="593" w:type="dxa"/>
                <w:tcBorders>
                  <w:top w:val="single" w:sz="4" w:space="0" w:color="000000"/>
                  <w:left w:val="single" w:sz="4" w:space="0" w:color="000000"/>
                  <w:bottom w:val="single" w:sz="4" w:space="0" w:color="000000"/>
                  <w:right w:val="single" w:sz="4" w:space="0" w:color="000000"/>
                </w:tcBorders>
              </w:tcPr>
              <w:p w14:paraId="6FEA3A80"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07D32429" w14:textId="77777777" w:rsidR="000B7051" w:rsidRPr="00EB3A1D" w:rsidRDefault="000B7051" w:rsidP="00CB66DD">
                <w:pPr>
                  <w:pStyle w:val="TableParagraph"/>
                  <w:rPr>
                    <w:rFonts w:ascii="Times New Roman" w:hAnsi="Times New Roman" w:cs="Times New Roman"/>
                    <w:sz w:val="24"/>
                    <w:szCs w:val="24"/>
                  </w:rPr>
                </w:pPr>
              </w:p>
            </w:tc>
            <w:tc>
              <w:tcPr>
                <w:tcW w:w="592" w:type="dxa"/>
                <w:tcBorders>
                  <w:top w:val="single" w:sz="4" w:space="0" w:color="000000"/>
                  <w:left w:val="single" w:sz="4" w:space="0" w:color="000000"/>
                  <w:bottom w:val="single" w:sz="4" w:space="0" w:color="000000"/>
                  <w:right w:val="single" w:sz="4" w:space="0" w:color="000000"/>
                </w:tcBorders>
              </w:tcPr>
              <w:p w14:paraId="4A1EDC7C" w14:textId="77777777" w:rsidR="000B7051" w:rsidRPr="00EB3A1D" w:rsidRDefault="00495345" w:rsidP="00CB66DD">
                <w:pPr>
                  <w:pStyle w:val="TableParagraph"/>
                  <w:rPr>
                    <w:rFonts w:ascii="Times New Roman" w:hAnsi="Times New Roman" w:cs="Times New Roman"/>
                    <w:sz w:val="24"/>
                    <w:szCs w:val="24"/>
                  </w:rPr>
                </w:pPr>
              </w:p>
            </w:tc>
          </w:tr>
        </w:tbl>
      </w:sdtContent>
    </w:sdt>
    <w:p w14:paraId="339757A9" w14:textId="77777777" w:rsidR="002C1A6A" w:rsidRDefault="002C1A6A" w:rsidP="000B7051">
      <w:pPr>
        <w:spacing w:after="0" w:line="360" w:lineRule="auto"/>
        <w:jc w:val="right"/>
        <w:rPr>
          <w:rFonts w:ascii="Times New Roman" w:eastAsia="Times New Roman" w:hAnsi="Times New Roman" w:cs="Times New Roman"/>
          <w:sz w:val="28"/>
          <w:szCs w:val="28"/>
        </w:rPr>
      </w:pPr>
    </w:p>
    <w:p w14:paraId="47B662B8" w14:textId="77777777" w:rsidR="002C1A6A" w:rsidRDefault="002C1A6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C8CA677" w14:textId="500AC1B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Таблиця 12. SWOT‐ аналіз стартап</w:t>
      </w:r>
      <w:r>
        <w:rPr>
          <w:rFonts w:ascii="Times New Roman" w:eastAsia="Times New Roman" w:hAnsi="Times New Roman" w:cs="Times New Roman"/>
          <w:sz w:val="28"/>
          <w:szCs w:val="28"/>
        </w:rPr>
        <w:t xml:space="preserve"> </w:t>
      </w:r>
      <w:r w:rsidRPr="00AC33A5">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w:t>
      </w:r>
    </w:p>
    <w:tbl>
      <w:tblPr>
        <w:tblW w:w="9780" w:type="dxa"/>
        <w:tblBorders>
          <w:top w:val="nil"/>
          <w:left w:val="nil"/>
          <w:bottom w:val="nil"/>
          <w:right w:val="nil"/>
          <w:insideH w:val="nil"/>
          <w:insideV w:val="nil"/>
        </w:tblBorders>
        <w:tblLayout w:type="fixed"/>
        <w:tblLook w:val="0600" w:firstRow="0" w:lastRow="0" w:firstColumn="0" w:lastColumn="0" w:noHBand="1" w:noVBand="1"/>
      </w:tblPr>
      <w:tblGrid>
        <w:gridCol w:w="4636"/>
        <w:gridCol w:w="5144"/>
      </w:tblGrid>
      <w:tr w:rsidR="000B7051" w:rsidRPr="00AC33A5" w14:paraId="0EE0600E" w14:textId="77777777" w:rsidTr="00AC246D">
        <w:trPr>
          <w:trHeight w:val="2947"/>
        </w:trPr>
        <w:tc>
          <w:tcPr>
            <w:tcW w:w="4636"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ADB2708" w14:textId="77777777" w:rsidR="000B7051" w:rsidRPr="00AC33A5" w:rsidRDefault="000B7051" w:rsidP="00AC246D">
            <w:pPr>
              <w:spacing w:after="0" w:line="240" w:lineRule="auto"/>
              <w:jc w:val="center"/>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СИЛЬНІ СТОРОНИ</w:t>
            </w:r>
          </w:p>
          <w:p w14:paraId="047524DE"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 Комплексний дисциплінарний характер послуги</w:t>
            </w:r>
          </w:p>
          <w:p w14:paraId="1D140CA7"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Послуга, яка відповідає міжнародним стандартам</w:t>
            </w:r>
          </w:p>
          <w:p w14:paraId="25361865"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 Послуга, яка побудована на сучасному рівні розвитку технологій</w:t>
            </w:r>
          </w:p>
          <w:p w14:paraId="2752973C"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 Забезпечує ефективні рішення – зменшення трудових ресурсів, автоматизований аналіз інформації та інтегрований підхід до її використання</w:t>
            </w:r>
          </w:p>
          <w:p w14:paraId="2680A9A5"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5. На послугу буде попит іноземних інвесторів, які будуть зацікавлені в діяльності на родовищах України</w:t>
            </w:r>
          </w:p>
          <w:p w14:paraId="30F8F868"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6. Послуга забезпечує раціональну аллокацію ресурсів та прозоре звітування</w:t>
            </w:r>
          </w:p>
        </w:tc>
        <w:tc>
          <w:tcPr>
            <w:tcW w:w="514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5A5E82F9" w14:textId="77777777" w:rsidR="000B7051" w:rsidRPr="00AC33A5" w:rsidRDefault="000B7051" w:rsidP="00AC246D">
            <w:pPr>
              <w:spacing w:after="0" w:line="240" w:lineRule="auto"/>
              <w:jc w:val="center"/>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СЛАБКІ СТОРОНИ</w:t>
            </w:r>
          </w:p>
          <w:p w14:paraId="76D37873"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 Нова послуга, яка не має ще сформованого ринку</w:t>
            </w:r>
          </w:p>
          <w:p w14:paraId="29C0C67F"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Не сформований попит на даний вид комплексної послуги</w:t>
            </w:r>
          </w:p>
          <w:p w14:paraId="638BAD35"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 Низький рівень споживачів – потребує процесу їх виховання</w:t>
            </w:r>
          </w:p>
          <w:p w14:paraId="0080B781"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 Через високий рівень корупції послуга може бути заміщена шляхом вирішення питань через хабарі</w:t>
            </w:r>
          </w:p>
          <w:p w14:paraId="2B203D67" w14:textId="6C460F01"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5. Конкурентоспроможність первинних матеріалів досягається через тіньове видобування. Доброчесний надрокористувач витрачає більше на дотримання вимог</w:t>
            </w:r>
            <w:r w:rsidR="00B9108F">
              <w:rPr>
                <w:rFonts w:ascii="Times New Roman" w:eastAsia="Times New Roman" w:hAnsi="Times New Roman" w:cs="Times New Roman"/>
                <w:sz w:val="28"/>
                <w:szCs w:val="28"/>
              </w:rPr>
              <w:t xml:space="preserve"> </w:t>
            </w:r>
            <w:r w:rsidRPr="00AC33A5">
              <w:rPr>
                <w:rFonts w:ascii="Times New Roman" w:eastAsia="Times New Roman" w:hAnsi="Times New Roman" w:cs="Times New Roman"/>
                <w:sz w:val="28"/>
                <w:szCs w:val="28"/>
              </w:rPr>
              <w:t xml:space="preserve"> </w:t>
            </w:r>
          </w:p>
        </w:tc>
      </w:tr>
      <w:tr w:rsidR="000B7051" w:rsidRPr="00AC33A5" w14:paraId="332A06CC" w14:textId="77777777" w:rsidTr="00AC246D">
        <w:trPr>
          <w:trHeight w:val="4496"/>
        </w:trPr>
        <w:tc>
          <w:tcPr>
            <w:tcW w:w="463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0D19F13" w14:textId="77777777" w:rsidR="000B7051" w:rsidRPr="00AC33A5" w:rsidRDefault="000B7051" w:rsidP="00AC246D">
            <w:pPr>
              <w:spacing w:after="0" w:line="240" w:lineRule="auto"/>
              <w:jc w:val="center"/>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МОЖЛИВОСТІ</w:t>
            </w:r>
          </w:p>
          <w:p w14:paraId="14D07944"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 Можливість залучення фінансових установ та міжнарожних донорів України для фінансування старт-апу показавши, що цей продукт спрощує процес вирішення питань фінансування у видобувній галузі та підтримувати прозорість проєкту</w:t>
            </w:r>
          </w:p>
          <w:p w14:paraId="1CC8E59F"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Створюючи проєкт в Україні, його можна легко інтернаціоналізувати</w:t>
            </w:r>
          </w:p>
          <w:p w14:paraId="621DB5EA"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 Рішення, які створюються сьогодні орієнтовані на перспективне законодавство та регулювання</w:t>
            </w:r>
          </w:p>
          <w:p w14:paraId="28D8B1D8"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 Можливість пропонувати продукт не тільки для надрокористувачів, а і для громад, де працюють видобувні підприємства для відслідковування прогресу діяльності</w:t>
            </w:r>
          </w:p>
          <w:p w14:paraId="1C2B6B29"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5144" w:type="dxa"/>
            <w:tcBorders>
              <w:top w:val="nil"/>
              <w:left w:val="nil"/>
              <w:bottom w:val="single" w:sz="5" w:space="0" w:color="000000"/>
              <w:right w:val="single" w:sz="5" w:space="0" w:color="000000"/>
            </w:tcBorders>
            <w:tcMar>
              <w:top w:w="0" w:type="dxa"/>
              <w:left w:w="100" w:type="dxa"/>
              <w:bottom w:w="0" w:type="dxa"/>
              <w:right w:w="100" w:type="dxa"/>
            </w:tcMar>
          </w:tcPr>
          <w:p w14:paraId="48BAC681" w14:textId="77777777" w:rsidR="000B7051" w:rsidRPr="00AC33A5" w:rsidRDefault="000B7051" w:rsidP="00AC246D">
            <w:pPr>
              <w:spacing w:after="0" w:line="240" w:lineRule="auto"/>
              <w:jc w:val="center"/>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ПРОБЛЕМИ</w:t>
            </w:r>
          </w:p>
          <w:p w14:paraId="405E2F0F"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 Для українського бізнесу на все, що не є обов’язковим, витрачаються рідко. Тобто залучати споживачів в Україні буде проблематично.</w:t>
            </w:r>
          </w:p>
          <w:p w14:paraId="78403760"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Низький рівень знань про сталий розвиток надрокористування та проблеми навколишнього середовища послаблює силу громад в розвитку їх територій, свідомого впливу та відповідно не сприяє формуванню попиту на ринку.</w:t>
            </w:r>
          </w:p>
          <w:p w14:paraId="5299516A"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 При впровадженні продукту виникає необхідність технічного переоснащення, що призведе до значних капітальних вкладень. Зазначене може утримувати споживачів від придбання продукту.</w:t>
            </w:r>
          </w:p>
          <w:p w14:paraId="5ED52CF1" w14:textId="77777777" w:rsidR="000B7051" w:rsidRPr="00AC33A5" w:rsidRDefault="000B7051" w:rsidP="00AC246D">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 Можливість легко уникати відповідальності за недотримання норм законодавства дозволяє працювати надрокористувачам і в неефективний з точки зору спосіб, а економічної ефективності добиватись за рахунок економії на ESG аспектах. А якщо і так є прибуток, то навіщо щось змінювати…</w:t>
            </w:r>
          </w:p>
        </w:tc>
      </w:tr>
    </w:tbl>
    <w:p w14:paraId="6E539381"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174E9C13" w14:textId="3AF6137F"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13. Альтернативи ринкового впровадження стартап</w:t>
      </w:r>
      <w:r>
        <w:rPr>
          <w:rFonts w:ascii="Times New Roman" w:eastAsia="Times New Roman" w:hAnsi="Times New Roman" w:cs="Times New Roman"/>
          <w:sz w:val="28"/>
          <w:szCs w:val="28"/>
        </w:rPr>
        <w:t xml:space="preserve"> </w:t>
      </w:r>
      <w:r w:rsidRPr="00AC33A5">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w:t>
      </w:r>
    </w:p>
    <w:tbl>
      <w:tblPr>
        <w:tblW w:w="99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73"/>
        <w:gridCol w:w="4430"/>
        <w:gridCol w:w="2361"/>
        <w:gridCol w:w="2371"/>
      </w:tblGrid>
      <w:tr w:rsidR="000B7051" w:rsidRPr="00AC33A5" w14:paraId="255BD391" w14:textId="77777777" w:rsidTr="002C1A6A">
        <w:tc>
          <w:tcPr>
            <w:tcW w:w="773" w:type="dxa"/>
            <w:shd w:val="clear" w:color="auto" w:fill="auto"/>
            <w:tcMar>
              <w:top w:w="100" w:type="dxa"/>
              <w:left w:w="100" w:type="dxa"/>
              <w:bottom w:w="100" w:type="dxa"/>
              <w:right w:w="100" w:type="dxa"/>
            </w:tcMar>
          </w:tcPr>
          <w:p w14:paraId="3DC64112"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4430" w:type="dxa"/>
            <w:shd w:val="clear" w:color="auto" w:fill="auto"/>
            <w:tcMar>
              <w:top w:w="100" w:type="dxa"/>
              <w:left w:w="100" w:type="dxa"/>
              <w:bottom w:w="100" w:type="dxa"/>
              <w:right w:w="100" w:type="dxa"/>
            </w:tcMar>
          </w:tcPr>
          <w:p w14:paraId="79BB23E8"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Альтернатива (орієнтовний комплекс заходів) ринкової поведінки</w:t>
            </w:r>
          </w:p>
        </w:tc>
        <w:tc>
          <w:tcPr>
            <w:tcW w:w="2361" w:type="dxa"/>
            <w:shd w:val="clear" w:color="auto" w:fill="auto"/>
            <w:tcMar>
              <w:top w:w="100" w:type="dxa"/>
              <w:left w:w="100" w:type="dxa"/>
              <w:bottom w:w="100" w:type="dxa"/>
              <w:right w:w="100" w:type="dxa"/>
            </w:tcMar>
          </w:tcPr>
          <w:p w14:paraId="1B5D695A"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Ймовірність отримання  ресурсів </w:t>
            </w:r>
          </w:p>
        </w:tc>
        <w:tc>
          <w:tcPr>
            <w:tcW w:w="2371" w:type="dxa"/>
            <w:shd w:val="clear" w:color="auto" w:fill="auto"/>
            <w:tcMar>
              <w:top w:w="100" w:type="dxa"/>
              <w:left w:w="100" w:type="dxa"/>
              <w:bottom w:w="100" w:type="dxa"/>
              <w:right w:w="100" w:type="dxa"/>
            </w:tcMar>
          </w:tcPr>
          <w:p w14:paraId="699F7517"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Строки реалізації </w:t>
            </w:r>
          </w:p>
        </w:tc>
      </w:tr>
      <w:tr w:rsidR="000B7051" w:rsidRPr="00AC33A5" w14:paraId="11F9DB58" w14:textId="77777777" w:rsidTr="002C1A6A">
        <w:tc>
          <w:tcPr>
            <w:tcW w:w="773" w:type="dxa"/>
            <w:shd w:val="clear" w:color="auto" w:fill="auto"/>
            <w:tcMar>
              <w:top w:w="100" w:type="dxa"/>
              <w:left w:w="100" w:type="dxa"/>
              <w:bottom w:w="100" w:type="dxa"/>
              <w:right w:w="100" w:type="dxa"/>
            </w:tcMar>
          </w:tcPr>
          <w:p w14:paraId="4ED01DD8"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4430" w:type="dxa"/>
            <w:shd w:val="clear" w:color="auto" w:fill="auto"/>
            <w:tcMar>
              <w:top w:w="100" w:type="dxa"/>
              <w:left w:w="100" w:type="dxa"/>
              <w:bottom w:w="100" w:type="dxa"/>
              <w:right w:w="100" w:type="dxa"/>
            </w:tcMar>
          </w:tcPr>
          <w:p w14:paraId="2115BBD7"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Позиціонування послуги як механізм реалізації проєктів повоєнного відновлення з додавання елементів проєктного менеджменту</w:t>
            </w:r>
          </w:p>
        </w:tc>
        <w:tc>
          <w:tcPr>
            <w:tcW w:w="2361" w:type="dxa"/>
            <w:shd w:val="clear" w:color="auto" w:fill="auto"/>
            <w:tcMar>
              <w:top w:w="100" w:type="dxa"/>
              <w:left w:w="100" w:type="dxa"/>
              <w:bottom w:w="100" w:type="dxa"/>
              <w:right w:w="100" w:type="dxa"/>
            </w:tcMar>
          </w:tcPr>
          <w:p w14:paraId="59D3EED0"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Середня</w:t>
            </w:r>
          </w:p>
        </w:tc>
        <w:tc>
          <w:tcPr>
            <w:tcW w:w="2371" w:type="dxa"/>
            <w:shd w:val="clear" w:color="auto" w:fill="auto"/>
            <w:tcMar>
              <w:top w:w="100" w:type="dxa"/>
              <w:left w:w="100" w:type="dxa"/>
              <w:bottom w:w="100" w:type="dxa"/>
              <w:right w:w="100" w:type="dxa"/>
            </w:tcMar>
          </w:tcPr>
          <w:p w14:paraId="327D74E2"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до 1 року</w:t>
            </w:r>
          </w:p>
        </w:tc>
      </w:tr>
      <w:tr w:rsidR="000B7051" w:rsidRPr="00AC33A5" w14:paraId="6ACD77DD" w14:textId="77777777" w:rsidTr="002C1A6A">
        <w:tc>
          <w:tcPr>
            <w:tcW w:w="773" w:type="dxa"/>
            <w:shd w:val="clear" w:color="auto" w:fill="auto"/>
            <w:tcMar>
              <w:top w:w="100" w:type="dxa"/>
              <w:left w:w="100" w:type="dxa"/>
              <w:bottom w:w="100" w:type="dxa"/>
              <w:right w:w="100" w:type="dxa"/>
            </w:tcMar>
          </w:tcPr>
          <w:p w14:paraId="39607F42"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4430" w:type="dxa"/>
            <w:shd w:val="clear" w:color="auto" w:fill="auto"/>
            <w:tcMar>
              <w:top w:w="100" w:type="dxa"/>
              <w:left w:w="100" w:type="dxa"/>
              <w:bottom w:w="100" w:type="dxa"/>
              <w:right w:w="100" w:type="dxa"/>
            </w:tcMar>
          </w:tcPr>
          <w:p w14:paraId="45FEDAF9"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Пропозиція проєкту Агентству відновлення</w:t>
            </w:r>
          </w:p>
        </w:tc>
        <w:tc>
          <w:tcPr>
            <w:tcW w:w="2361" w:type="dxa"/>
            <w:shd w:val="clear" w:color="auto" w:fill="auto"/>
            <w:tcMar>
              <w:top w:w="100" w:type="dxa"/>
              <w:left w:w="100" w:type="dxa"/>
              <w:bottom w:w="100" w:type="dxa"/>
              <w:right w:w="100" w:type="dxa"/>
            </w:tcMar>
          </w:tcPr>
          <w:p w14:paraId="5D234DAF"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Середня</w:t>
            </w:r>
          </w:p>
        </w:tc>
        <w:tc>
          <w:tcPr>
            <w:tcW w:w="2371" w:type="dxa"/>
            <w:shd w:val="clear" w:color="auto" w:fill="auto"/>
            <w:tcMar>
              <w:top w:w="100" w:type="dxa"/>
              <w:left w:w="100" w:type="dxa"/>
              <w:bottom w:w="100" w:type="dxa"/>
              <w:right w:w="100" w:type="dxa"/>
            </w:tcMar>
          </w:tcPr>
          <w:p w14:paraId="2E681A80"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до 2 років</w:t>
            </w:r>
          </w:p>
        </w:tc>
      </w:tr>
      <w:tr w:rsidR="000B7051" w:rsidRPr="00AC33A5" w14:paraId="0FADCBEB" w14:textId="77777777" w:rsidTr="002C1A6A">
        <w:trPr>
          <w:trHeight w:val="516"/>
        </w:trPr>
        <w:tc>
          <w:tcPr>
            <w:tcW w:w="773" w:type="dxa"/>
            <w:shd w:val="clear" w:color="auto" w:fill="auto"/>
            <w:tcMar>
              <w:top w:w="100" w:type="dxa"/>
              <w:left w:w="100" w:type="dxa"/>
              <w:bottom w:w="100" w:type="dxa"/>
              <w:right w:w="100" w:type="dxa"/>
            </w:tcMar>
          </w:tcPr>
          <w:p w14:paraId="677C518B"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3. </w:t>
            </w:r>
          </w:p>
        </w:tc>
        <w:tc>
          <w:tcPr>
            <w:tcW w:w="4430" w:type="dxa"/>
            <w:shd w:val="clear" w:color="auto" w:fill="auto"/>
            <w:tcMar>
              <w:top w:w="100" w:type="dxa"/>
              <w:left w:w="100" w:type="dxa"/>
              <w:bottom w:w="100" w:type="dxa"/>
              <w:right w:w="100" w:type="dxa"/>
            </w:tcMar>
          </w:tcPr>
          <w:p w14:paraId="27512FDE"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Розвиток на початку традиційних консалтингових послуг, як у прямих конкурентів, з наступним пропонуванням продукту автоматизації діяльності</w:t>
            </w:r>
          </w:p>
        </w:tc>
        <w:tc>
          <w:tcPr>
            <w:tcW w:w="2361" w:type="dxa"/>
            <w:shd w:val="clear" w:color="auto" w:fill="auto"/>
            <w:tcMar>
              <w:top w:w="100" w:type="dxa"/>
              <w:left w:w="100" w:type="dxa"/>
              <w:bottom w:w="100" w:type="dxa"/>
              <w:right w:w="100" w:type="dxa"/>
            </w:tcMar>
          </w:tcPr>
          <w:p w14:paraId="70A6207A"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Низька</w:t>
            </w:r>
          </w:p>
        </w:tc>
        <w:tc>
          <w:tcPr>
            <w:tcW w:w="2371" w:type="dxa"/>
            <w:shd w:val="clear" w:color="auto" w:fill="auto"/>
            <w:tcMar>
              <w:top w:w="100" w:type="dxa"/>
              <w:left w:w="100" w:type="dxa"/>
              <w:bottom w:w="100" w:type="dxa"/>
              <w:right w:w="100" w:type="dxa"/>
            </w:tcMar>
          </w:tcPr>
          <w:p w14:paraId="3038D771" w14:textId="77777777" w:rsidR="000B7051" w:rsidRPr="00AC33A5" w:rsidRDefault="000B7051" w:rsidP="009F254C">
            <w:pPr>
              <w:widowControl w:val="0"/>
              <w:pBdr>
                <w:top w:val="nil"/>
                <w:left w:val="nil"/>
                <w:bottom w:val="nil"/>
                <w:right w:val="nil"/>
                <w:between w:val="nil"/>
              </w:pBd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1-2 роки</w:t>
            </w:r>
          </w:p>
        </w:tc>
      </w:tr>
    </w:tbl>
    <w:p w14:paraId="19749CE3"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29B371E1" w14:textId="77777777" w:rsidR="000B7051" w:rsidRPr="00AC33A5" w:rsidRDefault="000B7051" w:rsidP="000B7051">
      <w:pPr>
        <w:spacing w:after="0" w:line="360" w:lineRule="auto"/>
        <w:jc w:val="both"/>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Висновок: альтернативою може бути орієнтація на обслуговування проєктів повоєнної відбудови для іноземних інвесторів, однак продовження війни може призвести до затягування строків реалізації проєкту.</w:t>
      </w:r>
    </w:p>
    <w:p w14:paraId="64248E2B" w14:textId="77777777" w:rsidR="000B7051" w:rsidRDefault="000B7051" w:rsidP="000B7051">
      <w:pPr>
        <w:spacing w:after="0" w:line="360" w:lineRule="auto"/>
        <w:rPr>
          <w:rFonts w:ascii="Times New Roman" w:eastAsia="Times New Roman" w:hAnsi="Times New Roman" w:cs="Times New Roman"/>
          <w:sz w:val="28"/>
          <w:szCs w:val="28"/>
        </w:rPr>
      </w:pPr>
    </w:p>
    <w:p w14:paraId="4A91BBAC" w14:textId="77777777" w:rsidR="00B9108F" w:rsidRDefault="00B9108F">
      <w:pPr>
        <w:rPr>
          <w:rFonts w:ascii="Times New Roman" w:eastAsia="Times New Roman" w:hAnsi="Times New Roman" w:cs="Times New Roman"/>
          <w:b/>
          <w:sz w:val="28"/>
          <w:szCs w:val="28"/>
        </w:rPr>
      </w:pPr>
      <w:r>
        <w:rPr>
          <w:rFonts w:ascii="Times New Roman" w:eastAsia="Times New Roman" w:hAnsi="Times New Roman" w:cs="Times New Roman"/>
          <w:sz w:val="28"/>
          <w:szCs w:val="28"/>
        </w:rPr>
        <w:br w:type="page"/>
      </w:r>
    </w:p>
    <w:p w14:paraId="696EE1C2" w14:textId="56BA77C6" w:rsidR="000B7051" w:rsidRDefault="000B7051" w:rsidP="00B9108F">
      <w:pPr>
        <w:pStyle w:val="2"/>
        <w:keepNext w:val="0"/>
        <w:keepLines w:val="0"/>
        <w:numPr>
          <w:ilvl w:val="1"/>
          <w:numId w:val="8"/>
        </w:numPr>
        <w:spacing w:before="0" w:after="0" w:line="360" w:lineRule="auto"/>
        <w:jc w:val="both"/>
        <w:rPr>
          <w:rFonts w:ascii="Times New Roman" w:eastAsia="Times New Roman" w:hAnsi="Times New Roman" w:cs="Times New Roman"/>
          <w:sz w:val="28"/>
          <w:szCs w:val="28"/>
        </w:rPr>
      </w:pPr>
      <w:bookmarkStart w:id="33" w:name="_Toc155658277"/>
      <w:r w:rsidRPr="00851246">
        <w:rPr>
          <w:rFonts w:ascii="Times New Roman" w:eastAsia="Times New Roman" w:hAnsi="Times New Roman" w:cs="Times New Roman"/>
          <w:sz w:val="28"/>
          <w:szCs w:val="28"/>
        </w:rPr>
        <w:lastRenderedPageBreak/>
        <w:t>Розроблення ринкової стратегії про</w:t>
      </w:r>
      <w:r>
        <w:rPr>
          <w:rFonts w:ascii="Times New Roman" w:eastAsia="Times New Roman" w:hAnsi="Times New Roman" w:cs="Times New Roman"/>
          <w:sz w:val="28"/>
          <w:szCs w:val="28"/>
        </w:rPr>
        <w:t>є</w:t>
      </w:r>
      <w:r w:rsidRPr="00851246">
        <w:rPr>
          <w:rFonts w:ascii="Times New Roman" w:eastAsia="Times New Roman" w:hAnsi="Times New Roman" w:cs="Times New Roman"/>
          <w:sz w:val="28"/>
          <w:szCs w:val="28"/>
        </w:rPr>
        <w:t>кту</w:t>
      </w:r>
      <w:bookmarkEnd w:id="33"/>
    </w:p>
    <w:p w14:paraId="5DD7BD05" w14:textId="77777777" w:rsidR="000B7051" w:rsidRDefault="000B7051" w:rsidP="000B7051">
      <w:pPr>
        <w:spacing w:after="0" w:line="360" w:lineRule="auto"/>
        <w:rPr>
          <w:rFonts w:ascii="Times New Roman" w:eastAsia="Times New Roman" w:hAnsi="Times New Roman" w:cs="Times New Roman"/>
          <w:sz w:val="28"/>
          <w:szCs w:val="28"/>
        </w:rPr>
      </w:pPr>
    </w:p>
    <w:p w14:paraId="387B5816"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14. Вибір цільових груп потенційних споживачів</w:t>
      </w:r>
    </w:p>
    <w:tbl>
      <w:tblPr>
        <w:tblW w:w="9881" w:type="dxa"/>
        <w:tblBorders>
          <w:top w:val="nil"/>
          <w:left w:val="nil"/>
          <w:bottom w:val="nil"/>
          <w:right w:val="nil"/>
          <w:insideH w:val="nil"/>
          <w:insideV w:val="nil"/>
        </w:tblBorders>
        <w:tblLayout w:type="fixed"/>
        <w:tblLook w:val="0600" w:firstRow="0" w:lastRow="0" w:firstColumn="0" w:lastColumn="0" w:noHBand="1" w:noVBand="1"/>
      </w:tblPr>
      <w:tblGrid>
        <w:gridCol w:w="809"/>
        <w:gridCol w:w="1842"/>
        <w:gridCol w:w="1702"/>
        <w:gridCol w:w="1702"/>
        <w:gridCol w:w="1843"/>
        <w:gridCol w:w="1983"/>
      </w:tblGrid>
      <w:tr w:rsidR="000B7051" w:rsidRPr="00AC33A5" w14:paraId="23C28491" w14:textId="77777777" w:rsidTr="009539E6">
        <w:trPr>
          <w:trHeight w:val="1110"/>
        </w:trPr>
        <w:tc>
          <w:tcPr>
            <w:tcW w:w="809"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EEF13B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1842"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64D4378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Опис профілю  цільової групи  потенційних  клієнтів </w:t>
            </w:r>
          </w:p>
        </w:tc>
        <w:tc>
          <w:tcPr>
            <w:tcW w:w="1702"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3C6262F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Готовність  споживачів  сприйняти     продукт </w:t>
            </w:r>
          </w:p>
        </w:tc>
        <w:tc>
          <w:tcPr>
            <w:tcW w:w="1702"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57ACD4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Орієнтовний  попит в межах  цільової групи  (сегменту)</w:t>
            </w:r>
          </w:p>
        </w:tc>
        <w:tc>
          <w:tcPr>
            <w:tcW w:w="1843"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32133A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Інтенсивність  конкуренції в  сегменті </w:t>
            </w:r>
          </w:p>
        </w:tc>
        <w:tc>
          <w:tcPr>
            <w:tcW w:w="1983"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5BC8070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Простота входу у сегмент</w:t>
            </w:r>
          </w:p>
        </w:tc>
      </w:tr>
      <w:tr w:rsidR="000B7051" w:rsidRPr="00AC33A5" w14:paraId="432E7C21" w14:textId="77777777" w:rsidTr="009539E6">
        <w:trPr>
          <w:trHeight w:val="1950"/>
        </w:trPr>
        <w:tc>
          <w:tcPr>
            <w:tcW w:w="809"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8646D2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1842" w:type="dxa"/>
            <w:tcBorders>
              <w:top w:val="nil"/>
              <w:left w:val="nil"/>
              <w:bottom w:val="single" w:sz="5" w:space="0" w:color="000000"/>
              <w:right w:val="single" w:sz="5" w:space="0" w:color="000000"/>
            </w:tcBorders>
            <w:tcMar>
              <w:top w:w="0" w:type="dxa"/>
              <w:left w:w="100" w:type="dxa"/>
              <w:bottom w:w="0" w:type="dxa"/>
              <w:right w:w="100" w:type="dxa"/>
            </w:tcMar>
          </w:tcPr>
          <w:p w14:paraId="3FBCD0D4"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Поточні вітчизняні надрокористувачі</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49A4367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Нижче середнього</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3BCB8C0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Найбільший сегмент – складає приблизно 75 %</w:t>
            </w:r>
          </w:p>
        </w:tc>
        <w:tc>
          <w:tcPr>
            <w:tcW w:w="1843" w:type="dxa"/>
            <w:tcBorders>
              <w:top w:val="nil"/>
              <w:left w:val="nil"/>
              <w:bottom w:val="single" w:sz="5" w:space="0" w:color="000000"/>
              <w:right w:val="single" w:sz="5" w:space="0" w:color="000000"/>
            </w:tcBorders>
            <w:tcMar>
              <w:top w:w="0" w:type="dxa"/>
              <w:left w:w="100" w:type="dxa"/>
              <w:bottom w:w="0" w:type="dxa"/>
              <w:right w:w="100" w:type="dxa"/>
            </w:tcMar>
          </w:tcPr>
          <w:p w14:paraId="0AC836A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Конкуренція низька, так як попит не сформований</w:t>
            </w:r>
          </w:p>
        </w:tc>
        <w:tc>
          <w:tcPr>
            <w:tcW w:w="1983" w:type="dxa"/>
            <w:tcBorders>
              <w:top w:val="nil"/>
              <w:left w:val="nil"/>
              <w:bottom w:val="single" w:sz="5" w:space="0" w:color="000000"/>
              <w:right w:val="single" w:sz="5" w:space="0" w:color="000000"/>
            </w:tcBorders>
            <w:tcMar>
              <w:top w:w="0" w:type="dxa"/>
              <w:left w:w="100" w:type="dxa"/>
              <w:bottom w:w="0" w:type="dxa"/>
              <w:right w:w="100" w:type="dxa"/>
            </w:tcMar>
          </w:tcPr>
          <w:p w14:paraId="3DE6328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Витрати на вхід щодо створення продукту середні, однак в зв’язку з формуванням ринку вимагаються значні витрати на просування (маркетингові)</w:t>
            </w:r>
          </w:p>
        </w:tc>
      </w:tr>
      <w:tr w:rsidR="000B7051" w:rsidRPr="00AC33A5" w14:paraId="55967A41" w14:textId="77777777" w:rsidTr="009539E6">
        <w:trPr>
          <w:trHeight w:val="1395"/>
        </w:trPr>
        <w:tc>
          <w:tcPr>
            <w:tcW w:w="809"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95CD23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1842" w:type="dxa"/>
            <w:tcBorders>
              <w:top w:val="nil"/>
              <w:left w:val="nil"/>
              <w:bottom w:val="single" w:sz="5" w:space="0" w:color="000000"/>
              <w:right w:val="single" w:sz="5" w:space="0" w:color="000000"/>
            </w:tcBorders>
            <w:tcMar>
              <w:top w:w="0" w:type="dxa"/>
              <w:left w:w="100" w:type="dxa"/>
              <w:bottom w:w="0" w:type="dxa"/>
              <w:right w:w="100" w:type="dxa"/>
            </w:tcMar>
          </w:tcPr>
          <w:p w14:paraId="28F91B6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Іноземні інвестори, які зацікавлені у видобуванні в Україні (ті, що вже ведуть діяльність, та ті хто має намір розпочати)</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779C808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Висока</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49FB938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 рівні 15 %</w:t>
            </w:r>
          </w:p>
        </w:tc>
        <w:tc>
          <w:tcPr>
            <w:tcW w:w="1843" w:type="dxa"/>
            <w:tcBorders>
              <w:top w:val="nil"/>
              <w:left w:val="nil"/>
              <w:bottom w:val="single" w:sz="5" w:space="0" w:color="000000"/>
              <w:right w:val="single" w:sz="5" w:space="0" w:color="000000"/>
            </w:tcBorders>
            <w:tcMar>
              <w:top w:w="0" w:type="dxa"/>
              <w:left w:w="100" w:type="dxa"/>
              <w:bottom w:w="0" w:type="dxa"/>
              <w:right w:w="100" w:type="dxa"/>
            </w:tcMar>
          </w:tcPr>
          <w:p w14:paraId="5357B62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Конкуренція низька, так як комплексу послугу ринок не пропонує – існує ринок окремих видів послуг</w:t>
            </w:r>
          </w:p>
        </w:tc>
        <w:tc>
          <w:tcPr>
            <w:tcW w:w="1983" w:type="dxa"/>
            <w:tcBorders>
              <w:top w:val="nil"/>
              <w:left w:val="nil"/>
              <w:bottom w:val="single" w:sz="5" w:space="0" w:color="000000"/>
              <w:right w:val="single" w:sz="5" w:space="0" w:color="000000"/>
            </w:tcBorders>
            <w:tcMar>
              <w:top w:w="0" w:type="dxa"/>
              <w:left w:w="100" w:type="dxa"/>
              <w:bottom w:w="0" w:type="dxa"/>
              <w:right w:w="100" w:type="dxa"/>
            </w:tcMar>
          </w:tcPr>
          <w:p w14:paraId="66F4BA2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Витрати на вхід щодо створення продукту середні, формуванням ринку вимагаються значні витрати на просування</w:t>
            </w:r>
          </w:p>
        </w:tc>
      </w:tr>
      <w:tr w:rsidR="000B7051" w:rsidRPr="00AC33A5" w14:paraId="59956BF8" w14:textId="77777777" w:rsidTr="009539E6">
        <w:trPr>
          <w:trHeight w:val="1395"/>
        </w:trPr>
        <w:tc>
          <w:tcPr>
            <w:tcW w:w="809"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8DCF4C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w:t>
            </w:r>
          </w:p>
        </w:tc>
        <w:tc>
          <w:tcPr>
            <w:tcW w:w="1842" w:type="dxa"/>
            <w:tcBorders>
              <w:top w:val="nil"/>
              <w:left w:val="nil"/>
              <w:bottom w:val="single" w:sz="5" w:space="0" w:color="000000"/>
              <w:right w:val="single" w:sz="5" w:space="0" w:color="000000"/>
            </w:tcBorders>
            <w:tcMar>
              <w:top w:w="0" w:type="dxa"/>
              <w:left w:w="100" w:type="dxa"/>
              <w:bottom w:w="0" w:type="dxa"/>
              <w:right w:w="100" w:type="dxa"/>
            </w:tcMar>
          </w:tcPr>
          <w:p w14:paraId="1FA6E54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Міжнародні фінансові інституції, які надають кредити видобувним підприємствам</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60B6F27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Висока</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657FB97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 рівні 10%</w:t>
            </w:r>
          </w:p>
        </w:tc>
        <w:tc>
          <w:tcPr>
            <w:tcW w:w="1843" w:type="dxa"/>
            <w:tcBorders>
              <w:top w:val="nil"/>
              <w:left w:val="nil"/>
              <w:bottom w:val="single" w:sz="5" w:space="0" w:color="000000"/>
              <w:right w:val="single" w:sz="5" w:space="0" w:color="000000"/>
            </w:tcBorders>
            <w:tcMar>
              <w:top w:w="0" w:type="dxa"/>
              <w:left w:w="100" w:type="dxa"/>
              <w:bottom w:w="0" w:type="dxa"/>
              <w:right w:w="100" w:type="dxa"/>
            </w:tcMar>
          </w:tcPr>
          <w:p w14:paraId="6FFB9B1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Конкуренція низька, так як комплексу послугу ринок не пропонує – існує ринок окремих видів послуг</w:t>
            </w:r>
          </w:p>
        </w:tc>
        <w:tc>
          <w:tcPr>
            <w:tcW w:w="1983" w:type="dxa"/>
            <w:tcBorders>
              <w:top w:val="nil"/>
              <w:left w:val="nil"/>
              <w:bottom w:val="single" w:sz="5" w:space="0" w:color="000000"/>
              <w:right w:val="single" w:sz="5" w:space="0" w:color="000000"/>
            </w:tcBorders>
            <w:tcMar>
              <w:top w:w="0" w:type="dxa"/>
              <w:left w:w="100" w:type="dxa"/>
              <w:bottom w:w="0" w:type="dxa"/>
              <w:right w:w="100" w:type="dxa"/>
            </w:tcMar>
          </w:tcPr>
          <w:p w14:paraId="227ABC4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Витрати на вхід щодо створення продукту середні, формуванням ринку вимагаються значні витрати на просування</w:t>
            </w:r>
          </w:p>
        </w:tc>
      </w:tr>
      <w:tr w:rsidR="000B7051" w:rsidRPr="00AC33A5" w14:paraId="2CE85BE4" w14:textId="77777777" w:rsidTr="009539E6">
        <w:trPr>
          <w:trHeight w:val="1395"/>
        </w:trPr>
        <w:tc>
          <w:tcPr>
            <w:tcW w:w="809"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45BFF2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4. </w:t>
            </w:r>
          </w:p>
        </w:tc>
        <w:tc>
          <w:tcPr>
            <w:tcW w:w="1842" w:type="dxa"/>
            <w:tcBorders>
              <w:top w:val="nil"/>
              <w:left w:val="nil"/>
              <w:bottom w:val="single" w:sz="5" w:space="0" w:color="000000"/>
              <w:right w:val="single" w:sz="5" w:space="0" w:color="000000"/>
            </w:tcBorders>
            <w:tcMar>
              <w:top w:w="0" w:type="dxa"/>
              <w:left w:w="100" w:type="dxa"/>
              <w:bottom w:w="0" w:type="dxa"/>
              <w:right w:w="100" w:type="dxa"/>
            </w:tcMar>
          </w:tcPr>
          <w:p w14:paraId="68596BB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Органи державної влади та місцевого самоврядування</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49871E4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Низька</w:t>
            </w:r>
          </w:p>
        </w:tc>
        <w:tc>
          <w:tcPr>
            <w:tcW w:w="1702" w:type="dxa"/>
            <w:tcBorders>
              <w:top w:val="nil"/>
              <w:left w:val="nil"/>
              <w:bottom w:val="single" w:sz="5" w:space="0" w:color="000000"/>
              <w:right w:val="single" w:sz="5" w:space="0" w:color="000000"/>
            </w:tcBorders>
            <w:tcMar>
              <w:top w:w="0" w:type="dxa"/>
              <w:left w:w="100" w:type="dxa"/>
              <w:bottom w:w="0" w:type="dxa"/>
              <w:right w:w="100" w:type="dxa"/>
            </w:tcMar>
          </w:tcPr>
          <w:p w14:paraId="5FA27EB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 рівні 30%</w:t>
            </w:r>
          </w:p>
        </w:tc>
        <w:tc>
          <w:tcPr>
            <w:tcW w:w="1843" w:type="dxa"/>
            <w:tcBorders>
              <w:top w:val="nil"/>
              <w:left w:val="nil"/>
              <w:bottom w:val="single" w:sz="5" w:space="0" w:color="000000"/>
              <w:right w:val="single" w:sz="5" w:space="0" w:color="000000"/>
            </w:tcBorders>
            <w:tcMar>
              <w:top w:w="0" w:type="dxa"/>
              <w:left w:w="100" w:type="dxa"/>
              <w:bottom w:w="0" w:type="dxa"/>
              <w:right w:w="100" w:type="dxa"/>
            </w:tcMar>
          </w:tcPr>
          <w:p w14:paraId="77E3E6E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Конкуренція низька, так як комплексу послугу ринок не пропонує – існує ринок окремих видів послуг</w:t>
            </w:r>
          </w:p>
        </w:tc>
        <w:tc>
          <w:tcPr>
            <w:tcW w:w="1983" w:type="dxa"/>
            <w:tcBorders>
              <w:top w:val="nil"/>
              <w:left w:val="nil"/>
              <w:bottom w:val="single" w:sz="5" w:space="0" w:color="000000"/>
              <w:right w:val="single" w:sz="5" w:space="0" w:color="000000"/>
            </w:tcBorders>
            <w:tcMar>
              <w:top w:w="0" w:type="dxa"/>
              <w:left w:w="100" w:type="dxa"/>
              <w:bottom w:w="0" w:type="dxa"/>
              <w:right w:w="100" w:type="dxa"/>
            </w:tcMar>
          </w:tcPr>
          <w:p w14:paraId="7D1F17F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Витрати на вхід щодо створення продукту середні, формуванням ринку вимагаються значні витрати на просування і не є очевидним, чи можна вийти в сегмент без корупційної складової</w:t>
            </w:r>
          </w:p>
        </w:tc>
      </w:tr>
      <w:tr w:rsidR="000B7051" w:rsidRPr="00AC33A5" w14:paraId="287CD847" w14:textId="77777777" w:rsidTr="009539E6">
        <w:trPr>
          <w:trHeight w:val="570"/>
        </w:trPr>
        <w:tc>
          <w:tcPr>
            <w:tcW w:w="9881" w:type="dxa"/>
            <w:gridSpan w:val="6"/>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91A13F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Які цільові групи обрано: обираються друга, третя та четверта групи, хоча обмежено можна вести просування і в першій групі шляхом виховання споживача.</w:t>
            </w:r>
          </w:p>
        </w:tc>
      </w:tr>
    </w:tbl>
    <w:p w14:paraId="5881E4B2"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2DE52236" w14:textId="5E64DC47" w:rsidR="003875CD" w:rsidRDefault="003875CD">
      <w:pPr>
        <w:rPr>
          <w:rFonts w:ascii="Times New Roman" w:eastAsia="Times New Roman" w:hAnsi="Times New Roman" w:cs="Times New Roman"/>
          <w:sz w:val="28"/>
          <w:szCs w:val="28"/>
        </w:rPr>
      </w:pPr>
    </w:p>
    <w:p w14:paraId="0A2F76C1" w14:textId="7C92FC4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15. Визначення базової стратегії розвитку</w:t>
      </w:r>
    </w:p>
    <w:tbl>
      <w:tblPr>
        <w:tblW w:w="10164" w:type="dxa"/>
        <w:tblBorders>
          <w:top w:val="nil"/>
          <w:left w:val="nil"/>
          <w:bottom w:val="nil"/>
          <w:right w:val="nil"/>
          <w:insideH w:val="nil"/>
          <w:insideV w:val="nil"/>
        </w:tblBorders>
        <w:tblLayout w:type="fixed"/>
        <w:tblLook w:val="0600" w:firstRow="0" w:lastRow="0" w:firstColumn="0" w:lastColumn="0" w:noHBand="1" w:noVBand="1"/>
      </w:tblPr>
      <w:tblGrid>
        <w:gridCol w:w="703"/>
        <w:gridCol w:w="3508"/>
        <w:gridCol w:w="1559"/>
        <w:gridCol w:w="2551"/>
        <w:gridCol w:w="1843"/>
      </w:tblGrid>
      <w:tr w:rsidR="000B7051" w:rsidRPr="00AC33A5" w14:paraId="368FA913" w14:textId="77777777" w:rsidTr="009539E6">
        <w:trPr>
          <w:trHeight w:val="840"/>
        </w:trPr>
        <w:tc>
          <w:tcPr>
            <w:tcW w:w="703"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59EB87C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3508"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3BC4C9F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Обрана альтернатива розвитку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w:t>
            </w:r>
          </w:p>
        </w:tc>
        <w:tc>
          <w:tcPr>
            <w:tcW w:w="1559"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783E49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Стратегія охоплення ринку </w:t>
            </w:r>
          </w:p>
        </w:tc>
        <w:tc>
          <w:tcPr>
            <w:tcW w:w="2551"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69E44320"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Ключові конкурентоспроможні позиції відповідно до обраної  альтернативи </w:t>
            </w:r>
          </w:p>
        </w:tc>
        <w:tc>
          <w:tcPr>
            <w:tcW w:w="1843"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4F0022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Базова стратегія  розвитку</w:t>
            </w:r>
          </w:p>
        </w:tc>
      </w:tr>
      <w:tr w:rsidR="000B7051" w:rsidRPr="00AC33A5" w14:paraId="045C729E" w14:textId="77777777" w:rsidTr="009539E6">
        <w:trPr>
          <w:trHeight w:val="3330"/>
        </w:trPr>
        <w:tc>
          <w:tcPr>
            <w:tcW w:w="703"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056112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w:t>
            </w:r>
          </w:p>
        </w:tc>
        <w:tc>
          <w:tcPr>
            <w:tcW w:w="3508" w:type="dxa"/>
            <w:tcBorders>
              <w:top w:val="nil"/>
              <w:left w:val="nil"/>
              <w:bottom w:val="single" w:sz="5" w:space="0" w:color="000000"/>
              <w:right w:val="single" w:sz="5" w:space="0" w:color="000000"/>
            </w:tcBorders>
            <w:tcMar>
              <w:top w:w="0" w:type="dxa"/>
              <w:left w:w="100" w:type="dxa"/>
              <w:bottom w:w="0" w:type="dxa"/>
              <w:right w:w="100" w:type="dxa"/>
            </w:tcMar>
          </w:tcPr>
          <w:p w14:paraId="40DCB114"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Проєкт буде розвиватись як н</w:t>
            </w:r>
            <w:r>
              <w:rPr>
                <w:rFonts w:ascii="Times New Roman" w:eastAsia="Times New Roman" w:hAnsi="Times New Roman" w:cs="Times New Roman"/>
                <w:sz w:val="28"/>
                <w:szCs w:val="28"/>
              </w:rPr>
              <w:t>і</w:t>
            </w:r>
            <w:r w:rsidRPr="00AC33A5">
              <w:rPr>
                <w:rFonts w:ascii="Times New Roman" w:eastAsia="Times New Roman" w:hAnsi="Times New Roman" w:cs="Times New Roman"/>
                <w:sz w:val="28"/>
                <w:szCs w:val="28"/>
              </w:rPr>
              <w:t xml:space="preserve">шевий для надрокористувачів, які хочуть слідувати кращим сталим практикам та задля цього готові на першому етапі здійснити додаткові витрати, які в подальшому будуть окупними, приведуть до ефективності діяльності та формування стійкої позитивної репутації, а також для органів державної влади та місцевого самоврядування, </w:t>
            </w:r>
            <w:r w:rsidRPr="00AC33A5">
              <w:rPr>
                <w:rFonts w:ascii="Times New Roman" w:eastAsia="Times New Roman" w:hAnsi="Times New Roman" w:cs="Times New Roman"/>
                <w:sz w:val="28"/>
                <w:szCs w:val="28"/>
              </w:rPr>
              <w:lastRenderedPageBreak/>
              <w:t xml:space="preserve">які готові впроваджувати механізми запобігання корупції при витрачанні коштів </w:t>
            </w:r>
          </w:p>
        </w:tc>
        <w:tc>
          <w:tcPr>
            <w:tcW w:w="1559" w:type="dxa"/>
            <w:tcBorders>
              <w:top w:val="nil"/>
              <w:left w:val="nil"/>
              <w:bottom w:val="single" w:sz="5" w:space="0" w:color="000000"/>
              <w:right w:val="single" w:sz="5" w:space="0" w:color="000000"/>
            </w:tcBorders>
            <w:tcMar>
              <w:top w:w="0" w:type="dxa"/>
              <w:left w:w="100" w:type="dxa"/>
              <w:bottom w:w="0" w:type="dxa"/>
              <w:right w:w="100" w:type="dxa"/>
            </w:tcMar>
          </w:tcPr>
          <w:p w14:paraId="6D8210A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Проєкт націлений на другу, третю та четверту групу  зазначені в таблиці вище</w:t>
            </w:r>
          </w:p>
        </w:tc>
        <w:tc>
          <w:tcPr>
            <w:tcW w:w="2551" w:type="dxa"/>
            <w:tcBorders>
              <w:top w:val="nil"/>
              <w:left w:val="nil"/>
              <w:bottom w:val="single" w:sz="5" w:space="0" w:color="000000"/>
              <w:right w:val="single" w:sz="5" w:space="0" w:color="000000"/>
            </w:tcBorders>
            <w:tcMar>
              <w:top w:w="0" w:type="dxa"/>
              <w:left w:w="100" w:type="dxa"/>
              <w:bottom w:w="0" w:type="dxa"/>
              <w:right w:w="100" w:type="dxa"/>
            </w:tcMar>
          </w:tcPr>
          <w:p w14:paraId="31C6907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сучасний комплексний підхід до збору, оформлення та використання інформації;</w:t>
            </w:r>
          </w:p>
          <w:p w14:paraId="29A11A5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прийняття рішень на підставі даних та моделюванні;</w:t>
            </w:r>
          </w:p>
          <w:p w14:paraId="247C782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комплексний підхід забезпечення діяльності надрокористувача;</w:t>
            </w:r>
          </w:p>
          <w:p w14:paraId="5619AC3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побудова діяльності на підставі дотримання норм свідомо та насправді, а не слідування tick-the-box-policy</w:t>
            </w:r>
          </w:p>
          <w:p w14:paraId="31F050C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прозоре звітування</w:t>
            </w:r>
          </w:p>
        </w:tc>
        <w:tc>
          <w:tcPr>
            <w:tcW w:w="1843" w:type="dxa"/>
            <w:tcBorders>
              <w:top w:val="nil"/>
              <w:left w:val="nil"/>
              <w:bottom w:val="single" w:sz="5" w:space="0" w:color="000000"/>
              <w:right w:val="single" w:sz="5" w:space="0" w:color="000000"/>
            </w:tcBorders>
            <w:tcMar>
              <w:top w:w="0" w:type="dxa"/>
              <w:left w:w="100" w:type="dxa"/>
              <w:bottom w:w="0" w:type="dxa"/>
              <w:right w:w="100" w:type="dxa"/>
            </w:tcMar>
          </w:tcPr>
          <w:p w14:paraId="6B5704B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Стратегія диференціації</w:t>
            </w:r>
          </w:p>
        </w:tc>
      </w:tr>
    </w:tbl>
    <w:p w14:paraId="69A5C960"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1ADE4314" w14:textId="5E6385A7" w:rsidR="003875CD" w:rsidRDefault="003875CD">
      <w:pPr>
        <w:rPr>
          <w:rFonts w:ascii="Times New Roman" w:eastAsia="Times New Roman" w:hAnsi="Times New Roman" w:cs="Times New Roman"/>
          <w:sz w:val="28"/>
          <w:szCs w:val="28"/>
        </w:rPr>
      </w:pPr>
    </w:p>
    <w:p w14:paraId="182B47A3" w14:textId="4A5E332E"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16. Визначення базової стратегії конкурентної поведінки</w:t>
      </w:r>
    </w:p>
    <w:tbl>
      <w:tblPr>
        <w:tblW w:w="10165" w:type="dxa"/>
        <w:tblBorders>
          <w:top w:val="nil"/>
          <w:left w:val="nil"/>
          <w:bottom w:val="nil"/>
          <w:right w:val="nil"/>
          <w:insideH w:val="nil"/>
          <w:insideV w:val="nil"/>
        </w:tblBorders>
        <w:tblLayout w:type="fixed"/>
        <w:tblLook w:val="0600" w:firstRow="0" w:lastRow="0" w:firstColumn="0" w:lastColumn="0" w:noHBand="1" w:noVBand="1"/>
      </w:tblPr>
      <w:tblGrid>
        <w:gridCol w:w="585"/>
        <w:gridCol w:w="2350"/>
        <w:gridCol w:w="2552"/>
        <w:gridCol w:w="2835"/>
        <w:gridCol w:w="1843"/>
      </w:tblGrid>
      <w:tr w:rsidR="000B7051" w:rsidRPr="00AC33A5" w14:paraId="4690C829" w14:textId="77777777" w:rsidTr="009539E6">
        <w:trPr>
          <w:trHeight w:val="1875"/>
        </w:trPr>
        <w:tc>
          <w:tcPr>
            <w:tcW w:w="58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4F67F0E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35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6192EDE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Чи є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 xml:space="preserve">кт «першопрохідцем» </w:t>
            </w:r>
          </w:p>
          <w:p w14:paraId="5CBE3C3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на  ринку?</w:t>
            </w:r>
          </w:p>
        </w:tc>
        <w:tc>
          <w:tcPr>
            <w:tcW w:w="2552"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9180C4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Чи буде компанія  шукати нових </w:t>
            </w:r>
          </w:p>
          <w:p w14:paraId="7A9AD50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споживачів, або забирати </w:t>
            </w:r>
          </w:p>
          <w:p w14:paraId="20EB6F5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існуючих у  конкурентів?</w:t>
            </w:r>
          </w:p>
        </w:tc>
        <w:tc>
          <w:tcPr>
            <w:tcW w:w="283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31A675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Чи буде компанія  копіювати основні </w:t>
            </w:r>
          </w:p>
          <w:p w14:paraId="26FB6A8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характеристики  товару конкурента, </w:t>
            </w:r>
          </w:p>
          <w:p w14:paraId="16332C9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 які?</w:t>
            </w:r>
          </w:p>
        </w:tc>
        <w:tc>
          <w:tcPr>
            <w:tcW w:w="1843"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4442826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Стратегія конкурентної поведінки</w:t>
            </w:r>
          </w:p>
        </w:tc>
      </w:tr>
      <w:tr w:rsidR="000B7051" w:rsidRPr="00AC33A5" w14:paraId="0E92437B" w14:textId="77777777" w:rsidTr="009539E6">
        <w:trPr>
          <w:trHeight w:val="3600"/>
        </w:trPr>
        <w:tc>
          <w:tcPr>
            <w:tcW w:w="58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B5BAF9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350" w:type="dxa"/>
            <w:tcBorders>
              <w:top w:val="nil"/>
              <w:left w:val="nil"/>
              <w:bottom w:val="single" w:sz="5" w:space="0" w:color="000000"/>
              <w:right w:val="single" w:sz="5" w:space="0" w:color="000000"/>
            </w:tcBorders>
            <w:tcMar>
              <w:top w:w="0" w:type="dxa"/>
              <w:left w:w="100" w:type="dxa"/>
              <w:bottom w:w="0" w:type="dxa"/>
              <w:right w:w="100" w:type="dxa"/>
            </w:tcMar>
          </w:tcPr>
          <w:p w14:paraId="476B7CB5" w14:textId="77777777" w:rsidR="000B7051" w:rsidRPr="00AC33A5" w:rsidRDefault="000B7051" w:rsidP="009F254C">
            <w:pPr>
              <w:spacing w:after="0" w:line="240" w:lineRule="auto"/>
              <w:ind w:left="-40"/>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Якщо розглядати поєднання різного виду послуг в одну, то так, проєкт є першопрохідцем</w:t>
            </w:r>
          </w:p>
        </w:tc>
        <w:tc>
          <w:tcPr>
            <w:tcW w:w="2552" w:type="dxa"/>
            <w:tcBorders>
              <w:top w:val="nil"/>
              <w:left w:val="nil"/>
              <w:bottom w:val="single" w:sz="5" w:space="0" w:color="000000"/>
              <w:right w:val="single" w:sz="5" w:space="0" w:color="000000"/>
            </w:tcBorders>
            <w:tcMar>
              <w:top w:w="0" w:type="dxa"/>
              <w:left w:w="100" w:type="dxa"/>
              <w:bottom w:w="0" w:type="dxa"/>
              <w:right w:w="100" w:type="dxa"/>
            </w:tcMar>
          </w:tcPr>
          <w:p w14:paraId="019C119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Компанія перш за все спробує забрати існуючих споживачів у конкурентів, а другим пріоритетом – шукати нових</w:t>
            </w:r>
          </w:p>
        </w:tc>
        <w:tc>
          <w:tcPr>
            <w:tcW w:w="2835" w:type="dxa"/>
            <w:tcBorders>
              <w:top w:val="nil"/>
              <w:left w:val="nil"/>
              <w:bottom w:val="single" w:sz="5" w:space="0" w:color="000000"/>
              <w:right w:val="single" w:sz="5" w:space="0" w:color="000000"/>
            </w:tcBorders>
            <w:tcMar>
              <w:top w:w="0" w:type="dxa"/>
              <w:left w:w="100" w:type="dxa"/>
              <w:bottom w:w="0" w:type="dxa"/>
              <w:right w:w="100" w:type="dxa"/>
            </w:tcMar>
          </w:tcPr>
          <w:p w14:paraId="5B5B553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Як розглядалась в попередніх роботах, планується виокремити частину рішень у конкурентів на світовому ринку та адаптувати до українських особливостей. Такими характеристиками можуть бути – управління екологічними аспектами, управління обладнанням на основі моделювання, формування звітності за нефінансовими показниками, взаємодія з стейкхолдерами</w:t>
            </w:r>
          </w:p>
        </w:tc>
        <w:tc>
          <w:tcPr>
            <w:tcW w:w="1843" w:type="dxa"/>
            <w:tcBorders>
              <w:top w:val="nil"/>
              <w:left w:val="nil"/>
              <w:bottom w:val="single" w:sz="5" w:space="0" w:color="000000"/>
              <w:right w:val="single" w:sz="5" w:space="0" w:color="000000"/>
            </w:tcBorders>
            <w:tcMar>
              <w:top w:w="0" w:type="dxa"/>
              <w:left w:w="100" w:type="dxa"/>
              <w:bottom w:w="0" w:type="dxa"/>
              <w:right w:w="100" w:type="dxa"/>
            </w:tcMar>
          </w:tcPr>
          <w:p w14:paraId="59E057B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Стратегія заняття конкурентної ніші</w:t>
            </w:r>
          </w:p>
        </w:tc>
      </w:tr>
    </w:tbl>
    <w:p w14:paraId="2B0B4D28" w14:textId="77777777" w:rsidR="009539E6" w:rsidRDefault="009539E6">
      <w:pPr>
        <w:rPr>
          <w:rFonts w:ascii="Times New Roman" w:eastAsia="Times New Roman" w:hAnsi="Times New Roman" w:cs="Times New Roman"/>
          <w:sz w:val="28"/>
          <w:szCs w:val="28"/>
        </w:rPr>
      </w:pPr>
    </w:p>
    <w:p w14:paraId="7635BFE0" w14:textId="6B9BCA2D" w:rsidR="00707E82" w:rsidRDefault="00707E82">
      <w:pPr>
        <w:rPr>
          <w:rFonts w:ascii="Times New Roman" w:eastAsia="Times New Roman" w:hAnsi="Times New Roman" w:cs="Times New Roman"/>
          <w:sz w:val="28"/>
          <w:szCs w:val="28"/>
        </w:rPr>
      </w:pPr>
    </w:p>
    <w:p w14:paraId="7C37DD06" w14:textId="189DBBAE"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17. Визначення стратегії позиціонування</w:t>
      </w:r>
    </w:p>
    <w:tbl>
      <w:tblPr>
        <w:tblW w:w="9882" w:type="dxa"/>
        <w:tblBorders>
          <w:top w:val="nil"/>
          <w:left w:val="nil"/>
          <w:bottom w:val="nil"/>
          <w:right w:val="nil"/>
          <w:insideH w:val="nil"/>
          <w:insideV w:val="nil"/>
        </w:tblBorders>
        <w:tblLayout w:type="fixed"/>
        <w:tblLook w:val="0600" w:firstRow="0" w:lastRow="0" w:firstColumn="0" w:lastColumn="0" w:noHBand="1" w:noVBand="1"/>
      </w:tblPr>
      <w:tblGrid>
        <w:gridCol w:w="581"/>
        <w:gridCol w:w="2496"/>
        <w:gridCol w:w="1418"/>
        <w:gridCol w:w="2693"/>
        <w:gridCol w:w="2694"/>
      </w:tblGrid>
      <w:tr w:rsidR="000B7051" w:rsidRPr="00AC33A5" w14:paraId="2A0D22C3" w14:textId="77777777" w:rsidTr="009539E6">
        <w:trPr>
          <w:trHeight w:val="1320"/>
        </w:trPr>
        <w:tc>
          <w:tcPr>
            <w:tcW w:w="581"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06271BD4"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496"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563562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Вимоги до  товару цільової  аудиторії</w:t>
            </w:r>
          </w:p>
        </w:tc>
        <w:tc>
          <w:tcPr>
            <w:tcW w:w="1418"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6EEDE51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Базова  стратегія  розвитку</w:t>
            </w:r>
          </w:p>
        </w:tc>
        <w:tc>
          <w:tcPr>
            <w:tcW w:w="2693"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377AC760"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Ключові конкурентоспроможні позиції  власного стартап‐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w:t>
            </w:r>
          </w:p>
        </w:tc>
        <w:tc>
          <w:tcPr>
            <w:tcW w:w="269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C3F78E0"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Вибір асоціацій, які мають сформувати  комплексну позицію  власного про</w:t>
            </w:r>
            <w:r>
              <w:rPr>
                <w:rFonts w:ascii="Times New Roman" w:eastAsia="Times New Roman" w:hAnsi="Times New Roman" w:cs="Times New Roman"/>
                <w:sz w:val="28"/>
                <w:szCs w:val="28"/>
              </w:rPr>
              <w:t>є</w:t>
            </w:r>
            <w:r w:rsidRPr="00AC33A5">
              <w:rPr>
                <w:rFonts w:ascii="Times New Roman" w:eastAsia="Times New Roman" w:hAnsi="Times New Roman" w:cs="Times New Roman"/>
                <w:sz w:val="28"/>
                <w:szCs w:val="28"/>
              </w:rPr>
              <w:t>кту (три ключових)</w:t>
            </w:r>
          </w:p>
        </w:tc>
      </w:tr>
      <w:tr w:rsidR="000B7051" w:rsidRPr="00AC33A5" w14:paraId="1903E9DF" w14:textId="77777777" w:rsidTr="009539E6">
        <w:trPr>
          <w:trHeight w:val="3600"/>
        </w:trPr>
        <w:tc>
          <w:tcPr>
            <w:tcW w:w="581"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4FB503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496" w:type="dxa"/>
            <w:tcBorders>
              <w:top w:val="nil"/>
              <w:left w:val="nil"/>
              <w:bottom w:val="single" w:sz="5" w:space="0" w:color="000000"/>
              <w:right w:val="single" w:sz="5" w:space="0" w:color="000000"/>
            </w:tcBorders>
            <w:tcMar>
              <w:top w:w="0" w:type="dxa"/>
              <w:left w:w="100" w:type="dxa"/>
              <w:bottom w:w="0" w:type="dxa"/>
              <w:right w:w="100" w:type="dxa"/>
            </w:tcMar>
          </w:tcPr>
          <w:p w14:paraId="4840D20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Впровадження продукту дозволяє зробити діяльність надрокористувача більш керованою, ефективною за рахунок прийняття рішень, які мають точні прорахунки, витрати на додаткові заходи швидко окупаються, наявність продукту покращує репутацію за рахунок високих стандартів, які покладає на споживача застосування продукту</w:t>
            </w:r>
          </w:p>
        </w:tc>
        <w:tc>
          <w:tcPr>
            <w:tcW w:w="1418" w:type="dxa"/>
            <w:tcBorders>
              <w:top w:val="nil"/>
              <w:left w:val="nil"/>
              <w:bottom w:val="single" w:sz="5" w:space="0" w:color="000000"/>
              <w:right w:val="single" w:sz="5" w:space="0" w:color="000000"/>
            </w:tcBorders>
            <w:tcMar>
              <w:top w:w="0" w:type="dxa"/>
              <w:left w:w="100" w:type="dxa"/>
              <w:bottom w:w="0" w:type="dxa"/>
              <w:right w:w="100" w:type="dxa"/>
            </w:tcMar>
          </w:tcPr>
          <w:p w14:paraId="79C62909" w14:textId="52A80799"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Стратегія дифе</w:t>
            </w:r>
            <w:r w:rsidR="009539E6">
              <w:rPr>
                <w:rFonts w:ascii="Times New Roman" w:eastAsia="Times New Roman" w:hAnsi="Times New Roman" w:cs="Times New Roman"/>
                <w:sz w:val="28"/>
                <w:szCs w:val="28"/>
              </w:rPr>
              <w:t>-</w:t>
            </w:r>
            <w:r w:rsidRPr="00AC33A5">
              <w:rPr>
                <w:rFonts w:ascii="Times New Roman" w:eastAsia="Times New Roman" w:hAnsi="Times New Roman" w:cs="Times New Roman"/>
                <w:sz w:val="28"/>
                <w:szCs w:val="28"/>
              </w:rPr>
              <w:t>ренціації</w:t>
            </w:r>
          </w:p>
        </w:tc>
        <w:tc>
          <w:tcPr>
            <w:tcW w:w="2693" w:type="dxa"/>
            <w:tcBorders>
              <w:top w:val="nil"/>
              <w:left w:val="nil"/>
              <w:bottom w:val="single" w:sz="5" w:space="0" w:color="000000"/>
              <w:right w:val="single" w:sz="5" w:space="0" w:color="000000"/>
            </w:tcBorders>
            <w:tcMar>
              <w:top w:w="0" w:type="dxa"/>
              <w:left w:w="100" w:type="dxa"/>
              <w:bottom w:w="0" w:type="dxa"/>
              <w:right w:w="100" w:type="dxa"/>
            </w:tcMar>
          </w:tcPr>
          <w:p w14:paraId="42213DF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Новий продукт, який містить унікальне міжгалузеве поєднання</w:t>
            </w:r>
            <w:r>
              <w:rPr>
                <w:rFonts w:ascii="Times New Roman" w:eastAsia="Times New Roman" w:hAnsi="Times New Roman" w:cs="Times New Roman"/>
                <w:sz w:val="28"/>
                <w:szCs w:val="28"/>
              </w:rPr>
              <w:t>,</w:t>
            </w:r>
          </w:p>
          <w:p w14:paraId="10525A8A" w14:textId="77777777" w:rsidR="000B7051" w:rsidRPr="00AC33A5" w:rsidRDefault="000B7051" w:rsidP="009F254C">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AC33A5">
              <w:rPr>
                <w:rFonts w:ascii="Times New Roman" w:eastAsia="Times New Roman" w:hAnsi="Times New Roman" w:cs="Times New Roman"/>
                <w:sz w:val="28"/>
                <w:szCs w:val="28"/>
              </w:rPr>
              <w:t>рахування розвитку цифрових технологій при його створенні</w:t>
            </w:r>
          </w:p>
          <w:p w14:paraId="426809A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Врахування міжнародних стандартів діяльності в галузі надрокористування</w:t>
            </w:r>
          </w:p>
        </w:tc>
        <w:tc>
          <w:tcPr>
            <w:tcW w:w="2694" w:type="dxa"/>
            <w:tcBorders>
              <w:top w:val="nil"/>
              <w:left w:val="nil"/>
              <w:bottom w:val="single" w:sz="5" w:space="0" w:color="000000"/>
              <w:right w:val="single" w:sz="5" w:space="0" w:color="000000"/>
            </w:tcBorders>
            <w:tcMar>
              <w:top w:w="0" w:type="dxa"/>
              <w:left w:w="100" w:type="dxa"/>
              <w:bottom w:w="0" w:type="dxa"/>
              <w:right w:w="100" w:type="dxa"/>
            </w:tcMar>
          </w:tcPr>
          <w:p w14:paraId="2C46CA8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Відповідальне надрокористування</w:t>
            </w:r>
          </w:p>
          <w:p w14:paraId="32D51AE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Сталий розвиток</w:t>
            </w:r>
          </w:p>
          <w:p w14:paraId="3475D2A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Чесні правила – несприйняття корупції</w:t>
            </w:r>
          </w:p>
          <w:p w14:paraId="272030F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r>
    </w:tbl>
    <w:p w14:paraId="462FDDF0" w14:textId="77777777" w:rsidR="000B7051" w:rsidRDefault="000B7051" w:rsidP="000B7051">
      <w:pPr>
        <w:spacing w:after="0" w:line="360" w:lineRule="auto"/>
        <w:rPr>
          <w:rFonts w:ascii="Times New Roman" w:eastAsia="Times New Roman" w:hAnsi="Times New Roman" w:cs="Times New Roman"/>
          <w:sz w:val="28"/>
          <w:szCs w:val="28"/>
        </w:rPr>
      </w:pPr>
    </w:p>
    <w:p w14:paraId="13385E1D" w14:textId="77777777" w:rsidR="009539E6" w:rsidRDefault="009539E6">
      <w:pPr>
        <w:rPr>
          <w:rFonts w:ascii="Times New Roman" w:eastAsia="Times New Roman" w:hAnsi="Times New Roman" w:cs="Times New Roman"/>
          <w:sz w:val="28"/>
          <w:szCs w:val="28"/>
        </w:rPr>
      </w:pPr>
    </w:p>
    <w:p w14:paraId="7151DC81" w14:textId="77777777" w:rsidR="009F254C" w:rsidRDefault="009F254C">
      <w:pPr>
        <w:rPr>
          <w:rFonts w:ascii="Times New Roman" w:eastAsia="Times New Roman" w:hAnsi="Times New Roman" w:cs="Times New Roman"/>
          <w:b/>
          <w:sz w:val="28"/>
          <w:szCs w:val="28"/>
        </w:rPr>
      </w:pPr>
      <w:bookmarkStart w:id="34" w:name="_Toc155658278"/>
      <w:r>
        <w:rPr>
          <w:rFonts w:ascii="Times New Roman" w:eastAsia="Times New Roman" w:hAnsi="Times New Roman" w:cs="Times New Roman"/>
          <w:sz w:val="28"/>
          <w:szCs w:val="28"/>
        </w:rPr>
        <w:br w:type="page"/>
      </w:r>
    </w:p>
    <w:p w14:paraId="3562166E" w14:textId="0FE578A4" w:rsidR="000B7051" w:rsidRDefault="000B7051" w:rsidP="00707E82">
      <w:pPr>
        <w:pStyle w:val="2"/>
        <w:keepNext w:val="0"/>
        <w:keepLines w:val="0"/>
        <w:numPr>
          <w:ilvl w:val="1"/>
          <w:numId w:val="8"/>
        </w:numPr>
        <w:spacing w:before="0" w:after="0" w:line="360" w:lineRule="auto"/>
        <w:jc w:val="both"/>
        <w:rPr>
          <w:rFonts w:ascii="Times New Roman" w:eastAsia="Times New Roman" w:hAnsi="Times New Roman" w:cs="Times New Roman"/>
          <w:sz w:val="28"/>
          <w:szCs w:val="28"/>
        </w:rPr>
      </w:pPr>
      <w:r w:rsidRPr="00FA1668">
        <w:rPr>
          <w:rFonts w:ascii="Times New Roman" w:eastAsia="Times New Roman" w:hAnsi="Times New Roman" w:cs="Times New Roman"/>
          <w:sz w:val="28"/>
          <w:szCs w:val="28"/>
        </w:rPr>
        <w:lastRenderedPageBreak/>
        <w:t>Розроблення</w:t>
      </w:r>
      <w:r w:rsidR="00707E82">
        <w:rPr>
          <w:rFonts w:ascii="Times New Roman" w:eastAsia="Times New Roman" w:hAnsi="Times New Roman" w:cs="Times New Roman"/>
          <w:sz w:val="28"/>
          <w:szCs w:val="28"/>
        </w:rPr>
        <w:t> маркетингової програми стартап</w:t>
      </w:r>
      <w:r>
        <w:rPr>
          <w:rFonts w:ascii="Times New Roman" w:eastAsia="Times New Roman" w:hAnsi="Times New Roman" w:cs="Times New Roman"/>
          <w:sz w:val="28"/>
          <w:szCs w:val="28"/>
        </w:rPr>
        <w:t xml:space="preserve"> </w:t>
      </w:r>
      <w:r w:rsidRPr="00FA1668">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є</w:t>
      </w:r>
      <w:r w:rsidRPr="00FA1668">
        <w:rPr>
          <w:rFonts w:ascii="Times New Roman" w:eastAsia="Times New Roman" w:hAnsi="Times New Roman" w:cs="Times New Roman"/>
          <w:sz w:val="28"/>
          <w:szCs w:val="28"/>
        </w:rPr>
        <w:t>кту</w:t>
      </w:r>
      <w:bookmarkEnd w:id="34"/>
      <w:r w:rsidRPr="00FA1668">
        <w:rPr>
          <w:rFonts w:ascii="Times New Roman" w:eastAsia="Times New Roman" w:hAnsi="Times New Roman" w:cs="Times New Roman"/>
          <w:sz w:val="28"/>
          <w:szCs w:val="28"/>
        </w:rPr>
        <w:t> </w:t>
      </w:r>
    </w:p>
    <w:p w14:paraId="0F03566D" w14:textId="77777777" w:rsidR="000B7051" w:rsidRDefault="000B7051" w:rsidP="000B7051">
      <w:pPr>
        <w:spacing w:after="0" w:line="360" w:lineRule="auto"/>
        <w:rPr>
          <w:rFonts w:ascii="Times New Roman" w:eastAsia="Times New Roman" w:hAnsi="Times New Roman" w:cs="Times New Roman"/>
          <w:sz w:val="28"/>
          <w:szCs w:val="28"/>
        </w:rPr>
      </w:pPr>
    </w:p>
    <w:p w14:paraId="0E174C9F" w14:textId="77777777"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18. Визначення ключових переваг концепції потенційного товару</w:t>
      </w:r>
    </w:p>
    <w:tbl>
      <w:tblPr>
        <w:tblW w:w="9739" w:type="dxa"/>
        <w:tblBorders>
          <w:top w:val="nil"/>
          <w:left w:val="nil"/>
          <w:bottom w:val="nil"/>
          <w:right w:val="nil"/>
          <w:insideH w:val="nil"/>
          <w:insideV w:val="nil"/>
        </w:tblBorders>
        <w:tblLayout w:type="fixed"/>
        <w:tblLook w:val="0600" w:firstRow="0" w:lastRow="0" w:firstColumn="0" w:lastColumn="0" w:noHBand="1" w:noVBand="1"/>
      </w:tblPr>
      <w:tblGrid>
        <w:gridCol w:w="618"/>
        <w:gridCol w:w="2884"/>
        <w:gridCol w:w="2977"/>
        <w:gridCol w:w="3260"/>
      </w:tblGrid>
      <w:tr w:rsidR="000B7051" w:rsidRPr="00AC33A5" w14:paraId="1AB6F489" w14:textId="77777777" w:rsidTr="009539E6">
        <w:trPr>
          <w:trHeight w:val="810"/>
        </w:trPr>
        <w:tc>
          <w:tcPr>
            <w:tcW w:w="618"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2EE32C0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88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5C1BFDB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Потреба</w:t>
            </w:r>
          </w:p>
        </w:tc>
        <w:tc>
          <w:tcPr>
            <w:tcW w:w="2977"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38E0A5F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Вигода, яку пропонує товар</w:t>
            </w:r>
          </w:p>
        </w:tc>
        <w:tc>
          <w:tcPr>
            <w:tcW w:w="326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1D4C3B8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Ключові переваги перед конкурентами </w:t>
            </w:r>
          </w:p>
          <w:p w14:paraId="10940CA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(існуючі  або такі, що потрібно створити)</w:t>
            </w:r>
          </w:p>
        </w:tc>
      </w:tr>
      <w:tr w:rsidR="000B7051" w:rsidRPr="00AC33A5" w14:paraId="12389D57" w14:textId="77777777" w:rsidTr="009539E6">
        <w:trPr>
          <w:trHeight w:val="840"/>
        </w:trPr>
        <w:tc>
          <w:tcPr>
            <w:tcW w:w="618"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7CFDB4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884" w:type="dxa"/>
            <w:tcBorders>
              <w:top w:val="nil"/>
              <w:left w:val="nil"/>
              <w:bottom w:val="single" w:sz="5" w:space="0" w:color="000000"/>
              <w:right w:val="single" w:sz="5" w:space="0" w:color="000000"/>
            </w:tcBorders>
            <w:tcMar>
              <w:top w:w="0" w:type="dxa"/>
              <w:left w:w="100" w:type="dxa"/>
              <w:bottom w:w="0" w:type="dxa"/>
              <w:right w:w="100" w:type="dxa"/>
            </w:tcMar>
          </w:tcPr>
          <w:p w14:paraId="7C1BEC6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Дотримання законодавства при провадженні діяльності</w:t>
            </w:r>
          </w:p>
        </w:tc>
        <w:tc>
          <w:tcPr>
            <w:tcW w:w="2977" w:type="dxa"/>
            <w:tcBorders>
              <w:top w:val="nil"/>
              <w:left w:val="nil"/>
              <w:bottom w:val="single" w:sz="5" w:space="0" w:color="000000"/>
              <w:right w:val="single" w:sz="5" w:space="0" w:color="000000"/>
            </w:tcBorders>
            <w:tcMar>
              <w:top w:w="0" w:type="dxa"/>
              <w:left w:w="100" w:type="dxa"/>
              <w:bottom w:w="0" w:type="dxa"/>
              <w:right w:w="100" w:type="dxa"/>
            </w:tcMar>
          </w:tcPr>
          <w:p w14:paraId="56496C3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Визначення переліку вимог та їх стандартизація</w:t>
            </w:r>
          </w:p>
        </w:tc>
        <w:tc>
          <w:tcPr>
            <w:tcW w:w="3260" w:type="dxa"/>
            <w:tcBorders>
              <w:top w:val="nil"/>
              <w:left w:val="nil"/>
              <w:bottom w:val="single" w:sz="5" w:space="0" w:color="000000"/>
              <w:right w:val="single" w:sz="5" w:space="0" w:color="000000"/>
            </w:tcBorders>
            <w:tcMar>
              <w:top w:w="0" w:type="dxa"/>
              <w:left w:w="100" w:type="dxa"/>
              <w:bottom w:w="0" w:type="dxa"/>
              <w:right w:w="100" w:type="dxa"/>
            </w:tcMar>
          </w:tcPr>
          <w:p w14:paraId="59C91507" w14:textId="49BEF83C" w:rsidR="000B7051" w:rsidRPr="00AC33A5" w:rsidRDefault="00707E82" w:rsidP="009F254C">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Враховуються вимоги різних г</w:t>
            </w:r>
            <w:r w:rsidR="000B7051" w:rsidRPr="00AC33A5">
              <w:rPr>
                <w:rFonts w:ascii="Times New Roman" w:eastAsia="Times New Roman" w:hAnsi="Times New Roman" w:cs="Times New Roman"/>
                <w:sz w:val="28"/>
                <w:szCs w:val="28"/>
              </w:rPr>
              <w:t>алузей та поєднуються в єдине рішення для конкретного надрокористувача</w:t>
            </w:r>
          </w:p>
        </w:tc>
      </w:tr>
      <w:tr w:rsidR="000B7051" w:rsidRPr="00AC33A5" w14:paraId="02C3ED53" w14:textId="77777777" w:rsidTr="009539E6">
        <w:trPr>
          <w:trHeight w:val="840"/>
        </w:trPr>
        <w:tc>
          <w:tcPr>
            <w:tcW w:w="618"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0F8C66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w:t>
            </w:r>
          </w:p>
        </w:tc>
        <w:tc>
          <w:tcPr>
            <w:tcW w:w="2884" w:type="dxa"/>
            <w:tcBorders>
              <w:top w:val="nil"/>
              <w:left w:val="nil"/>
              <w:bottom w:val="single" w:sz="5" w:space="0" w:color="000000"/>
              <w:right w:val="single" w:sz="5" w:space="0" w:color="000000"/>
            </w:tcBorders>
            <w:tcMar>
              <w:top w:w="0" w:type="dxa"/>
              <w:left w:w="100" w:type="dxa"/>
              <w:bottom w:w="0" w:type="dxa"/>
              <w:right w:w="100" w:type="dxa"/>
            </w:tcMar>
          </w:tcPr>
          <w:p w14:paraId="02DF64C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Впровадження цифрових технологій в видобувну діяльність</w:t>
            </w:r>
          </w:p>
        </w:tc>
        <w:tc>
          <w:tcPr>
            <w:tcW w:w="2977" w:type="dxa"/>
            <w:tcBorders>
              <w:top w:val="nil"/>
              <w:left w:val="nil"/>
              <w:bottom w:val="single" w:sz="5" w:space="0" w:color="000000"/>
              <w:right w:val="single" w:sz="5" w:space="0" w:color="000000"/>
            </w:tcBorders>
            <w:tcMar>
              <w:top w:w="0" w:type="dxa"/>
              <w:left w:w="100" w:type="dxa"/>
              <w:bottom w:w="0" w:type="dxa"/>
              <w:right w:w="100" w:type="dxa"/>
            </w:tcMar>
          </w:tcPr>
          <w:p w14:paraId="4F2A3BE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Оцифровізація процесів, поєднання даних, можливість моделювання</w:t>
            </w:r>
          </w:p>
        </w:tc>
        <w:tc>
          <w:tcPr>
            <w:tcW w:w="3260" w:type="dxa"/>
            <w:tcBorders>
              <w:top w:val="nil"/>
              <w:left w:val="nil"/>
              <w:bottom w:val="single" w:sz="5" w:space="0" w:color="000000"/>
              <w:right w:val="single" w:sz="5" w:space="0" w:color="000000"/>
            </w:tcBorders>
            <w:tcMar>
              <w:top w:w="0" w:type="dxa"/>
              <w:left w:w="100" w:type="dxa"/>
              <w:bottom w:w="0" w:type="dxa"/>
              <w:right w:w="100" w:type="dxa"/>
            </w:tcMar>
          </w:tcPr>
          <w:p w14:paraId="2249C2D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Пропонуються не технічні, а технологічні рішення, які мають прогнозований та прорахований вплив</w:t>
            </w:r>
          </w:p>
        </w:tc>
      </w:tr>
      <w:tr w:rsidR="000B7051" w:rsidRPr="00AC33A5" w14:paraId="5D5CEF8A" w14:textId="77777777" w:rsidTr="009539E6">
        <w:trPr>
          <w:trHeight w:val="1395"/>
        </w:trPr>
        <w:tc>
          <w:tcPr>
            <w:tcW w:w="618"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174465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w:t>
            </w:r>
          </w:p>
        </w:tc>
        <w:tc>
          <w:tcPr>
            <w:tcW w:w="2884" w:type="dxa"/>
            <w:tcBorders>
              <w:top w:val="nil"/>
              <w:left w:val="nil"/>
              <w:bottom w:val="single" w:sz="5" w:space="0" w:color="000000"/>
              <w:right w:val="single" w:sz="5" w:space="0" w:color="000000"/>
            </w:tcBorders>
            <w:tcMar>
              <w:top w:w="0" w:type="dxa"/>
              <w:left w:w="100" w:type="dxa"/>
              <w:bottom w:w="0" w:type="dxa"/>
              <w:right w:w="100" w:type="dxa"/>
            </w:tcMar>
          </w:tcPr>
          <w:p w14:paraId="54BC6D5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Діяльність, яка базується не тільки на українських вимогах, а враховує міжнародний рівень розвитку</w:t>
            </w:r>
          </w:p>
        </w:tc>
        <w:tc>
          <w:tcPr>
            <w:tcW w:w="2977" w:type="dxa"/>
            <w:tcBorders>
              <w:top w:val="nil"/>
              <w:left w:val="nil"/>
              <w:bottom w:val="single" w:sz="5" w:space="0" w:color="000000"/>
              <w:right w:val="single" w:sz="5" w:space="0" w:color="000000"/>
            </w:tcBorders>
            <w:tcMar>
              <w:top w:w="0" w:type="dxa"/>
              <w:left w:w="100" w:type="dxa"/>
              <w:bottom w:w="0" w:type="dxa"/>
              <w:right w:w="100" w:type="dxa"/>
            </w:tcMar>
          </w:tcPr>
          <w:p w14:paraId="5BBBE11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 рішеннях пропонується дотримання міжнародних визнаних стандартів та кращих практик</w:t>
            </w:r>
          </w:p>
        </w:tc>
        <w:tc>
          <w:tcPr>
            <w:tcW w:w="3260" w:type="dxa"/>
            <w:tcBorders>
              <w:top w:val="nil"/>
              <w:left w:val="nil"/>
              <w:bottom w:val="single" w:sz="5" w:space="0" w:color="000000"/>
              <w:right w:val="single" w:sz="5" w:space="0" w:color="000000"/>
            </w:tcBorders>
            <w:tcMar>
              <w:top w:w="0" w:type="dxa"/>
              <w:left w:w="100" w:type="dxa"/>
              <w:bottom w:w="0" w:type="dxa"/>
              <w:right w:w="100" w:type="dxa"/>
            </w:tcMar>
          </w:tcPr>
          <w:p w14:paraId="51B6656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Пропонуються не локальні, а рішення за міжнародними стандартами</w:t>
            </w:r>
          </w:p>
        </w:tc>
      </w:tr>
      <w:tr w:rsidR="000B7051" w:rsidRPr="00AC33A5" w14:paraId="7DF4BC7B" w14:textId="77777777" w:rsidTr="009539E6">
        <w:trPr>
          <w:trHeight w:val="1395"/>
        </w:trPr>
        <w:tc>
          <w:tcPr>
            <w:tcW w:w="618"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15E7A24"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4</w:t>
            </w:r>
          </w:p>
        </w:tc>
        <w:tc>
          <w:tcPr>
            <w:tcW w:w="2884" w:type="dxa"/>
            <w:tcBorders>
              <w:top w:val="nil"/>
              <w:left w:val="nil"/>
              <w:bottom w:val="single" w:sz="5" w:space="0" w:color="000000"/>
              <w:right w:val="single" w:sz="5" w:space="0" w:color="000000"/>
            </w:tcBorders>
            <w:tcMar>
              <w:top w:w="0" w:type="dxa"/>
              <w:left w:w="100" w:type="dxa"/>
              <w:bottom w:w="0" w:type="dxa"/>
              <w:right w:w="100" w:type="dxa"/>
            </w:tcMar>
          </w:tcPr>
          <w:p w14:paraId="30809E5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Формування доброї репутації, яка може привабити інвестиції</w:t>
            </w:r>
          </w:p>
        </w:tc>
        <w:tc>
          <w:tcPr>
            <w:tcW w:w="2977" w:type="dxa"/>
            <w:tcBorders>
              <w:top w:val="nil"/>
              <w:left w:val="nil"/>
              <w:bottom w:val="single" w:sz="5" w:space="0" w:color="000000"/>
              <w:right w:val="single" w:sz="5" w:space="0" w:color="000000"/>
            </w:tcBorders>
            <w:tcMar>
              <w:top w:w="0" w:type="dxa"/>
              <w:left w:w="100" w:type="dxa"/>
              <w:bottom w:w="0" w:type="dxa"/>
              <w:right w:w="100" w:type="dxa"/>
            </w:tcMar>
          </w:tcPr>
          <w:p w14:paraId="5146E1E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Застосування продукту унормовує діяльність до міжнародних стандартів, розгляд в майбутньому питань залучення інвестиції не вимагає значних змін в діяльності</w:t>
            </w:r>
          </w:p>
        </w:tc>
        <w:tc>
          <w:tcPr>
            <w:tcW w:w="3260" w:type="dxa"/>
            <w:tcBorders>
              <w:top w:val="nil"/>
              <w:left w:val="nil"/>
              <w:bottom w:val="single" w:sz="5" w:space="0" w:color="000000"/>
              <w:right w:val="single" w:sz="5" w:space="0" w:color="000000"/>
            </w:tcBorders>
            <w:tcMar>
              <w:top w:w="0" w:type="dxa"/>
              <w:left w:w="100" w:type="dxa"/>
              <w:bottom w:w="0" w:type="dxa"/>
              <w:right w:w="100" w:type="dxa"/>
            </w:tcMar>
          </w:tcPr>
          <w:p w14:paraId="2754DED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 продукті враховані вимоги міжнародних фінансових установ</w:t>
            </w:r>
          </w:p>
        </w:tc>
      </w:tr>
      <w:tr w:rsidR="000B7051" w:rsidRPr="00AC33A5" w14:paraId="4F723E40" w14:textId="77777777" w:rsidTr="009539E6">
        <w:trPr>
          <w:trHeight w:val="840"/>
        </w:trPr>
        <w:tc>
          <w:tcPr>
            <w:tcW w:w="618"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0EFC29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5</w:t>
            </w:r>
          </w:p>
        </w:tc>
        <w:tc>
          <w:tcPr>
            <w:tcW w:w="2884" w:type="dxa"/>
            <w:tcBorders>
              <w:top w:val="nil"/>
              <w:left w:val="nil"/>
              <w:bottom w:val="single" w:sz="5" w:space="0" w:color="000000"/>
              <w:right w:val="single" w:sz="5" w:space="0" w:color="000000"/>
            </w:tcBorders>
            <w:tcMar>
              <w:top w:w="0" w:type="dxa"/>
              <w:left w:w="100" w:type="dxa"/>
              <w:bottom w:w="0" w:type="dxa"/>
              <w:right w:w="100" w:type="dxa"/>
            </w:tcMar>
          </w:tcPr>
          <w:p w14:paraId="79097AF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Діалог з стейкхолдерами (громади, суспільство)</w:t>
            </w:r>
          </w:p>
        </w:tc>
        <w:tc>
          <w:tcPr>
            <w:tcW w:w="2977" w:type="dxa"/>
            <w:tcBorders>
              <w:top w:val="nil"/>
              <w:left w:val="nil"/>
              <w:bottom w:val="single" w:sz="5" w:space="0" w:color="000000"/>
              <w:right w:val="single" w:sz="5" w:space="0" w:color="000000"/>
            </w:tcBorders>
            <w:tcMar>
              <w:top w:w="0" w:type="dxa"/>
              <w:left w:w="100" w:type="dxa"/>
              <w:bottom w:w="0" w:type="dxa"/>
              <w:right w:w="100" w:type="dxa"/>
            </w:tcMar>
          </w:tcPr>
          <w:p w14:paraId="7BBF3A9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Прозорість діяльності на рівні, який дозволяє відверто працювати з громадами, активістами, донорами, тощо</w:t>
            </w:r>
          </w:p>
        </w:tc>
        <w:tc>
          <w:tcPr>
            <w:tcW w:w="3260" w:type="dxa"/>
            <w:tcBorders>
              <w:top w:val="nil"/>
              <w:left w:val="nil"/>
              <w:bottom w:val="single" w:sz="5" w:space="0" w:color="000000"/>
              <w:right w:val="single" w:sz="5" w:space="0" w:color="000000"/>
            </w:tcBorders>
            <w:tcMar>
              <w:top w:w="0" w:type="dxa"/>
              <w:left w:w="100" w:type="dxa"/>
              <w:bottom w:w="0" w:type="dxa"/>
              <w:right w:w="100" w:type="dxa"/>
            </w:tcMar>
          </w:tcPr>
          <w:p w14:paraId="723752D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Вбудована можливість розкриття інформації для зацікавлених сторін</w:t>
            </w:r>
          </w:p>
        </w:tc>
      </w:tr>
    </w:tbl>
    <w:p w14:paraId="6CCAFAFC"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76DDFBA3" w14:textId="77777777" w:rsidR="009F254C" w:rsidRDefault="009F254C">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20B784D" w14:textId="602B4409"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Таблиця 19. Опис трьох рівнів моделі товару</w:t>
      </w:r>
    </w:p>
    <w:tbl>
      <w:tblPr>
        <w:tblW w:w="9739" w:type="dxa"/>
        <w:tblBorders>
          <w:top w:val="nil"/>
          <w:left w:val="nil"/>
          <w:bottom w:val="nil"/>
          <w:right w:val="nil"/>
          <w:insideH w:val="nil"/>
          <w:insideV w:val="nil"/>
        </w:tblBorders>
        <w:tblLayout w:type="fixed"/>
        <w:tblLook w:val="0600" w:firstRow="0" w:lastRow="0" w:firstColumn="0" w:lastColumn="0" w:noHBand="1" w:noVBand="1"/>
      </w:tblPr>
      <w:tblGrid>
        <w:gridCol w:w="2935"/>
        <w:gridCol w:w="4765"/>
        <w:gridCol w:w="885"/>
        <w:gridCol w:w="1154"/>
      </w:tblGrid>
      <w:tr w:rsidR="000B7051" w:rsidRPr="00AC33A5" w14:paraId="670ADC71" w14:textId="77777777" w:rsidTr="009539E6">
        <w:trPr>
          <w:trHeight w:val="285"/>
        </w:trPr>
        <w:tc>
          <w:tcPr>
            <w:tcW w:w="293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4D130B6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Рівні товару</w:t>
            </w:r>
          </w:p>
        </w:tc>
        <w:tc>
          <w:tcPr>
            <w:tcW w:w="6804" w:type="dxa"/>
            <w:gridSpan w:val="3"/>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6EA9115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Сутність та складові</w:t>
            </w:r>
          </w:p>
        </w:tc>
      </w:tr>
      <w:tr w:rsidR="000B7051" w:rsidRPr="00AC33A5" w14:paraId="61989AFF" w14:textId="77777777" w:rsidTr="009539E6">
        <w:trPr>
          <w:trHeight w:val="1429"/>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26B7D0E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 Товар за задумом</w:t>
            </w:r>
          </w:p>
        </w:tc>
        <w:tc>
          <w:tcPr>
            <w:tcW w:w="6804" w:type="dxa"/>
            <w:gridSpan w:val="3"/>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4D6702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Програмне забезпечення для об’єднання всіх аспектів  в діяльності видобувних підприємств (відкритий кар’єр) та підготовки звітності у органи статистики, НКЦПФР, Геонадрам, інвесторам, виявлення та управління неефективностями та ризиками  </w:t>
            </w:r>
          </w:p>
        </w:tc>
      </w:tr>
      <w:tr w:rsidR="000B7051" w:rsidRPr="00AC33A5" w14:paraId="5D5BD8B8" w14:textId="77777777" w:rsidTr="009539E6">
        <w:trPr>
          <w:trHeight w:val="570"/>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367F0FF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ІІ. Товар у реальному виконанні</w:t>
            </w:r>
          </w:p>
        </w:tc>
        <w:tc>
          <w:tcPr>
            <w:tcW w:w="476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3943CB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Властивості/характеристики</w:t>
            </w:r>
          </w:p>
        </w:tc>
        <w:tc>
          <w:tcPr>
            <w:tcW w:w="88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8EA04F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М/Нм</w:t>
            </w:r>
          </w:p>
        </w:tc>
        <w:tc>
          <w:tcPr>
            <w:tcW w:w="115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4CDFC7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Вр/Тх /Тл/Е/Ор</w:t>
            </w:r>
          </w:p>
        </w:tc>
      </w:tr>
      <w:tr w:rsidR="000B7051" w:rsidRPr="00AC33A5" w14:paraId="0AE4BFD3" w14:textId="77777777" w:rsidTr="009539E6">
        <w:trPr>
          <w:trHeight w:val="570"/>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2795E31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476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C3681F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 Програмне забезпечення</w:t>
            </w:r>
          </w:p>
        </w:tc>
        <w:tc>
          <w:tcPr>
            <w:tcW w:w="88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2249D9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115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1BDD6C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Вартісне/технологічне</w:t>
            </w:r>
          </w:p>
        </w:tc>
      </w:tr>
      <w:tr w:rsidR="000B7051" w:rsidRPr="00AC33A5" w14:paraId="5ED70003" w14:textId="77777777" w:rsidTr="009539E6">
        <w:trPr>
          <w:trHeight w:val="570"/>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049FB1F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476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D7BCA17"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2 покриття законодавчих вимог</w:t>
            </w:r>
          </w:p>
        </w:tc>
        <w:tc>
          <w:tcPr>
            <w:tcW w:w="88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104C16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115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E7B64C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Вартісне/технічне</w:t>
            </w:r>
          </w:p>
        </w:tc>
      </w:tr>
      <w:tr w:rsidR="000B7051" w:rsidRPr="00AC33A5" w14:paraId="40A414A5" w14:textId="77777777" w:rsidTr="009539E6">
        <w:trPr>
          <w:trHeight w:val="570"/>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7928508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476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AA611E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3 діяльність за SDG</w:t>
            </w:r>
          </w:p>
        </w:tc>
        <w:tc>
          <w:tcPr>
            <w:tcW w:w="88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00A84A4"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115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5E8F75B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Технічне/технологічне</w:t>
            </w:r>
          </w:p>
        </w:tc>
      </w:tr>
      <w:tr w:rsidR="000B7051" w:rsidRPr="00AC33A5" w14:paraId="79518187" w14:textId="77777777" w:rsidTr="009539E6">
        <w:trPr>
          <w:trHeight w:val="285"/>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71B8E0F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6804" w:type="dxa"/>
            <w:gridSpan w:val="3"/>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5C9C756B" w14:textId="77777777" w:rsidR="000B7051" w:rsidRPr="00AC33A5" w:rsidRDefault="000B7051" w:rsidP="009F254C">
            <w:pPr>
              <w:spacing w:after="0" w:line="240" w:lineRule="auto"/>
              <w:jc w:val="both"/>
              <w:rPr>
                <w:rFonts w:ascii="Times New Roman" w:eastAsia="Times New Roman" w:hAnsi="Times New Roman" w:cs="Times New Roman"/>
                <w:color w:val="1155CC"/>
                <w:sz w:val="28"/>
                <w:szCs w:val="28"/>
              </w:rPr>
            </w:pPr>
            <w:r w:rsidRPr="00AC33A5">
              <w:rPr>
                <w:rFonts w:ascii="Times New Roman" w:eastAsia="Times New Roman" w:hAnsi="Times New Roman" w:cs="Times New Roman"/>
                <w:sz w:val="28"/>
                <w:szCs w:val="28"/>
              </w:rPr>
              <w:t xml:space="preserve">Якість: ІСО, IFC’s </w:t>
            </w:r>
            <w:hyperlink r:id="rId24">
              <w:r w:rsidRPr="00AC33A5">
                <w:rPr>
                  <w:rFonts w:ascii="Times New Roman" w:eastAsia="Times New Roman" w:hAnsi="Times New Roman" w:cs="Times New Roman"/>
                  <w:color w:val="1155CC"/>
                  <w:sz w:val="28"/>
                  <w:szCs w:val="28"/>
                </w:rPr>
                <w:t>Performance Standards</w:t>
              </w:r>
            </w:hyperlink>
          </w:p>
        </w:tc>
      </w:tr>
      <w:tr w:rsidR="000B7051" w:rsidRPr="00AC33A5" w14:paraId="22510EDC" w14:textId="77777777" w:rsidTr="009539E6">
        <w:trPr>
          <w:trHeight w:val="285"/>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46E31B5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6804" w:type="dxa"/>
            <w:gridSpan w:val="3"/>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19BD54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Пакування не застосовується</w:t>
            </w:r>
          </w:p>
        </w:tc>
      </w:tr>
      <w:tr w:rsidR="000B7051" w:rsidRPr="00AC33A5" w14:paraId="559A627E" w14:textId="77777777" w:rsidTr="009539E6">
        <w:trPr>
          <w:trHeight w:val="285"/>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1AB3C52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6804" w:type="dxa"/>
            <w:gridSpan w:val="3"/>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D9EF14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Марка: smArtmining </w:t>
            </w:r>
          </w:p>
        </w:tc>
      </w:tr>
      <w:tr w:rsidR="000B7051" w:rsidRPr="00AC33A5" w14:paraId="036063A7" w14:textId="77777777" w:rsidTr="009539E6">
        <w:trPr>
          <w:trHeight w:val="285"/>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1EC15CC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ІІІ. Товар із підкріпленням</w:t>
            </w:r>
          </w:p>
        </w:tc>
        <w:tc>
          <w:tcPr>
            <w:tcW w:w="6804" w:type="dxa"/>
            <w:gridSpan w:val="3"/>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B122D4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До продажу: програмне забезпечення</w:t>
            </w:r>
          </w:p>
        </w:tc>
      </w:tr>
      <w:tr w:rsidR="000B7051" w:rsidRPr="00AC33A5" w14:paraId="2939566C" w14:textId="77777777" w:rsidTr="009539E6">
        <w:trPr>
          <w:trHeight w:val="570"/>
        </w:trPr>
        <w:tc>
          <w:tcPr>
            <w:tcW w:w="29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23DBA33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476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C11022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Після продажу: ERP система</w:t>
            </w:r>
          </w:p>
        </w:tc>
        <w:tc>
          <w:tcPr>
            <w:tcW w:w="88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38D044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1154"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3E9539D"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r>
      <w:tr w:rsidR="000B7051" w:rsidRPr="00AC33A5" w14:paraId="1FE79BEA" w14:textId="77777777" w:rsidTr="009539E6">
        <w:trPr>
          <w:trHeight w:val="840"/>
        </w:trPr>
        <w:tc>
          <w:tcPr>
            <w:tcW w:w="9739" w:type="dxa"/>
            <w:gridSpan w:val="4"/>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17B5436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За рахунок чого потенційний товар буде захищено від копіювання: за рахунок внутрішншіх ресурсів команди, яка буде адаптувати продукт під вимоги та особливості кожного клієнта – міжгалузева експертиза</w:t>
            </w:r>
          </w:p>
        </w:tc>
      </w:tr>
    </w:tbl>
    <w:p w14:paraId="13551D27" w14:textId="77777777" w:rsidR="000B7051" w:rsidRPr="00AC33A5" w:rsidRDefault="000B7051" w:rsidP="000B7051">
      <w:pPr>
        <w:spacing w:after="0" w:line="360" w:lineRule="auto"/>
        <w:rPr>
          <w:rFonts w:ascii="Times New Roman" w:eastAsia="Times New Roman" w:hAnsi="Times New Roman" w:cs="Times New Roman"/>
          <w:sz w:val="28"/>
          <w:szCs w:val="28"/>
        </w:rPr>
      </w:pPr>
    </w:p>
    <w:p w14:paraId="3830176B" w14:textId="0D04D609" w:rsidR="009539E6" w:rsidRDefault="009539E6">
      <w:pPr>
        <w:rPr>
          <w:rFonts w:ascii="Times New Roman" w:eastAsia="Times New Roman" w:hAnsi="Times New Roman" w:cs="Times New Roman"/>
          <w:sz w:val="28"/>
          <w:szCs w:val="28"/>
        </w:rPr>
      </w:pPr>
    </w:p>
    <w:p w14:paraId="434C1D09" w14:textId="4F63869D"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20. Визначення меж встановлення ціни</w:t>
      </w:r>
    </w:p>
    <w:tbl>
      <w:tblPr>
        <w:tblW w:w="10165" w:type="dxa"/>
        <w:tblBorders>
          <w:top w:val="nil"/>
          <w:left w:val="nil"/>
          <w:bottom w:val="nil"/>
          <w:right w:val="nil"/>
          <w:insideH w:val="nil"/>
          <w:insideV w:val="nil"/>
        </w:tblBorders>
        <w:tblLayout w:type="fixed"/>
        <w:tblLook w:val="0600" w:firstRow="0" w:lastRow="0" w:firstColumn="0" w:lastColumn="0" w:noHBand="1" w:noVBand="1"/>
      </w:tblPr>
      <w:tblGrid>
        <w:gridCol w:w="703"/>
        <w:gridCol w:w="2091"/>
        <w:gridCol w:w="2410"/>
        <w:gridCol w:w="2268"/>
        <w:gridCol w:w="2693"/>
      </w:tblGrid>
      <w:tr w:rsidR="000B7051" w:rsidRPr="00AC33A5" w14:paraId="6FEE3111" w14:textId="77777777" w:rsidTr="009539E6">
        <w:trPr>
          <w:trHeight w:val="840"/>
        </w:trPr>
        <w:tc>
          <w:tcPr>
            <w:tcW w:w="703"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5A02C12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091"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36B7E72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Рівень цін на  товари‐ замінники</w:t>
            </w:r>
          </w:p>
        </w:tc>
        <w:tc>
          <w:tcPr>
            <w:tcW w:w="241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482CA18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Рівень цін на  товари‐ аналоги</w:t>
            </w:r>
          </w:p>
        </w:tc>
        <w:tc>
          <w:tcPr>
            <w:tcW w:w="2268"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33DC5B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Рівень доходів цільової групи споживачів</w:t>
            </w:r>
          </w:p>
        </w:tc>
        <w:tc>
          <w:tcPr>
            <w:tcW w:w="2693"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3D7834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Верхня та нижня межі встановлення </w:t>
            </w:r>
          </w:p>
          <w:p w14:paraId="1DD42DC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ціни на товар/послуг</w:t>
            </w:r>
          </w:p>
        </w:tc>
      </w:tr>
      <w:tr w:rsidR="000B7051" w:rsidRPr="00AC33A5" w14:paraId="0CE7AA3B" w14:textId="77777777" w:rsidTr="009539E6">
        <w:trPr>
          <w:trHeight w:val="985"/>
        </w:trPr>
        <w:tc>
          <w:tcPr>
            <w:tcW w:w="703"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FDD555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091" w:type="dxa"/>
            <w:tcBorders>
              <w:top w:val="nil"/>
              <w:left w:val="nil"/>
              <w:bottom w:val="single" w:sz="5" w:space="0" w:color="000000"/>
              <w:right w:val="single" w:sz="5" w:space="0" w:color="000000"/>
            </w:tcBorders>
            <w:tcMar>
              <w:top w:w="0" w:type="dxa"/>
              <w:left w:w="100" w:type="dxa"/>
              <w:bottom w:w="0" w:type="dxa"/>
              <w:right w:w="100" w:type="dxa"/>
            </w:tcMar>
          </w:tcPr>
          <w:p w14:paraId="091F76F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Можна орієнтуватись на ERP системи</w:t>
            </w:r>
          </w:p>
        </w:tc>
        <w:tc>
          <w:tcPr>
            <w:tcW w:w="2410" w:type="dxa"/>
            <w:tcBorders>
              <w:top w:val="nil"/>
              <w:left w:val="nil"/>
              <w:bottom w:val="single" w:sz="5" w:space="0" w:color="000000"/>
              <w:right w:val="single" w:sz="5" w:space="0" w:color="000000"/>
            </w:tcBorders>
            <w:tcMar>
              <w:top w:w="0" w:type="dxa"/>
              <w:left w:w="100" w:type="dxa"/>
              <w:bottom w:w="0" w:type="dxa"/>
              <w:right w:w="100" w:type="dxa"/>
            </w:tcMar>
          </w:tcPr>
          <w:p w14:paraId="1723E0D0"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Аналогів не має, але можна враховувати ціни на окремі види послуг (юридичних, консультаційних)</w:t>
            </w:r>
          </w:p>
        </w:tc>
        <w:tc>
          <w:tcPr>
            <w:tcW w:w="2268" w:type="dxa"/>
            <w:tcBorders>
              <w:top w:val="nil"/>
              <w:left w:val="nil"/>
              <w:bottom w:val="single" w:sz="5" w:space="0" w:color="000000"/>
              <w:right w:val="single" w:sz="5" w:space="0" w:color="000000"/>
            </w:tcBorders>
            <w:tcMar>
              <w:top w:w="0" w:type="dxa"/>
              <w:left w:w="100" w:type="dxa"/>
              <w:bottom w:w="0" w:type="dxa"/>
              <w:right w:w="100" w:type="dxa"/>
            </w:tcMar>
          </w:tcPr>
          <w:p w14:paraId="5674416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На початку розробки – високі витрати, відсутність доходів, при промисловій розробці – </w:t>
            </w:r>
            <w:r w:rsidRPr="00AC33A5">
              <w:rPr>
                <w:rFonts w:ascii="Times New Roman" w:eastAsia="Times New Roman" w:hAnsi="Times New Roman" w:cs="Times New Roman"/>
                <w:sz w:val="28"/>
                <w:szCs w:val="28"/>
              </w:rPr>
              <w:lastRenderedPageBreak/>
              <w:t>рівень доходу високий</w:t>
            </w:r>
          </w:p>
        </w:tc>
        <w:tc>
          <w:tcPr>
            <w:tcW w:w="2693" w:type="dxa"/>
            <w:vMerge w:val="restart"/>
            <w:tcBorders>
              <w:top w:val="nil"/>
              <w:left w:val="nil"/>
              <w:bottom w:val="single" w:sz="5" w:space="0" w:color="000000"/>
              <w:right w:val="single" w:sz="5" w:space="0" w:color="000000"/>
            </w:tcBorders>
            <w:tcMar>
              <w:top w:w="0" w:type="dxa"/>
              <w:left w:w="100" w:type="dxa"/>
              <w:bottom w:w="0" w:type="dxa"/>
              <w:right w:w="100" w:type="dxa"/>
            </w:tcMar>
          </w:tcPr>
          <w:p w14:paraId="44FF302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За встановлення системи на початковому етапі 100 тис. дол., підтримка – абоненська плата – визначається від </w:t>
            </w:r>
            <w:r w:rsidRPr="00AC33A5">
              <w:rPr>
                <w:rFonts w:ascii="Times New Roman" w:eastAsia="Times New Roman" w:hAnsi="Times New Roman" w:cs="Times New Roman"/>
                <w:sz w:val="28"/>
                <w:szCs w:val="28"/>
              </w:rPr>
              <w:lastRenderedPageBreak/>
              <w:t>розміру підприємства, або погодинна оплата – 100-300 дол. За годину</w:t>
            </w:r>
          </w:p>
        </w:tc>
      </w:tr>
      <w:tr w:rsidR="000B7051" w:rsidRPr="00AC33A5" w14:paraId="0E6D933F" w14:textId="77777777" w:rsidTr="009539E6">
        <w:trPr>
          <w:trHeight w:val="1665"/>
        </w:trPr>
        <w:tc>
          <w:tcPr>
            <w:tcW w:w="703"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E7A4D49"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 </w:t>
            </w:r>
          </w:p>
        </w:tc>
        <w:tc>
          <w:tcPr>
            <w:tcW w:w="2091" w:type="dxa"/>
            <w:tcBorders>
              <w:top w:val="nil"/>
              <w:left w:val="nil"/>
              <w:bottom w:val="single" w:sz="5" w:space="0" w:color="000000"/>
              <w:right w:val="single" w:sz="5" w:space="0" w:color="000000"/>
            </w:tcBorders>
            <w:tcMar>
              <w:top w:w="0" w:type="dxa"/>
              <w:left w:w="100" w:type="dxa"/>
              <w:bottom w:w="0" w:type="dxa"/>
              <w:right w:w="100" w:type="dxa"/>
            </w:tcMar>
          </w:tcPr>
          <w:p w14:paraId="24F3B7A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SAP – від 20 тис. дол за систему, підтримка – 200-300 дол./год</w:t>
            </w:r>
          </w:p>
        </w:tc>
        <w:tc>
          <w:tcPr>
            <w:tcW w:w="2410" w:type="dxa"/>
            <w:tcBorders>
              <w:top w:val="nil"/>
              <w:left w:val="nil"/>
              <w:bottom w:val="single" w:sz="5" w:space="0" w:color="000000"/>
              <w:right w:val="single" w:sz="5" w:space="0" w:color="000000"/>
            </w:tcBorders>
            <w:tcMar>
              <w:top w:w="0" w:type="dxa"/>
              <w:left w:w="100" w:type="dxa"/>
              <w:bottom w:w="0" w:type="dxa"/>
              <w:right w:w="100" w:type="dxa"/>
            </w:tcMar>
          </w:tcPr>
          <w:p w14:paraId="34DA0645"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Юридичні послуги – 150-300 дол. Год</w:t>
            </w:r>
          </w:p>
        </w:tc>
        <w:tc>
          <w:tcPr>
            <w:tcW w:w="2268" w:type="dxa"/>
            <w:tcBorders>
              <w:top w:val="nil"/>
              <w:left w:val="nil"/>
              <w:bottom w:val="single" w:sz="5" w:space="0" w:color="000000"/>
              <w:right w:val="single" w:sz="5" w:space="0" w:color="000000"/>
            </w:tcBorders>
            <w:tcMar>
              <w:top w:w="0" w:type="dxa"/>
              <w:left w:w="100" w:type="dxa"/>
              <w:bottom w:w="0" w:type="dxa"/>
              <w:right w:w="100" w:type="dxa"/>
            </w:tcMar>
          </w:tcPr>
          <w:p w14:paraId="2B2F552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2693"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14:paraId="51E30CC4" w14:textId="77777777" w:rsidR="000B7051" w:rsidRPr="00AC33A5" w:rsidRDefault="000B7051" w:rsidP="009F254C">
            <w:pPr>
              <w:spacing w:after="0" w:line="240" w:lineRule="auto"/>
              <w:rPr>
                <w:rFonts w:ascii="Times New Roman" w:eastAsia="Times New Roman" w:hAnsi="Times New Roman" w:cs="Times New Roman"/>
                <w:sz w:val="28"/>
                <w:szCs w:val="28"/>
              </w:rPr>
            </w:pPr>
          </w:p>
        </w:tc>
      </w:tr>
      <w:tr w:rsidR="000B7051" w:rsidRPr="00AC33A5" w14:paraId="4664829D" w14:textId="77777777" w:rsidTr="009539E6">
        <w:trPr>
          <w:trHeight w:val="1950"/>
        </w:trPr>
        <w:tc>
          <w:tcPr>
            <w:tcW w:w="703"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1CB69BC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2091"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482C42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IT-enterprise – від 15 тис. дол. За систему, підтримка – 100-200 дол. За годину</w:t>
            </w:r>
          </w:p>
        </w:tc>
        <w:tc>
          <w:tcPr>
            <w:tcW w:w="241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7AB37F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Консультаційні послуги – 100-300 дол. година</w:t>
            </w:r>
          </w:p>
        </w:tc>
        <w:tc>
          <w:tcPr>
            <w:tcW w:w="2268"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E8E38D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 </w:t>
            </w:r>
          </w:p>
        </w:tc>
        <w:tc>
          <w:tcPr>
            <w:tcW w:w="2693"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14:paraId="0126BE70" w14:textId="77777777" w:rsidR="000B7051" w:rsidRPr="00AC33A5" w:rsidRDefault="000B7051" w:rsidP="009F254C">
            <w:pPr>
              <w:spacing w:after="0" w:line="240" w:lineRule="auto"/>
              <w:rPr>
                <w:rFonts w:ascii="Times New Roman" w:eastAsia="Times New Roman" w:hAnsi="Times New Roman" w:cs="Times New Roman"/>
                <w:sz w:val="28"/>
                <w:szCs w:val="28"/>
              </w:rPr>
            </w:pPr>
          </w:p>
        </w:tc>
      </w:tr>
    </w:tbl>
    <w:p w14:paraId="0306C24A" w14:textId="67C84D2E" w:rsidR="009539E6" w:rsidRDefault="009539E6">
      <w:pPr>
        <w:rPr>
          <w:rFonts w:ascii="Times New Roman" w:eastAsia="Times New Roman" w:hAnsi="Times New Roman" w:cs="Times New Roman"/>
          <w:sz w:val="28"/>
          <w:szCs w:val="28"/>
        </w:rPr>
      </w:pPr>
    </w:p>
    <w:p w14:paraId="53D448A8" w14:textId="27FF2A4E"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21. Формування системи збуту</w:t>
      </w:r>
    </w:p>
    <w:tbl>
      <w:tblPr>
        <w:tblW w:w="9881" w:type="dxa"/>
        <w:tblBorders>
          <w:top w:val="nil"/>
          <w:left w:val="nil"/>
          <w:bottom w:val="nil"/>
          <w:right w:val="nil"/>
          <w:insideH w:val="nil"/>
          <w:insideV w:val="nil"/>
        </w:tblBorders>
        <w:tblLayout w:type="fixed"/>
        <w:tblLook w:val="0600" w:firstRow="0" w:lastRow="0" w:firstColumn="0" w:lastColumn="0" w:noHBand="1" w:noVBand="1"/>
      </w:tblPr>
      <w:tblGrid>
        <w:gridCol w:w="845"/>
        <w:gridCol w:w="2799"/>
        <w:gridCol w:w="2410"/>
        <w:gridCol w:w="2126"/>
        <w:gridCol w:w="1701"/>
      </w:tblGrid>
      <w:tr w:rsidR="000B7051" w:rsidRPr="00AC33A5" w14:paraId="79424B41" w14:textId="77777777" w:rsidTr="009539E6">
        <w:trPr>
          <w:trHeight w:val="1080"/>
        </w:trPr>
        <w:tc>
          <w:tcPr>
            <w:tcW w:w="845"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11F443D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2799"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62DBCE7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Специфіка закупівельної  поведінки цільових клієнтів </w:t>
            </w:r>
          </w:p>
        </w:tc>
        <w:tc>
          <w:tcPr>
            <w:tcW w:w="241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58CCE5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Функції збуту, які має виконувати постачальник товару</w:t>
            </w:r>
          </w:p>
        </w:tc>
        <w:tc>
          <w:tcPr>
            <w:tcW w:w="2126"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25D516B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Глибина каналу  збуту</w:t>
            </w:r>
          </w:p>
        </w:tc>
        <w:tc>
          <w:tcPr>
            <w:tcW w:w="1701"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AD5DB1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Оптимальна  система збуту</w:t>
            </w:r>
          </w:p>
        </w:tc>
      </w:tr>
      <w:tr w:rsidR="000B7051" w:rsidRPr="00AC33A5" w14:paraId="00B73ED8" w14:textId="77777777" w:rsidTr="009539E6">
        <w:trPr>
          <w:trHeight w:val="1665"/>
        </w:trPr>
        <w:tc>
          <w:tcPr>
            <w:tcW w:w="845"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F4DF76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2799" w:type="dxa"/>
            <w:tcBorders>
              <w:top w:val="nil"/>
              <w:left w:val="nil"/>
              <w:bottom w:val="single" w:sz="5" w:space="0" w:color="000000"/>
              <w:right w:val="single" w:sz="5" w:space="0" w:color="000000"/>
            </w:tcBorders>
            <w:tcMar>
              <w:top w:w="0" w:type="dxa"/>
              <w:left w:w="100" w:type="dxa"/>
              <w:bottom w:w="0" w:type="dxa"/>
              <w:right w:w="100" w:type="dxa"/>
            </w:tcMar>
          </w:tcPr>
          <w:p w14:paraId="6D19B8F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Орієнтуються на думки у власному професійному колі, вимагають бездоганної репутації від постачальника</w:t>
            </w:r>
          </w:p>
        </w:tc>
        <w:tc>
          <w:tcPr>
            <w:tcW w:w="2410" w:type="dxa"/>
            <w:tcBorders>
              <w:top w:val="nil"/>
              <w:left w:val="nil"/>
              <w:bottom w:val="single" w:sz="5" w:space="0" w:color="000000"/>
              <w:right w:val="single" w:sz="5" w:space="0" w:color="000000"/>
            </w:tcBorders>
            <w:tcMar>
              <w:top w:w="0" w:type="dxa"/>
              <w:left w:w="100" w:type="dxa"/>
              <w:bottom w:w="0" w:type="dxa"/>
              <w:right w:w="100" w:type="dxa"/>
            </w:tcMar>
          </w:tcPr>
          <w:p w14:paraId="0EDA71C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Експерта в галузі, який пропонує кращі рішення,</w:t>
            </w:r>
          </w:p>
        </w:tc>
        <w:tc>
          <w:tcPr>
            <w:tcW w:w="2126" w:type="dxa"/>
            <w:tcBorders>
              <w:top w:val="nil"/>
              <w:left w:val="nil"/>
              <w:bottom w:val="single" w:sz="5" w:space="0" w:color="000000"/>
              <w:right w:val="single" w:sz="5" w:space="0" w:color="000000"/>
            </w:tcBorders>
            <w:tcMar>
              <w:top w:w="0" w:type="dxa"/>
              <w:left w:w="100" w:type="dxa"/>
              <w:bottom w:w="0" w:type="dxa"/>
              <w:right w:w="100" w:type="dxa"/>
            </w:tcMar>
          </w:tcPr>
          <w:p w14:paraId="6D4C2EEB"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Прямий канал збуту, можливе залучення професійних об’єднань, як посередників</w:t>
            </w:r>
          </w:p>
        </w:tc>
        <w:tc>
          <w:tcPr>
            <w:tcW w:w="1701" w:type="dxa"/>
            <w:tcBorders>
              <w:top w:val="nil"/>
              <w:left w:val="nil"/>
              <w:bottom w:val="single" w:sz="5" w:space="0" w:color="000000"/>
              <w:right w:val="single" w:sz="5" w:space="0" w:color="000000"/>
            </w:tcBorders>
            <w:tcMar>
              <w:top w:w="0" w:type="dxa"/>
              <w:left w:w="100" w:type="dxa"/>
              <w:bottom w:w="0" w:type="dxa"/>
              <w:right w:w="100" w:type="dxa"/>
            </w:tcMar>
          </w:tcPr>
          <w:p w14:paraId="1EB0D3BA"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Власна система збуту</w:t>
            </w:r>
          </w:p>
        </w:tc>
      </w:tr>
    </w:tbl>
    <w:p w14:paraId="35583D17" w14:textId="77777777" w:rsidR="009539E6" w:rsidRDefault="009539E6" w:rsidP="000B7051">
      <w:pPr>
        <w:spacing w:after="0" w:line="360" w:lineRule="auto"/>
        <w:jc w:val="right"/>
        <w:rPr>
          <w:rFonts w:ascii="Times New Roman" w:eastAsia="Times New Roman" w:hAnsi="Times New Roman" w:cs="Times New Roman"/>
          <w:sz w:val="28"/>
          <w:szCs w:val="28"/>
        </w:rPr>
      </w:pPr>
    </w:p>
    <w:p w14:paraId="481A754D" w14:textId="72B33541" w:rsidR="000B7051" w:rsidRPr="00AC33A5" w:rsidRDefault="000B7051" w:rsidP="000B7051">
      <w:pPr>
        <w:spacing w:after="0" w:line="360" w:lineRule="auto"/>
        <w:jc w:val="right"/>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Таблиця 22. Концепція маркетингових комунікацій</w:t>
      </w:r>
    </w:p>
    <w:tbl>
      <w:tblPr>
        <w:tblW w:w="10349" w:type="dxa"/>
        <w:tblInd w:w="-184" w:type="dxa"/>
        <w:tblBorders>
          <w:top w:val="nil"/>
          <w:left w:val="nil"/>
          <w:bottom w:val="nil"/>
          <w:right w:val="nil"/>
          <w:insideH w:val="nil"/>
          <w:insideV w:val="nil"/>
        </w:tblBorders>
        <w:tblLayout w:type="fixed"/>
        <w:tblLook w:val="0600" w:firstRow="0" w:lastRow="0" w:firstColumn="0" w:lastColumn="0" w:noHBand="1" w:noVBand="1"/>
      </w:tblPr>
      <w:tblGrid>
        <w:gridCol w:w="568"/>
        <w:gridCol w:w="1984"/>
        <w:gridCol w:w="1984"/>
        <w:gridCol w:w="1985"/>
        <w:gridCol w:w="1701"/>
        <w:gridCol w:w="2127"/>
      </w:tblGrid>
      <w:tr w:rsidR="000B7051" w:rsidRPr="00AC33A5" w14:paraId="28CE37D1" w14:textId="77777777" w:rsidTr="009539E6">
        <w:trPr>
          <w:trHeight w:val="1080"/>
        </w:trPr>
        <w:tc>
          <w:tcPr>
            <w:tcW w:w="568"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A12D650"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п/п</w:t>
            </w:r>
          </w:p>
        </w:tc>
        <w:tc>
          <w:tcPr>
            <w:tcW w:w="198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FB49A3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Специфіка поведінки </w:t>
            </w:r>
          </w:p>
          <w:p w14:paraId="4E8D4A68"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цільових клієнтів</w:t>
            </w:r>
          </w:p>
        </w:tc>
        <w:tc>
          <w:tcPr>
            <w:tcW w:w="1984"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1D6C5F8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Канали комунікацій, якими </w:t>
            </w:r>
          </w:p>
          <w:p w14:paraId="619ABA6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користуються  цільові клієнти</w:t>
            </w:r>
          </w:p>
        </w:tc>
        <w:tc>
          <w:tcPr>
            <w:tcW w:w="198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07ECF56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Ключові позиції, обрані </w:t>
            </w:r>
          </w:p>
          <w:p w14:paraId="288E516C"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для  позиціонування</w:t>
            </w:r>
          </w:p>
        </w:tc>
        <w:tc>
          <w:tcPr>
            <w:tcW w:w="1701"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76D66523"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Завдання рекламного</w:t>
            </w:r>
          </w:p>
          <w:p w14:paraId="19F2E5CE" w14:textId="152C7BA5"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повідом</w:t>
            </w:r>
            <w:r w:rsidR="009539E6">
              <w:rPr>
                <w:rFonts w:ascii="Times New Roman" w:eastAsia="Times New Roman" w:hAnsi="Times New Roman" w:cs="Times New Roman"/>
                <w:sz w:val="28"/>
                <w:szCs w:val="28"/>
              </w:rPr>
              <w:t>-</w:t>
            </w:r>
            <w:r w:rsidRPr="00AC33A5">
              <w:rPr>
                <w:rFonts w:ascii="Times New Roman" w:eastAsia="Times New Roman" w:hAnsi="Times New Roman" w:cs="Times New Roman"/>
                <w:sz w:val="28"/>
                <w:szCs w:val="28"/>
              </w:rPr>
              <w:t>лення</w:t>
            </w:r>
          </w:p>
        </w:tc>
        <w:tc>
          <w:tcPr>
            <w:tcW w:w="2127"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1666CD8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Концепція рекламного </w:t>
            </w:r>
          </w:p>
          <w:p w14:paraId="00E69426"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звернення </w:t>
            </w:r>
          </w:p>
        </w:tc>
      </w:tr>
      <w:tr w:rsidR="000B7051" w:rsidRPr="00AC33A5" w14:paraId="0722C96F" w14:textId="77777777" w:rsidTr="009F254C">
        <w:trPr>
          <w:trHeight w:val="1406"/>
        </w:trPr>
        <w:tc>
          <w:tcPr>
            <w:tcW w:w="568"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A4027BE"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1</w:t>
            </w:r>
          </w:p>
        </w:tc>
        <w:tc>
          <w:tcPr>
            <w:tcW w:w="1984" w:type="dxa"/>
            <w:tcBorders>
              <w:top w:val="nil"/>
              <w:left w:val="nil"/>
              <w:bottom w:val="single" w:sz="5" w:space="0" w:color="000000"/>
              <w:right w:val="single" w:sz="5" w:space="0" w:color="000000"/>
            </w:tcBorders>
            <w:tcMar>
              <w:top w:w="0" w:type="dxa"/>
              <w:left w:w="100" w:type="dxa"/>
              <w:bottom w:w="0" w:type="dxa"/>
              <w:right w:w="100" w:type="dxa"/>
            </w:tcMar>
          </w:tcPr>
          <w:p w14:paraId="5A4168B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 xml:space="preserve">Реагують на пропонування економічних переваг, швидкий строк </w:t>
            </w:r>
            <w:r w:rsidRPr="00AC33A5">
              <w:rPr>
                <w:rFonts w:ascii="Times New Roman" w:eastAsia="Times New Roman" w:hAnsi="Times New Roman" w:cs="Times New Roman"/>
                <w:sz w:val="28"/>
                <w:szCs w:val="28"/>
              </w:rPr>
              <w:lastRenderedPageBreak/>
              <w:t>окупності, прозорість та доброчесна поведінка</w:t>
            </w:r>
          </w:p>
        </w:tc>
        <w:tc>
          <w:tcPr>
            <w:tcW w:w="1984" w:type="dxa"/>
            <w:tcBorders>
              <w:top w:val="nil"/>
              <w:left w:val="nil"/>
              <w:bottom w:val="single" w:sz="5" w:space="0" w:color="000000"/>
              <w:right w:val="single" w:sz="5" w:space="0" w:color="000000"/>
            </w:tcBorders>
            <w:tcMar>
              <w:top w:w="0" w:type="dxa"/>
              <w:left w:w="100" w:type="dxa"/>
              <w:bottom w:w="0" w:type="dxa"/>
              <w:right w:w="100" w:type="dxa"/>
            </w:tcMar>
          </w:tcPr>
          <w:p w14:paraId="1A5A4D7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Професійні об’єднання, публічні заходи – виставки,</w:t>
            </w:r>
          </w:p>
        </w:tc>
        <w:tc>
          <w:tcPr>
            <w:tcW w:w="1985" w:type="dxa"/>
            <w:tcBorders>
              <w:top w:val="nil"/>
              <w:left w:val="nil"/>
              <w:bottom w:val="single" w:sz="5" w:space="0" w:color="000000"/>
              <w:right w:val="single" w:sz="5" w:space="0" w:color="000000"/>
            </w:tcBorders>
            <w:tcMar>
              <w:top w:w="0" w:type="dxa"/>
              <w:left w:w="100" w:type="dxa"/>
              <w:bottom w:w="0" w:type="dxa"/>
              <w:right w:w="100" w:type="dxa"/>
            </w:tcMar>
          </w:tcPr>
          <w:p w14:paraId="155BAE3F"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t>Комплексність послуг, міжнародні стандарти, отримання виг</w:t>
            </w:r>
            <w:r>
              <w:rPr>
                <w:rFonts w:ascii="Times New Roman" w:eastAsia="Times New Roman" w:hAnsi="Times New Roman" w:cs="Times New Roman"/>
                <w:sz w:val="28"/>
                <w:szCs w:val="28"/>
              </w:rPr>
              <w:t>і</w:t>
            </w:r>
            <w:r w:rsidRPr="00AC33A5">
              <w:rPr>
                <w:rFonts w:ascii="Times New Roman" w:eastAsia="Times New Roman" w:hAnsi="Times New Roman" w:cs="Times New Roman"/>
                <w:sz w:val="28"/>
                <w:szCs w:val="28"/>
              </w:rPr>
              <w:t xml:space="preserve">д через </w:t>
            </w:r>
            <w:r w:rsidRPr="00AC33A5">
              <w:rPr>
                <w:rFonts w:ascii="Times New Roman" w:eastAsia="Times New Roman" w:hAnsi="Times New Roman" w:cs="Times New Roman"/>
                <w:sz w:val="28"/>
                <w:szCs w:val="28"/>
              </w:rPr>
              <w:lastRenderedPageBreak/>
              <w:t>дотримання стандартів можливе</w:t>
            </w:r>
          </w:p>
        </w:tc>
        <w:tc>
          <w:tcPr>
            <w:tcW w:w="1701" w:type="dxa"/>
            <w:tcBorders>
              <w:top w:val="nil"/>
              <w:left w:val="nil"/>
              <w:bottom w:val="single" w:sz="5" w:space="0" w:color="000000"/>
              <w:right w:val="single" w:sz="5" w:space="0" w:color="000000"/>
            </w:tcBorders>
            <w:tcMar>
              <w:top w:w="0" w:type="dxa"/>
              <w:left w:w="100" w:type="dxa"/>
              <w:bottom w:w="0" w:type="dxa"/>
              <w:right w:w="100" w:type="dxa"/>
            </w:tcMar>
          </w:tcPr>
          <w:p w14:paraId="793867B2"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Продемонструвати комплексний сучасних підхід до управління </w:t>
            </w:r>
            <w:r w:rsidRPr="00AC33A5">
              <w:rPr>
                <w:rFonts w:ascii="Times New Roman" w:eastAsia="Times New Roman" w:hAnsi="Times New Roman" w:cs="Times New Roman"/>
                <w:sz w:val="28"/>
                <w:szCs w:val="28"/>
              </w:rPr>
              <w:lastRenderedPageBreak/>
              <w:t>видобувним підприємством</w:t>
            </w:r>
          </w:p>
        </w:tc>
        <w:tc>
          <w:tcPr>
            <w:tcW w:w="2127" w:type="dxa"/>
            <w:tcBorders>
              <w:top w:val="nil"/>
              <w:left w:val="nil"/>
              <w:bottom w:val="single" w:sz="5" w:space="0" w:color="000000"/>
              <w:right w:val="single" w:sz="5" w:space="0" w:color="000000"/>
            </w:tcBorders>
            <w:tcMar>
              <w:top w:w="0" w:type="dxa"/>
              <w:left w:w="100" w:type="dxa"/>
              <w:bottom w:w="0" w:type="dxa"/>
              <w:right w:w="100" w:type="dxa"/>
            </w:tcMar>
          </w:tcPr>
          <w:p w14:paraId="03EF1C71" w14:textId="77777777" w:rsidR="000B7051" w:rsidRPr="00AC33A5" w:rsidRDefault="000B7051" w:rsidP="009F254C">
            <w:pPr>
              <w:spacing w:after="0" w:line="240" w:lineRule="auto"/>
              <w:rPr>
                <w:rFonts w:ascii="Times New Roman" w:eastAsia="Times New Roman" w:hAnsi="Times New Roman" w:cs="Times New Roman"/>
                <w:sz w:val="28"/>
                <w:szCs w:val="28"/>
              </w:rPr>
            </w:pPr>
            <w:r w:rsidRPr="00AC33A5">
              <w:rPr>
                <w:rFonts w:ascii="Times New Roman" w:eastAsia="Times New Roman" w:hAnsi="Times New Roman" w:cs="Times New Roman"/>
                <w:sz w:val="28"/>
                <w:szCs w:val="28"/>
              </w:rPr>
              <w:lastRenderedPageBreak/>
              <w:t xml:space="preserve">Продукт розроблений фахівцями, які мають практичний досвід та </w:t>
            </w:r>
            <w:r w:rsidRPr="00AC33A5">
              <w:rPr>
                <w:rFonts w:ascii="Times New Roman" w:eastAsia="Times New Roman" w:hAnsi="Times New Roman" w:cs="Times New Roman"/>
                <w:sz w:val="28"/>
                <w:szCs w:val="28"/>
              </w:rPr>
              <w:lastRenderedPageBreak/>
              <w:t>вирішували такі ж проблеми в своїй діяльності</w:t>
            </w:r>
          </w:p>
        </w:tc>
      </w:tr>
    </w:tbl>
    <w:p w14:paraId="1057AF89" w14:textId="77777777" w:rsidR="00CB66DD" w:rsidRPr="00CB66DD" w:rsidRDefault="00CB66DD" w:rsidP="00CB66DD">
      <w:pPr>
        <w:spacing w:after="0" w:line="360" w:lineRule="auto"/>
        <w:ind w:firstLine="900"/>
        <w:jc w:val="both"/>
        <w:rPr>
          <w:rFonts w:ascii="Times New Roman" w:hAnsi="Times New Roman" w:cs="Times New Roman"/>
          <w:sz w:val="28"/>
          <w:szCs w:val="28"/>
        </w:rPr>
      </w:pPr>
    </w:p>
    <w:p w14:paraId="0EF5D25F" w14:textId="77777777" w:rsidR="00CB66DD" w:rsidRDefault="00CB66DD" w:rsidP="00CB66DD"/>
    <w:p w14:paraId="0E4DC8B3" w14:textId="72C6C130" w:rsidR="001B6425" w:rsidRPr="00D6276F" w:rsidRDefault="001B6425" w:rsidP="008E765D">
      <w:pPr>
        <w:pStyle w:val="2"/>
        <w:spacing w:before="0" w:after="0" w:line="360" w:lineRule="auto"/>
        <w:ind w:left="2007"/>
        <w:rPr>
          <w:rFonts w:ascii="Times New Roman" w:hAnsi="Times New Roman" w:cs="Times New Roman"/>
          <w:sz w:val="28"/>
        </w:rPr>
      </w:pPr>
      <w:bookmarkStart w:id="35" w:name="_Toc155658279"/>
      <w:r w:rsidRPr="00D6276F">
        <w:rPr>
          <w:rFonts w:ascii="Times New Roman" w:hAnsi="Times New Roman" w:cs="Times New Roman"/>
          <w:sz w:val="28"/>
        </w:rPr>
        <w:t>Висновок до розділу 4</w:t>
      </w:r>
      <w:bookmarkEnd w:id="35"/>
      <w:r w:rsidRPr="00D6276F">
        <w:rPr>
          <w:rFonts w:ascii="Times New Roman" w:hAnsi="Times New Roman" w:cs="Times New Roman"/>
          <w:sz w:val="28"/>
        </w:rPr>
        <w:t xml:space="preserve"> </w:t>
      </w:r>
    </w:p>
    <w:p w14:paraId="59193060" w14:textId="4DEE353D" w:rsidR="001B6425" w:rsidRPr="00D6276F" w:rsidRDefault="001B6425" w:rsidP="008E765D">
      <w:pPr>
        <w:pStyle w:val="aa"/>
        <w:spacing w:after="0" w:line="276" w:lineRule="auto"/>
        <w:ind w:left="1080"/>
        <w:rPr>
          <w:rFonts w:ascii="Times New Roman" w:hAnsi="Times New Roman" w:cs="Times New Roman"/>
          <w:sz w:val="28"/>
          <w:szCs w:val="28"/>
          <w:lang w:val="uk-UA"/>
        </w:rPr>
      </w:pPr>
    </w:p>
    <w:p w14:paraId="398CBAE3" w14:textId="217EFCE2" w:rsidR="000B7051" w:rsidRPr="000B7051" w:rsidRDefault="000B7051" w:rsidP="000B7051">
      <w:pPr>
        <w:pStyle w:val="aa"/>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0B7051">
        <w:rPr>
          <w:rFonts w:ascii="Times New Roman" w:hAnsi="Times New Roman" w:cs="Times New Roman"/>
          <w:sz w:val="28"/>
          <w:szCs w:val="28"/>
          <w:lang w:val="uk-UA"/>
        </w:rPr>
        <w:t>тартап проєкт smArtmining має потенціал до ринкової комерціалізації через виникнення попиту на впровадження у видобувній галузі України міжнародних практик, стандартів та вимог, через дефіцитність первинних ресурсів у світі та зацікавленість інвесторів до таких ресурсів в Україні. Прибутковість видобувної діяльності дозволяє інвестування коштів у розвиток та впровадження цифрових технологій в діяльність;</w:t>
      </w:r>
    </w:p>
    <w:p w14:paraId="66EA7BB1" w14:textId="3BBB9027" w:rsidR="000B7051" w:rsidRPr="000B7051" w:rsidRDefault="000B7051" w:rsidP="000B7051">
      <w:pPr>
        <w:pStyle w:val="aa"/>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0B7051">
        <w:rPr>
          <w:rFonts w:ascii="Times New Roman" w:hAnsi="Times New Roman" w:cs="Times New Roman"/>
          <w:sz w:val="28"/>
          <w:szCs w:val="28"/>
          <w:lang w:val="uk-UA"/>
        </w:rPr>
        <w:t>тартап проєкт smArtmining має потенціал до впровадження з огляду на потенційні групи клієнтів - для різних груп клієнтів проєкт відповідає різним потребам та пропонує їх задоволення;</w:t>
      </w:r>
    </w:p>
    <w:p w14:paraId="4C981E5A" w14:textId="32EAE0F5" w:rsidR="000B7051" w:rsidRPr="000B7051" w:rsidRDefault="000B7051" w:rsidP="000B7051">
      <w:pPr>
        <w:pStyle w:val="aa"/>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0B7051">
        <w:rPr>
          <w:rFonts w:ascii="Times New Roman" w:hAnsi="Times New Roman" w:cs="Times New Roman"/>
          <w:sz w:val="28"/>
          <w:szCs w:val="28"/>
          <w:lang w:val="uk-UA"/>
        </w:rPr>
        <w:t>тартап проєкт smArtmining має потенціал до впровадження бо бар’єри входження невисокі, стан конкуренції низький, так як проєкт по суті формує новий ринок для міжгалузевої послуги через використання технології, яка наразі використовується для бухгалтерського та управлінського обліку;</w:t>
      </w:r>
    </w:p>
    <w:p w14:paraId="02D12F80" w14:textId="5EC2284D" w:rsidR="000B7051" w:rsidRPr="000B7051" w:rsidRDefault="000B7051" w:rsidP="000B7051">
      <w:pPr>
        <w:pStyle w:val="aa"/>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0B7051">
        <w:rPr>
          <w:rFonts w:ascii="Times New Roman" w:hAnsi="Times New Roman" w:cs="Times New Roman"/>
          <w:sz w:val="28"/>
          <w:szCs w:val="28"/>
          <w:lang w:val="uk-UA"/>
        </w:rPr>
        <w:t>льтернативним варіантом впровадження на ринок може бути перепозиціонування проєкту під потреби повоєнного відновлення України та пропонування його донорам України.</w:t>
      </w:r>
    </w:p>
    <w:p w14:paraId="2E17FBF2" w14:textId="77777777" w:rsidR="000B7051" w:rsidRPr="000B7051" w:rsidRDefault="000B7051" w:rsidP="000B7051">
      <w:pPr>
        <w:pStyle w:val="aa"/>
        <w:numPr>
          <w:ilvl w:val="0"/>
          <w:numId w:val="13"/>
        </w:numPr>
        <w:spacing w:after="0" w:line="360" w:lineRule="auto"/>
        <w:jc w:val="both"/>
        <w:rPr>
          <w:rFonts w:ascii="Times New Roman" w:hAnsi="Times New Roman" w:cs="Times New Roman"/>
          <w:sz w:val="28"/>
          <w:szCs w:val="28"/>
          <w:lang w:val="uk-UA"/>
        </w:rPr>
      </w:pPr>
      <w:r w:rsidRPr="000B7051">
        <w:rPr>
          <w:rFonts w:ascii="Times New Roman" w:hAnsi="Times New Roman" w:cs="Times New Roman"/>
          <w:sz w:val="28"/>
          <w:szCs w:val="28"/>
          <w:lang w:val="uk-UA"/>
        </w:rPr>
        <w:t>Таким чином, доцільною подальша імплементація проєкту доцільна навіть за умови існування ризиків пов'язаних з повномасштабною війною в Україні.</w:t>
      </w:r>
    </w:p>
    <w:p w14:paraId="6BC65564" w14:textId="77777777" w:rsidR="001B6425" w:rsidRPr="00D6276F" w:rsidRDefault="001B6425" w:rsidP="008436B3">
      <w:pPr>
        <w:spacing w:after="0" w:line="360" w:lineRule="auto"/>
        <w:ind w:firstLine="720"/>
        <w:jc w:val="both"/>
        <w:rPr>
          <w:rFonts w:ascii="Times New Roman" w:eastAsia="Times New Roman" w:hAnsi="Times New Roman" w:cs="Times New Roman"/>
          <w:sz w:val="28"/>
          <w:szCs w:val="28"/>
        </w:rPr>
      </w:pPr>
    </w:p>
    <w:p w14:paraId="2C62B011" w14:textId="77777777" w:rsidR="001B6425" w:rsidRPr="008436B3" w:rsidRDefault="001B6425" w:rsidP="008436B3">
      <w:pPr>
        <w:spacing w:after="0" w:line="360" w:lineRule="auto"/>
        <w:ind w:firstLine="720"/>
        <w:jc w:val="both"/>
        <w:rPr>
          <w:rFonts w:ascii="Times New Roman" w:eastAsia="Times New Roman" w:hAnsi="Times New Roman" w:cs="Times New Roman"/>
          <w:sz w:val="28"/>
          <w:szCs w:val="28"/>
        </w:rPr>
      </w:pPr>
      <w:r w:rsidRPr="008436B3">
        <w:rPr>
          <w:rFonts w:ascii="Times New Roman" w:eastAsia="Times New Roman" w:hAnsi="Times New Roman" w:cs="Times New Roman"/>
          <w:sz w:val="28"/>
          <w:szCs w:val="28"/>
        </w:rPr>
        <w:br w:type="page"/>
      </w:r>
    </w:p>
    <w:p w14:paraId="2881AFE4" w14:textId="77777777" w:rsidR="00D650BF" w:rsidRPr="00D6276F" w:rsidRDefault="00D650BF" w:rsidP="008E765D">
      <w:pPr>
        <w:pStyle w:val="2"/>
        <w:keepNext w:val="0"/>
        <w:keepLines w:val="0"/>
        <w:spacing w:before="0" w:after="0" w:line="360" w:lineRule="auto"/>
        <w:ind w:left="1080"/>
        <w:jc w:val="center"/>
        <w:rPr>
          <w:rFonts w:ascii="Times New Roman" w:hAnsi="Times New Roman" w:cs="Times New Roman"/>
          <w:b w:val="0"/>
        </w:rPr>
      </w:pPr>
      <w:bookmarkStart w:id="36" w:name="_Toc155658280"/>
      <w:r w:rsidRPr="00D6276F">
        <w:rPr>
          <w:rFonts w:ascii="Times New Roman" w:hAnsi="Times New Roman" w:cs="Times New Roman"/>
          <w:b w:val="0"/>
        </w:rPr>
        <w:lastRenderedPageBreak/>
        <w:t>ВИСНОВКИ</w:t>
      </w:r>
      <w:bookmarkEnd w:id="36"/>
    </w:p>
    <w:p w14:paraId="07108F67" w14:textId="77777777" w:rsidR="00D41199" w:rsidRPr="00D41199" w:rsidRDefault="00D41199" w:rsidP="00D41199">
      <w:pPr>
        <w:spacing w:after="0" w:line="360" w:lineRule="auto"/>
        <w:ind w:firstLine="720"/>
        <w:jc w:val="both"/>
        <w:rPr>
          <w:rFonts w:ascii="Times New Roman" w:eastAsia="Times New Roman" w:hAnsi="Times New Roman" w:cs="Times New Roman"/>
          <w:sz w:val="28"/>
          <w:szCs w:val="28"/>
        </w:rPr>
      </w:pPr>
      <w:r w:rsidRPr="00D41199">
        <w:rPr>
          <w:rFonts w:ascii="Times New Roman" w:eastAsia="Times New Roman" w:hAnsi="Times New Roman" w:cs="Times New Roman"/>
          <w:sz w:val="28"/>
          <w:szCs w:val="28"/>
        </w:rPr>
        <w:t xml:space="preserve">Видобувна діяльність має вирішальне значення у світовій економіці, оскільки забезпечує важливу сировину для розвитку промисловості, і хоч розвиток циркулярної економіки та пошук шляхів заміни природної сировини набирає обертів, повністю замінити природні  корисні копалини в найближчий перспективі буде неможливо. </w:t>
      </w:r>
    </w:p>
    <w:p w14:paraId="215A29C0" w14:textId="684E9607" w:rsidR="00D41199" w:rsidRDefault="00D41199" w:rsidP="00D41199">
      <w:pPr>
        <w:spacing w:after="0" w:line="360" w:lineRule="auto"/>
        <w:ind w:firstLine="720"/>
        <w:jc w:val="both"/>
        <w:rPr>
          <w:rFonts w:ascii="Times New Roman" w:eastAsia="Times New Roman" w:hAnsi="Times New Roman" w:cs="Times New Roman"/>
          <w:sz w:val="28"/>
          <w:szCs w:val="28"/>
        </w:rPr>
      </w:pPr>
      <w:r w:rsidRPr="00D41199">
        <w:rPr>
          <w:rFonts w:ascii="Times New Roman" w:eastAsia="Times New Roman" w:hAnsi="Times New Roman" w:cs="Times New Roman"/>
          <w:sz w:val="28"/>
          <w:szCs w:val="28"/>
        </w:rPr>
        <w:t xml:space="preserve">Видобуток корисних копалин призводить до значних екологічних, економічних, соціальних змін в районі розташування родовища. </w:t>
      </w:r>
      <w:r w:rsidR="00125AF4">
        <w:rPr>
          <w:rFonts w:ascii="Times New Roman" w:eastAsia="Times New Roman" w:hAnsi="Times New Roman" w:cs="Times New Roman"/>
          <w:sz w:val="28"/>
          <w:szCs w:val="28"/>
        </w:rPr>
        <w:t xml:space="preserve">Видобувна діяльність здійснює найбільший вплив у порівнянні з іншими антропогенними видами діяльності на довкілля, змінюючи всі компоненти довкілля та залишаючи довгострокові наслідки на десятки-сотні років після завершення видобування. Природної здатності до відновлення недостатньо для </w:t>
      </w:r>
      <w:r w:rsidR="00297F74">
        <w:rPr>
          <w:rFonts w:ascii="Times New Roman" w:eastAsia="Times New Roman" w:hAnsi="Times New Roman" w:cs="Times New Roman"/>
          <w:sz w:val="28"/>
          <w:szCs w:val="28"/>
        </w:rPr>
        <w:t xml:space="preserve">швидкого </w:t>
      </w:r>
      <w:r w:rsidR="008C5404">
        <w:rPr>
          <w:rFonts w:ascii="Times New Roman" w:eastAsia="Times New Roman" w:hAnsi="Times New Roman" w:cs="Times New Roman"/>
          <w:sz w:val="28"/>
          <w:szCs w:val="28"/>
        </w:rPr>
        <w:t>встановлення екологічного</w:t>
      </w:r>
      <w:r w:rsidR="00125AF4">
        <w:rPr>
          <w:rFonts w:ascii="Times New Roman" w:eastAsia="Times New Roman" w:hAnsi="Times New Roman" w:cs="Times New Roman"/>
          <w:sz w:val="28"/>
          <w:szCs w:val="28"/>
        </w:rPr>
        <w:t xml:space="preserve"> балансу на території кар’єру і таке відновлення може затягнутись на тисячі років. Саме тому потрібні істотні та науково-обґрунтовані заходи для забезпечення відновлення збалансованої екосистеми на місці колишнього видобутку. </w:t>
      </w:r>
    </w:p>
    <w:p w14:paraId="5C075988" w14:textId="74E16BBA" w:rsidR="00586F9B" w:rsidRPr="00125AF4" w:rsidRDefault="00586F9B" w:rsidP="00D4119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Традиційно законодавчі вимоги обмежувались заходами технічної безпеки для людей та часткового повернення порушення земель до господарського використання. </w:t>
      </w:r>
    </w:p>
    <w:p w14:paraId="7D786BB2" w14:textId="75A90196" w:rsidR="00D41199" w:rsidRPr="00D41199" w:rsidRDefault="00586F9B" w:rsidP="00D41199">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w:t>
      </w:r>
      <w:r w:rsidR="00CD73F9">
        <w:rPr>
          <w:rFonts w:ascii="Times New Roman" w:eastAsia="Times New Roman" w:hAnsi="Times New Roman" w:cs="Times New Roman"/>
          <w:sz w:val="28"/>
          <w:szCs w:val="28"/>
        </w:rPr>
        <w:t>в сучасному світі</w:t>
      </w:r>
      <w:r w:rsidR="0066639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w:t>
      </w:r>
      <w:r w:rsidR="00D41199" w:rsidRPr="00D41199">
        <w:rPr>
          <w:rFonts w:ascii="Times New Roman" w:eastAsia="Times New Roman" w:hAnsi="Times New Roman" w:cs="Times New Roman"/>
          <w:sz w:val="28"/>
          <w:szCs w:val="28"/>
        </w:rPr>
        <w:t xml:space="preserve">екультивація та відновлення земель, порушених протягом усього життєвого циклу кар’єру, </w:t>
      </w:r>
      <w:r>
        <w:rPr>
          <w:rFonts w:ascii="Times New Roman" w:eastAsia="Times New Roman" w:hAnsi="Times New Roman" w:cs="Times New Roman"/>
          <w:sz w:val="28"/>
          <w:szCs w:val="28"/>
        </w:rPr>
        <w:t>вже давно вийшли за межі технічних питань,</w:t>
      </w:r>
      <w:r w:rsidR="00CD73F9">
        <w:rPr>
          <w:rFonts w:ascii="Times New Roman" w:eastAsia="Times New Roman" w:hAnsi="Times New Roman" w:cs="Times New Roman"/>
          <w:sz w:val="28"/>
          <w:szCs w:val="28"/>
        </w:rPr>
        <w:t xml:space="preserve"> формують цілісну програму екологічного, соціального та економічного управління процесом закриття кар’єру і</w:t>
      </w:r>
      <w:r>
        <w:rPr>
          <w:rFonts w:ascii="Times New Roman" w:eastAsia="Times New Roman" w:hAnsi="Times New Roman" w:cs="Times New Roman"/>
          <w:sz w:val="28"/>
          <w:szCs w:val="28"/>
        </w:rPr>
        <w:t xml:space="preserve"> </w:t>
      </w:r>
      <w:r w:rsidR="00D41199" w:rsidRPr="00D41199">
        <w:rPr>
          <w:rFonts w:ascii="Times New Roman" w:eastAsia="Times New Roman" w:hAnsi="Times New Roman" w:cs="Times New Roman"/>
          <w:sz w:val="28"/>
          <w:szCs w:val="28"/>
        </w:rPr>
        <w:t xml:space="preserve">мають вирішальне значення для глобальної конкурентоспроможності та забезпечення сталого розвитку гірничодобувної галузі в довгостроковій перспективі. </w:t>
      </w:r>
    </w:p>
    <w:p w14:paraId="0093793E" w14:textId="6FAEDE5C" w:rsidR="00D41199" w:rsidRPr="00D41199" w:rsidRDefault="00D41199" w:rsidP="00D41199">
      <w:pPr>
        <w:spacing w:after="0" w:line="360" w:lineRule="auto"/>
        <w:ind w:firstLine="720"/>
        <w:jc w:val="both"/>
        <w:rPr>
          <w:rFonts w:ascii="Times New Roman" w:eastAsia="Times New Roman" w:hAnsi="Times New Roman" w:cs="Times New Roman"/>
          <w:sz w:val="28"/>
          <w:szCs w:val="28"/>
        </w:rPr>
      </w:pPr>
      <w:r w:rsidRPr="00D41199">
        <w:rPr>
          <w:rFonts w:ascii="Times New Roman" w:eastAsia="Times New Roman" w:hAnsi="Times New Roman" w:cs="Times New Roman"/>
          <w:sz w:val="28"/>
          <w:szCs w:val="28"/>
        </w:rPr>
        <w:t xml:space="preserve">Планування розробки родовища з урахуванням планів закриття кар’єру, цілей рекультивації порушеної ділянки та перспектив перепрофілювання району розташування кар’єру дозволить оптимізувати витрати на закриття кар’єру, здійснити дослідження для прийняття </w:t>
      </w:r>
      <w:r w:rsidR="00CD73F9">
        <w:rPr>
          <w:rFonts w:ascii="Times New Roman" w:eastAsia="Times New Roman" w:hAnsi="Times New Roman" w:cs="Times New Roman"/>
          <w:sz w:val="28"/>
          <w:szCs w:val="28"/>
        </w:rPr>
        <w:t xml:space="preserve">правильних </w:t>
      </w:r>
      <w:r w:rsidRPr="00D41199">
        <w:rPr>
          <w:rFonts w:ascii="Times New Roman" w:eastAsia="Times New Roman" w:hAnsi="Times New Roman" w:cs="Times New Roman"/>
          <w:sz w:val="28"/>
          <w:szCs w:val="28"/>
        </w:rPr>
        <w:t xml:space="preserve">управлінських рішень та </w:t>
      </w:r>
      <w:r w:rsidRPr="00D41199">
        <w:rPr>
          <w:rFonts w:ascii="Times New Roman" w:eastAsia="Times New Roman" w:hAnsi="Times New Roman" w:cs="Times New Roman"/>
          <w:sz w:val="28"/>
          <w:szCs w:val="28"/>
        </w:rPr>
        <w:lastRenderedPageBreak/>
        <w:t xml:space="preserve">сформувати збалансований соціальний та економічний розвиток району, що підвищить привабливість надрокористувача для громад майбутніх проектів розробки корисних копалин. </w:t>
      </w:r>
    </w:p>
    <w:p w14:paraId="5A912F64" w14:textId="77777777" w:rsidR="00D41199" w:rsidRPr="00D41199" w:rsidRDefault="00D41199" w:rsidP="00D41199">
      <w:pPr>
        <w:spacing w:after="0" w:line="360" w:lineRule="auto"/>
        <w:ind w:firstLine="720"/>
        <w:jc w:val="both"/>
        <w:rPr>
          <w:rFonts w:ascii="Times New Roman" w:eastAsia="Times New Roman" w:hAnsi="Times New Roman" w:cs="Times New Roman"/>
          <w:sz w:val="28"/>
          <w:szCs w:val="28"/>
        </w:rPr>
      </w:pPr>
      <w:r w:rsidRPr="00D41199">
        <w:rPr>
          <w:rFonts w:ascii="Times New Roman" w:eastAsia="Times New Roman" w:hAnsi="Times New Roman" w:cs="Times New Roman"/>
          <w:sz w:val="28"/>
          <w:szCs w:val="28"/>
        </w:rPr>
        <w:t xml:space="preserve">Підготовка до закриття кар’єру вимагає ґрунтовного аналізу екологічних аспектів району розташування родовища, дослідження динаміки процесів перетворення компонентів довкілля під час розробки кар’єру та якісного прогнозування на підставі цих даних майбутніх змін і підготовки заходів для побудови збалансованої екосистеми території після завершення видобутку та закриття кар’єру. </w:t>
      </w:r>
    </w:p>
    <w:p w14:paraId="0ED4008C" w14:textId="77777777" w:rsidR="00D41199" w:rsidRPr="00D41199" w:rsidRDefault="00D41199" w:rsidP="00D41199">
      <w:pPr>
        <w:spacing w:after="0" w:line="360" w:lineRule="auto"/>
        <w:ind w:firstLine="720"/>
        <w:jc w:val="both"/>
        <w:rPr>
          <w:rFonts w:ascii="Times New Roman" w:eastAsia="Times New Roman" w:hAnsi="Times New Roman" w:cs="Times New Roman"/>
          <w:sz w:val="28"/>
          <w:szCs w:val="28"/>
        </w:rPr>
      </w:pPr>
      <w:r w:rsidRPr="00D41199">
        <w:rPr>
          <w:rFonts w:ascii="Times New Roman" w:eastAsia="Times New Roman" w:hAnsi="Times New Roman" w:cs="Times New Roman"/>
          <w:sz w:val="28"/>
          <w:szCs w:val="28"/>
        </w:rPr>
        <w:t xml:space="preserve">Сучасні підходи до управління екологічними компонентами після завершення видобутку нероздільно пов’язані з соціальними та економічними компонентами території. </w:t>
      </w:r>
    </w:p>
    <w:p w14:paraId="7625BFF1" w14:textId="77777777" w:rsidR="00D41199" w:rsidRPr="00D41199" w:rsidRDefault="00D41199" w:rsidP="00D41199">
      <w:pPr>
        <w:spacing w:after="0" w:line="360" w:lineRule="auto"/>
        <w:ind w:firstLine="720"/>
        <w:jc w:val="both"/>
        <w:rPr>
          <w:rFonts w:ascii="Times New Roman" w:eastAsia="Times New Roman" w:hAnsi="Times New Roman" w:cs="Times New Roman"/>
          <w:sz w:val="28"/>
          <w:szCs w:val="28"/>
        </w:rPr>
      </w:pPr>
      <w:r w:rsidRPr="00D41199">
        <w:rPr>
          <w:rFonts w:ascii="Times New Roman" w:eastAsia="Times New Roman" w:hAnsi="Times New Roman" w:cs="Times New Roman"/>
          <w:sz w:val="28"/>
          <w:szCs w:val="28"/>
        </w:rPr>
        <w:t xml:space="preserve">Найкращій спосіб спланувати закриття кар’єру у сталий спосіб – почати планувати закриття одночасно з розробкою планів видобутку корисних копалин. </w:t>
      </w:r>
    </w:p>
    <w:p w14:paraId="1D52B217" w14:textId="77777777" w:rsidR="008436B3" w:rsidRPr="008436B3" w:rsidRDefault="008436B3" w:rsidP="008436B3">
      <w:pPr>
        <w:spacing w:after="0" w:line="360" w:lineRule="auto"/>
        <w:ind w:firstLine="720"/>
        <w:jc w:val="both"/>
        <w:rPr>
          <w:rFonts w:ascii="Times New Roman" w:eastAsia="Times New Roman" w:hAnsi="Times New Roman" w:cs="Times New Roman"/>
          <w:sz w:val="28"/>
          <w:szCs w:val="28"/>
        </w:rPr>
      </w:pPr>
    </w:p>
    <w:p w14:paraId="0886DE72" w14:textId="77777777" w:rsidR="008436B3" w:rsidRPr="008436B3" w:rsidRDefault="008436B3" w:rsidP="008436B3">
      <w:pPr>
        <w:spacing w:after="0" w:line="360" w:lineRule="auto"/>
        <w:ind w:firstLine="720"/>
        <w:jc w:val="both"/>
        <w:rPr>
          <w:rFonts w:ascii="Times New Roman" w:eastAsia="Times New Roman" w:hAnsi="Times New Roman" w:cs="Times New Roman"/>
          <w:sz w:val="28"/>
          <w:szCs w:val="28"/>
        </w:rPr>
      </w:pPr>
    </w:p>
    <w:p w14:paraId="391076D5" w14:textId="77777777" w:rsidR="008436B3" w:rsidRPr="002A4A99" w:rsidRDefault="008436B3" w:rsidP="008436B3">
      <w:pPr>
        <w:spacing w:after="0" w:line="360" w:lineRule="auto"/>
        <w:ind w:firstLine="720"/>
        <w:jc w:val="both"/>
        <w:rPr>
          <w:rFonts w:ascii="Times New Roman" w:eastAsia="Times New Roman" w:hAnsi="Times New Roman" w:cs="Times New Roman"/>
          <w:sz w:val="28"/>
          <w:szCs w:val="28"/>
        </w:rPr>
      </w:pPr>
    </w:p>
    <w:p w14:paraId="0F20D79A" w14:textId="77777777" w:rsidR="00D650BF" w:rsidRPr="00D6276F" w:rsidRDefault="00D650BF" w:rsidP="008E765D">
      <w:pPr>
        <w:spacing w:after="0"/>
        <w:rPr>
          <w:rFonts w:ascii="Times New Roman" w:hAnsi="Times New Roman" w:cs="Times New Roman"/>
          <w:sz w:val="36"/>
          <w:szCs w:val="36"/>
        </w:rPr>
      </w:pPr>
      <w:r w:rsidRPr="00D6276F">
        <w:rPr>
          <w:rFonts w:ascii="Times New Roman" w:hAnsi="Times New Roman" w:cs="Times New Roman"/>
          <w:b/>
        </w:rPr>
        <w:br w:type="page"/>
      </w:r>
    </w:p>
    <w:p w14:paraId="79FBF753" w14:textId="428AB1D0" w:rsidR="00B5077A" w:rsidRPr="002A4A99" w:rsidRDefault="00DD16FF" w:rsidP="002A4A99">
      <w:pPr>
        <w:pStyle w:val="2"/>
        <w:keepNext w:val="0"/>
        <w:keepLines w:val="0"/>
        <w:spacing w:before="0" w:after="0" w:line="360" w:lineRule="auto"/>
        <w:ind w:left="1080"/>
        <w:jc w:val="center"/>
        <w:rPr>
          <w:rFonts w:ascii="Times New Roman" w:hAnsi="Times New Roman" w:cs="Times New Roman"/>
          <w:b w:val="0"/>
        </w:rPr>
      </w:pPr>
      <w:bookmarkStart w:id="37" w:name="_Toc155658281"/>
      <w:r w:rsidRPr="002A4A99">
        <w:rPr>
          <w:rFonts w:ascii="Times New Roman" w:hAnsi="Times New Roman" w:cs="Times New Roman"/>
          <w:b w:val="0"/>
        </w:rPr>
        <w:lastRenderedPageBreak/>
        <w:t>СПИСОК ВИКОРИСТАН</w:t>
      </w:r>
      <w:r w:rsidR="006530A8" w:rsidRPr="002A4A99">
        <w:rPr>
          <w:rFonts w:ascii="Times New Roman" w:hAnsi="Times New Roman" w:cs="Times New Roman"/>
          <w:b w:val="0"/>
        </w:rPr>
        <w:t>ИХ ДЖЕРЕЛ</w:t>
      </w:r>
      <w:bookmarkEnd w:id="37"/>
    </w:p>
    <w:p w14:paraId="524C16D3" w14:textId="77777777" w:rsidR="00B5077A" w:rsidRPr="002A4A99" w:rsidRDefault="00B5077A" w:rsidP="009F254C">
      <w:pPr>
        <w:spacing w:after="0"/>
        <w:jc w:val="both"/>
        <w:rPr>
          <w:rFonts w:ascii="Times New Roman" w:hAnsi="Times New Roman" w:cs="Times New Roman"/>
          <w:b/>
        </w:rPr>
      </w:pPr>
    </w:p>
    <w:p w14:paraId="4C14773E" w14:textId="77777777" w:rsidR="00B5077A" w:rsidRPr="00D6276F" w:rsidRDefault="00DD16FF"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Christmann, P., 2018. Towards a more equitable use of mineral resources. Natural Resources Research 27,159–177. URL </w:t>
      </w:r>
      <w:hyperlink r:id="rId25">
        <w:r w:rsidRPr="00D6276F">
          <w:rPr>
            <w:rFonts w:ascii="Times New Roman" w:eastAsia="Times New Roman" w:hAnsi="Times New Roman" w:cs="Times New Roman"/>
            <w:color w:val="0563C1"/>
            <w:sz w:val="28"/>
            <w:szCs w:val="28"/>
            <w:u w:val="single"/>
          </w:rPr>
          <w:t>https://link.springer.com/article/10.1007/s11053-017-9343-6</w:t>
        </w:r>
      </w:hyperlink>
      <w:r w:rsidRPr="00D6276F">
        <w:rPr>
          <w:rFonts w:ascii="Times New Roman" w:eastAsia="Times New Roman" w:hAnsi="Times New Roman" w:cs="Times New Roman"/>
          <w:color w:val="000000"/>
          <w:sz w:val="28"/>
          <w:szCs w:val="28"/>
        </w:rPr>
        <w:t xml:space="preserve"> (дата звернення 20.10.2023).</w:t>
      </w:r>
    </w:p>
    <w:p w14:paraId="482F5027" w14:textId="77777777" w:rsidR="00B5077A" w:rsidRPr="00D6276F" w:rsidRDefault="00DD16FF"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Marie Forget, Magali Rossi, Mining region value and vulnerabilities: Evolutions over the mine life cycle. The Extractive Industries and Society, Volume 8, Issue 1, 2021, URL </w:t>
      </w:r>
      <w:hyperlink r:id="rId26" w:anchor="preview-section-cited-by">
        <w:r w:rsidRPr="00D6276F">
          <w:rPr>
            <w:rFonts w:ascii="Times New Roman" w:eastAsia="Times New Roman" w:hAnsi="Times New Roman" w:cs="Times New Roman"/>
            <w:color w:val="0563C1"/>
            <w:sz w:val="28"/>
            <w:szCs w:val="28"/>
            <w:u w:val="single"/>
          </w:rPr>
          <w:t>https://www.sciencedirect.com/science/article/abs/pii/S2214790X20302136#preview-section-cited-by</w:t>
        </w:r>
      </w:hyperlink>
      <w:r w:rsidRPr="002A4A99">
        <w:rPr>
          <w:rFonts w:ascii="Times New Roman" w:hAnsi="Times New Roman" w:cs="Times New Roman"/>
          <w:color w:val="000000"/>
        </w:rPr>
        <w:t xml:space="preserve"> </w:t>
      </w:r>
      <w:r w:rsidRPr="00D6276F">
        <w:rPr>
          <w:rFonts w:ascii="Times New Roman" w:eastAsia="Times New Roman" w:hAnsi="Times New Roman" w:cs="Times New Roman"/>
          <w:color w:val="000000"/>
          <w:sz w:val="28"/>
          <w:szCs w:val="28"/>
        </w:rPr>
        <w:t xml:space="preserve">  (дата звернення 20.10.2023).</w:t>
      </w:r>
    </w:p>
    <w:p w14:paraId="18B2BD87" w14:textId="77777777" w:rsidR="001A3B78" w:rsidRPr="00D6276F" w:rsidRDefault="00DD16FF"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Social and environmental impacts of mining activities in the EU, 2022 URL</w:t>
      </w:r>
      <w:hyperlink r:id="rId27">
        <w:r w:rsidRPr="00D6276F">
          <w:rPr>
            <w:rFonts w:ascii="Times New Roman" w:eastAsia="Times New Roman" w:hAnsi="Times New Roman" w:cs="Times New Roman"/>
            <w:color w:val="000000"/>
            <w:sz w:val="28"/>
            <w:szCs w:val="28"/>
          </w:rPr>
          <w:t>https://www.europarl.europa.eu/RegData/etudes/STUD/2022/729156/IPOL_STU(2022)729156_EN.pdf</w:t>
        </w:r>
      </w:hyperlink>
      <w:r w:rsidRPr="00D6276F">
        <w:rPr>
          <w:rFonts w:ascii="Times New Roman" w:eastAsia="Times New Roman" w:hAnsi="Times New Roman" w:cs="Times New Roman"/>
          <w:color w:val="000000"/>
          <w:sz w:val="28"/>
          <w:szCs w:val="28"/>
        </w:rPr>
        <w:t xml:space="preserve"> (дата звернення 17.03.2023).</w:t>
      </w:r>
      <w:r w:rsidR="001A3B78" w:rsidRPr="00D6276F">
        <w:rPr>
          <w:rFonts w:ascii="Times New Roman" w:eastAsia="Times New Roman" w:hAnsi="Times New Roman" w:cs="Times New Roman"/>
          <w:color w:val="000000"/>
          <w:sz w:val="28"/>
          <w:szCs w:val="28"/>
        </w:rPr>
        <w:t xml:space="preserve"> </w:t>
      </w:r>
    </w:p>
    <w:p w14:paraId="468EBE82" w14:textId="1555D38C" w:rsidR="007D50E8" w:rsidRPr="00D6276F" w:rsidRDefault="00DD16FF"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Benjamin Smith. Mining for Closure. Sustainable Mine Practices, Rehabilitation and Integrated Mine Closure Planning URL </w:t>
      </w:r>
      <w:hyperlink r:id="rId28">
        <w:r w:rsidRPr="00D6276F">
          <w:rPr>
            <w:rFonts w:ascii="Times New Roman" w:eastAsia="Times New Roman" w:hAnsi="Times New Roman" w:cs="Times New Roman"/>
            <w:color w:val="000000"/>
            <w:sz w:val="28"/>
            <w:szCs w:val="28"/>
          </w:rPr>
          <w:t>https://autodocbox.com/68136686-Electric_Vehicle/Considerations-and-recommendations-in-mine-closure-policy-in-papua-new-guinea.html</w:t>
        </w:r>
      </w:hyperlink>
      <w:r w:rsidRPr="00D6276F">
        <w:rPr>
          <w:rFonts w:ascii="Times New Roman" w:eastAsia="Times New Roman" w:hAnsi="Times New Roman" w:cs="Times New Roman"/>
          <w:color w:val="000000"/>
          <w:sz w:val="28"/>
          <w:szCs w:val="28"/>
        </w:rPr>
        <w:t xml:space="preserve"> (дата звернення 17.03.2023).</w:t>
      </w:r>
    </w:p>
    <w:p w14:paraId="00D45E6F" w14:textId="77777777" w:rsidR="00655BE3" w:rsidRPr="00D6276F" w:rsidRDefault="007D50E8"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2A4A99">
        <w:rPr>
          <w:rFonts w:ascii="Times New Roman" w:hAnsi="Times New Roman" w:cs="Times New Roman"/>
          <w:sz w:val="28"/>
          <w:szCs w:val="28"/>
        </w:rPr>
        <w:t>17 Цілей сталого розвитку  URL https://globalcompact.org.ua/tsili-stijkogo-rozvytku/ (дата звернення 15.04.2023).</w:t>
      </w:r>
    </w:p>
    <w:p w14:paraId="3ADBA622" w14:textId="77777777" w:rsidR="00655BE3" w:rsidRPr="00D6276F" w:rsidRDefault="00655BE3"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The Canadian Mining Story. Towards Sustainable Mining:</w:t>
      </w:r>
      <w:r w:rsidRPr="00D6276F">
        <w:rPr>
          <w:rFonts w:ascii="Times New Roman" w:hAnsi="Times New Roman" w:cs="Times New Roman"/>
          <w:sz w:val="28"/>
          <w:szCs w:val="28"/>
        </w:rPr>
        <w:br/>
        <w:t xml:space="preserve">Driving ESG in Mining URL </w:t>
      </w:r>
      <w:hyperlink r:id="rId29" w:history="1">
        <w:r w:rsidRPr="00D6276F">
          <w:rPr>
            <w:rStyle w:val="a9"/>
            <w:rFonts w:ascii="Times New Roman" w:hAnsi="Times New Roman" w:cs="Times New Roman"/>
            <w:sz w:val="28"/>
            <w:szCs w:val="28"/>
          </w:rPr>
          <w:t>https://mailchi.mp/mining/industrie-miniere-canadienne-pratiques-esg-et-mobilisation-des-autochtones-6040491</w:t>
        </w:r>
      </w:hyperlink>
      <w:r w:rsidRPr="00D6276F">
        <w:rPr>
          <w:rFonts w:ascii="Times New Roman" w:hAnsi="Times New Roman" w:cs="Times New Roman"/>
          <w:sz w:val="28"/>
          <w:szCs w:val="28"/>
        </w:rPr>
        <w:t xml:space="preserve"> (дата звернення 17.03.2023).</w:t>
      </w:r>
    </w:p>
    <w:p w14:paraId="60282992" w14:textId="11408641" w:rsidR="00655BE3" w:rsidRPr="00D6276F" w:rsidRDefault="00655BE3"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Józef Dubiński. Sustainable Development of Mining Mineral Resources. - </w:t>
      </w:r>
      <w:hyperlink r:id="rId30" w:tooltip="Go to Journal of Sustainable Mining on ScienceDirect" w:history="1">
        <w:r w:rsidRPr="00D6276F">
          <w:rPr>
            <w:rFonts w:ascii="Times New Roman" w:hAnsi="Times New Roman" w:cs="Times New Roman"/>
            <w:sz w:val="28"/>
            <w:szCs w:val="28"/>
          </w:rPr>
          <w:t>Journal of Sustainable Mining</w:t>
        </w:r>
      </w:hyperlink>
      <w:r w:rsidRPr="00D6276F">
        <w:rPr>
          <w:rFonts w:ascii="Times New Roman" w:hAnsi="Times New Roman" w:cs="Times New Roman"/>
          <w:sz w:val="28"/>
          <w:szCs w:val="28"/>
        </w:rPr>
        <w:t xml:space="preserve">. </w:t>
      </w:r>
      <w:hyperlink r:id="rId31" w:tooltip="Go to table of contents for this volume/issue" w:history="1">
        <w:r w:rsidRPr="00D6276F">
          <w:rPr>
            <w:rFonts w:ascii="Times New Roman" w:hAnsi="Times New Roman" w:cs="Times New Roman"/>
            <w:sz w:val="28"/>
            <w:szCs w:val="28"/>
          </w:rPr>
          <w:t>Volume 12, Issue 1</w:t>
        </w:r>
      </w:hyperlink>
      <w:r w:rsidRPr="00D6276F">
        <w:rPr>
          <w:rFonts w:ascii="Times New Roman" w:hAnsi="Times New Roman" w:cs="Times New Roman"/>
          <w:sz w:val="28"/>
          <w:szCs w:val="28"/>
        </w:rPr>
        <w:t xml:space="preserve">, 2013, Pages 1-6 URL </w:t>
      </w:r>
      <w:hyperlink r:id="rId32" w:history="1">
        <w:r w:rsidRPr="00D6276F">
          <w:rPr>
            <w:rStyle w:val="a9"/>
            <w:rFonts w:ascii="Times New Roman" w:hAnsi="Times New Roman" w:cs="Times New Roman"/>
            <w:sz w:val="28"/>
            <w:szCs w:val="28"/>
          </w:rPr>
          <w:t>https://www.sciencedirect.com/science/article/pii/S2300396015300446?via%3Dihub</w:t>
        </w:r>
      </w:hyperlink>
      <w:r w:rsidRPr="00D6276F">
        <w:rPr>
          <w:rFonts w:ascii="Times New Roman" w:hAnsi="Times New Roman" w:cs="Times New Roman"/>
          <w:sz w:val="28"/>
          <w:szCs w:val="28"/>
        </w:rPr>
        <w:t xml:space="preserve">  (дата звернення 17.04.2023).</w:t>
      </w:r>
    </w:p>
    <w:p w14:paraId="03126061" w14:textId="77777777" w:rsidR="00202924" w:rsidRPr="00D6276F" w:rsidRDefault="001A3B78"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Statutory Guidelines for Mine Closure Plans. Version 4.0 Effective from 3 March 2020 (updated in January 2023). Government of Western Australia Department </w:t>
      </w:r>
      <w:r w:rsidRPr="00D6276F">
        <w:rPr>
          <w:rFonts w:ascii="Times New Roman" w:hAnsi="Times New Roman" w:cs="Times New Roman"/>
          <w:sz w:val="28"/>
          <w:szCs w:val="28"/>
        </w:rPr>
        <w:lastRenderedPageBreak/>
        <w:t xml:space="preserve">of Mines, Industry Regulation and Safety URL </w:t>
      </w:r>
      <w:hyperlink r:id="rId33" w:history="1">
        <w:r w:rsidRPr="00D6276F">
          <w:rPr>
            <w:rFonts w:ascii="Times New Roman" w:hAnsi="Times New Roman" w:cs="Times New Roman"/>
            <w:sz w:val="28"/>
            <w:szCs w:val="28"/>
          </w:rPr>
          <w:t>https://www.srk.com/en/services/environment-community-and-mine-closure?gad=1&amp;gclid=CjwKCAjwg-GjBhBnEiwAMUvNW-NTBf29iLuZUkmSADrweB6XW8RyZtUqVDMQ-EDsANC1fTPXxei2khoCgIEQAvD_BwE</w:t>
        </w:r>
      </w:hyperlink>
      <w:r w:rsidRPr="00D6276F">
        <w:rPr>
          <w:rFonts w:ascii="Times New Roman" w:hAnsi="Times New Roman" w:cs="Times New Roman"/>
          <w:sz w:val="28"/>
          <w:szCs w:val="28"/>
        </w:rPr>
        <w:t xml:space="preserve"> (дата звернення 15.04.2023).</w:t>
      </w:r>
    </w:p>
    <w:p w14:paraId="18EE50F7" w14:textId="77777777" w:rsidR="00A75397" w:rsidRPr="00D6276F" w:rsidRDefault="00202924"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International Council on Mining and Metals (ICMM). Integrated Mine Closure URL </w:t>
      </w:r>
      <w:hyperlink r:id="rId34" w:history="1">
        <w:r w:rsidRPr="00D6276F">
          <w:rPr>
            <w:rFonts w:ascii="Times New Roman" w:hAnsi="Times New Roman" w:cs="Times New Roman"/>
            <w:sz w:val="28"/>
            <w:szCs w:val="28"/>
          </w:rPr>
          <w:t>https://www.icmm.com/website/publications/pdfs/environmental-stewardship/2019/guidance_integrated-mine-closure.pdf?cb=21081</w:t>
        </w:r>
      </w:hyperlink>
      <w:r w:rsidRPr="00D6276F">
        <w:rPr>
          <w:rFonts w:ascii="Times New Roman" w:hAnsi="Times New Roman" w:cs="Times New Roman"/>
          <w:sz w:val="28"/>
          <w:szCs w:val="28"/>
        </w:rPr>
        <w:t xml:space="preserve"> (дата звернення 15.04.2023). </w:t>
      </w:r>
    </w:p>
    <w:p w14:paraId="22261EF9" w14:textId="77777777" w:rsidR="00664FE3" w:rsidRPr="00D6276F" w:rsidRDefault="00A75397"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Why an Early, Integrated Approach to Mine Closure? Holly Williams, Cesar Oboni, Marcela Curotto, Nicole Dunne, in collaboration with the Mining Journal URL </w:t>
      </w:r>
      <w:hyperlink r:id="rId35" w:history="1">
        <w:r w:rsidRPr="00D6276F">
          <w:rPr>
            <w:rFonts w:ascii="Times New Roman" w:hAnsi="Times New Roman" w:cs="Times New Roman"/>
            <w:sz w:val="28"/>
            <w:szCs w:val="28"/>
          </w:rPr>
          <w:t>https://www.srk.com/en/publications/why-an-early-integrated-approach-to-mine-closure</w:t>
        </w:r>
      </w:hyperlink>
      <w:r w:rsidRPr="00D6276F">
        <w:rPr>
          <w:rFonts w:ascii="Times New Roman" w:hAnsi="Times New Roman" w:cs="Times New Roman"/>
          <w:sz w:val="28"/>
          <w:szCs w:val="28"/>
        </w:rPr>
        <w:t xml:space="preserve"> (дата звернення 15.11.2023). </w:t>
      </w:r>
    </w:p>
    <w:p w14:paraId="7BB602EB" w14:textId="77777777" w:rsidR="00E46097" w:rsidRPr="00D6276F" w:rsidRDefault="00664FE3"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Mine Closure Strategy and Planning URL </w:t>
      </w:r>
      <w:hyperlink r:id="rId36" w:history="1">
        <w:r w:rsidRPr="00D6276F">
          <w:rPr>
            <w:rStyle w:val="a9"/>
            <w:rFonts w:ascii="Times New Roman" w:hAnsi="Times New Roman" w:cs="Times New Roman"/>
            <w:sz w:val="28"/>
            <w:szCs w:val="28"/>
          </w:rPr>
          <w:t>https://www.srk.com/en/services/mine-closure-strategy-and-planning</w:t>
        </w:r>
      </w:hyperlink>
      <w:r w:rsidRPr="00D6276F">
        <w:rPr>
          <w:rFonts w:ascii="Times New Roman" w:hAnsi="Times New Roman" w:cs="Times New Roman"/>
          <w:sz w:val="28"/>
          <w:szCs w:val="28"/>
        </w:rPr>
        <w:t xml:space="preserve"> (дата звернення 15.11.2023).</w:t>
      </w:r>
    </w:p>
    <w:p w14:paraId="7F1A94FC" w14:textId="77777777" w:rsidR="00B26C2A" w:rsidRPr="00D6276F" w:rsidRDefault="00E46097"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Global Cement and Concrete Association. GCCA Sustainability Guidelines for Quarry Rehabilitation and Biodiversity Management. Мау 2020. URL </w:t>
      </w:r>
      <w:hyperlink r:id="rId37" w:history="1">
        <w:r w:rsidRPr="00D6276F">
          <w:rPr>
            <w:rFonts w:ascii="Times New Roman" w:hAnsi="Times New Roman" w:cs="Times New Roman"/>
            <w:sz w:val="28"/>
            <w:szCs w:val="28"/>
          </w:rPr>
          <w:t>https://gccassociation.org/wp-content/uploads/2020/05/GCCA_Guidelines_Sustainability_Biodiversity_Quarry_RehabiliRehabi_May_2020-1.pdf</w:t>
        </w:r>
      </w:hyperlink>
      <w:r w:rsidRPr="00D6276F">
        <w:rPr>
          <w:rFonts w:ascii="Times New Roman" w:hAnsi="Times New Roman" w:cs="Times New Roman"/>
          <w:sz w:val="28"/>
          <w:szCs w:val="28"/>
        </w:rPr>
        <w:t xml:space="preserve"> (дата звернення 15.04.2023). </w:t>
      </w:r>
    </w:p>
    <w:p w14:paraId="7E35CDE2" w14:textId="77777777" w:rsidR="00B26C2A" w:rsidRPr="00D6276F" w:rsidRDefault="00B26C2A"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 xml:space="preserve">Australia and New Zealand Minerals and Energy Council (ANZMEC), 2000, ‘Strategic Framework foe Mine Closure’, Australian Government, Canberra. URL </w:t>
      </w:r>
      <w:hyperlink r:id="rId38" w:history="1">
        <w:r w:rsidRPr="00D6276F">
          <w:rPr>
            <w:rFonts w:ascii="Times New Roman" w:hAnsi="Times New Roman" w:cs="Times New Roman"/>
            <w:sz w:val="28"/>
            <w:szCs w:val="28"/>
          </w:rPr>
          <w:t>https://www.sernageomin.cl/wp-content/uploads/2017/11/Strategic-Framework-Mine-Closure.pdf</w:t>
        </w:r>
      </w:hyperlink>
      <w:r w:rsidRPr="00D6276F">
        <w:rPr>
          <w:rFonts w:ascii="Times New Roman" w:hAnsi="Times New Roman" w:cs="Times New Roman"/>
          <w:sz w:val="28"/>
          <w:szCs w:val="28"/>
        </w:rPr>
        <w:t xml:space="preserve"> (дата звернення 15.04.2023).</w:t>
      </w:r>
    </w:p>
    <w:p w14:paraId="26C08943" w14:textId="77777777" w:rsidR="00C36FBF" w:rsidRPr="00D6276F" w:rsidRDefault="00B26C2A"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GRI Sector Standards Project for Mining – Exposure draft, 2023</w:t>
      </w:r>
      <w:hyperlink r:id="rId39" w:history="1">
        <w:r w:rsidRPr="00D6276F">
          <w:rPr>
            <w:rFonts w:ascii="Times New Roman" w:hAnsi="Times New Roman" w:cs="Times New Roman"/>
            <w:sz w:val="28"/>
            <w:szCs w:val="28"/>
          </w:rPr>
          <w:t>https://www.globalreporting.org/media/zilbm3qo/gri_mining_sector_standard_exposure_draft.pdf</w:t>
        </w:r>
      </w:hyperlink>
      <w:r w:rsidRPr="00D6276F">
        <w:rPr>
          <w:rFonts w:ascii="Times New Roman" w:hAnsi="Times New Roman" w:cs="Times New Roman"/>
          <w:sz w:val="28"/>
          <w:szCs w:val="28"/>
        </w:rPr>
        <w:t xml:space="preserve"> (дата звернення 15.05.2023).</w:t>
      </w:r>
    </w:p>
    <w:p w14:paraId="0EF79BC4" w14:textId="77777777" w:rsidR="00673F53" w:rsidRPr="00D6276F" w:rsidRDefault="00C36FBF"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lastRenderedPageBreak/>
        <w:t xml:space="preserve">International Council on Mining and Metals (ICMM). Mining Principles URL </w:t>
      </w:r>
      <w:hyperlink r:id="rId40" w:history="1">
        <w:r w:rsidRPr="00D6276F">
          <w:rPr>
            <w:rStyle w:val="a9"/>
            <w:rFonts w:ascii="Times New Roman" w:hAnsi="Times New Roman" w:cs="Times New Roman"/>
            <w:sz w:val="28"/>
            <w:szCs w:val="28"/>
          </w:rPr>
          <w:t>https://www.icmm.com/website/publications/pdfs/mining-principles/mining-principles.pdf</w:t>
        </w:r>
      </w:hyperlink>
      <w:r w:rsidRPr="00D6276F">
        <w:rPr>
          <w:rFonts w:ascii="Times New Roman" w:hAnsi="Times New Roman" w:cs="Times New Roman"/>
          <w:sz w:val="28"/>
          <w:szCs w:val="28"/>
        </w:rPr>
        <w:t xml:space="preserve"> (дата звернення 15.04.2023). </w:t>
      </w:r>
    </w:p>
    <w:p w14:paraId="49E19D5A" w14:textId="77777777" w:rsidR="00673F53" w:rsidRPr="00D6276F" w:rsidRDefault="00673F53"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IPCC (2014). Climate change 2014: synthesis report. Contribution of working groups I, II and III to the Fifth Assessment Report of the Intergovernmental Panel on Climate Change [core writing team, RK Pachauri and LA Meyer (eds)]. Geneva, Switzerland: IPCC. 151 pp.</w:t>
      </w:r>
    </w:p>
    <w:p w14:paraId="197F0192" w14:textId="77777777" w:rsidR="00676BE2" w:rsidRPr="00D6276F" w:rsidRDefault="00673F53"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ICMM  interactive/online Mining Climate Assessment tool URL https://icmm-mica-live. azurewebsites.net  (дата звернення 15.04.2023).</w:t>
      </w:r>
    </w:p>
    <w:p w14:paraId="614422F6" w14:textId="77777777" w:rsidR="00676BE2" w:rsidRPr="00D6276F" w:rsidRDefault="00676BE2" w:rsidP="009F254C">
      <w:pPr>
        <w:numPr>
          <w:ilvl w:val="0"/>
          <w:numId w:val="1"/>
        </w:numPr>
        <w:pBdr>
          <w:top w:val="nil"/>
          <w:left w:val="nil"/>
          <w:bottom w:val="nil"/>
          <w:right w:val="nil"/>
          <w:between w:val="nil"/>
        </w:pBdr>
        <w:spacing w:after="0" w:line="360" w:lineRule="auto"/>
        <w:ind w:left="0" w:firstLine="0"/>
        <w:jc w:val="both"/>
        <w:rPr>
          <w:rFonts w:ascii="Times New Roman" w:hAnsi="Times New Roman" w:cs="Times New Roman"/>
          <w:sz w:val="28"/>
          <w:szCs w:val="28"/>
        </w:rPr>
      </w:pPr>
      <w:r w:rsidRPr="00D6276F">
        <w:rPr>
          <w:rFonts w:ascii="Times New Roman" w:hAnsi="Times New Roman" w:cs="Times New Roman"/>
          <w:sz w:val="28"/>
          <w:szCs w:val="28"/>
        </w:rPr>
        <w:t>WBCSD. 2018. Methodology for the Net Impact Assessment of Biodiversity in the Cement Sector, World Business Council for Sustainable Development, December 2018.</w:t>
      </w:r>
    </w:p>
    <w:p w14:paraId="0C1A6C11" w14:textId="0DFE2DAF" w:rsidR="00676BE2" w:rsidRPr="00D6276F" w:rsidRDefault="00676BE2"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hAnsi="Times New Roman" w:cs="Times New Roman"/>
          <w:sz w:val="28"/>
          <w:szCs w:val="28"/>
        </w:rPr>
        <w:t xml:space="preserve">Coal Mine Closure Standards, by Mr. Raymond C. Pilcher, President, Raven Ridge Resources, Incorporated/ Chair UNECE GoE on CMM and </w:t>
      </w:r>
      <w:r w:rsidRPr="00D6276F">
        <w:rPr>
          <w:rFonts w:ascii="Times New Roman" w:eastAsia="Times New Roman" w:hAnsi="Times New Roman" w:cs="Times New Roman"/>
          <w:color w:val="000000"/>
          <w:sz w:val="28"/>
          <w:szCs w:val="28"/>
        </w:rPr>
        <w:t xml:space="preserve">Just Transition URL </w:t>
      </w:r>
      <w:hyperlink r:id="rId41" w:history="1">
        <w:r w:rsidRPr="00D6276F">
          <w:rPr>
            <w:rFonts w:ascii="Times New Roman" w:eastAsia="Times New Roman" w:hAnsi="Times New Roman" w:cs="Times New Roman"/>
            <w:color w:val="000000"/>
            <w:sz w:val="28"/>
            <w:szCs w:val="28"/>
          </w:rPr>
          <w:t>https://unece.org/sed/documents/2022/03/presentations/coal-mine-closure-standards-mr-raymond-c-pilcher-president</w:t>
        </w:r>
      </w:hyperlink>
      <w:r w:rsidRPr="00D6276F">
        <w:rPr>
          <w:rFonts w:ascii="Times New Roman" w:eastAsia="Times New Roman" w:hAnsi="Times New Roman" w:cs="Times New Roman"/>
          <w:color w:val="000000"/>
          <w:sz w:val="28"/>
          <w:szCs w:val="28"/>
        </w:rPr>
        <w:t xml:space="preserve"> (дата звернення 15.04.2023). </w:t>
      </w:r>
    </w:p>
    <w:p w14:paraId="5D920B77"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Принципи ревіталізації відпрацьованих кар’єрів на прикладі м. Кривий Ріг. Харченко К.С., Чорна В.І., Ворошилова Н.В., Бєлкіна М.Д. Український журнал будівництва та архітектури, № 2 (002), 2021, ISSN (print) 2710-0367, ISSN (online) 2710-0375. </w:t>
      </w:r>
    </w:p>
    <w:p w14:paraId="46CEB4F6"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GUIDE TO FINANCIAL ASSURANCE FOR MINE CLOSURE IN ARGENTINA: Toward responsible mine closure. The International Institute for Sustainable Development Published by the International Institute for Sustainable Development. 2021 URL </w:t>
      </w:r>
      <w:hyperlink r:id="rId42" w:history="1">
        <w:r w:rsidRPr="00D6276F">
          <w:rPr>
            <w:rFonts w:ascii="Times New Roman" w:eastAsia="Times New Roman" w:hAnsi="Times New Roman" w:cs="Times New Roman"/>
            <w:color w:val="000000"/>
            <w:sz w:val="28"/>
            <w:szCs w:val="28"/>
          </w:rPr>
          <w:t>https://www.iisd.org/system/files/2021-09/financially-assured-mine-closure-argentina-en.pdf</w:t>
        </w:r>
      </w:hyperlink>
      <w:r w:rsidRPr="00D6276F">
        <w:rPr>
          <w:rFonts w:ascii="Times New Roman" w:eastAsia="Times New Roman" w:hAnsi="Times New Roman" w:cs="Times New Roman"/>
          <w:color w:val="000000"/>
          <w:sz w:val="28"/>
          <w:szCs w:val="28"/>
        </w:rPr>
        <w:t xml:space="preserve"> (дата звернення 15.04.2023). </w:t>
      </w:r>
    </w:p>
    <w:p w14:paraId="03012E51"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Sánchez, L.E.; Silva-Sánchez, S.S.; Neri, A.C. Guide for Mine Closure Planning. Brasília, 2014, IBRAM – Brazilian Mining Association. 2014 URL </w:t>
      </w:r>
      <w:hyperlink r:id="rId43" w:history="1">
        <w:r w:rsidRPr="00D6276F">
          <w:rPr>
            <w:rFonts w:ascii="Times New Roman" w:eastAsia="Times New Roman" w:hAnsi="Times New Roman" w:cs="Times New Roman"/>
            <w:color w:val="000000"/>
            <w:sz w:val="28"/>
            <w:szCs w:val="28"/>
          </w:rPr>
          <w:t>https://ibram.org.br/wp-content/uploads/2021/02/guia_ingles-1.pdf</w:t>
        </w:r>
      </w:hyperlink>
      <w:r w:rsidRPr="00D6276F">
        <w:rPr>
          <w:rFonts w:ascii="Times New Roman" w:eastAsia="Times New Roman" w:hAnsi="Times New Roman" w:cs="Times New Roman"/>
          <w:color w:val="000000"/>
          <w:sz w:val="28"/>
          <w:szCs w:val="28"/>
        </w:rPr>
        <w:t xml:space="preserve"> (дата звернення 15.04.2023). </w:t>
      </w:r>
    </w:p>
    <w:p w14:paraId="5F5A90F2"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lastRenderedPageBreak/>
        <w:t xml:space="preserve">Tracking the trends 2023 The indispensable role of mining and metals. Deloitte. 2023 URL </w:t>
      </w:r>
      <w:hyperlink r:id="rId44" w:history="1">
        <w:r w:rsidRPr="00D6276F">
          <w:rPr>
            <w:rFonts w:ascii="Times New Roman" w:eastAsia="Times New Roman" w:hAnsi="Times New Roman" w:cs="Times New Roman"/>
            <w:color w:val="000000"/>
            <w:sz w:val="28"/>
            <w:szCs w:val="28"/>
          </w:rPr>
          <w:t>https://www.deloitte.com/global/en/Industries/mining-metals/about/tracking-the-trends.html</w:t>
        </w:r>
      </w:hyperlink>
      <w:r w:rsidRPr="00D6276F">
        <w:rPr>
          <w:rFonts w:ascii="Times New Roman" w:eastAsia="Times New Roman" w:hAnsi="Times New Roman" w:cs="Times New Roman"/>
          <w:color w:val="000000"/>
          <w:sz w:val="28"/>
          <w:szCs w:val="28"/>
        </w:rPr>
        <w:t xml:space="preserve"> (дата звернення 15.04.2023). </w:t>
      </w:r>
    </w:p>
    <w:p w14:paraId="3077849C"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Leading Practice Sustainable Development Program for the Mining Industry (Australia) - Mine Closure and Completion (2006) URL </w:t>
      </w:r>
      <w:hyperlink r:id="rId45" w:history="1">
        <w:r w:rsidRPr="00D6276F">
          <w:rPr>
            <w:rFonts w:ascii="Times New Roman" w:eastAsia="Times New Roman" w:hAnsi="Times New Roman" w:cs="Times New Roman"/>
            <w:color w:val="000000"/>
            <w:sz w:val="28"/>
            <w:szCs w:val="28"/>
          </w:rPr>
          <w:t>www.ret.gov.au/resources/Documents/LPSDP/LPSDP-MineClosureCompletionHandbook.pdf</w:t>
        </w:r>
      </w:hyperlink>
      <w:r w:rsidRPr="00D6276F">
        <w:rPr>
          <w:rFonts w:ascii="Times New Roman" w:eastAsia="Times New Roman" w:hAnsi="Times New Roman" w:cs="Times New Roman"/>
          <w:color w:val="000000"/>
          <w:sz w:val="28"/>
          <w:szCs w:val="28"/>
        </w:rPr>
        <w:t xml:space="preserve"> (дата звернення 15.04.2023). </w:t>
      </w:r>
    </w:p>
    <w:p w14:paraId="74272657"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Mining and Metals Scenarios to 2030. World economic forum. URL</w:t>
      </w:r>
      <w:hyperlink r:id="rId46" w:history="1">
        <w:r w:rsidRPr="00D6276F">
          <w:rPr>
            <w:rFonts w:ascii="Times New Roman" w:eastAsia="Times New Roman" w:hAnsi="Times New Roman" w:cs="Times New Roman"/>
            <w:color w:val="000000"/>
            <w:sz w:val="28"/>
            <w:szCs w:val="28"/>
          </w:rPr>
          <w:t>https://www.mckinsey.com/~/media/mckinsey/dotcom/client_service/metals%20and%20mining/pdfs/mining_metals_scenarios.ashx</w:t>
        </w:r>
      </w:hyperlink>
      <w:r w:rsidRPr="00D6276F">
        <w:rPr>
          <w:rFonts w:ascii="Times New Roman" w:eastAsia="Times New Roman" w:hAnsi="Times New Roman" w:cs="Times New Roman"/>
          <w:color w:val="000000"/>
          <w:sz w:val="28"/>
          <w:szCs w:val="28"/>
        </w:rPr>
        <w:t xml:space="preserve"> (дата звернення 15.04.2023). </w:t>
      </w:r>
    </w:p>
    <w:p w14:paraId="1CF6D75C"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Mining &amp; Metals 2023: Lifting the fog of uncertainty. Rebecca Campbell, Damien Nyer and John Tivey. 2023. URL </w:t>
      </w:r>
      <w:hyperlink r:id="rId47" w:history="1">
        <w:r w:rsidRPr="00D6276F">
          <w:rPr>
            <w:rFonts w:ascii="Times New Roman" w:eastAsia="Times New Roman" w:hAnsi="Times New Roman" w:cs="Times New Roman"/>
            <w:color w:val="000000"/>
            <w:sz w:val="28"/>
            <w:szCs w:val="28"/>
          </w:rPr>
          <w:t>https://www.whitecase.com/insight-our-thinking/mining-metals-2023-lifting-fog-uncertainty</w:t>
        </w:r>
      </w:hyperlink>
      <w:r w:rsidRPr="00D6276F">
        <w:rPr>
          <w:rFonts w:ascii="Times New Roman" w:eastAsia="Times New Roman" w:hAnsi="Times New Roman" w:cs="Times New Roman"/>
          <w:color w:val="000000"/>
          <w:sz w:val="28"/>
          <w:szCs w:val="28"/>
        </w:rPr>
        <w:t xml:space="preserve"> (дата звернення 15.04.2023). </w:t>
      </w:r>
    </w:p>
    <w:p w14:paraId="44B0B2B9"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Rebecca Campbell, Damien Nyer and John Tivey. Mining &amp; Metals survey: Your thoughts for 2023. whitecase.com URL </w:t>
      </w:r>
      <w:hyperlink r:id="rId48" w:history="1">
        <w:r w:rsidRPr="00D6276F">
          <w:rPr>
            <w:rFonts w:ascii="Times New Roman" w:eastAsia="Times New Roman" w:hAnsi="Times New Roman" w:cs="Times New Roman"/>
            <w:color w:val="000000"/>
            <w:sz w:val="28"/>
            <w:szCs w:val="28"/>
          </w:rPr>
          <w:t>https://www.whitecase.com/insight-our-thinking/mining-metals-2023-lifting-fog-uncertainty</w:t>
        </w:r>
      </w:hyperlink>
      <w:r w:rsidRPr="00D6276F">
        <w:rPr>
          <w:rFonts w:ascii="Times New Roman" w:eastAsia="Times New Roman" w:hAnsi="Times New Roman" w:cs="Times New Roman"/>
          <w:color w:val="000000"/>
          <w:sz w:val="28"/>
          <w:szCs w:val="28"/>
        </w:rPr>
        <w:t xml:space="preserve"> (дата звернення 15.04.2023). </w:t>
      </w:r>
    </w:p>
    <w:p w14:paraId="49C535ED"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Statutory Guidelines for Mine Closure Plans. Version 4.0 Effective from 3 March 2020 (updated in January 2023). Government of Western Australia Department of Mines, Industry Regulation and Safety URL </w:t>
      </w:r>
      <w:hyperlink r:id="rId49" w:history="1">
        <w:r w:rsidRPr="00D6276F">
          <w:rPr>
            <w:rFonts w:ascii="Times New Roman" w:eastAsia="Times New Roman" w:hAnsi="Times New Roman" w:cs="Times New Roman"/>
            <w:color w:val="000000"/>
            <w:sz w:val="28"/>
            <w:szCs w:val="28"/>
          </w:rPr>
          <w:t>https://www.srk.com/en/services/environment-community-and-mine-closure?gad=1&amp;gclid=CjwKCAjwg-GjBhBnEiwAMUvNW-NTBf29iLuZUkmSADrweB6XW8RyZtUqVDMQ-EDsANC1fTPXxei2khoCgIEQAvD_BwE</w:t>
        </w:r>
      </w:hyperlink>
      <w:r w:rsidRPr="00D6276F">
        <w:rPr>
          <w:rFonts w:ascii="Times New Roman" w:eastAsia="Times New Roman" w:hAnsi="Times New Roman" w:cs="Times New Roman"/>
          <w:color w:val="000000"/>
          <w:sz w:val="28"/>
          <w:szCs w:val="28"/>
        </w:rPr>
        <w:t xml:space="preserve"> (дата звернення 15.04.2023).</w:t>
      </w:r>
    </w:p>
    <w:p w14:paraId="2DB2B352" w14:textId="69506EF2"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Гірничий Закон України від 06 жовтня 1999 р. № 1127-XIV </w:t>
      </w:r>
    </w:p>
    <w:p w14:paraId="3B960BAF" w14:textId="5EF44200"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 Закон України про об’єкти підвищеної</w:t>
      </w:r>
      <w:r w:rsidR="00C24D90">
        <w:rPr>
          <w:rFonts w:ascii="Times New Roman" w:eastAsia="Times New Roman" w:hAnsi="Times New Roman" w:cs="Times New Roman"/>
          <w:color w:val="000000"/>
          <w:sz w:val="28"/>
          <w:szCs w:val="28"/>
        </w:rPr>
        <w:t xml:space="preserve"> небезпеки</w:t>
      </w:r>
      <w:r w:rsidRPr="00D6276F">
        <w:rPr>
          <w:rFonts w:ascii="Times New Roman" w:eastAsia="Times New Roman" w:hAnsi="Times New Roman" w:cs="Times New Roman"/>
          <w:color w:val="000000"/>
          <w:sz w:val="28"/>
          <w:szCs w:val="28"/>
        </w:rPr>
        <w:t xml:space="preserve"> від 18 січня 2001 р. № 2245 </w:t>
      </w:r>
    </w:p>
    <w:p w14:paraId="064B0993" w14:textId="75F69F53"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Закон України про охорону навколишнього природного середовища від 25 червня 1991 р. № 1264-XII </w:t>
      </w:r>
    </w:p>
    <w:p w14:paraId="07BB0D72" w14:textId="5018AEF3"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Закон України про охорону земель від 19 червня 2003 р. № 0962 </w:t>
      </w:r>
    </w:p>
    <w:p w14:paraId="2DFF7501" w14:textId="645F9E93"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Земельний кодекс України від 25 жовтня 2001 р. №2768-14. </w:t>
      </w:r>
    </w:p>
    <w:p w14:paraId="5C6BEE6B"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lastRenderedPageBreak/>
        <w:t xml:space="preserve">Закон України про охорону праці від 21 листопада 2002 р. № 299-IV </w:t>
      </w:r>
    </w:p>
    <w:p w14:paraId="3C386FBF" w14:textId="02F3654B"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Кодекс України про надра від 27 липня 1994 р. № 132/94-ВР </w:t>
      </w:r>
    </w:p>
    <w:p w14:paraId="0D58403C" w14:textId="19C65B73" w:rsidR="00A75397"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Закон України про оцінку впливу на довкілля від 23.05.2017 </w:t>
      </w:r>
    </w:p>
    <w:p w14:paraId="40306BCD" w14:textId="77777777" w:rsidR="006D5DA4" w:rsidRPr="00D6276F" w:rsidRDefault="006D5DA4" w:rsidP="009F254C">
      <w:pPr>
        <w:numPr>
          <w:ilvl w:val="0"/>
          <w:numId w:val="1"/>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D6276F">
        <w:rPr>
          <w:rFonts w:ascii="Times New Roman" w:eastAsia="Times New Roman" w:hAnsi="Times New Roman" w:cs="Times New Roman"/>
          <w:color w:val="000000"/>
          <w:sz w:val="28"/>
          <w:szCs w:val="28"/>
        </w:rPr>
        <w:t xml:space="preserve">Матеріали післяпроєктного моніторингу відповідно до Висновку з оцінки впливу на довкілля «Видобування вапняків та глини, придатних для використання у якості цементної сировини, Жовтокам’янського родовища (ділянка №3), розташованого в Апостолівському районі Дніпропетровської області. Проектна потужність видобутку становить 2565 тис. т/рік вапняку та 552,4 тис. т/рік глини»  №7-03/12-20181252328/2 від 20.03.2019  - 580 стор. </w:t>
      </w:r>
    </w:p>
    <w:p w14:paraId="19BE2742" w14:textId="77777777" w:rsidR="00B5077A" w:rsidRPr="002A4A99" w:rsidRDefault="00B5077A" w:rsidP="00AE7DE5">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14:paraId="39858EC1" w14:textId="77777777" w:rsidR="003C7A49" w:rsidRPr="002A4A99" w:rsidRDefault="003C7A49">
      <w:p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sectPr w:rsidR="003C7A49" w:rsidRPr="002A4A99" w:rsidSect="00E923BE">
      <w:footerReference w:type="default" r:id="rId50"/>
      <w:pgSz w:w="11906" w:h="16838"/>
      <w:pgMar w:top="1134" w:right="849" w:bottom="1134" w:left="1418" w:header="708" w:footer="708" w:gutter="0"/>
      <w:pgNumType w:start="59"/>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F5E318" w14:textId="77777777" w:rsidR="00495345" w:rsidRDefault="00495345" w:rsidP="007B43A6">
      <w:pPr>
        <w:spacing w:after="0" w:line="240" w:lineRule="auto"/>
      </w:pPr>
      <w:r>
        <w:separator/>
      </w:r>
    </w:p>
  </w:endnote>
  <w:endnote w:type="continuationSeparator" w:id="0">
    <w:p w14:paraId="47FB559E" w14:textId="77777777" w:rsidR="00495345" w:rsidRDefault="00495345" w:rsidP="007B43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Peterburg">
    <w:altName w:val="Times New Roman"/>
    <w:charset w:val="00"/>
    <w:family w:val="auto"/>
    <w:pitch w:val="variable"/>
    <w:sig w:usb0="00000207" w:usb1="00000000" w:usb2="00000000" w:usb3="00000000" w:csb0="0000001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72B3AA" w14:textId="77777777" w:rsidR="003772B3" w:rsidRDefault="003772B3">
    <w:pPr>
      <w:pStyle w:val="aff7"/>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26666051"/>
      <w:docPartObj>
        <w:docPartGallery w:val="Page Numbers (Bottom of Page)"/>
        <w:docPartUnique/>
      </w:docPartObj>
    </w:sdtPr>
    <w:sdtEndPr/>
    <w:sdtContent>
      <w:p w14:paraId="1D794209" w14:textId="6ED7C997" w:rsidR="003772B3" w:rsidRDefault="003772B3">
        <w:pPr>
          <w:pStyle w:val="aff7"/>
          <w:jc w:val="center"/>
        </w:pPr>
        <w:r>
          <w:fldChar w:fldCharType="begin"/>
        </w:r>
        <w:r>
          <w:instrText>PAGE   \* MERGEFORMAT</w:instrText>
        </w:r>
        <w:r>
          <w:fldChar w:fldCharType="separate"/>
        </w:r>
        <w:r w:rsidR="00A0530A" w:rsidRPr="00A0530A">
          <w:rPr>
            <w:noProof/>
            <w:lang w:val="ru-RU"/>
          </w:rPr>
          <w:t>7</w:t>
        </w:r>
        <w:r>
          <w:fldChar w:fldCharType="end"/>
        </w:r>
      </w:p>
    </w:sdtContent>
  </w:sdt>
  <w:p w14:paraId="6B7DD723" w14:textId="5E073225" w:rsidR="003772B3" w:rsidRDefault="003772B3">
    <w:pPr>
      <w:pStyle w:val="aff7"/>
      <w:ind w:right="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62EE06" w14:textId="77777777" w:rsidR="003772B3" w:rsidRDefault="003772B3">
    <w:pPr>
      <w:pStyle w:val="aff7"/>
      <w:framePr w:wrap="around" w:vAnchor="text" w:hAnchor="margin" w:xAlign="outside" w:y="1"/>
      <w:rPr>
        <w:rStyle w:val="affd"/>
      </w:rPr>
    </w:pPr>
  </w:p>
  <w:p w14:paraId="66522FF3" w14:textId="23A8BD97" w:rsidR="003772B3" w:rsidRDefault="003772B3">
    <w:pPr>
      <w:pStyle w:val="aff7"/>
      <w:ind w:right="360" w:firstLine="360"/>
      <w:jc w:val="center"/>
      <w:rPr>
        <w:rFonts w:ascii="Peterburg" w:hAnsi="Peterburg"/>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85685560"/>
      <w:docPartObj>
        <w:docPartGallery w:val="Page Numbers (Bottom of Page)"/>
        <w:docPartUnique/>
      </w:docPartObj>
    </w:sdtPr>
    <w:sdtEndPr/>
    <w:sdtContent>
      <w:p w14:paraId="2019C83C" w14:textId="1F38C333" w:rsidR="003772B3" w:rsidRDefault="003772B3">
        <w:pPr>
          <w:pStyle w:val="aff7"/>
          <w:jc w:val="center"/>
        </w:pPr>
        <w:r>
          <w:fldChar w:fldCharType="begin"/>
        </w:r>
        <w:r>
          <w:instrText>PAGE   \* MERGEFORMAT</w:instrText>
        </w:r>
        <w:r>
          <w:fldChar w:fldCharType="separate"/>
        </w:r>
        <w:r w:rsidR="00A0530A" w:rsidRPr="00A0530A">
          <w:rPr>
            <w:noProof/>
            <w:lang w:val="ru-RU"/>
          </w:rPr>
          <w:t>86</w:t>
        </w:r>
        <w:r>
          <w:fldChar w:fldCharType="end"/>
        </w:r>
      </w:p>
    </w:sdtContent>
  </w:sdt>
  <w:p w14:paraId="60D99604" w14:textId="77777777" w:rsidR="003772B3" w:rsidRDefault="003772B3">
    <w:pPr>
      <w:pStyle w:val="aff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C5421A" w14:textId="77777777" w:rsidR="00495345" w:rsidRDefault="00495345" w:rsidP="007B43A6">
      <w:pPr>
        <w:spacing w:after="0" w:line="240" w:lineRule="auto"/>
      </w:pPr>
      <w:r>
        <w:separator/>
      </w:r>
    </w:p>
  </w:footnote>
  <w:footnote w:type="continuationSeparator" w:id="0">
    <w:p w14:paraId="485020A2" w14:textId="77777777" w:rsidR="00495345" w:rsidRDefault="00495345" w:rsidP="007B43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2FFB13" w14:textId="77777777" w:rsidR="003772B3" w:rsidRDefault="003772B3">
    <w:pPr>
      <w:pStyle w:val="aff5"/>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64506D"/>
    <w:multiLevelType w:val="hybridMultilevel"/>
    <w:tmpl w:val="5B3439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075D24EC"/>
    <w:multiLevelType w:val="hybridMultilevel"/>
    <w:tmpl w:val="380C9ACA"/>
    <w:lvl w:ilvl="0" w:tplc="16C02F9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14332D91"/>
    <w:multiLevelType w:val="hybridMultilevel"/>
    <w:tmpl w:val="D47C3F86"/>
    <w:lvl w:ilvl="0" w:tplc="288AC0D2">
      <w:start w:val="1"/>
      <w:numFmt w:val="decimal"/>
      <w:lvlText w:val="(%1)"/>
      <w:lvlJc w:val="left"/>
      <w:pPr>
        <w:ind w:left="2203" w:hanging="360"/>
      </w:pPr>
      <w:rPr>
        <w:rFonts w:hint="default"/>
      </w:rPr>
    </w:lvl>
    <w:lvl w:ilvl="1" w:tplc="04190019" w:tentative="1">
      <w:start w:val="1"/>
      <w:numFmt w:val="lowerLetter"/>
      <w:lvlText w:val="%2."/>
      <w:lvlJc w:val="left"/>
      <w:pPr>
        <w:ind w:left="2923" w:hanging="360"/>
      </w:pPr>
    </w:lvl>
    <w:lvl w:ilvl="2" w:tplc="0419001B" w:tentative="1">
      <w:start w:val="1"/>
      <w:numFmt w:val="lowerRoman"/>
      <w:lvlText w:val="%3."/>
      <w:lvlJc w:val="right"/>
      <w:pPr>
        <w:ind w:left="3643" w:hanging="180"/>
      </w:pPr>
    </w:lvl>
    <w:lvl w:ilvl="3" w:tplc="0419000F" w:tentative="1">
      <w:start w:val="1"/>
      <w:numFmt w:val="decimal"/>
      <w:lvlText w:val="%4."/>
      <w:lvlJc w:val="left"/>
      <w:pPr>
        <w:ind w:left="4363" w:hanging="360"/>
      </w:pPr>
    </w:lvl>
    <w:lvl w:ilvl="4" w:tplc="04190019" w:tentative="1">
      <w:start w:val="1"/>
      <w:numFmt w:val="lowerLetter"/>
      <w:lvlText w:val="%5."/>
      <w:lvlJc w:val="left"/>
      <w:pPr>
        <w:ind w:left="5083" w:hanging="360"/>
      </w:pPr>
    </w:lvl>
    <w:lvl w:ilvl="5" w:tplc="0419001B" w:tentative="1">
      <w:start w:val="1"/>
      <w:numFmt w:val="lowerRoman"/>
      <w:lvlText w:val="%6."/>
      <w:lvlJc w:val="right"/>
      <w:pPr>
        <w:ind w:left="5803" w:hanging="180"/>
      </w:pPr>
    </w:lvl>
    <w:lvl w:ilvl="6" w:tplc="0419000F" w:tentative="1">
      <w:start w:val="1"/>
      <w:numFmt w:val="decimal"/>
      <w:lvlText w:val="%7."/>
      <w:lvlJc w:val="left"/>
      <w:pPr>
        <w:ind w:left="6523" w:hanging="360"/>
      </w:pPr>
    </w:lvl>
    <w:lvl w:ilvl="7" w:tplc="04190019" w:tentative="1">
      <w:start w:val="1"/>
      <w:numFmt w:val="lowerLetter"/>
      <w:lvlText w:val="%8."/>
      <w:lvlJc w:val="left"/>
      <w:pPr>
        <w:ind w:left="7243" w:hanging="360"/>
      </w:pPr>
    </w:lvl>
    <w:lvl w:ilvl="8" w:tplc="0419001B" w:tentative="1">
      <w:start w:val="1"/>
      <w:numFmt w:val="lowerRoman"/>
      <w:lvlText w:val="%9."/>
      <w:lvlJc w:val="right"/>
      <w:pPr>
        <w:ind w:left="7963" w:hanging="180"/>
      </w:pPr>
    </w:lvl>
  </w:abstractNum>
  <w:abstractNum w:abstractNumId="3" w15:restartNumberingAfterBreak="0">
    <w:nsid w:val="14C577F8"/>
    <w:multiLevelType w:val="multilevel"/>
    <w:tmpl w:val="661EE8B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6B7162D"/>
    <w:multiLevelType w:val="multilevel"/>
    <w:tmpl w:val="D7E613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22E32CE"/>
    <w:multiLevelType w:val="multilevel"/>
    <w:tmpl w:val="76063C78"/>
    <w:lvl w:ilvl="0">
      <w:start w:val="1"/>
      <w:numFmt w:val="decimal"/>
      <w:lvlText w:val="%1."/>
      <w:lvlJc w:val="left"/>
      <w:pPr>
        <w:ind w:left="8015" w:hanging="360"/>
      </w:pPr>
    </w:lvl>
    <w:lvl w:ilvl="1">
      <w:start w:val="1"/>
      <w:numFmt w:val="lowerLetter"/>
      <w:lvlText w:val="%2."/>
      <w:lvlJc w:val="left"/>
      <w:pPr>
        <w:ind w:left="7819" w:hanging="360"/>
      </w:pPr>
    </w:lvl>
    <w:lvl w:ilvl="2">
      <w:start w:val="1"/>
      <w:numFmt w:val="lowerRoman"/>
      <w:lvlText w:val="%3."/>
      <w:lvlJc w:val="right"/>
      <w:pPr>
        <w:ind w:left="8539" w:hanging="180"/>
      </w:pPr>
    </w:lvl>
    <w:lvl w:ilvl="3">
      <w:start w:val="1"/>
      <w:numFmt w:val="decimal"/>
      <w:lvlText w:val="%4."/>
      <w:lvlJc w:val="left"/>
      <w:pPr>
        <w:ind w:left="9259" w:hanging="360"/>
      </w:pPr>
    </w:lvl>
    <w:lvl w:ilvl="4">
      <w:start w:val="1"/>
      <w:numFmt w:val="lowerLetter"/>
      <w:lvlText w:val="%5."/>
      <w:lvlJc w:val="left"/>
      <w:pPr>
        <w:ind w:left="9979" w:hanging="360"/>
      </w:pPr>
    </w:lvl>
    <w:lvl w:ilvl="5">
      <w:start w:val="1"/>
      <w:numFmt w:val="lowerRoman"/>
      <w:lvlText w:val="%6."/>
      <w:lvlJc w:val="right"/>
      <w:pPr>
        <w:ind w:left="10699" w:hanging="180"/>
      </w:pPr>
    </w:lvl>
    <w:lvl w:ilvl="6">
      <w:start w:val="1"/>
      <w:numFmt w:val="decimal"/>
      <w:lvlText w:val="%7."/>
      <w:lvlJc w:val="left"/>
      <w:pPr>
        <w:ind w:left="11419" w:hanging="360"/>
      </w:pPr>
    </w:lvl>
    <w:lvl w:ilvl="7">
      <w:start w:val="1"/>
      <w:numFmt w:val="lowerLetter"/>
      <w:lvlText w:val="%8."/>
      <w:lvlJc w:val="left"/>
      <w:pPr>
        <w:ind w:left="12139" w:hanging="360"/>
      </w:pPr>
    </w:lvl>
    <w:lvl w:ilvl="8">
      <w:start w:val="1"/>
      <w:numFmt w:val="lowerRoman"/>
      <w:lvlText w:val="%9."/>
      <w:lvlJc w:val="right"/>
      <w:pPr>
        <w:ind w:left="12859" w:hanging="180"/>
      </w:pPr>
    </w:lvl>
  </w:abstractNum>
  <w:abstractNum w:abstractNumId="6" w15:restartNumberingAfterBreak="0">
    <w:nsid w:val="47FB1E17"/>
    <w:multiLevelType w:val="multilevel"/>
    <w:tmpl w:val="1D407BF2"/>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4E5B3203"/>
    <w:multiLevelType w:val="hybridMultilevel"/>
    <w:tmpl w:val="5B3439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50812726"/>
    <w:multiLevelType w:val="hybridMultilevel"/>
    <w:tmpl w:val="08226872"/>
    <w:lvl w:ilvl="0" w:tplc="1BB6878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5B2C62E8"/>
    <w:multiLevelType w:val="hybridMultilevel"/>
    <w:tmpl w:val="A5BE19E6"/>
    <w:lvl w:ilvl="0" w:tplc="15E8CC7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5F074A82"/>
    <w:multiLevelType w:val="hybridMultilevel"/>
    <w:tmpl w:val="5B3439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64625A9F"/>
    <w:multiLevelType w:val="hybridMultilevel"/>
    <w:tmpl w:val="B5C4B7BC"/>
    <w:lvl w:ilvl="0" w:tplc="4E0C7CDE">
      <w:start w:val="1"/>
      <w:numFmt w:val="decimal"/>
      <w:lvlText w:val="%1."/>
      <w:lvlJc w:val="left"/>
      <w:pPr>
        <w:ind w:left="163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C772C32"/>
    <w:multiLevelType w:val="hybridMultilevel"/>
    <w:tmpl w:val="0358BE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FA659D3"/>
    <w:multiLevelType w:val="multilevel"/>
    <w:tmpl w:val="7228C8B8"/>
    <w:lvl w:ilvl="0">
      <w:start w:val="1"/>
      <w:numFmt w:val="decimal"/>
      <w:lvlText w:val="%1."/>
      <w:lvlJc w:val="left"/>
      <w:pPr>
        <w:ind w:left="1287" w:hanging="360"/>
      </w:pPr>
    </w:lvl>
    <w:lvl w:ilvl="1">
      <w:start w:val="4"/>
      <w:numFmt w:val="decimal"/>
      <w:isLgl/>
      <w:lvlText w:val="%1.%2."/>
      <w:lvlJc w:val="left"/>
      <w:pPr>
        <w:ind w:left="1800" w:hanging="720"/>
      </w:pPr>
      <w:rPr>
        <w:rFonts w:hint="default"/>
      </w:rPr>
    </w:lvl>
    <w:lvl w:ilvl="2">
      <w:start w:val="1"/>
      <w:numFmt w:val="decimal"/>
      <w:isLgl/>
      <w:lvlText w:val="%1.%2.%3."/>
      <w:lvlJc w:val="left"/>
      <w:pPr>
        <w:ind w:left="1953" w:hanging="720"/>
      </w:pPr>
      <w:rPr>
        <w:rFonts w:hint="default"/>
      </w:rPr>
    </w:lvl>
    <w:lvl w:ilvl="3">
      <w:start w:val="1"/>
      <w:numFmt w:val="decimal"/>
      <w:isLgl/>
      <w:lvlText w:val="%1.%2.%3.%4."/>
      <w:lvlJc w:val="left"/>
      <w:pPr>
        <w:ind w:left="2466" w:hanging="1080"/>
      </w:pPr>
      <w:rPr>
        <w:rFonts w:hint="default"/>
      </w:rPr>
    </w:lvl>
    <w:lvl w:ilvl="4">
      <w:start w:val="1"/>
      <w:numFmt w:val="decimal"/>
      <w:isLgl/>
      <w:lvlText w:val="%1.%2.%3.%4.%5."/>
      <w:lvlJc w:val="left"/>
      <w:pPr>
        <w:ind w:left="2619" w:hanging="1080"/>
      </w:pPr>
      <w:rPr>
        <w:rFonts w:hint="default"/>
      </w:rPr>
    </w:lvl>
    <w:lvl w:ilvl="5">
      <w:start w:val="1"/>
      <w:numFmt w:val="decimal"/>
      <w:isLgl/>
      <w:lvlText w:val="%1.%2.%3.%4.%5.%6."/>
      <w:lvlJc w:val="left"/>
      <w:pPr>
        <w:ind w:left="3132" w:hanging="1440"/>
      </w:pPr>
      <w:rPr>
        <w:rFonts w:hint="default"/>
      </w:rPr>
    </w:lvl>
    <w:lvl w:ilvl="6">
      <w:start w:val="1"/>
      <w:numFmt w:val="decimal"/>
      <w:isLgl/>
      <w:lvlText w:val="%1.%2.%3.%4.%5.%6.%7."/>
      <w:lvlJc w:val="left"/>
      <w:pPr>
        <w:ind w:left="3645" w:hanging="1800"/>
      </w:pPr>
      <w:rPr>
        <w:rFonts w:hint="default"/>
      </w:rPr>
    </w:lvl>
    <w:lvl w:ilvl="7">
      <w:start w:val="1"/>
      <w:numFmt w:val="decimal"/>
      <w:isLgl/>
      <w:lvlText w:val="%1.%2.%3.%4.%5.%6.%7.%8."/>
      <w:lvlJc w:val="left"/>
      <w:pPr>
        <w:ind w:left="3798" w:hanging="1800"/>
      </w:pPr>
      <w:rPr>
        <w:rFonts w:hint="default"/>
      </w:rPr>
    </w:lvl>
    <w:lvl w:ilvl="8">
      <w:start w:val="1"/>
      <w:numFmt w:val="decimal"/>
      <w:isLgl/>
      <w:lvlText w:val="%1.%2.%3.%4.%5.%6.%7.%8.%9."/>
      <w:lvlJc w:val="left"/>
      <w:pPr>
        <w:ind w:left="4311" w:hanging="2160"/>
      </w:pPr>
      <w:rPr>
        <w:rFonts w:hint="default"/>
      </w:rPr>
    </w:lvl>
  </w:abstractNum>
  <w:num w:numId="1">
    <w:abstractNumId w:val="5"/>
  </w:num>
  <w:num w:numId="2">
    <w:abstractNumId w:val="4"/>
  </w:num>
  <w:num w:numId="3">
    <w:abstractNumId w:val="6"/>
  </w:num>
  <w:num w:numId="4">
    <w:abstractNumId w:val="11"/>
  </w:num>
  <w:num w:numId="5">
    <w:abstractNumId w:val="2"/>
  </w:num>
  <w:num w:numId="6">
    <w:abstractNumId w:val="3"/>
  </w:num>
  <w:num w:numId="7">
    <w:abstractNumId w:val="12"/>
  </w:num>
  <w:num w:numId="8">
    <w:abstractNumId w:val="13"/>
  </w:num>
  <w:num w:numId="9">
    <w:abstractNumId w:val="1"/>
  </w:num>
  <w:num w:numId="10">
    <w:abstractNumId w:val="7"/>
  </w:num>
  <w:num w:numId="11">
    <w:abstractNumId w:val="9"/>
  </w:num>
  <w:num w:numId="12">
    <w:abstractNumId w:val="0"/>
  </w:num>
  <w:num w:numId="13">
    <w:abstractNumId w:val="1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77A"/>
    <w:rsid w:val="000024E0"/>
    <w:rsid w:val="00011EDF"/>
    <w:rsid w:val="0002070E"/>
    <w:rsid w:val="00036C6E"/>
    <w:rsid w:val="00051B75"/>
    <w:rsid w:val="00052EFF"/>
    <w:rsid w:val="0005744B"/>
    <w:rsid w:val="0007253A"/>
    <w:rsid w:val="00072EDE"/>
    <w:rsid w:val="000A6363"/>
    <w:rsid w:val="000B5E9A"/>
    <w:rsid w:val="000B7051"/>
    <w:rsid w:val="000C3475"/>
    <w:rsid w:val="000C3F01"/>
    <w:rsid w:val="000C50AE"/>
    <w:rsid w:val="000E7176"/>
    <w:rsid w:val="000F1E14"/>
    <w:rsid w:val="000F3B98"/>
    <w:rsid w:val="00120842"/>
    <w:rsid w:val="00125AF4"/>
    <w:rsid w:val="0013529C"/>
    <w:rsid w:val="001439B2"/>
    <w:rsid w:val="0015153E"/>
    <w:rsid w:val="0016035C"/>
    <w:rsid w:val="0016130E"/>
    <w:rsid w:val="0017228A"/>
    <w:rsid w:val="001A36BE"/>
    <w:rsid w:val="001A3B78"/>
    <w:rsid w:val="001A6193"/>
    <w:rsid w:val="001B2930"/>
    <w:rsid w:val="001B2DF3"/>
    <w:rsid w:val="001B6425"/>
    <w:rsid w:val="001C6774"/>
    <w:rsid w:val="001D4A51"/>
    <w:rsid w:val="001D4E93"/>
    <w:rsid w:val="001F17E2"/>
    <w:rsid w:val="001F7708"/>
    <w:rsid w:val="001F7868"/>
    <w:rsid w:val="00202924"/>
    <w:rsid w:val="00203D5C"/>
    <w:rsid w:val="0021398A"/>
    <w:rsid w:val="00216722"/>
    <w:rsid w:val="00222D8B"/>
    <w:rsid w:val="002237A3"/>
    <w:rsid w:val="0022486D"/>
    <w:rsid w:val="00237654"/>
    <w:rsid w:val="002400F1"/>
    <w:rsid w:val="002406E7"/>
    <w:rsid w:val="0028556C"/>
    <w:rsid w:val="002862C0"/>
    <w:rsid w:val="00296736"/>
    <w:rsid w:val="0029744E"/>
    <w:rsid w:val="00297F74"/>
    <w:rsid w:val="002A1D08"/>
    <w:rsid w:val="002A4A99"/>
    <w:rsid w:val="002C113C"/>
    <w:rsid w:val="002C19DE"/>
    <w:rsid w:val="002C1A6A"/>
    <w:rsid w:val="002D65D4"/>
    <w:rsid w:val="002D7765"/>
    <w:rsid w:val="002E3AD0"/>
    <w:rsid w:val="002E7E0A"/>
    <w:rsid w:val="002F169C"/>
    <w:rsid w:val="0030177A"/>
    <w:rsid w:val="00301ECB"/>
    <w:rsid w:val="00303AA6"/>
    <w:rsid w:val="00307C3D"/>
    <w:rsid w:val="00313753"/>
    <w:rsid w:val="00336CA8"/>
    <w:rsid w:val="00344C2F"/>
    <w:rsid w:val="003704E9"/>
    <w:rsid w:val="003772B3"/>
    <w:rsid w:val="00385FB2"/>
    <w:rsid w:val="003875CD"/>
    <w:rsid w:val="0039396F"/>
    <w:rsid w:val="00395366"/>
    <w:rsid w:val="003A62DD"/>
    <w:rsid w:val="003B65B7"/>
    <w:rsid w:val="003B7676"/>
    <w:rsid w:val="003C7A49"/>
    <w:rsid w:val="003D7944"/>
    <w:rsid w:val="003E0562"/>
    <w:rsid w:val="003E2C29"/>
    <w:rsid w:val="004036CA"/>
    <w:rsid w:val="004055F8"/>
    <w:rsid w:val="004057F1"/>
    <w:rsid w:val="004125C1"/>
    <w:rsid w:val="00417651"/>
    <w:rsid w:val="004270B9"/>
    <w:rsid w:val="0045231D"/>
    <w:rsid w:val="0045282D"/>
    <w:rsid w:val="00456230"/>
    <w:rsid w:val="004645A9"/>
    <w:rsid w:val="00467C19"/>
    <w:rsid w:val="00490378"/>
    <w:rsid w:val="00493F8D"/>
    <w:rsid w:val="00495345"/>
    <w:rsid w:val="00495D08"/>
    <w:rsid w:val="00496B7A"/>
    <w:rsid w:val="004A318C"/>
    <w:rsid w:val="004B0F14"/>
    <w:rsid w:val="004C25A3"/>
    <w:rsid w:val="004C3B69"/>
    <w:rsid w:val="004C3C40"/>
    <w:rsid w:val="004D5F94"/>
    <w:rsid w:val="004D7287"/>
    <w:rsid w:val="004E4F93"/>
    <w:rsid w:val="004F565F"/>
    <w:rsid w:val="004F754B"/>
    <w:rsid w:val="00530CAE"/>
    <w:rsid w:val="00533876"/>
    <w:rsid w:val="00535A47"/>
    <w:rsid w:val="00537D0B"/>
    <w:rsid w:val="0054782C"/>
    <w:rsid w:val="00570DC8"/>
    <w:rsid w:val="00571559"/>
    <w:rsid w:val="005757EE"/>
    <w:rsid w:val="00576554"/>
    <w:rsid w:val="0057657B"/>
    <w:rsid w:val="00583DA1"/>
    <w:rsid w:val="00586F9B"/>
    <w:rsid w:val="005B36F4"/>
    <w:rsid w:val="005B529A"/>
    <w:rsid w:val="005C0DE0"/>
    <w:rsid w:val="005C1178"/>
    <w:rsid w:val="005C3093"/>
    <w:rsid w:val="005C4FB1"/>
    <w:rsid w:val="005D747E"/>
    <w:rsid w:val="005D7D8A"/>
    <w:rsid w:val="005E53CB"/>
    <w:rsid w:val="006041B8"/>
    <w:rsid w:val="00607ED0"/>
    <w:rsid w:val="00623EED"/>
    <w:rsid w:val="006315B8"/>
    <w:rsid w:val="006468A7"/>
    <w:rsid w:val="006530A8"/>
    <w:rsid w:val="00655BE3"/>
    <w:rsid w:val="00664FE3"/>
    <w:rsid w:val="0066589F"/>
    <w:rsid w:val="00666394"/>
    <w:rsid w:val="006739DD"/>
    <w:rsid w:val="00673F53"/>
    <w:rsid w:val="00676BE2"/>
    <w:rsid w:val="00677776"/>
    <w:rsid w:val="0068358A"/>
    <w:rsid w:val="00697755"/>
    <w:rsid w:val="006A07B3"/>
    <w:rsid w:val="006A1D39"/>
    <w:rsid w:val="006A5366"/>
    <w:rsid w:val="006B075A"/>
    <w:rsid w:val="006B3AD2"/>
    <w:rsid w:val="006C7377"/>
    <w:rsid w:val="006D5DA4"/>
    <w:rsid w:val="006E089E"/>
    <w:rsid w:val="006E3110"/>
    <w:rsid w:val="006F4FF1"/>
    <w:rsid w:val="007019D0"/>
    <w:rsid w:val="00705E40"/>
    <w:rsid w:val="00707E82"/>
    <w:rsid w:val="0072533C"/>
    <w:rsid w:val="007372CF"/>
    <w:rsid w:val="00760101"/>
    <w:rsid w:val="00775FAF"/>
    <w:rsid w:val="0077694C"/>
    <w:rsid w:val="007770C7"/>
    <w:rsid w:val="00777582"/>
    <w:rsid w:val="007928F8"/>
    <w:rsid w:val="0079400C"/>
    <w:rsid w:val="0079548F"/>
    <w:rsid w:val="007A359A"/>
    <w:rsid w:val="007B270A"/>
    <w:rsid w:val="007B3CC3"/>
    <w:rsid w:val="007B43A6"/>
    <w:rsid w:val="007B47E8"/>
    <w:rsid w:val="007C4431"/>
    <w:rsid w:val="007C6CD7"/>
    <w:rsid w:val="007D2E78"/>
    <w:rsid w:val="007D50E8"/>
    <w:rsid w:val="007F0726"/>
    <w:rsid w:val="008003E8"/>
    <w:rsid w:val="00820987"/>
    <w:rsid w:val="00821B49"/>
    <w:rsid w:val="00823359"/>
    <w:rsid w:val="00823368"/>
    <w:rsid w:val="008436B3"/>
    <w:rsid w:val="00845429"/>
    <w:rsid w:val="00847E4B"/>
    <w:rsid w:val="00851595"/>
    <w:rsid w:val="00855DC7"/>
    <w:rsid w:val="00864F26"/>
    <w:rsid w:val="00885FB3"/>
    <w:rsid w:val="008A238F"/>
    <w:rsid w:val="008A7B62"/>
    <w:rsid w:val="008B32D8"/>
    <w:rsid w:val="008B7D33"/>
    <w:rsid w:val="008C2998"/>
    <w:rsid w:val="008C3ABB"/>
    <w:rsid w:val="008C5404"/>
    <w:rsid w:val="008D334D"/>
    <w:rsid w:val="008D3BAD"/>
    <w:rsid w:val="008D7E11"/>
    <w:rsid w:val="008E32BE"/>
    <w:rsid w:val="008E765D"/>
    <w:rsid w:val="0091205F"/>
    <w:rsid w:val="00933090"/>
    <w:rsid w:val="009332AA"/>
    <w:rsid w:val="00940724"/>
    <w:rsid w:val="0094473F"/>
    <w:rsid w:val="009539E6"/>
    <w:rsid w:val="0095654A"/>
    <w:rsid w:val="00974CA1"/>
    <w:rsid w:val="00975EF0"/>
    <w:rsid w:val="00983678"/>
    <w:rsid w:val="009936F4"/>
    <w:rsid w:val="009B0558"/>
    <w:rsid w:val="009B775D"/>
    <w:rsid w:val="009E579C"/>
    <w:rsid w:val="009F254C"/>
    <w:rsid w:val="009F4E43"/>
    <w:rsid w:val="009F50F1"/>
    <w:rsid w:val="00A030E3"/>
    <w:rsid w:val="00A0530A"/>
    <w:rsid w:val="00A14961"/>
    <w:rsid w:val="00A204B2"/>
    <w:rsid w:val="00A25EA0"/>
    <w:rsid w:val="00A275D3"/>
    <w:rsid w:val="00A3008B"/>
    <w:rsid w:val="00A41ADD"/>
    <w:rsid w:val="00A54D65"/>
    <w:rsid w:val="00A75397"/>
    <w:rsid w:val="00A93398"/>
    <w:rsid w:val="00A96645"/>
    <w:rsid w:val="00AA3642"/>
    <w:rsid w:val="00AC246D"/>
    <w:rsid w:val="00AC28E4"/>
    <w:rsid w:val="00AE7DE5"/>
    <w:rsid w:val="00AF031E"/>
    <w:rsid w:val="00B04837"/>
    <w:rsid w:val="00B06745"/>
    <w:rsid w:val="00B1206D"/>
    <w:rsid w:val="00B20473"/>
    <w:rsid w:val="00B21CAB"/>
    <w:rsid w:val="00B21FE0"/>
    <w:rsid w:val="00B26C2A"/>
    <w:rsid w:val="00B42119"/>
    <w:rsid w:val="00B5077A"/>
    <w:rsid w:val="00B5135D"/>
    <w:rsid w:val="00B55240"/>
    <w:rsid w:val="00B655E4"/>
    <w:rsid w:val="00B7206A"/>
    <w:rsid w:val="00B77124"/>
    <w:rsid w:val="00B8133E"/>
    <w:rsid w:val="00B86575"/>
    <w:rsid w:val="00B9108F"/>
    <w:rsid w:val="00B970C9"/>
    <w:rsid w:val="00BA1C39"/>
    <w:rsid w:val="00BC6F38"/>
    <w:rsid w:val="00BD14F1"/>
    <w:rsid w:val="00BD7CBF"/>
    <w:rsid w:val="00C11BF5"/>
    <w:rsid w:val="00C15476"/>
    <w:rsid w:val="00C22DD9"/>
    <w:rsid w:val="00C24D90"/>
    <w:rsid w:val="00C36FBF"/>
    <w:rsid w:val="00C5254E"/>
    <w:rsid w:val="00C5546F"/>
    <w:rsid w:val="00C636D4"/>
    <w:rsid w:val="00C65522"/>
    <w:rsid w:val="00C72586"/>
    <w:rsid w:val="00C72E35"/>
    <w:rsid w:val="00C806C4"/>
    <w:rsid w:val="00C829B9"/>
    <w:rsid w:val="00C84F10"/>
    <w:rsid w:val="00C86BB6"/>
    <w:rsid w:val="00C87E86"/>
    <w:rsid w:val="00CB66DD"/>
    <w:rsid w:val="00CC5A3C"/>
    <w:rsid w:val="00CD73F9"/>
    <w:rsid w:val="00CE63F4"/>
    <w:rsid w:val="00CE6637"/>
    <w:rsid w:val="00CF2812"/>
    <w:rsid w:val="00D068E8"/>
    <w:rsid w:val="00D103D5"/>
    <w:rsid w:val="00D14A41"/>
    <w:rsid w:val="00D15A63"/>
    <w:rsid w:val="00D17235"/>
    <w:rsid w:val="00D20EE5"/>
    <w:rsid w:val="00D27C8C"/>
    <w:rsid w:val="00D3089B"/>
    <w:rsid w:val="00D40AD1"/>
    <w:rsid w:val="00D41199"/>
    <w:rsid w:val="00D422F6"/>
    <w:rsid w:val="00D47489"/>
    <w:rsid w:val="00D50451"/>
    <w:rsid w:val="00D545C9"/>
    <w:rsid w:val="00D6276F"/>
    <w:rsid w:val="00D650BF"/>
    <w:rsid w:val="00D711E6"/>
    <w:rsid w:val="00D738C1"/>
    <w:rsid w:val="00D74CC7"/>
    <w:rsid w:val="00D87AC6"/>
    <w:rsid w:val="00D92AB5"/>
    <w:rsid w:val="00D9327E"/>
    <w:rsid w:val="00DA1813"/>
    <w:rsid w:val="00DA58DD"/>
    <w:rsid w:val="00DA64CF"/>
    <w:rsid w:val="00DA7584"/>
    <w:rsid w:val="00DB6535"/>
    <w:rsid w:val="00DD16FF"/>
    <w:rsid w:val="00DD6F57"/>
    <w:rsid w:val="00DD77FD"/>
    <w:rsid w:val="00DE5212"/>
    <w:rsid w:val="00DF70FF"/>
    <w:rsid w:val="00E00659"/>
    <w:rsid w:val="00E02753"/>
    <w:rsid w:val="00E13A10"/>
    <w:rsid w:val="00E13B98"/>
    <w:rsid w:val="00E14CD7"/>
    <w:rsid w:val="00E15126"/>
    <w:rsid w:val="00E24B15"/>
    <w:rsid w:val="00E31C47"/>
    <w:rsid w:val="00E46097"/>
    <w:rsid w:val="00E4720F"/>
    <w:rsid w:val="00E53F8F"/>
    <w:rsid w:val="00E5589F"/>
    <w:rsid w:val="00E63FDB"/>
    <w:rsid w:val="00E66ACC"/>
    <w:rsid w:val="00E81A98"/>
    <w:rsid w:val="00E82DA0"/>
    <w:rsid w:val="00E91214"/>
    <w:rsid w:val="00E923BE"/>
    <w:rsid w:val="00EA2E87"/>
    <w:rsid w:val="00EA445F"/>
    <w:rsid w:val="00EA7F98"/>
    <w:rsid w:val="00EB03E7"/>
    <w:rsid w:val="00EB22F7"/>
    <w:rsid w:val="00EB582A"/>
    <w:rsid w:val="00EB62B4"/>
    <w:rsid w:val="00EB715A"/>
    <w:rsid w:val="00EE326F"/>
    <w:rsid w:val="00EF0985"/>
    <w:rsid w:val="00EF7388"/>
    <w:rsid w:val="00F0701A"/>
    <w:rsid w:val="00F1757D"/>
    <w:rsid w:val="00F215BB"/>
    <w:rsid w:val="00F21615"/>
    <w:rsid w:val="00F346F0"/>
    <w:rsid w:val="00F509A5"/>
    <w:rsid w:val="00F537B8"/>
    <w:rsid w:val="00F625DE"/>
    <w:rsid w:val="00F62DEF"/>
    <w:rsid w:val="00F7517A"/>
    <w:rsid w:val="00F803B2"/>
    <w:rsid w:val="00F83F69"/>
    <w:rsid w:val="00F91AE3"/>
    <w:rsid w:val="00F935DD"/>
    <w:rsid w:val="00F94CCF"/>
    <w:rsid w:val="00FB2197"/>
    <w:rsid w:val="00FC2008"/>
    <w:rsid w:val="00FC248A"/>
    <w:rsid w:val="00FC563C"/>
    <w:rsid w:val="00FD3F4C"/>
    <w:rsid w:val="00FE4875"/>
    <w:rsid w:val="00FE4B5A"/>
    <w:rsid w:val="00FF0F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99E85F"/>
  <w15:docId w15:val="{AD7BC8E0-AEA0-484E-99E2-D7653D5D5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styleId="a4">
    <w:name w:val="annotation reference"/>
    <w:basedOn w:val="a0"/>
    <w:uiPriority w:val="99"/>
    <w:semiHidden/>
    <w:unhideWhenUsed/>
    <w:rsid w:val="000316E0"/>
    <w:rPr>
      <w:sz w:val="16"/>
      <w:szCs w:val="16"/>
    </w:rPr>
  </w:style>
  <w:style w:type="paragraph" w:styleId="a5">
    <w:name w:val="annotation text"/>
    <w:basedOn w:val="a"/>
    <w:link w:val="a6"/>
    <w:uiPriority w:val="99"/>
    <w:unhideWhenUsed/>
    <w:rsid w:val="000316E0"/>
    <w:pPr>
      <w:spacing w:line="240" w:lineRule="auto"/>
    </w:pPr>
    <w:rPr>
      <w:sz w:val="20"/>
      <w:szCs w:val="20"/>
    </w:rPr>
  </w:style>
  <w:style w:type="character" w:customStyle="1" w:styleId="a6">
    <w:name w:val="Текст примечания Знак"/>
    <w:basedOn w:val="a0"/>
    <w:link w:val="a5"/>
    <w:uiPriority w:val="99"/>
    <w:rsid w:val="000316E0"/>
    <w:rPr>
      <w:sz w:val="20"/>
      <w:szCs w:val="20"/>
    </w:rPr>
  </w:style>
  <w:style w:type="paragraph" w:styleId="a7">
    <w:name w:val="annotation subject"/>
    <w:basedOn w:val="a5"/>
    <w:next w:val="a5"/>
    <w:link w:val="a8"/>
    <w:uiPriority w:val="99"/>
    <w:semiHidden/>
    <w:unhideWhenUsed/>
    <w:rsid w:val="000316E0"/>
    <w:rPr>
      <w:b/>
      <w:bCs/>
    </w:rPr>
  </w:style>
  <w:style w:type="character" w:customStyle="1" w:styleId="a8">
    <w:name w:val="Тема примечания Знак"/>
    <w:basedOn w:val="a6"/>
    <w:link w:val="a7"/>
    <w:uiPriority w:val="99"/>
    <w:semiHidden/>
    <w:rsid w:val="000316E0"/>
    <w:rPr>
      <w:b/>
      <w:bCs/>
      <w:sz w:val="20"/>
      <w:szCs w:val="20"/>
    </w:rPr>
  </w:style>
  <w:style w:type="character" w:styleId="a9">
    <w:name w:val="Hyperlink"/>
    <w:basedOn w:val="a0"/>
    <w:uiPriority w:val="99"/>
    <w:unhideWhenUsed/>
    <w:rsid w:val="000316E0"/>
    <w:rPr>
      <w:color w:val="0563C1" w:themeColor="hyperlink"/>
      <w:u w:val="single"/>
    </w:rPr>
  </w:style>
  <w:style w:type="character" w:customStyle="1" w:styleId="10">
    <w:name w:val="Неразрешенное упоминание1"/>
    <w:basedOn w:val="a0"/>
    <w:uiPriority w:val="99"/>
    <w:semiHidden/>
    <w:unhideWhenUsed/>
    <w:rsid w:val="000316E0"/>
    <w:rPr>
      <w:color w:val="605E5C"/>
      <w:shd w:val="clear" w:color="auto" w:fill="E1DFDD"/>
    </w:rPr>
  </w:style>
  <w:style w:type="paragraph" w:styleId="aa">
    <w:name w:val="List Paragraph"/>
    <w:basedOn w:val="a"/>
    <w:uiPriority w:val="34"/>
    <w:qFormat/>
    <w:rsid w:val="000B561A"/>
    <w:pPr>
      <w:ind w:left="720"/>
      <w:contextualSpacing/>
    </w:pPr>
    <w:rPr>
      <w:lang w:val="ru-RU"/>
    </w:rPr>
  </w:style>
  <w:style w:type="paragraph" w:styleId="ab">
    <w:name w:val="Subtitle"/>
    <w:basedOn w:val="a"/>
    <w:next w:val="a"/>
    <w:pPr>
      <w:keepNext/>
      <w:keepLines/>
      <w:spacing w:before="360" w:after="80"/>
    </w:pPr>
    <w:rPr>
      <w:rFonts w:ascii="Georgia" w:eastAsia="Georgia" w:hAnsi="Georgia" w:cs="Georgia"/>
      <w:i/>
      <w:color w:val="666666"/>
      <w:sz w:val="48"/>
      <w:szCs w:val="48"/>
    </w:r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top w:w="100" w:type="dxa"/>
        <w:left w:w="100" w:type="dxa"/>
        <w:bottom w:w="100" w:type="dxa"/>
        <w:right w:w="100" w:type="dxa"/>
      </w:tblCellMar>
    </w:tblPr>
  </w:style>
  <w:style w:type="table" w:customStyle="1" w:styleId="aff1">
    <w:basedOn w:val="TableNormal"/>
    <w:tblPr>
      <w:tblStyleRowBandSize w:val="1"/>
      <w:tblStyleColBandSize w:val="1"/>
      <w:tblCellMar>
        <w:top w:w="100" w:type="dxa"/>
        <w:left w:w="100" w:type="dxa"/>
        <w:bottom w:w="100" w:type="dxa"/>
        <w:right w:w="100" w:type="dxa"/>
      </w:tblCellMar>
    </w:tblPr>
  </w:style>
  <w:style w:type="paragraph" w:styleId="aff2">
    <w:name w:val="Balloon Text"/>
    <w:basedOn w:val="a"/>
    <w:link w:val="aff3"/>
    <w:uiPriority w:val="99"/>
    <w:semiHidden/>
    <w:unhideWhenUsed/>
    <w:rsid w:val="00A204B2"/>
    <w:pPr>
      <w:spacing w:after="0" w:line="240" w:lineRule="auto"/>
    </w:pPr>
    <w:rPr>
      <w:rFonts w:ascii="Tahoma" w:hAnsi="Tahoma" w:cs="Tahoma"/>
      <w:sz w:val="16"/>
      <w:szCs w:val="16"/>
    </w:rPr>
  </w:style>
  <w:style w:type="character" w:customStyle="1" w:styleId="aff3">
    <w:name w:val="Текст выноски Знак"/>
    <w:basedOn w:val="a0"/>
    <w:link w:val="aff2"/>
    <w:uiPriority w:val="99"/>
    <w:semiHidden/>
    <w:rsid w:val="00A204B2"/>
    <w:rPr>
      <w:rFonts w:ascii="Tahoma" w:hAnsi="Tahoma" w:cs="Tahoma"/>
      <w:sz w:val="16"/>
      <w:szCs w:val="16"/>
    </w:rPr>
  </w:style>
  <w:style w:type="paragraph" w:styleId="aff4">
    <w:name w:val="TOC Heading"/>
    <w:basedOn w:val="1"/>
    <w:next w:val="a"/>
    <w:uiPriority w:val="39"/>
    <w:unhideWhenUsed/>
    <w:qFormat/>
    <w:rsid w:val="00E14CD7"/>
    <w:pPr>
      <w:spacing w:after="0" w:line="276" w:lineRule="auto"/>
      <w:outlineLvl w:val="9"/>
    </w:pPr>
    <w:rPr>
      <w:rFonts w:asciiTheme="majorHAnsi" w:eastAsiaTheme="majorEastAsia" w:hAnsiTheme="majorHAnsi" w:cstheme="majorBidi"/>
      <w:bCs/>
      <w:color w:val="2F5496" w:themeColor="accent1" w:themeShade="BF"/>
      <w:sz w:val="28"/>
      <w:szCs w:val="28"/>
      <w:lang w:val="ru-RU"/>
    </w:rPr>
  </w:style>
  <w:style w:type="paragraph" w:styleId="20">
    <w:name w:val="toc 2"/>
    <w:basedOn w:val="a"/>
    <w:next w:val="a"/>
    <w:autoRedefine/>
    <w:uiPriority w:val="39"/>
    <w:unhideWhenUsed/>
    <w:rsid w:val="00E14CD7"/>
    <w:pPr>
      <w:spacing w:after="100"/>
      <w:ind w:left="220"/>
    </w:pPr>
  </w:style>
  <w:style w:type="paragraph" w:styleId="aff5">
    <w:name w:val="header"/>
    <w:basedOn w:val="a"/>
    <w:link w:val="aff6"/>
    <w:unhideWhenUsed/>
    <w:rsid w:val="007B43A6"/>
    <w:pPr>
      <w:tabs>
        <w:tab w:val="center" w:pos="4677"/>
        <w:tab w:val="right" w:pos="9355"/>
      </w:tabs>
      <w:spacing w:after="0" w:line="240" w:lineRule="auto"/>
    </w:pPr>
  </w:style>
  <w:style w:type="character" w:customStyle="1" w:styleId="aff6">
    <w:name w:val="Верхний колонтитул Знак"/>
    <w:basedOn w:val="a0"/>
    <w:link w:val="aff5"/>
    <w:uiPriority w:val="99"/>
    <w:rsid w:val="007B43A6"/>
  </w:style>
  <w:style w:type="paragraph" w:styleId="aff7">
    <w:name w:val="footer"/>
    <w:basedOn w:val="a"/>
    <w:link w:val="aff8"/>
    <w:uiPriority w:val="99"/>
    <w:unhideWhenUsed/>
    <w:rsid w:val="007B43A6"/>
    <w:pPr>
      <w:tabs>
        <w:tab w:val="center" w:pos="4677"/>
        <w:tab w:val="right" w:pos="9355"/>
      </w:tabs>
      <w:spacing w:after="0" w:line="240" w:lineRule="auto"/>
    </w:pPr>
  </w:style>
  <w:style w:type="character" w:customStyle="1" w:styleId="aff8">
    <w:name w:val="Нижний колонтитул Знак"/>
    <w:basedOn w:val="a0"/>
    <w:link w:val="aff7"/>
    <w:uiPriority w:val="99"/>
    <w:rsid w:val="007B43A6"/>
  </w:style>
  <w:style w:type="paragraph" w:styleId="aff9">
    <w:name w:val="Normal (Web)"/>
    <w:basedOn w:val="a"/>
    <w:uiPriority w:val="99"/>
    <w:unhideWhenUsed/>
    <w:rsid w:val="000C50A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uthor">
    <w:name w:val="author"/>
    <w:basedOn w:val="a"/>
    <w:rsid w:val="00A75397"/>
    <w:pPr>
      <w:spacing w:before="100" w:beforeAutospacing="1" w:after="100" w:afterAutospacing="1" w:line="240" w:lineRule="auto"/>
    </w:pPr>
    <w:rPr>
      <w:rFonts w:ascii="Times New Roman" w:eastAsia="Times New Roman" w:hAnsi="Times New Roman" w:cs="Times New Roman"/>
      <w:sz w:val="24"/>
      <w:szCs w:val="24"/>
      <w:lang w:val="ru-RU"/>
    </w:rPr>
  </w:style>
  <w:style w:type="paragraph" w:customStyle="1" w:styleId="TableParagraph">
    <w:name w:val="Table Paragraph"/>
    <w:basedOn w:val="a"/>
    <w:rsid w:val="000B7051"/>
    <w:pPr>
      <w:widowControl w:val="0"/>
      <w:autoSpaceDE w:val="0"/>
      <w:autoSpaceDN w:val="0"/>
      <w:spacing w:after="0" w:line="240" w:lineRule="auto"/>
    </w:pPr>
    <w:rPr>
      <w:rFonts w:eastAsia="Times New Roman"/>
      <w:lang w:eastAsia="en-US"/>
    </w:rPr>
  </w:style>
  <w:style w:type="character" w:styleId="affa">
    <w:name w:val="footnote reference"/>
    <w:semiHidden/>
    <w:rsid w:val="00CB66DD"/>
    <w:rPr>
      <w:vertAlign w:val="superscript"/>
    </w:rPr>
  </w:style>
  <w:style w:type="paragraph" w:styleId="affb">
    <w:name w:val="footnote text"/>
    <w:basedOn w:val="a"/>
    <w:link w:val="affc"/>
    <w:semiHidden/>
    <w:rsid w:val="00CB66DD"/>
    <w:pPr>
      <w:spacing w:after="0" w:line="240" w:lineRule="auto"/>
    </w:pPr>
    <w:rPr>
      <w:rFonts w:ascii="Times New Roman" w:eastAsia="Times New Roman" w:hAnsi="Times New Roman" w:cs="Times New Roman"/>
      <w:sz w:val="20"/>
      <w:szCs w:val="20"/>
      <w:vertAlign w:val="subscript"/>
      <w:lang w:val="ru-RU"/>
    </w:rPr>
  </w:style>
  <w:style w:type="character" w:customStyle="1" w:styleId="affc">
    <w:name w:val="Текст сноски Знак"/>
    <w:basedOn w:val="a0"/>
    <w:link w:val="affb"/>
    <w:semiHidden/>
    <w:rsid w:val="00CB66DD"/>
    <w:rPr>
      <w:rFonts w:ascii="Times New Roman" w:eastAsia="Times New Roman" w:hAnsi="Times New Roman" w:cs="Times New Roman"/>
      <w:sz w:val="20"/>
      <w:szCs w:val="20"/>
      <w:vertAlign w:val="subscript"/>
      <w:lang w:val="ru-RU"/>
    </w:rPr>
  </w:style>
  <w:style w:type="character" w:styleId="affd">
    <w:name w:val="page number"/>
    <w:basedOn w:val="a0"/>
    <w:rsid w:val="00CB66DD"/>
  </w:style>
  <w:style w:type="paragraph" w:customStyle="1" w:styleId="21">
    <w:name w:val="Основной текст2"/>
    <w:basedOn w:val="a"/>
    <w:rsid w:val="00F1757D"/>
    <w:pPr>
      <w:widowControl w:val="0"/>
      <w:shd w:val="clear" w:color="auto" w:fill="FFFFFF"/>
      <w:spacing w:after="0" w:line="278" w:lineRule="exact"/>
    </w:pPr>
    <w:rPr>
      <w:rFonts w:ascii="Times New Roman" w:eastAsia="Times New Roman" w:hAnsi="Times New Roman" w:cs="Times New Roman"/>
      <w:sz w:val="20"/>
      <w:szCs w:val="20"/>
      <w:lang w:val="ru-RU"/>
    </w:rPr>
  </w:style>
  <w:style w:type="character" w:customStyle="1" w:styleId="FontStyle102">
    <w:name w:val="Font Style102"/>
    <w:rsid w:val="0013529C"/>
    <w:rPr>
      <w:rFonts w:ascii="Times New Roman" w:hAnsi="Times New Roman" w:cs="Times New Roman"/>
      <w:color w:val="000000"/>
      <w:sz w:val="26"/>
      <w:szCs w:val="26"/>
    </w:rPr>
  </w:style>
  <w:style w:type="table" w:styleId="affe">
    <w:name w:val="Table Grid"/>
    <w:basedOn w:val="a1"/>
    <w:uiPriority w:val="39"/>
    <w:rsid w:val="00C72586"/>
    <w:pPr>
      <w:spacing w:after="0" w:line="240" w:lineRule="auto"/>
    </w:pPr>
    <w:rPr>
      <w:rFonts w:asciiTheme="minorHAnsi" w:eastAsiaTheme="minorHAnsi" w:hAnsiTheme="minorHAnsi" w:cstheme="minorBidi"/>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01244">
      <w:bodyDiv w:val="1"/>
      <w:marLeft w:val="0"/>
      <w:marRight w:val="0"/>
      <w:marTop w:val="0"/>
      <w:marBottom w:val="0"/>
      <w:divBdr>
        <w:top w:val="none" w:sz="0" w:space="0" w:color="auto"/>
        <w:left w:val="none" w:sz="0" w:space="0" w:color="auto"/>
        <w:bottom w:val="none" w:sz="0" w:space="0" w:color="auto"/>
        <w:right w:val="none" w:sz="0" w:space="0" w:color="auto"/>
      </w:divBdr>
    </w:div>
    <w:div w:id="796148342">
      <w:bodyDiv w:val="1"/>
      <w:marLeft w:val="0"/>
      <w:marRight w:val="0"/>
      <w:marTop w:val="0"/>
      <w:marBottom w:val="0"/>
      <w:divBdr>
        <w:top w:val="none" w:sz="0" w:space="0" w:color="auto"/>
        <w:left w:val="none" w:sz="0" w:space="0" w:color="auto"/>
        <w:bottom w:val="none" w:sz="0" w:space="0" w:color="auto"/>
        <w:right w:val="none" w:sz="0" w:space="0" w:color="auto"/>
      </w:divBdr>
      <w:divsChild>
        <w:div w:id="1238974730">
          <w:marLeft w:val="-225"/>
          <w:marRight w:val="-225"/>
          <w:marTop w:val="0"/>
          <w:marBottom w:val="0"/>
          <w:divBdr>
            <w:top w:val="none" w:sz="0" w:space="0" w:color="auto"/>
            <w:left w:val="none" w:sz="0" w:space="0" w:color="auto"/>
            <w:bottom w:val="none" w:sz="0" w:space="0" w:color="auto"/>
            <w:right w:val="none" w:sz="0" w:space="0" w:color="auto"/>
          </w:divBdr>
          <w:divsChild>
            <w:div w:id="306397834">
              <w:marLeft w:val="0"/>
              <w:marRight w:val="0"/>
              <w:marTop w:val="0"/>
              <w:marBottom w:val="0"/>
              <w:divBdr>
                <w:top w:val="none" w:sz="0" w:space="0" w:color="auto"/>
                <w:left w:val="none" w:sz="0" w:space="0" w:color="auto"/>
                <w:bottom w:val="none" w:sz="0" w:space="0" w:color="auto"/>
                <w:right w:val="none" w:sz="0" w:space="0" w:color="auto"/>
              </w:divBdr>
            </w:div>
          </w:divsChild>
        </w:div>
        <w:div w:id="2011326269">
          <w:marLeft w:val="-225"/>
          <w:marRight w:val="-225"/>
          <w:marTop w:val="0"/>
          <w:marBottom w:val="0"/>
          <w:divBdr>
            <w:top w:val="none" w:sz="0" w:space="0" w:color="auto"/>
            <w:left w:val="none" w:sz="0" w:space="0" w:color="auto"/>
            <w:bottom w:val="none" w:sz="0" w:space="0" w:color="auto"/>
            <w:right w:val="none" w:sz="0" w:space="0" w:color="auto"/>
          </w:divBdr>
          <w:divsChild>
            <w:div w:id="723799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32180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customXml" Target="ink/ink3.xml"/><Relationship Id="rId26" Type="http://schemas.openxmlformats.org/officeDocument/2006/relationships/hyperlink" Target="https://www.sciencedirect.com/science/article/abs/pii/S2214790X20302136" TargetMode="External"/><Relationship Id="rId39" Type="http://schemas.openxmlformats.org/officeDocument/2006/relationships/hyperlink" Target="https://www.globalreporting.org/media/zilbm3qo/gri_mining_sector_standard_exposure_draft.pdf" TargetMode="External"/><Relationship Id="rId21" Type="http://schemas.openxmlformats.org/officeDocument/2006/relationships/image" Target="media/image4.png"/><Relationship Id="rId34" Type="http://schemas.openxmlformats.org/officeDocument/2006/relationships/hyperlink" Target="https://www.icmm.com/website/publications/pdfs/environmental-stewardship/2019/guidance_integrated-mine-closure.pdf?cb=21081" TargetMode="External"/><Relationship Id="rId42" Type="http://schemas.openxmlformats.org/officeDocument/2006/relationships/hyperlink" Target="https://www.iisd.org/system/files/2021-09/financially-assured-mine-closure-argentina-en.pdf" TargetMode="External"/><Relationship Id="rId47" Type="http://schemas.openxmlformats.org/officeDocument/2006/relationships/hyperlink" Target="https://www.whitecase.com/insight-our-thinking/mining-metals-2023-lifting-fog-uncertainty" TargetMode="External"/><Relationship Id="rId50" Type="http://schemas.openxmlformats.org/officeDocument/2006/relationships/footer" Target="footer4.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ustomXml" Target="ink/ink2.xml"/><Relationship Id="rId29" Type="http://schemas.openxmlformats.org/officeDocument/2006/relationships/hyperlink" Target="https://mailchi.mp/mining/industrie-miniere-canadienne-pratiques-esg-et-mobilisation-des-autochtones-6040491" TargetMode="External"/><Relationship Id="rId11" Type="http://schemas.openxmlformats.org/officeDocument/2006/relationships/footer" Target="footer1.xml"/><Relationship Id="rId24" Type="http://schemas.openxmlformats.org/officeDocument/2006/relationships/hyperlink" Target="https://www.ifc.org/wps/wcm/connect/topics_ext_content/ifc_external_corporate_site/sustainability-at-ifc/policies-standards/performance-standards/performance-standards" TargetMode="External"/><Relationship Id="rId32" Type="http://schemas.openxmlformats.org/officeDocument/2006/relationships/hyperlink" Target="https://www.sciencedirect.com/science/article/pii/S2300396015300446?via%3Dihub" TargetMode="External"/><Relationship Id="rId37" Type="http://schemas.openxmlformats.org/officeDocument/2006/relationships/hyperlink" Target="https://gccassociation.org/wp-content/uploads/2020/05/GCCA_Guidelines_Sustainability_Biodiversity_Quarry_RehabiliRehabi_May_2020-1.pdf" TargetMode="External"/><Relationship Id="rId40" Type="http://schemas.openxmlformats.org/officeDocument/2006/relationships/hyperlink" Target="https://www.icmm.com/website/publications/pdfs/mining-principles/mining-principles.pdf" TargetMode="External"/><Relationship Id="rId45" Type="http://schemas.openxmlformats.org/officeDocument/2006/relationships/hyperlink" Target="http://www.ret.gov.au/resources/Documents/LPSDP/LPSDP-MineClosureCompletionHandbook.pdf" TargetMode="Externa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5.png"/><Relationship Id="rId28" Type="http://schemas.openxmlformats.org/officeDocument/2006/relationships/hyperlink" Target="https://autodocbox.com/68136686-Electric_Vehicle/Considerations-and-recommendations-in-mine-closure-policy-in-papua-new-guinea.html" TargetMode="External"/><Relationship Id="rId36" Type="http://schemas.openxmlformats.org/officeDocument/2006/relationships/hyperlink" Target="https://www.srk.com/en/services/mine-closure-strategy-and-planning" TargetMode="External"/><Relationship Id="rId49" Type="http://schemas.openxmlformats.org/officeDocument/2006/relationships/hyperlink" Target="https://www.srk.com/en/services/environment-community-and-mine-closure?gad=1&amp;gclid=CjwKCAjwg-GjBhBnEiwAMUvNW-NTBf29iLuZUkmSADrweB6XW8RyZtUqVDMQ-EDsANC1fTPXxei2khoCgIEQAvD_BwE" TargetMode="External"/><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hyperlink" Target="https://www.sciencedirect.com/journal/journal-of-sustainable-mining/vol/12/issue/1" TargetMode="External"/><Relationship Id="rId44" Type="http://schemas.openxmlformats.org/officeDocument/2006/relationships/hyperlink" Target="https://www.deloitte.com/global/en/Industries/mining-metals/about/tracking-the-trends.html"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docs.google.com/document/d/1VzC6wiAsKGMRRTXsm08HTkEYEi83PhHa/edit" TargetMode="External"/><Relationship Id="rId14" Type="http://schemas.openxmlformats.org/officeDocument/2006/relationships/customXml" Target="ink/ink1.xml"/><Relationship Id="rId22" Type="http://schemas.openxmlformats.org/officeDocument/2006/relationships/customXml" Target="ink/ink5.xml"/><Relationship Id="rId27" Type="http://schemas.openxmlformats.org/officeDocument/2006/relationships/hyperlink" Target="https://www.europarl.europa.eu/RegData/etudes/STUD/2022/729156/IPOL_STU(2022)729156_EN.pdf" TargetMode="External"/><Relationship Id="rId30" Type="http://schemas.openxmlformats.org/officeDocument/2006/relationships/hyperlink" Target="https://www.sciencedirect.com/journal/journal-of-sustainable-mining" TargetMode="External"/><Relationship Id="rId35" Type="http://schemas.openxmlformats.org/officeDocument/2006/relationships/hyperlink" Target="https://www.srk.com/en/publications/why-an-early-integrated-approach-to-mine-closure" TargetMode="External"/><Relationship Id="rId43" Type="http://schemas.openxmlformats.org/officeDocument/2006/relationships/hyperlink" Target="https://ibram.org.br/wp-content/uploads/2021/02/guia_ingles-1.pdf" TargetMode="External"/><Relationship Id="rId48" Type="http://schemas.openxmlformats.org/officeDocument/2006/relationships/hyperlink" Target="https://www.whitecase.com/insight-our-thinking/mining-metals-2023-lifting-fog-uncertainty" TargetMode="External"/><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image" Target="media/image2.png"/><Relationship Id="rId25" Type="http://schemas.openxmlformats.org/officeDocument/2006/relationships/hyperlink" Target="https://link.springer.com/article/10.1007/s11053-017-9343-6" TargetMode="External"/><Relationship Id="rId33" Type="http://schemas.openxmlformats.org/officeDocument/2006/relationships/hyperlink" Target="https://www.srk.com/en/services/environment-community-and-mine-closure?gad=1&amp;gclid=CjwKCAjwg-GjBhBnEiwAMUvNW-NTBf29iLuZUkmSADrweB6XW8RyZtUqVDMQ-EDsANC1fTPXxei2khoCgIEQAvD_BwE" TargetMode="External"/><Relationship Id="rId38" Type="http://schemas.openxmlformats.org/officeDocument/2006/relationships/hyperlink" Target="https://www.sernageomin.cl/wp-content/uploads/2017/11/Strategic-Framework-Mine-Closure.pdf" TargetMode="External"/><Relationship Id="rId46" Type="http://schemas.openxmlformats.org/officeDocument/2006/relationships/hyperlink" Target="https://www.mckinsey.com/~/media/mckinsey/dotcom/client_service/metals%20and%20mining/pdfs/mining_metals_scenarios.ashx" TargetMode="External"/><Relationship Id="rId20" Type="http://schemas.openxmlformats.org/officeDocument/2006/relationships/customXml" Target="ink/ink4.xml"/><Relationship Id="rId41" Type="http://schemas.openxmlformats.org/officeDocument/2006/relationships/hyperlink" Target="https://unece.org/sed/documents/2022/03/presentations/coal-mine-closure-standards-mr-raymond-c-pilcher-president"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6T08:58:44.426"/>
    </inkml:context>
    <inkml:brush xml:id="br0">
      <inkml:brushProperty name="width" value="0.05" units="cm"/>
      <inkml:brushProperty name="height" value="0.05" units="cm"/>
      <inkml:brushProperty name="color" value="#E71224"/>
    </inkml:brush>
  </inkml:definitions>
  <inkml:trace contextRef="#ctx0" brushRef="#br0">4366 0 24575,'0'2'0,"-1"0"0,1 0 0,-1 0 0,1 0 0,-1-1 0,0 1 0,0 0 0,0-1 0,0 1 0,0 0 0,0-1 0,0 1 0,0-1 0,-1 1 0,1-1 0,0 0 0,-1 0 0,0 1 0,1-1 0,-1 0 0,1 0 0,-1-1 0,0 1 0,0 0 0,0-1 0,1 1 0,-1-1 0,0 1 0,0-1 0,0 0 0,-2 1 0,-12 1 0,-1-1 0,-28 0 0,27-1 0,-584-1 0,-69 2 0,471 12 0,101-6 0,4 3 0,-30 1 0,97-9 0,-1 1 0,1 1 0,0 2 0,1 0 0,-41 17 0,41-16 0,1-1 0,-1-1 0,0-1 0,-29 1 0,23-3 0,2 1 0,-56 14 0,-28 23 0,-29 7 0,36-22 0,-2-4 0,-118 6 0,66-11 0,-249 12 0,381-28 0,7-1 0,-1 2 0,0 0 0,1 1 0,-29 7 0,-82 31 0,104-32 0,8-3 0,-1 1 0,2 2 0,-1 0 0,-30 17 0,39-18 5,0-1-1,0-1 1,0 0-1,0-1 1,-18 3-1,-11 4-1396,27-7-5434</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6T09:01:00.854"/>
    </inkml:context>
    <inkml:brush xml:id="br0">
      <inkml:brushProperty name="width" value="0.05" units="cm"/>
      <inkml:brushProperty name="height" value="0.05" units="cm"/>
      <inkml:brushProperty name="color" value="#5B2D90"/>
    </inkml:brush>
  </inkml:definitions>
  <inkml:trace contextRef="#ctx0" brushRef="#br0">4677 0 24575,'-17'7'0,"-1"-1"0,0-1 0,0-1 0,0-1 0,-1 0 0,-19 0 0,-20 4 0,-501 87-6784,179-30 13568,214-32-6784,-50 8 0,35-25 0,35-5 0,-282 19 0,-75 8 0,75 36 0,341-61 0,62-10 0,1 2 0,-35 8 0,-131 32 0,-9 4 0,169-37 0,1 1 0,-42 23 0,41-19 0,0-1 0,-35 11 0,28-12 0,-53 28 0,-9 5 0,76-39 0,1 0 0,-1-2 0,-37 6 0,51-10 0,1 0 0,-1 1 0,1 0 0,-1 1 0,1 0 0,-13 8 0,13-7 0,0-1 0,0 0 0,0 0 0,0-1 0,-1 0 0,1 0 0,-11 1 0,11-3 0,-1 0 0,0 1 0,0 0 0,1 0 0,0 1 0,-1 0 0,1 0 0,0 1 0,0 0 0,0 0 0,1 1 0,0 0 0,-10 8 0,17-13 0,0 1 0,0-1 0,0 0 0,-1 1 0,1-1 0,0 0 0,0 0 0,0 1 0,0-1 0,0 0 0,0 1 0,-1-1 0,1 0 0,0 1 0,0-1 0,0 0 0,0 1 0,0-1 0,0 0 0,0 1 0,0-1 0,1 0 0,-1 1 0,0-1 0,0 0 0,0 1 0,0-1 0,0 0 0,0 0 0,1 1 0,-1-1 0,0 0 0,0 1 0,0-1 0,1 0 0,-1 0 0,0 0 0,0 1 0,1-1 0,-1 0 0,0 0 0,1 0 0,-1 0 0,0 1 0,1-1 0,-1 0 0,0 0 0,1 0 0,-1 0 0,0 0 0,1 0 0,-1 0 0,0 0 0,0 0 0,1 0 0,-1 0 0,1 0 0,23 2 0,-23-2 0,108 0 0,-65-1 0,0 1 0,0 2 0,0 2 0,44 11 0,-2 7 0,141 32 0,-159-44 0,-45-7 0,-1 0 0,0 1 0,38 14 0,-37-11 0,39 9 0,-3-1 0,-46-10 0,0 1 0,-1 0 0,14 9 0,22 10 0,257 101 0,-269-109 0,59 38 0,-10-4 0,-63-40 0,1 0 0,-1 2 0,22 15 0,-44-28 0,1 1 0,0-1 0,-1 1 0,1-1 0,0 1 0,-1-1 0,1 1 0,-1 0 0,1-1 0,-1 1 0,0 0 0,1-1 0,-1 1 0,1 0 0,-1 0 0,0-1 0,0 1 0,0 0 0,1 0 0,-1-1 0,0 1 0,0 0 0,0 0 0,0 0 0,0-1 0,0 1 0,0 0 0,-1 0 0,1 0 0,0-1 0,-1 2 0,0 1 0,-1-1 0,1 0 0,-1 1 0,0-1 0,1 0 0,-1 0 0,-1 1 0,1-2 0,-3 3 0,-6 5 0,-1-2 0,-22 12 0,18-10 0,0 0 0,-16 14 0,17-12 0,0 0 0,-19 9 0,16-11 0,1 2 0,-21 16 0,-22 15 0,48-34 0,1 0 0,0 1 0,1 1 0,0 0 0,1 0 0,-13 17 0,-14 15 0,30-35 0,-28 28 0,-45 61 0,29-35 0,-5 9 0,26-32 0,21-28 0,1 0 0,0 0 0,0 1 0,-9 18 0,9-13 0,0 0 0,-1 0 0,-11 14 0,7-9 0,0 1 0,-12 32 0,12-27 0,-16 28 0,23-46 0,0-1 0,-1-1 0,0 1 0,-1-1 0,1 0 0,-1 0 0,-11 8 0,-3-2 0,15-9 0,0-1 0,1 1 0,-1 0 0,1 0 0,-9 10 0,14-14 0,-1 0 0,1 1 0,0-1 0,0 0 0,-1 1 0,1-1 0,0 1 0,0-1 0,0 0 0,0 1 0,0-1 0,0 1 0,-1-1 0,1 1 0,0-1 0,0 0 0,0 1 0,1-1 0,-1 1 0,0-1 0,0 1 0,0-1 0,0 0 0,0 1 0,0-1 0,1 1 0,-1-1 0,0 0 0,0 1 0,0-1 0,1 0 0,-1 1 0,0-1 0,1 0 0,-1 1 0,0-1 0,1 0 0,-1 0 0,0 1 0,1-1 0,-1 0 0,1 0 0,-1 0 0,0 1 0,1-1 0,-1 0 0,1 0 0,0 0 0,23 5 0,29 0 0,90-5 0,-98-2 0,1 2 0,0 2 0,52 9 0,374 69 0,-346-62 0,140 39 0,-241-50 0,1-1 0,0-2 0,0 0 0,38-1 0,25 2 0,123 22 0,-123-13 0,123 4 0,-21-19 0,107 3 0,-2 24 0,110 35 0,-275-49 0,169-7 0,-278-4 0,0 1 0,0 1 0,30 8 0,7 1 0,37 3 0,375 46 0,-186-38 0,-180-4 0,-79-16 0,0 1 0,38 11 0,-41-9 0,1 0 0,-1-2 0,36 2 0,-53-6-151,0 0-1,0 1 0,0-1 0,-1 1 1,1 0-1,0 0 0,0 1 1,10 4-1,-2 3-6674</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6T08:59:57.109"/>
    </inkml:context>
    <inkml:brush xml:id="br0">
      <inkml:brushProperty name="width" value="0.05" units="cm"/>
      <inkml:brushProperty name="height" value="0.05" units="cm"/>
      <inkml:brushProperty name="color" value="#00A0D7"/>
    </inkml:brush>
  </inkml:definitions>
  <inkml:trace contextRef="#ctx0" brushRef="#br0">6663 0 24575,'-1'3'0,"1"-1"0,-1 1 0,0 0 0,0-1 0,0 0 0,0 1 0,-1-1 0,1 1 0,0-1 0,-1 0 0,0 0 0,0 0 0,1 0 0,-1 0 0,-3 2 0,-39 29 0,35-26 0,-18 11 0,0-2 0,-2 0 0,-41 15 0,-98 29 0,134-49 0,-379 96 0,304-90 0,0-4 0,-133-3 0,90-5 0,60 5 0,57-5 0,-38 0 0,-61-7 0,-108 4 0,171 8 0,45-6 0,-46 3 0,-986-7 0,486-1 0,545 2 0,-44 9 0,43-5 0,-38 1 0,-196 6 0,-356-2 0,380-12 0,163 3 0,-86-2 0,-6-20 0,-194-1 0,-38 23 0,544 10 0,2 0 0,69 9 0,-168-10 0,-33-6 0,0-1 0,23 1 0,71 7 0,17 1 0,-26-9 0,0 5 0,-1 3 0,112 30 0,141 26 0,-56-14 0,-76-11 0,735 154 0,-523-105 0,-141-30 0,-223-46 0,-37-7 0,0-2 0,57 5 0,-42-10 0,92 6 0,-117-5 0,-1 2 0,1 0 0,-1 1 0,33 14 0,-37-14 0,1 0 0,-1-1 0,1-1 0,0 0 0,0-1 0,32-1 0,-21-1 0,40 7 0,11 2 0,-1-3 0,125-7 0,-77-1 0,299 2 0,-1225-16-11320,238 10 20517,349 7-7074,-263 35-2123,208-9 0,219-22-3208,0 3-1,-90 24 1,118-23 4812,0 0 0,1 2 1,1 0-1,-1 1 0,-32 28 0,11-10-1604,-47 26 0,54-36 0,1 2 0,-58 49 0,-31 31 0,70-61 0,-116 67 0,155-101 0,0 2 0,0-1 0,1 1 0,0 1 0,1 0 0,0 1 0,-15 19 0,23-28 0,0 0 0,1 1 0,-1-1 0,0 0 0,0 0 0,0 0 0,0-1 0,0 1 0,0-1 0,-1 0 0,1 0 0,0 0 0,-1 0 0,1 0 0,-7 0 0,-2 1 0,-375 78 0,325-64 0,-39 8 0,13-9 0,32-5 0,0-2 0,-59 0 0,87-5 0,1 0 0,0 2 0,1 2 0,-52 17 0,51-15 0,-2 1 0,-31 10 0,0-2 0,-66 9 0,-28 6 0,97-19 0,-72 7 0,85-16 0,-61 15 0,83-15 0,-2-1 0,-41 2 0,46-6 0,1 2 0,0 0 0,-1 0 0,1 2 0,-29 10 0,25-5 0,0-1 0,-1-1 0,0-1 0,-29 4 0,31-5 0,-1 1 0,1 1 0,0 1 0,1 1 0,-36 20 0,23-11 0,12-4 0,22-9 0,14-2 0,-6-3 0,-1-1 0,0 0 0,1-1 0,-1 0 0,0 0 0,0-1 0,0 0 0,0 0 0,-1-1 0,1 1 0,-1-2 0,0 1 0,11-11 0,20-9 0,-34 22 0,0 1 0,0-1 0,0 1 0,0 0 0,0 0 0,1 0 0,-1 1 0,0-1 0,1 1 0,-1 0 0,0 1 0,8 0 0,56 15 0,-42-9 0,431 67 0,-429-71 0,311 38 0,-311-38 0,-5-2 0,1 2 0,-1 0 0,0 2 0,0 0 0,-1 2 0,1 0 0,31 16 0,-38-16 0,0 0 0,1-1 0,0-1 0,0 0 0,0-1 0,24 1 0,-20-2 0,0 1 0,0 1 0,35 12 0,-31-7 0,32 15 0,77 43 0,-112-56 0,0-1 0,32 10 0,-28-12 0,42 23 0,-54-25 0,1 0 0,0-2 0,16 5 0,-13-4 0,-1 0 0,17 8 0,278 148 0,-257-137 0,1-2 0,91 24 0,-106-35 0,212 44 0,-21-6 0,-89 2 0,-1 0 0,-138-51-151,0 0-1,-1 0 0,1 0 0,0 1 1,-1 0-1,0 0 0,1 0 1,2 2-1,4 6-6674</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6T08:59:03.356"/>
    </inkml:context>
    <inkml:brush xml:id="br0">
      <inkml:brushProperty name="width" value="0.05" units="cm"/>
      <inkml:brushProperty name="height" value="0.05" units="cm"/>
      <inkml:brushProperty name="color" value="#E71224"/>
    </inkml:brush>
  </inkml:definitions>
  <inkml:trace contextRef="#ctx0" brushRef="#br0">931 0 24575,'76'15'0,"1"-4"0,109 2 0,-87-7 0,199 16 0,375 19 0,-645-39 0,-1 2 0,1 1 0,33 10 0,9 2 0,125 13 0,-145-23 0,156 9 0,-35 9 0,-128-21 0,85-4 0,17 1 0,-119 3 0,0 1 0,-1 1 0,26 10 0,33 9 0,45 15 0,-92-27 0,78 18 0,-103-29 0,0 1 0,0 0 0,-1 0 0,1 1 0,-1 1 0,17 9 0,19 4 0,-38-15 0,-1 0 0,0 0 0,0 0 0,15 10 0,1 3 24,16 10-543,-2 3 0,42 39 0,143 140 2052,-59-33-1533,-42-43 0,-61-81 0,-44-38 0,0 1 0,16 16 0,63 61 0,-1-1 0,-94-90 0,-1 0 0,0 1 0,1-1 0,-1 1 0,1-1 0,-1 1 0,0-1 0,1 0 0,-1 1 0,0-1 0,0 1 0,1-1 0,-1 1 0,0 0 0,0-1 0,0 1 0,1-1 0,-1 1 0,0-1 0,0 1 0,0 0 0,0-1 0,0 1 0,0-1 0,0 1 0,-1-1 0,1 1 0,0 0 0,-15 8 0,-34-3 0,37-5 0,-123 16 0,-304 24 0,339-32 0,15-1 0,-88 3 0,-120 2 0,-86-15 0,-310 4 0,427 18 0,30 16 0,-5-1 0,182-29 0,-318 25 0,301-24 0,-121 29 0,148-26 0,19-6 0,0-1 0,-50-1 0,3 0 0,-62 17 0,102-18 0,1 1 0,0 1 0,1 2 0,-38 11 0,-24 8 0,-18 4 0,85-20 0,-43 6 0,50-11 0,0 0 0,0 2 0,0 0 0,1 1 0,-20 9 0,-111 57 0,137-66 0,1 1 0,0 0 0,-17 16 0,-19 12 0,18-13 0,26-19 0,-1 1 0,-1-1 0,1 0 0,0 0 0,-1-1 0,1 1 0,-1-1 0,0 0 0,-6 2 0,3-2 0,1 1 0,0 0 0,0 1 0,0-1 0,0 1 0,-9 8 0,15-12 0,1 1 0,0-1 0,0 1 0,-1-1 0,1 1 0,0-1 0,0 1 0,0-1 0,0 1 0,-1-1 0,1 1 0,0-1 0,0 1 0,0-1 0,0 1 0,0 0 0,0-1 0,1 1 0,-1-1 0,0 1 0,0-1 0,0 1 0,0-1 0,1 1 0,-1-1 0,0 1 0,0-1 0,1 0 0,-1 1 0,0-1 0,1 1 0,-1-1 0,0 0 0,1 1 0,-1-1 0,1 0 0,-1 1 0,1-1 0,-1 0 0,1 0 0,-1 1 0,2-1 0,27 19 0,-22-15 0,63 45 0,116 104 0,-137-114 0,-36-30 0,0 1 0,-1 1 0,0 0 0,-1 0 0,12 15 0,1 9 0,-9-13 0,1 0 0,20 20 0,-29-35 0,0-1 0,0 0 0,1 0 0,0 0 0,0-1 0,0 0 0,1-1 0,0 0 0,14 5 0,58 11 0,164 19 0,-237-38 0,53 4 0,-33-3 0,1 1 0,-1 1 0,0 2 0,45 14 0,-67-17-60,-1 0 0,1 0 1,-1 0-1,0 1 0,7 6 0,-5-4-946,2 1-5820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6T09:00:28.486"/>
    </inkml:context>
    <inkml:brush xml:id="br0">
      <inkml:brushProperty name="width" value="0.05" units="cm"/>
      <inkml:brushProperty name="height" value="0.05" units="cm"/>
      <inkml:brushProperty name="color" value="#008C3A"/>
    </inkml:brush>
  </inkml:definitions>
  <inkml:trace contextRef="#ctx0" brushRef="#br0">2099 0 24575,'2'16'0,"0"0"0,1-1 0,0 0 0,2 1 0,10 25 0,5 18 0,-15-42 0,-2-9 0,-1-1 0,1 1 0,-2-1 0,2 14 0,-3-20 0,0 0 0,0 1 0,0-1 0,0 0 0,0 1 0,0-1 0,0 0 0,-1 0 0,1 0 0,0 1 0,-1-1 0,1 0 0,-1 0 0,1 0 0,-1 0 0,0 0 0,0 0 0,1 0 0,-1 0 0,0 0 0,0 0 0,0 0 0,0 0 0,0 0 0,0-1 0,0 1 0,0 0 0,0-1 0,0 1 0,-1-1 0,1 1 0,0-1 0,0 0 0,-2 1 0,-304 50 0,231-39 0,0-3 0,-82-1 0,55-5 0,15 8 0,34-3 0,-183 36 0,220-40 0,0 1 0,1 0 0,-1 1 0,1 0 0,-24 15 0,-8 2 0,14-9 0,-53 12 0,48-16 0,-38 17 0,8-1 0,-94 20 0,-26 10 0,118-32 0,28-10 0,-55 25 0,98-39 0,0 0 0,0 0 0,0 0 0,0 0 0,0 0 0,0 0 0,0 0 0,0 0 0,0 0 0,1 0 0,-1 0 0,0 0 0,0 0 0,0 0 0,0 0 0,0 0 0,0 0 0,0 0 0,0 0 0,1 0 0,-1 0 0,0 0 0,0 0 0,0 1 0,0-1 0,0 0 0,0 0 0,0 0 0,0 0 0,0 0 0,0 0 0,0 0 0,0 0 0,0 0 0,0 0 0,0 0 0,1 1 0,-1-1 0,0 0 0,0 0 0,0 0 0,0 0 0,0 0 0,0 0 0,0 0 0,0 0 0,0 1 0,0-1 0,0 0 0,0 0 0,-1 0 0,1 0 0,0 0 0,0 0 0,0 0 0,0 0 0,0 0 0,0 1 0,0-1 0,0 0 0,0 0 0,0 0 0,17 3 0,21-2 0,56-3 0,99 4 0,-122 8 0,-45-6 0,46 3 0,-30-4 0,83 15 0,-83-10 0,0-2 0,47 1 0,-61-7 0,0 2 0,0 1 0,0 1 0,42 11 0,-27-7 0,1-1 0,0-2 0,0-3 0,79-4 0,-40 0 0,462 1 0,-508 3 0,-1 1 0,51 12 0,10 1 0,-81-14 0,0 0 0,0 0 0,-1 2 0,1 0 0,-1 0 0,0 2 0,0 0 0,-1 0 0,1 1 0,16 12 0,-14-7 0,0-1 0,0 0 0,-1 1 0,0 1 0,-1 1 0,25 30 0,52 94 0,3 3 0,48 77 0,-121-178 0,17 44 0,-25-50 0,1 0 0,31 47 0,83 83 0,-87-113 0,33 35 0,17 21 0,-92-106 0,1-1 0,-1 1 0,1-1 0,-1 0 0,0 1 0,1-1 0,-1 1 0,0-1 0,0 1 0,1-1 0,-1 1 0,0 0 0,0-1 0,0 1 0,0-1 0,0 1 0,0-1 0,0 1 0,0 0 0,0-1 0,0 1 0,0-1 0,0 1 0,0-1 0,0 1 0,0-1 0,0 1 0,-1 1 0,-16 6 0,-32-4 0,41-4 0,-420 19 0,252 6 0,71-8 0,-59 14 0,-36 3 0,151-27 0,-71 20 0,65-14 0,-106 15 0,-13 9 0,108-28 0,0-3 0,0-2 0,-84-7 0,23 0 0,-612 3 0,737 0 0,-46 2 0,45-2 0,-1 1 0,1-1 0,-1 1 0,1 0 0,-1 0 0,1 0 0,0 0 0,-1 0 0,1 1 0,0-1 0,-3 3 0,6-3 0,0-1 0,0 1 0,0-1 0,0 0 0,0 1 0,0-1 0,0 1 0,1-1 0,-1 0 0,0 1 0,0-1 0,1 0 0,-1 1 0,0-1 0,0 0 0,1 0 0,-1 1 0,0-1 0,1 0 0,-1 0 0,0 1 0,1-1 0,-1 0 0,0 0 0,1 0 0,-1 0 0,1 0 0,-1 0 0,0 1 0,1-1 0,-1 0 0,1 0 0,15 5 0,24 4 0,-10-3 0,0 1 0,0 1 0,-1 2 0,28 13 0,-21-8 0,0-2 0,1-1 0,0-2 0,39 6 0,0 0 0,-24-4 0,228 63 0,-168-43 0,202 30 0,-242-50 0,515 100 0,-547-107 0,41 1 0,-1-1 0,166 24 0,-220-27 0,43-2 0,-52-1 0,0 1 0,1 0 0,-1 1 0,0 1 0,32 7 0,38 23 0,-75-28 0,1 0 0,-1 1 0,0 1 0,0 0 0,-1 1 0,13 8 0,62 56 0,-32-25 0,101 61 0,-134-92 0,-7-5-1365,-4-1-5461</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4tez2r64725XCX9JvrYYgJQhuyg==">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</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91D1896-6F57-45B8-B1DB-1F8CDBA5A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85</Pages>
  <Words>92234</Words>
  <Characters>52574</Characters>
  <Application>Microsoft Office Word</Application>
  <DocSecurity>0</DocSecurity>
  <Lines>438</Lines>
  <Paragraphs>289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 Kovalova</dc:creator>
  <cp:lastModifiedBy>Dell</cp:lastModifiedBy>
  <cp:revision>6</cp:revision>
  <dcterms:created xsi:type="dcterms:W3CDTF">2024-01-10T18:46:00Z</dcterms:created>
  <dcterms:modified xsi:type="dcterms:W3CDTF">2024-01-10T19:03:00Z</dcterms:modified>
</cp:coreProperties>
</file>