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B04" w:rsidRPr="008D597E" w:rsidRDefault="002F0B04" w:rsidP="002F0B04">
      <w:pPr>
        <w:widowControl w:val="0"/>
        <w:ind w:firstLine="0"/>
        <w:rPr>
          <w:bCs/>
          <w:szCs w:val="20"/>
        </w:rPr>
      </w:pPr>
      <w:r w:rsidRPr="008D597E">
        <w:rPr>
          <w:bCs/>
          <w:szCs w:val="20"/>
        </w:rPr>
        <w:t>УДК 664.8.022.6</w:t>
      </w:r>
    </w:p>
    <w:p w:rsidR="002F0B04" w:rsidRPr="008D597E" w:rsidRDefault="002F0B04" w:rsidP="002F0B04">
      <w:pPr>
        <w:pStyle w:val="2"/>
        <w:rPr>
          <w:sz w:val="12"/>
          <w:szCs w:val="12"/>
        </w:rPr>
      </w:pPr>
    </w:p>
    <w:p w:rsidR="002F0B04" w:rsidRPr="008D597E" w:rsidRDefault="002F0B04" w:rsidP="002F0B04">
      <w:pPr>
        <w:pStyle w:val="2"/>
      </w:pPr>
      <w:r w:rsidRPr="008D597E">
        <w:t>СИДОРЕНКО О. П., магістрант; ЗУБРІЙ О. Г., к.т.н., доц.; СЕМІНСЬКИЙ О. О., к.т.н., доц.</w:t>
      </w:r>
    </w:p>
    <w:p w:rsidR="002F0B04" w:rsidRPr="008D597E" w:rsidRDefault="002F0B04" w:rsidP="002F0B04">
      <w:pPr>
        <w:pStyle w:val="2"/>
      </w:pPr>
      <w:r w:rsidRPr="008D597E">
        <w:t>Національний технічний університет України «Київський політехнічний інститут», м. Київ</w:t>
      </w:r>
    </w:p>
    <w:p w:rsidR="002F0B04" w:rsidRPr="008D597E" w:rsidRDefault="002F0B04" w:rsidP="002F0B04">
      <w:pPr>
        <w:widowControl w:val="0"/>
        <w:rPr>
          <w:bCs/>
          <w:sz w:val="16"/>
          <w:szCs w:val="16"/>
        </w:rPr>
      </w:pPr>
    </w:p>
    <w:p w:rsidR="002F0B04" w:rsidRPr="008D597E" w:rsidRDefault="002F0B04" w:rsidP="002F0B04">
      <w:pPr>
        <w:pStyle w:val="1"/>
      </w:pPr>
      <w:r w:rsidRPr="008D597E">
        <w:t>ОСВІТЛЕННЯ СОКІВ У ПОЛІ ВІДЦЕНТРОВИХ СИЛ</w:t>
      </w:r>
    </w:p>
    <w:p w:rsidR="002F0B04" w:rsidRPr="008D597E" w:rsidRDefault="002F0B04" w:rsidP="002F0B04">
      <w:pPr>
        <w:pStyle w:val="2"/>
        <w:keepNext w:val="0"/>
        <w:rPr>
          <w:sz w:val="12"/>
          <w:szCs w:val="12"/>
        </w:rPr>
      </w:pPr>
    </w:p>
    <w:p w:rsidR="002F0B04" w:rsidRPr="008D597E" w:rsidRDefault="002F0B04" w:rsidP="002F0B04">
      <w:pPr>
        <w:spacing w:after="120" w:line="235" w:lineRule="auto"/>
        <w:ind w:firstLine="0"/>
        <w:rPr>
          <w:i/>
          <w:iCs/>
          <w:szCs w:val="20"/>
        </w:rPr>
      </w:pPr>
      <w:r w:rsidRPr="008D597E">
        <w:rPr>
          <w:i/>
          <w:iCs/>
          <w:szCs w:val="20"/>
        </w:rPr>
        <w:t>Наведені результати експериментальних досліджень дисперсного складу соків, освітлених у надцентрифузі. Одержано криві розподілу частинок, оцінено коефіціє</w:t>
      </w:r>
      <w:r w:rsidRPr="008D597E">
        <w:rPr>
          <w:i/>
          <w:iCs/>
          <w:szCs w:val="20"/>
        </w:rPr>
        <w:t>н</w:t>
      </w:r>
      <w:r w:rsidRPr="008D597E">
        <w:rPr>
          <w:i/>
          <w:iCs/>
          <w:szCs w:val="20"/>
        </w:rPr>
        <w:t>т освітлення.</w:t>
      </w:r>
    </w:p>
    <w:p w:rsidR="002F0B04" w:rsidRPr="008D597E" w:rsidRDefault="002F0B04" w:rsidP="002F0B04">
      <w:pPr>
        <w:spacing w:after="120" w:line="235" w:lineRule="auto"/>
        <w:ind w:firstLine="0"/>
        <w:rPr>
          <w:i/>
          <w:iCs/>
          <w:szCs w:val="20"/>
        </w:rPr>
      </w:pPr>
      <w:r w:rsidRPr="008D597E">
        <w:rPr>
          <w:b/>
          <w:i/>
          <w:iCs/>
          <w:szCs w:val="20"/>
        </w:rPr>
        <w:t>Ключові слова:</w:t>
      </w:r>
      <w:r w:rsidRPr="008D597E">
        <w:rPr>
          <w:i/>
          <w:iCs/>
          <w:szCs w:val="20"/>
        </w:rPr>
        <w:t xml:space="preserve"> освітлення, фруктовий сік, надцентрифуга.</w:t>
      </w:r>
    </w:p>
    <w:p w:rsidR="002F0B04" w:rsidRPr="008D597E" w:rsidRDefault="002F0B04" w:rsidP="002F0B04">
      <w:pPr>
        <w:spacing w:before="120" w:after="120"/>
        <w:ind w:firstLine="0"/>
      </w:pPr>
      <w:r w:rsidRPr="008D597E">
        <w:rPr>
          <w:szCs w:val="20"/>
        </w:rPr>
        <w:t xml:space="preserve">© Сидоренко О. П., Зубрій О. Г., </w:t>
      </w:r>
      <w:r w:rsidRPr="008D597E">
        <w:t xml:space="preserve">Семінський О. О., </w:t>
      </w:r>
      <w:r w:rsidRPr="008D597E">
        <w:rPr>
          <w:szCs w:val="20"/>
        </w:rPr>
        <w:t>2015.</w:t>
      </w:r>
    </w:p>
    <w:p w:rsidR="002F0B04" w:rsidRPr="008D597E" w:rsidRDefault="002F0B04" w:rsidP="002F0B04">
      <w:pPr>
        <w:rPr>
          <w:bCs/>
        </w:rPr>
      </w:pPr>
      <w:r w:rsidRPr="008D597E">
        <w:rPr>
          <w:b/>
          <w:bCs/>
        </w:rPr>
        <w:t>Постановка проблеми та</w:t>
      </w:r>
      <w:r w:rsidRPr="008D597E">
        <w:rPr>
          <w:b/>
        </w:rPr>
        <w:t xml:space="preserve"> аналіз попередніх досліджень</w:t>
      </w:r>
      <w:r w:rsidRPr="008D597E">
        <w:t>. Після пресування та попереднього розділення фруктові соки залишаються каламутними через наявність частинок м’якоті й коло</w:t>
      </w:r>
      <w:r w:rsidRPr="008D597E">
        <w:t>ї</w:t>
      </w:r>
      <w:r w:rsidRPr="008D597E">
        <w:t xml:space="preserve">дів </w:t>
      </w:r>
      <w:r w:rsidRPr="008D597E">
        <w:rPr>
          <w:lang w:eastAsia="uk-UA"/>
        </w:rPr>
        <w:t>плодової тканини</w:t>
      </w:r>
      <w:r w:rsidRPr="008D597E">
        <w:t>. Оскільки гравітаційне самоосвітлення займає багато часу, для освітлення соків доцільно застосовувати ро</w:t>
      </w:r>
      <w:r w:rsidRPr="008D597E">
        <w:t>з</w:t>
      </w:r>
      <w:r w:rsidRPr="008D597E">
        <w:t>ділення в полі відцентрових сил [1].</w:t>
      </w:r>
    </w:p>
    <w:p w:rsidR="002F0B04" w:rsidRPr="008D597E" w:rsidRDefault="002F0B04" w:rsidP="002F0B04">
      <w:r w:rsidRPr="008D597E">
        <w:t>У публікаціях однієї з провідних компаній-виробників центрифуг і сепараторів Westfalia наведені якісні оцінки різних ступенів розділення соків за різної продуктивності та розподіли частинок за розмірами, отр</w:t>
      </w:r>
      <w:r w:rsidRPr="008D597E">
        <w:t>и</w:t>
      </w:r>
      <w:r w:rsidRPr="008D597E">
        <w:t>мані на пресі і в центрифузі зі шнековим вивантаженням [2]. Проте даних, наведених компанією недоста</w:t>
      </w:r>
      <w:r w:rsidRPr="008D597E">
        <w:t>т</w:t>
      </w:r>
      <w:r w:rsidRPr="008D597E">
        <w:t>ньо для вибору режиму розділення.</w:t>
      </w:r>
      <w:r w:rsidRPr="008D597E">
        <w:rPr>
          <w:color w:val="FF0000"/>
        </w:rPr>
        <w:t xml:space="preserve"> </w:t>
      </w:r>
      <w:r w:rsidRPr="008D597E">
        <w:t>Отже визначення дисперсного складу соків для вибору режимів їхнього освітлення в полі відцентр</w:t>
      </w:r>
      <w:r w:rsidRPr="008D597E">
        <w:t>о</w:t>
      </w:r>
      <w:r w:rsidRPr="008D597E">
        <w:t>вих сил є актуальним.</w:t>
      </w:r>
    </w:p>
    <w:p w:rsidR="002F0B04" w:rsidRPr="008D597E" w:rsidRDefault="002F0B04" w:rsidP="002F0B04">
      <w:r w:rsidRPr="008D597E">
        <w:rPr>
          <w:b/>
          <w:bCs/>
        </w:rPr>
        <w:t>Метою</w:t>
      </w:r>
      <w:r w:rsidRPr="008D597E">
        <w:rPr>
          <w:bCs/>
        </w:rPr>
        <w:t xml:space="preserve"> статті є</w:t>
      </w:r>
      <w:r w:rsidRPr="008D597E">
        <w:t xml:space="preserve"> дослідження дисперсного складу неосвітленого і освітленого соків та визначення ступ</w:t>
      </w:r>
      <w:r w:rsidRPr="008D597E">
        <w:t>е</w:t>
      </w:r>
      <w:r w:rsidRPr="008D597E">
        <w:t>ня їхнього освітлення.</w:t>
      </w:r>
    </w:p>
    <w:p w:rsidR="002F0B04" w:rsidRPr="008D597E" w:rsidRDefault="002F0B04" w:rsidP="002F0B04">
      <w:r w:rsidRPr="008D597E">
        <w:rPr>
          <w:b/>
        </w:rPr>
        <w:t>Викладення основного матеріалу</w:t>
      </w:r>
      <w:r w:rsidRPr="008D597E">
        <w:t>. Серед фруктової сировини, що переробляється консервними зав</w:t>
      </w:r>
      <w:r w:rsidRPr="008D597E">
        <w:t>о</w:t>
      </w:r>
      <w:r w:rsidRPr="008D597E">
        <w:t>дами України на сік, 80…90 % займають яблука, тоді як серед овочевої провідне місце займають томати. Ці соки освітлювали в трубчастій надцентрифузі з ротором діаметром 45 мм, довжиною 145 мм й максимал</w:t>
      </w:r>
      <w:r w:rsidRPr="008D597E">
        <w:t>ь</w:t>
      </w:r>
      <w:r w:rsidRPr="008D597E">
        <w:t>ною частотою обертання до 30000 хв</w:t>
      </w:r>
      <w:r w:rsidRPr="008D597E">
        <w:rPr>
          <w:vertAlign w:val="superscript"/>
        </w:rPr>
        <w:t>–1</w:t>
      </w:r>
      <w:r w:rsidRPr="008D597E">
        <w:t>.</w:t>
      </w:r>
    </w:p>
    <w:p w:rsidR="002F0B04" w:rsidRPr="008D597E" w:rsidRDefault="002F0B04" w:rsidP="002F0B04">
      <w:r w:rsidRPr="008D597E">
        <w:t>Структуру проб яблучного і томатного соків, взятих до і після освітлення, а також осаду зі стінки рот</w:t>
      </w:r>
      <w:r w:rsidRPr="008D597E">
        <w:t>о</w:t>
      </w:r>
      <w:r w:rsidRPr="008D597E">
        <w:t>ра, досліджували методом мікроскопії. На рис. 1, 3, 5 показано збільшені фотознімки крапель соків. На них помітні чорні вкраплення, ідентифіковані як тверда фаза, й темні згустки, ідентифіковані як м’якоть. Для аналізу гранулометричного складу частинок на мікрофотографіях виділяли рівні області, в яких визначали кількість частинок, що мали однаковий характерний розмір. Під ним розуміли максимальний лінійний ро</w:t>
      </w:r>
      <w:r w:rsidRPr="008D597E">
        <w:t>з</w:t>
      </w:r>
      <w:r w:rsidRPr="008D597E">
        <w:t>мір проекції частинок на площину фотознімка. У виділених областях підраховували всі частинки, виокре</w:t>
      </w:r>
      <w:r w:rsidRPr="008D597E">
        <w:t>м</w:t>
      </w:r>
      <w:r w:rsidRPr="008D597E">
        <w:t>люючи тверду фазу і м’якоть. Ширину гранулометричного складу вибирали, виходячи з характерного ро</w:t>
      </w:r>
      <w:r w:rsidRPr="008D597E">
        <w:t>з</w:t>
      </w:r>
      <w:r w:rsidRPr="008D597E">
        <w:t>міру найбільшої з частинок, розміри яких оцінювали. Ширину фракцій вибирали з огляду на їхню репрезе</w:t>
      </w:r>
      <w:r w:rsidRPr="008D597E">
        <w:t>н</w:t>
      </w:r>
      <w:r w:rsidRPr="008D597E">
        <w:t>тативність.</w:t>
      </w:r>
    </w:p>
    <w:p w:rsidR="002F0B04" w:rsidRPr="008D597E" w:rsidRDefault="002F0B04" w:rsidP="002F0B04">
      <w:r w:rsidRPr="008D597E">
        <w:t>За результатами розрахунків проведено статистичний аналіз гранулометричного складу частинок.</w:t>
      </w:r>
    </w:p>
    <w:p w:rsidR="002F0B04" w:rsidRPr="008D597E" w:rsidRDefault="002F0B04" w:rsidP="002F0B04">
      <w:r w:rsidRPr="008D597E">
        <w:t>На рис. 2, 4, 6 наведено диференціальні криві розподілу частинок за розмірами залежно від виду соку (до чи після освітлення) й типу ча</w:t>
      </w:r>
      <w:r w:rsidRPr="008D597E">
        <w:t>с</w:t>
      </w:r>
      <w:r w:rsidRPr="008D597E">
        <w:t>тинок (тверда фаза чи м’якоть) у вигляді залежностей зведеного розміру частинок, представлених координатами серед</w:t>
      </w:r>
      <w:r w:rsidRPr="008D597E">
        <w:t>и</w:t>
      </w:r>
      <w:r w:rsidRPr="008D597E">
        <w:t>ни ширини фракцій, від кількості частинок, що припадають на одиницю ширини гран</w:t>
      </w:r>
      <w:r w:rsidRPr="008D597E">
        <w:t>у</w:t>
      </w:r>
      <w:r w:rsidRPr="008D597E">
        <w:t>лометричного складу.</w:t>
      </w:r>
    </w:p>
    <w:p w:rsidR="002F0B04" w:rsidRPr="008D597E" w:rsidRDefault="002F0B04" w:rsidP="002F0B04">
      <w:pPr>
        <w:ind w:firstLine="0"/>
        <w:jc w:val="center"/>
        <w:rPr>
          <w:b/>
        </w:rPr>
      </w:pP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/>
      </w:tblPr>
      <w:tblGrid>
        <w:gridCol w:w="4706"/>
        <w:gridCol w:w="4705"/>
      </w:tblGrid>
      <w:tr w:rsidR="002F0B04" w:rsidRPr="008D597E" w:rsidTr="009908EC">
        <w:tc>
          <w:tcPr>
            <w:tcW w:w="4774" w:type="dxa"/>
          </w:tcPr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>
              <w:rPr>
                <w:i/>
                <w:noProof/>
                <w:lang w:val="ru-RU"/>
              </w:rPr>
              <w:drawing>
                <wp:inline distT="0" distB="0" distL="0" distR="0">
                  <wp:extent cx="2486025" cy="2524125"/>
                  <wp:effectExtent l="19050" t="0" r="9525" b="0"/>
                  <wp:docPr id="1" name="Рисунок 26" descr="IMG_5650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6" descr="IMG_5650.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grayscl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86025" cy="2524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 w:rsidRPr="008D597E">
              <w:rPr>
                <w:i/>
              </w:rPr>
              <w:t>а</w:t>
            </w:r>
          </w:p>
        </w:tc>
        <w:tc>
          <w:tcPr>
            <w:tcW w:w="4774" w:type="dxa"/>
          </w:tcPr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>
              <w:rPr>
                <w:i/>
                <w:noProof/>
                <w:lang w:val="ru-RU"/>
              </w:rPr>
              <w:drawing>
                <wp:inline distT="0" distB="0" distL="0" distR="0">
                  <wp:extent cx="2495550" cy="2524125"/>
                  <wp:effectExtent l="19050" t="0" r="0" b="0"/>
                  <wp:docPr id="2" name="Рисунок 30" descr="Копия IMG_5687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0" descr="Копия IMG_5687.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grayscl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95550" cy="2524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 w:rsidRPr="008D597E">
              <w:rPr>
                <w:i/>
              </w:rPr>
              <w:t>б</w:t>
            </w:r>
          </w:p>
        </w:tc>
      </w:tr>
    </w:tbl>
    <w:p w:rsidR="002F0B04" w:rsidRPr="008D597E" w:rsidRDefault="002F0B04" w:rsidP="002F0B04">
      <w:pPr>
        <w:spacing w:before="120" w:after="120"/>
        <w:ind w:firstLine="0"/>
        <w:jc w:val="center"/>
        <w:rPr>
          <w:b/>
        </w:rPr>
      </w:pPr>
      <w:r w:rsidRPr="008D597E">
        <w:rPr>
          <w:b/>
        </w:rPr>
        <w:t xml:space="preserve">Рис. 1 – Зразки томатного соку (збільшення ×36): </w:t>
      </w:r>
      <w:r w:rsidRPr="008D597E">
        <w:rPr>
          <w:b/>
          <w:i/>
        </w:rPr>
        <w:t>а</w:t>
      </w:r>
      <w:r w:rsidRPr="008D597E">
        <w:rPr>
          <w:b/>
        </w:rPr>
        <w:t xml:space="preserve"> – неосвітленого; </w:t>
      </w:r>
      <w:r w:rsidRPr="008D597E">
        <w:rPr>
          <w:b/>
          <w:i/>
        </w:rPr>
        <w:t xml:space="preserve">б </w:t>
      </w:r>
      <w:r w:rsidRPr="008D597E">
        <w:rPr>
          <w:b/>
        </w:rPr>
        <w:t>– освітленого</w:t>
      </w:r>
    </w:p>
    <w:tbl>
      <w:tblPr>
        <w:tblpPr w:leftFromText="180" w:rightFromText="180" w:vertAnchor="text" w:tblpY="1"/>
        <w:tblOverlap w:val="never"/>
        <w:tblW w:w="0" w:type="auto"/>
        <w:tblLayout w:type="fixed"/>
        <w:tblCellMar>
          <w:left w:w="28" w:type="dxa"/>
          <w:right w:w="28" w:type="dxa"/>
        </w:tblCellMar>
        <w:tblLook w:val="04A0"/>
      </w:tblPr>
      <w:tblGrid>
        <w:gridCol w:w="5273"/>
      </w:tblGrid>
      <w:tr w:rsidR="002F0B04" w:rsidRPr="008D597E" w:rsidTr="009908EC">
        <w:tc>
          <w:tcPr>
            <w:tcW w:w="5273" w:type="dxa"/>
          </w:tcPr>
          <w:p w:rsidR="002F0B04" w:rsidRPr="008D597E" w:rsidRDefault="002F0B04" w:rsidP="009908EC">
            <w:pPr>
              <w:ind w:firstLine="0"/>
              <w:jc w:val="center"/>
            </w:pPr>
            <w:r>
              <w:rPr>
                <w:noProof/>
                <w:lang w:val="ru-RU"/>
              </w:rPr>
              <w:lastRenderedPageBreak/>
              <w:drawing>
                <wp:inline distT="0" distB="0" distL="0" distR="0">
                  <wp:extent cx="3276600" cy="1905000"/>
                  <wp:effectExtent l="1905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grayscl/>
                          </a:blip>
                          <a:srcRect l="12592" t="21722" r="45769" b="332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76600" cy="1905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F0B04" w:rsidRPr="008D597E" w:rsidTr="009908EC">
        <w:tc>
          <w:tcPr>
            <w:tcW w:w="5273" w:type="dxa"/>
          </w:tcPr>
          <w:p w:rsidR="002F0B04" w:rsidRPr="008D597E" w:rsidRDefault="002F0B04" w:rsidP="009908EC">
            <w:pPr>
              <w:spacing w:before="60" w:after="60"/>
              <w:ind w:firstLine="0"/>
              <w:jc w:val="center"/>
              <w:rPr>
                <w:b/>
              </w:rPr>
            </w:pPr>
            <w:r w:rsidRPr="008D597E">
              <w:rPr>
                <w:b/>
              </w:rPr>
              <w:t xml:space="preserve">Рис. 2 – Криві розподілу частинок </w:t>
            </w:r>
            <w:r w:rsidRPr="008D597E">
              <w:rPr>
                <w:b/>
              </w:rPr>
              <w:br/>
              <w:t>тома</w:t>
            </w:r>
            <w:r w:rsidRPr="008D597E">
              <w:rPr>
                <w:b/>
              </w:rPr>
              <w:t>т</w:t>
            </w:r>
            <w:r w:rsidRPr="008D597E">
              <w:rPr>
                <w:b/>
              </w:rPr>
              <w:t>ного соку за розмірами</w:t>
            </w:r>
          </w:p>
        </w:tc>
      </w:tr>
    </w:tbl>
    <w:p w:rsidR="002F0B04" w:rsidRPr="008D597E" w:rsidRDefault="002F0B04" w:rsidP="002F0B04">
      <w:r w:rsidRPr="008D597E">
        <w:t>Томатний сік освітлювали за частоти обертання ротора центрифуги 2000 хв</w:t>
      </w:r>
      <w:r w:rsidRPr="008D597E">
        <w:rPr>
          <w:vertAlign w:val="superscript"/>
        </w:rPr>
        <w:t>–1</w:t>
      </w:r>
      <w:r w:rsidRPr="008D597E">
        <w:t>. Установлено, що частка твердих частинок і м’якоті неосвітл</w:t>
      </w:r>
      <w:r w:rsidRPr="008D597E">
        <w:t>е</w:t>
      </w:r>
      <w:r w:rsidRPr="008D597E">
        <w:t>ного соку з розмірами в діапазоні до 0,36 мм становить 100 %. Після освітлення в пробі залишилися частинки лише з розм</w:t>
      </w:r>
      <w:r w:rsidRPr="008D597E">
        <w:t>і</w:t>
      </w:r>
      <w:r w:rsidRPr="008D597E">
        <w:t>рами до 0,04 мм (див. рис. 2).</w:t>
      </w:r>
    </w:p>
    <w:p w:rsidR="002F0B04" w:rsidRPr="008D597E" w:rsidRDefault="002F0B04" w:rsidP="002F0B04">
      <w:r w:rsidRPr="008D597E">
        <w:t>Приклад результатів розрахунків дисп</w:t>
      </w:r>
      <w:r w:rsidRPr="008D597E">
        <w:t>е</w:t>
      </w:r>
      <w:r w:rsidRPr="008D597E">
        <w:t xml:space="preserve">рсного складу частинок томатного соку в області (0,8×0,8 мм) наведені в табл. 1. За ними визначено коефіцієнт освітлення </w:t>
      </w:r>
      <w:r w:rsidRPr="008D597E">
        <w:br/>
        <w:t>φ = (</w:t>
      </w:r>
      <w:r w:rsidRPr="008D597E">
        <w:rPr>
          <w:i/>
        </w:rPr>
        <w:t>N</w:t>
      </w:r>
      <w:r w:rsidRPr="008D597E">
        <w:t xml:space="preserve"> – </w:t>
      </w:r>
      <w:r w:rsidRPr="008D597E">
        <w:rPr>
          <w:i/>
        </w:rPr>
        <w:t>n</w:t>
      </w:r>
      <w:r w:rsidRPr="008D597E">
        <w:t>)/</w:t>
      </w:r>
      <w:r w:rsidRPr="008D597E">
        <w:rPr>
          <w:i/>
        </w:rPr>
        <w:t>N</w:t>
      </w:r>
      <w:r w:rsidRPr="008D597E">
        <w:t xml:space="preserve"> · 100 % (табл. 2). Установлено, що із томатного соку в</w:t>
      </w:r>
      <w:r w:rsidRPr="008D597E">
        <w:t>и</w:t>
      </w:r>
      <w:r w:rsidRPr="008D597E">
        <w:t>даляється майже вся тве</w:t>
      </w:r>
      <w:r w:rsidRPr="008D597E">
        <w:t>р</w:t>
      </w:r>
      <w:r w:rsidRPr="008D597E">
        <w:t>да фаза. Коефіцієнт освітлення в першій фракції становить 90, в інших – 100 %. Загальний коефіцієнт осві</w:t>
      </w:r>
      <w:r w:rsidRPr="008D597E">
        <w:t>т</w:t>
      </w:r>
      <w:r w:rsidRPr="008D597E">
        <w:t>лення – 91,8 %.</w:t>
      </w:r>
    </w:p>
    <w:p w:rsidR="002F0B04" w:rsidRPr="008D597E" w:rsidRDefault="002F0B04" w:rsidP="002F0B04">
      <w:pPr>
        <w:pStyle w:val="4"/>
      </w:pPr>
      <w:r w:rsidRPr="008D597E">
        <w:t>Таблиця 1 – Дисперсний склад томатного соку</w:t>
      </w:r>
    </w:p>
    <w:tbl>
      <w:tblPr>
        <w:tblpPr w:leftFromText="180" w:rightFromText="180" w:vertAnchor="text" w:horzAnchor="margin" w:tblpXSpec="center" w:tblpY="15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8"/>
        <w:gridCol w:w="2131"/>
        <w:gridCol w:w="2274"/>
        <w:gridCol w:w="1990"/>
        <w:gridCol w:w="2278"/>
      </w:tblGrid>
      <w:tr w:rsidR="002F0B04" w:rsidRPr="008D597E" w:rsidTr="009908EC">
        <w:tc>
          <w:tcPr>
            <w:tcW w:w="737" w:type="dxa"/>
            <w:vMerge w:val="restart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Номер фра</w:t>
            </w:r>
            <w:r w:rsidRPr="008D597E">
              <w:t>к</w:t>
            </w:r>
            <w:r w:rsidRPr="008D597E">
              <w:t>ції</w:t>
            </w:r>
          </w:p>
        </w:tc>
        <w:tc>
          <w:tcPr>
            <w:tcW w:w="4394" w:type="dxa"/>
            <w:gridSpan w:val="2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Неосвітлений сік</w:t>
            </w:r>
          </w:p>
        </w:tc>
        <w:tc>
          <w:tcPr>
            <w:tcW w:w="4257" w:type="dxa"/>
            <w:gridSpan w:val="2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Освітлений сік</w:t>
            </w:r>
          </w:p>
        </w:tc>
      </w:tr>
      <w:tr w:rsidR="002F0B04" w:rsidRPr="008D597E" w:rsidTr="009908EC">
        <w:tc>
          <w:tcPr>
            <w:tcW w:w="737" w:type="dxa"/>
            <w:vMerge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діапазон фракції, мм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кількість част</w:t>
            </w:r>
            <w:r w:rsidRPr="008D597E">
              <w:t>и</w:t>
            </w:r>
            <w:r w:rsidRPr="008D597E">
              <w:t xml:space="preserve">нок </w:t>
            </w:r>
            <w:r w:rsidRPr="008D597E">
              <w:rPr>
                <w:i/>
              </w:rPr>
              <w:t>N</w:t>
            </w:r>
            <w:r w:rsidRPr="008D597E">
              <w:t>, шт.</w:t>
            </w:r>
          </w:p>
        </w:tc>
        <w:tc>
          <w:tcPr>
            <w:tcW w:w="1985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діапазон фракції, мм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кількість част</w:t>
            </w:r>
            <w:r w:rsidRPr="008D597E">
              <w:t>и</w:t>
            </w:r>
            <w:r w:rsidRPr="008D597E">
              <w:t xml:space="preserve">нок </w:t>
            </w:r>
            <w:r w:rsidRPr="008D597E">
              <w:rPr>
                <w:i/>
              </w:rPr>
              <w:t>n</w:t>
            </w:r>
            <w:r w:rsidRPr="008D597E">
              <w:t>, шт.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0,0762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60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0,0127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2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0,1524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0,0254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4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3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0,2286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2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0,0381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4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0,3048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0,0508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</w:t>
            </w:r>
          </w:p>
        </w:tc>
      </w:tr>
    </w:tbl>
    <w:p w:rsidR="002F0B04" w:rsidRPr="008D597E" w:rsidRDefault="002F0B04" w:rsidP="002F0B04">
      <w:pPr>
        <w:pStyle w:val="4"/>
      </w:pPr>
      <w:r w:rsidRPr="008D597E">
        <w:t>Таблиця 2 – Коефіцієнт освітлення томатного соку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738"/>
        <w:gridCol w:w="2131"/>
        <w:gridCol w:w="2274"/>
        <w:gridCol w:w="1990"/>
        <w:gridCol w:w="2278"/>
      </w:tblGrid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Номер</w:t>
            </w:r>
          </w:p>
          <w:p w:rsidR="002F0B04" w:rsidRPr="008D597E" w:rsidRDefault="002F0B04" w:rsidP="009908EC">
            <w:pPr>
              <w:ind w:firstLine="0"/>
              <w:jc w:val="center"/>
            </w:pPr>
            <w:r w:rsidRPr="008D597E">
              <w:t>фра</w:t>
            </w:r>
            <w:r w:rsidRPr="008D597E">
              <w:t>к</w:t>
            </w:r>
            <w:r w:rsidRPr="008D597E">
              <w:t>ції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Діапазон</w:t>
            </w:r>
          </w:p>
          <w:p w:rsidR="002F0B04" w:rsidRPr="008D597E" w:rsidRDefault="002F0B04" w:rsidP="009908EC">
            <w:pPr>
              <w:ind w:firstLine="0"/>
              <w:jc w:val="center"/>
            </w:pPr>
            <w:r w:rsidRPr="008D597E">
              <w:t>фракції, мм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Кількість частинок (неосвітл</w:t>
            </w:r>
            <w:r w:rsidRPr="008D597E">
              <w:t>е</w:t>
            </w:r>
            <w:r w:rsidRPr="008D597E">
              <w:t xml:space="preserve">ний) </w:t>
            </w:r>
            <w:r w:rsidRPr="008D597E">
              <w:rPr>
                <w:i/>
              </w:rPr>
              <w:t>N</w:t>
            </w:r>
            <w:r w:rsidRPr="008D597E">
              <w:t>, шт.</w:t>
            </w:r>
          </w:p>
        </w:tc>
        <w:tc>
          <w:tcPr>
            <w:tcW w:w="1985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Кількість частинок (осві</w:t>
            </w:r>
            <w:r w:rsidRPr="008D597E">
              <w:t>т</w:t>
            </w:r>
            <w:r w:rsidRPr="008D597E">
              <w:t xml:space="preserve">лений) </w:t>
            </w:r>
            <w:r w:rsidRPr="008D597E">
              <w:rPr>
                <w:i/>
              </w:rPr>
              <w:t>n</w:t>
            </w:r>
            <w:r w:rsidRPr="008D597E">
              <w:t>, шт.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 xml:space="preserve">Коефіцієнт </w:t>
            </w:r>
            <w:r w:rsidRPr="008D597E">
              <w:br/>
              <w:t>осві</w:t>
            </w:r>
            <w:r w:rsidRPr="008D597E">
              <w:t>т</w:t>
            </w:r>
            <w:r w:rsidRPr="008D597E">
              <w:t>лення, %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0,0762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60</w:t>
            </w:r>
          </w:p>
        </w:tc>
        <w:tc>
          <w:tcPr>
            <w:tcW w:w="1985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6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90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2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0,1524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10</w:t>
            </w:r>
          </w:p>
        </w:tc>
        <w:tc>
          <w:tcPr>
            <w:tcW w:w="1985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100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3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0,2286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2</w:t>
            </w:r>
          </w:p>
        </w:tc>
        <w:tc>
          <w:tcPr>
            <w:tcW w:w="1985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100</w:t>
            </w:r>
          </w:p>
        </w:tc>
      </w:tr>
      <w:tr w:rsidR="002F0B04" w:rsidRPr="008D597E" w:rsidTr="009908EC">
        <w:tc>
          <w:tcPr>
            <w:tcW w:w="737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4</w:t>
            </w:r>
          </w:p>
        </w:tc>
        <w:tc>
          <w:tcPr>
            <w:tcW w:w="2126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0,3048</w:t>
            </w:r>
          </w:p>
        </w:tc>
        <w:tc>
          <w:tcPr>
            <w:tcW w:w="2268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</w:t>
            </w:r>
          </w:p>
        </w:tc>
        <w:tc>
          <w:tcPr>
            <w:tcW w:w="1985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0</w:t>
            </w:r>
          </w:p>
        </w:tc>
        <w:tc>
          <w:tcPr>
            <w:tcW w:w="2272" w:type="dxa"/>
            <w:vAlign w:val="center"/>
          </w:tcPr>
          <w:p w:rsidR="002F0B04" w:rsidRPr="008D597E" w:rsidRDefault="002F0B04" w:rsidP="009908EC">
            <w:pPr>
              <w:ind w:firstLine="0"/>
              <w:jc w:val="center"/>
            </w:pPr>
            <w:r w:rsidRPr="008D597E">
              <w:t>100</w:t>
            </w:r>
          </w:p>
        </w:tc>
      </w:tr>
    </w:tbl>
    <w:p w:rsidR="002F0B04" w:rsidRPr="008D597E" w:rsidRDefault="002F0B04" w:rsidP="002F0B04">
      <w:pPr>
        <w:spacing w:before="120"/>
      </w:pPr>
      <w:r w:rsidRPr="008D597E">
        <w:t>Яблучний сік освітлювали за частоти обертання ротора центрифуги 4000 хв</w:t>
      </w:r>
      <w:r w:rsidRPr="008D597E">
        <w:rPr>
          <w:vertAlign w:val="superscript"/>
        </w:rPr>
        <w:t>–1</w:t>
      </w:r>
      <w:r w:rsidRPr="008D597E">
        <w:t>.</w:t>
      </w:r>
    </w:p>
    <w:p w:rsidR="002F0B04" w:rsidRPr="008D597E" w:rsidRDefault="002F0B04" w:rsidP="002F0B04">
      <w:r w:rsidRPr="008D597E">
        <w:t>Установлено, що частка твердих частинок неосвітленого соку з розмірами до 0,05 мм становить 100 %, а частка м’якоті з розмірами до 0,1 мм – 100 % (див. рис. 4). Оскільки твердої фази після освітлення інструментально не виявлено, вв</w:t>
      </w:r>
      <w:r w:rsidRPr="008D597E">
        <w:t>а</w:t>
      </w:r>
      <w:r w:rsidRPr="008D597E">
        <w:t>жаємо, що коефіцієнт освітлення яблучного соку становить 100 %.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/>
      </w:tblPr>
      <w:tblGrid>
        <w:gridCol w:w="4007"/>
        <w:gridCol w:w="5404"/>
      </w:tblGrid>
      <w:tr w:rsidR="002F0B04" w:rsidRPr="008D597E" w:rsidTr="009908EC">
        <w:tc>
          <w:tcPr>
            <w:tcW w:w="3997" w:type="dxa"/>
          </w:tcPr>
          <w:p w:rsidR="002F0B04" w:rsidRPr="008D597E" w:rsidRDefault="002F0B04" w:rsidP="009908EC">
            <w:pPr>
              <w:spacing w:before="120"/>
              <w:ind w:firstLine="0"/>
              <w:jc w:val="center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2447925" cy="2524125"/>
                  <wp:effectExtent l="19050" t="0" r="9525" b="0"/>
                  <wp:docPr id="4" name="Рисунок 10" descr="IMG_5775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IMG_5775.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grayscl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7925" cy="2524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120" w:after="120"/>
              <w:ind w:firstLine="0"/>
              <w:jc w:val="center"/>
              <w:rPr>
                <w:i/>
              </w:rPr>
            </w:pPr>
            <w:r w:rsidRPr="008D597E">
              <w:rPr>
                <w:b/>
              </w:rPr>
              <w:t xml:space="preserve">Рис. 3 – Зразок неосвітленого </w:t>
            </w:r>
            <w:r w:rsidRPr="008D597E">
              <w:rPr>
                <w:b/>
              </w:rPr>
              <w:br/>
              <w:t>яблучного соку (зб</w:t>
            </w:r>
            <w:r w:rsidRPr="008D597E">
              <w:rPr>
                <w:b/>
              </w:rPr>
              <w:t>і</w:t>
            </w:r>
            <w:r w:rsidRPr="008D597E">
              <w:rPr>
                <w:b/>
              </w:rPr>
              <w:t>льшення ×36)</w:t>
            </w:r>
          </w:p>
        </w:tc>
        <w:tc>
          <w:tcPr>
            <w:tcW w:w="5391" w:type="dxa"/>
          </w:tcPr>
          <w:p w:rsidR="002F0B04" w:rsidRPr="008D597E" w:rsidRDefault="002F0B04" w:rsidP="009908EC">
            <w:pPr>
              <w:spacing w:before="120"/>
              <w:ind w:firstLine="0"/>
              <w:jc w:val="center"/>
              <w:rPr>
                <w:i/>
              </w:rPr>
            </w:pPr>
            <w:r>
              <w:rPr>
                <w:i/>
                <w:noProof/>
                <w:lang w:val="ru-RU"/>
              </w:rPr>
              <w:drawing>
                <wp:inline distT="0" distB="0" distL="0" distR="0">
                  <wp:extent cx="3162300" cy="2524125"/>
                  <wp:effectExtent l="1905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grayscl/>
                          </a:blip>
                          <a:srcRect l="15843" t="34346" r="46594" b="1606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62300" cy="2524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120" w:after="120"/>
              <w:ind w:firstLine="0"/>
              <w:jc w:val="center"/>
              <w:rPr>
                <w:i/>
              </w:rPr>
            </w:pPr>
            <w:r w:rsidRPr="008D597E">
              <w:rPr>
                <w:b/>
              </w:rPr>
              <w:t xml:space="preserve">Рис. 4 – Криві розподілу частинок яблучного соку </w:t>
            </w:r>
            <w:r w:rsidRPr="008D597E">
              <w:rPr>
                <w:b/>
              </w:rPr>
              <w:br/>
              <w:t>за ро</w:t>
            </w:r>
            <w:r w:rsidRPr="008D597E">
              <w:rPr>
                <w:b/>
              </w:rPr>
              <w:t>з</w:t>
            </w:r>
            <w:r w:rsidRPr="008D597E">
              <w:rPr>
                <w:b/>
              </w:rPr>
              <w:t>мірами</w:t>
            </w:r>
          </w:p>
        </w:tc>
      </w:tr>
    </w:tbl>
    <w:p w:rsidR="002F0B04" w:rsidRPr="008D597E" w:rsidRDefault="002F0B04" w:rsidP="002F0B04">
      <w:r w:rsidRPr="008D597E">
        <w:t>У зразках осаду зі стінки ротора ширина розподілу частинок є значно більшою, аніж у зразках неосві</w:t>
      </w:r>
      <w:r w:rsidRPr="008D597E">
        <w:t>т</w:t>
      </w:r>
      <w:r w:rsidRPr="008D597E">
        <w:t>лених соків, що свідчить про більшу кількість крупних частинок (див. рис. 5).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/>
      </w:tblPr>
      <w:tblGrid>
        <w:gridCol w:w="4705"/>
        <w:gridCol w:w="4706"/>
      </w:tblGrid>
      <w:tr w:rsidR="002F0B04" w:rsidRPr="008D597E" w:rsidTr="009908EC">
        <w:tc>
          <w:tcPr>
            <w:tcW w:w="4694" w:type="dxa"/>
          </w:tcPr>
          <w:p w:rsidR="002F0B04" w:rsidRPr="008D597E" w:rsidRDefault="002F0B04" w:rsidP="009908EC">
            <w:pPr>
              <w:spacing w:before="120"/>
              <w:ind w:firstLine="0"/>
              <w:jc w:val="center"/>
              <w:rPr>
                <w:i/>
              </w:rPr>
            </w:pPr>
            <w:r>
              <w:rPr>
                <w:noProof/>
                <w:lang w:val="ru-RU"/>
              </w:rPr>
              <w:lastRenderedPageBreak/>
              <w:drawing>
                <wp:inline distT="0" distB="0" distL="0" distR="0">
                  <wp:extent cx="2333625" cy="2343150"/>
                  <wp:effectExtent l="19050" t="0" r="9525" b="0"/>
                  <wp:docPr id="6" name="Рисунок 14" descr="IMG_5818.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4" descr="IMG_5818.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grayscl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3625" cy="2343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 w:rsidRPr="008D597E">
              <w:rPr>
                <w:i/>
              </w:rPr>
              <w:t>а</w:t>
            </w:r>
          </w:p>
        </w:tc>
        <w:tc>
          <w:tcPr>
            <w:tcW w:w="4694" w:type="dxa"/>
          </w:tcPr>
          <w:p w:rsidR="002F0B04" w:rsidRPr="008D597E" w:rsidRDefault="002F0B04" w:rsidP="009908EC">
            <w:pPr>
              <w:spacing w:before="120"/>
              <w:ind w:firstLine="0"/>
              <w:jc w:val="center"/>
              <w:rPr>
                <w:i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2343150" cy="2343150"/>
                  <wp:effectExtent l="19050" t="0" r="0" b="0"/>
                  <wp:docPr id="7" name="Рисунок 7" descr="IMG_56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IMG_56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grayscl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3150" cy="2343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 w:rsidRPr="008D597E">
              <w:rPr>
                <w:i/>
              </w:rPr>
              <w:t>б</w:t>
            </w:r>
          </w:p>
        </w:tc>
      </w:tr>
    </w:tbl>
    <w:p w:rsidR="002F0B04" w:rsidRPr="008D597E" w:rsidRDefault="002F0B04" w:rsidP="002F0B04">
      <w:pPr>
        <w:spacing w:before="60" w:after="60"/>
        <w:ind w:firstLine="0"/>
        <w:jc w:val="center"/>
        <w:rPr>
          <w:b/>
        </w:rPr>
      </w:pPr>
      <w:r w:rsidRPr="008D597E">
        <w:rPr>
          <w:b/>
        </w:rPr>
        <w:t xml:space="preserve">Рис. 5 – Зразки осаду соків (збільшення ×36): </w:t>
      </w:r>
      <w:r w:rsidRPr="008D597E">
        <w:rPr>
          <w:b/>
          <w:i/>
        </w:rPr>
        <w:t>а</w:t>
      </w:r>
      <w:r w:rsidRPr="008D597E">
        <w:rPr>
          <w:b/>
        </w:rPr>
        <w:t xml:space="preserve"> – яблучного; </w:t>
      </w:r>
      <w:r w:rsidRPr="008D597E">
        <w:rPr>
          <w:b/>
          <w:i/>
        </w:rPr>
        <w:t xml:space="preserve">б </w:t>
      </w:r>
      <w:r w:rsidRPr="008D597E">
        <w:rPr>
          <w:b/>
        </w:rPr>
        <w:t>– томатного</w:t>
      </w:r>
    </w:p>
    <w:p w:rsidR="002F0B04" w:rsidRPr="008D597E" w:rsidRDefault="002F0B04" w:rsidP="002F0B04">
      <w:r w:rsidRPr="008D597E">
        <w:t>Аналіз дисперсного складу частинок у пробах неосвітлених соків свідчить, що зображення розподілів мають вигляд гладких одномодальних кривих. Максимальна ширина розподілу частинок, враховуючи м’якоть, для томатного соку становить 0…330, для яблучного – 0…100 мкм. Після освітлення соків розпод</w:t>
      </w:r>
      <w:r w:rsidRPr="008D597E">
        <w:t>і</w:t>
      </w:r>
      <w:r w:rsidRPr="008D597E">
        <w:t>ли частинок томатного соку вкладаються в 0…40 мкм. Яблучний сік після освітлення став прозорою рід</w:t>
      </w:r>
      <w:r w:rsidRPr="008D597E">
        <w:t>и</w:t>
      </w:r>
      <w:r w:rsidRPr="008D597E">
        <w:t>ною без наявної в ній твердої фази.</w:t>
      </w:r>
    </w:p>
    <w:p w:rsidR="002F0B04" w:rsidRPr="008D597E" w:rsidRDefault="002F0B04" w:rsidP="002F0B04">
      <w:r w:rsidRPr="008D597E">
        <w:t>Установлено, що під час освітлення навіть за частот обертання ротора центрифуги до 4000 хв</w:t>
      </w:r>
      <w:r w:rsidRPr="008D597E">
        <w:rPr>
          <w:vertAlign w:val="superscript"/>
        </w:rPr>
        <w:t>–1</w:t>
      </w:r>
      <w:r w:rsidRPr="008D597E">
        <w:t xml:space="preserve"> із досл</w:t>
      </w:r>
      <w:r w:rsidRPr="008D597E">
        <w:t>і</w:t>
      </w:r>
      <w:r w:rsidRPr="008D597E">
        <w:t>джуваних соків видаляється майже вся тверда фаза. Тому, щоб досягти коефіцієнта освітлення 92 %, для томатного соку до</w:t>
      </w:r>
      <w:r w:rsidRPr="008D597E">
        <w:t>с</w:t>
      </w:r>
      <w:r w:rsidRPr="008D597E">
        <w:t>татньо забезпечити фактор розділення понад 100, для яблучного соку – понад 400.</w:t>
      </w:r>
    </w:p>
    <w:tbl>
      <w:tblPr>
        <w:tblW w:w="5000" w:type="pct"/>
        <w:tblLayout w:type="fixed"/>
        <w:tblCellMar>
          <w:left w:w="28" w:type="dxa"/>
          <w:right w:w="28" w:type="dxa"/>
        </w:tblCellMar>
        <w:tblLook w:val="04A0"/>
      </w:tblPr>
      <w:tblGrid>
        <w:gridCol w:w="4705"/>
        <w:gridCol w:w="4706"/>
      </w:tblGrid>
      <w:tr w:rsidR="002F0B04" w:rsidRPr="008D597E" w:rsidTr="009908EC">
        <w:tc>
          <w:tcPr>
            <w:tcW w:w="4694" w:type="dxa"/>
          </w:tcPr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>
              <w:rPr>
                <w:i/>
                <w:noProof/>
                <w:lang w:val="ru-RU"/>
              </w:rPr>
              <w:drawing>
                <wp:inline distT="0" distB="0" distL="0" distR="0">
                  <wp:extent cx="2524125" cy="2085975"/>
                  <wp:effectExtent l="19050" t="0" r="9525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grayscl/>
                          </a:blip>
                          <a:srcRect l="17268" t="38768" r="49586" b="1624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2085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 w:rsidRPr="008D597E">
              <w:rPr>
                <w:i/>
              </w:rPr>
              <w:t>а</w:t>
            </w:r>
          </w:p>
        </w:tc>
        <w:tc>
          <w:tcPr>
            <w:tcW w:w="4694" w:type="dxa"/>
          </w:tcPr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>
              <w:rPr>
                <w:i/>
                <w:noProof/>
                <w:lang w:val="ru-RU"/>
              </w:rPr>
              <w:drawing>
                <wp:inline distT="0" distB="0" distL="0" distR="0">
                  <wp:extent cx="2524125" cy="2085975"/>
                  <wp:effectExtent l="19050" t="0" r="9525" b="0"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grayscl/>
                          </a:blip>
                          <a:srcRect l="17964" t="29845" r="48825" b="2554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24125" cy="20859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F0B04" w:rsidRPr="008D597E" w:rsidRDefault="002F0B04" w:rsidP="009908EC">
            <w:pPr>
              <w:spacing w:before="60"/>
              <w:ind w:firstLine="0"/>
              <w:jc w:val="center"/>
              <w:rPr>
                <w:i/>
              </w:rPr>
            </w:pPr>
            <w:r w:rsidRPr="008D597E">
              <w:rPr>
                <w:i/>
              </w:rPr>
              <w:t>б</w:t>
            </w:r>
          </w:p>
        </w:tc>
      </w:tr>
    </w:tbl>
    <w:p w:rsidR="002F0B04" w:rsidRPr="008D597E" w:rsidRDefault="002F0B04" w:rsidP="002F0B04">
      <w:pPr>
        <w:spacing w:before="120" w:after="120"/>
        <w:ind w:firstLine="0"/>
        <w:jc w:val="center"/>
        <w:rPr>
          <w:b/>
        </w:rPr>
      </w:pPr>
      <w:r w:rsidRPr="008D597E">
        <w:rPr>
          <w:b/>
        </w:rPr>
        <w:t xml:space="preserve">Рис. 6 – Криві розподілу частинок осаду соків за розмірами: </w:t>
      </w:r>
      <w:r w:rsidRPr="008D597E">
        <w:rPr>
          <w:b/>
          <w:i/>
        </w:rPr>
        <w:t>а</w:t>
      </w:r>
      <w:r w:rsidRPr="008D597E">
        <w:rPr>
          <w:b/>
        </w:rPr>
        <w:t xml:space="preserve"> – яблучного; </w:t>
      </w:r>
      <w:r w:rsidRPr="008D597E">
        <w:rPr>
          <w:b/>
          <w:i/>
        </w:rPr>
        <w:t xml:space="preserve">б </w:t>
      </w:r>
      <w:r w:rsidRPr="008D597E">
        <w:rPr>
          <w:b/>
        </w:rPr>
        <w:t>– тома</w:t>
      </w:r>
      <w:r w:rsidRPr="008D597E">
        <w:rPr>
          <w:b/>
        </w:rPr>
        <w:t>т</w:t>
      </w:r>
      <w:r w:rsidRPr="008D597E">
        <w:rPr>
          <w:b/>
        </w:rPr>
        <w:t>ного</w:t>
      </w:r>
    </w:p>
    <w:p w:rsidR="002F0B04" w:rsidRPr="008D597E" w:rsidRDefault="002F0B04" w:rsidP="002F0B04">
      <w:r w:rsidRPr="008D597E">
        <w:rPr>
          <w:b/>
        </w:rPr>
        <w:t>Висновки і перспективи подальших досліджень</w:t>
      </w:r>
      <w:r w:rsidRPr="008D597E">
        <w:t>. Одержано криві розподілу твердої фази та м’якоті в яблучному й томатному соках до й після освітлення в полі відцентрової сили, що можна використати для вибору режиму освітлення в ос</w:t>
      </w:r>
      <w:r w:rsidRPr="008D597E">
        <w:t>а</w:t>
      </w:r>
      <w:r w:rsidRPr="008D597E">
        <w:t xml:space="preserve">джувальних центрифугах і сепараторах. </w:t>
      </w:r>
    </w:p>
    <w:p w:rsidR="002F0B04" w:rsidRPr="008D597E" w:rsidRDefault="002F0B04" w:rsidP="002F0B04">
      <w:pPr>
        <w:pStyle w:val="5"/>
        <w:rPr>
          <w:sz w:val="12"/>
          <w:szCs w:val="12"/>
        </w:rPr>
      </w:pPr>
    </w:p>
    <w:p w:rsidR="002F0B04" w:rsidRPr="008D597E" w:rsidRDefault="002F0B04" w:rsidP="002F0B04">
      <w:pPr>
        <w:pStyle w:val="5"/>
      </w:pPr>
      <w:r w:rsidRPr="008D597E">
        <w:t>Список використаної літератури</w:t>
      </w:r>
    </w:p>
    <w:p w:rsidR="002F0B04" w:rsidRPr="008D597E" w:rsidRDefault="002F0B04" w:rsidP="002F0B04">
      <w:pPr>
        <w:pStyle w:val="a3"/>
        <w:numPr>
          <w:ilvl w:val="0"/>
          <w:numId w:val="1"/>
        </w:numPr>
        <w:tabs>
          <w:tab w:val="left" w:pos="360"/>
        </w:tabs>
        <w:suppressAutoHyphens/>
        <w:ind w:left="357" w:hanging="357"/>
        <w:rPr>
          <w:spacing w:val="-4"/>
          <w:szCs w:val="20"/>
        </w:rPr>
      </w:pPr>
      <w:r w:rsidRPr="008D597E">
        <w:rPr>
          <w:i/>
          <w:spacing w:val="-4"/>
          <w:szCs w:val="20"/>
        </w:rPr>
        <w:t xml:space="preserve">Сидоренко О. П. </w:t>
      </w:r>
      <w:r w:rsidRPr="008D597E">
        <w:rPr>
          <w:spacing w:val="-4"/>
          <w:szCs w:val="20"/>
        </w:rPr>
        <w:t xml:space="preserve">Аналіз структури соку яблучного при різних способах отримання / О. П. Сидоренко, </w:t>
      </w:r>
      <w:r w:rsidRPr="008D597E">
        <w:rPr>
          <w:spacing w:val="-4"/>
          <w:szCs w:val="20"/>
        </w:rPr>
        <w:br/>
        <w:t>О. Г. Зубрій, О. О. Семінський. // Наук. праці ОДАХТ. – 2014. – Вип. 45. – Т. 3. – C. 57–61.</w:t>
      </w:r>
    </w:p>
    <w:p w:rsidR="002F0B04" w:rsidRPr="008D597E" w:rsidRDefault="002F0B04" w:rsidP="002F0B04">
      <w:pPr>
        <w:pStyle w:val="a3"/>
        <w:numPr>
          <w:ilvl w:val="0"/>
          <w:numId w:val="1"/>
        </w:numPr>
        <w:tabs>
          <w:tab w:val="left" w:pos="360"/>
        </w:tabs>
        <w:suppressAutoHyphens/>
        <w:ind w:left="357" w:hanging="357"/>
        <w:rPr>
          <w:spacing w:val="-4"/>
          <w:szCs w:val="20"/>
        </w:rPr>
      </w:pPr>
      <w:r w:rsidRPr="008D597E">
        <w:rPr>
          <w:i/>
          <w:spacing w:val="-4"/>
          <w:szCs w:val="20"/>
        </w:rPr>
        <w:t>Хамачек Й.</w:t>
      </w:r>
      <w:r w:rsidRPr="008D597E">
        <w:rPr>
          <w:spacing w:val="-4"/>
          <w:szCs w:val="20"/>
        </w:rPr>
        <w:t xml:space="preserve"> Сепараторы и декантеры для производства фруктовых и овощных соков / Й. Хамачек, </w:t>
      </w:r>
      <w:r w:rsidRPr="008D597E">
        <w:rPr>
          <w:spacing w:val="-4"/>
          <w:szCs w:val="20"/>
        </w:rPr>
        <w:br/>
        <w:t>К.-Х. Бюлер, П. Шёттлер, В. Гюнневиг. – Westfalia Separator AG, Oelde, 1995. – 49 с.</w:t>
      </w:r>
    </w:p>
    <w:p w:rsidR="009334D1" w:rsidRDefault="009334D1"/>
    <w:sectPr w:rsidR="009334D1" w:rsidSect="009334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13613C"/>
    <w:multiLevelType w:val="hybridMultilevel"/>
    <w:tmpl w:val="EFEA99AE"/>
    <w:lvl w:ilvl="0" w:tplc="0422000F">
      <w:start w:val="1"/>
      <w:numFmt w:val="decimal"/>
      <w:lvlText w:val="%1."/>
      <w:lvlJc w:val="left"/>
      <w:pPr>
        <w:ind w:left="1077" w:hanging="360"/>
      </w:pPr>
    </w:lvl>
    <w:lvl w:ilvl="1" w:tplc="04220019" w:tentative="1">
      <w:start w:val="1"/>
      <w:numFmt w:val="lowerLetter"/>
      <w:lvlText w:val="%2."/>
      <w:lvlJc w:val="left"/>
      <w:pPr>
        <w:ind w:left="1797" w:hanging="360"/>
      </w:pPr>
    </w:lvl>
    <w:lvl w:ilvl="2" w:tplc="0422001B" w:tentative="1">
      <w:start w:val="1"/>
      <w:numFmt w:val="lowerRoman"/>
      <w:lvlText w:val="%3."/>
      <w:lvlJc w:val="right"/>
      <w:pPr>
        <w:ind w:left="2517" w:hanging="180"/>
      </w:pPr>
    </w:lvl>
    <w:lvl w:ilvl="3" w:tplc="0422000F" w:tentative="1">
      <w:start w:val="1"/>
      <w:numFmt w:val="decimal"/>
      <w:lvlText w:val="%4."/>
      <w:lvlJc w:val="left"/>
      <w:pPr>
        <w:ind w:left="3237" w:hanging="360"/>
      </w:pPr>
    </w:lvl>
    <w:lvl w:ilvl="4" w:tplc="04220019" w:tentative="1">
      <w:start w:val="1"/>
      <w:numFmt w:val="lowerLetter"/>
      <w:lvlText w:val="%5."/>
      <w:lvlJc w:val="left"/>
      <w:pPr>
        <w:ind w:left="3957" w:hanging="360"/>
      </w:pPr>
    </w:lvl>
    <w:lvl w:ilvl="5" w:tplc="0422001B" w:tentative="1">
      <w:start w:val="1"/>
      <w:numFmt w:val="lowerRoman"/>
      <w:lvlText w:val="%6."/>
      <w:lvlJc w:val="right"/>
      <w:pPr>
        <w:ind w:left="4677" w:hanging="180"/>
      </w:pPr>
    </w:lvl>
    <w:lvl w:ilvl="6" w:tplc="0422000F" w:tentative="1">
      <w:start w:val="1"/>
      <w:numFmt w:val="decimal"/>
      <w:lvlText w:val="%7."/>
      <w:lvlJc w:val="left"/>
      <w:pPr>
        <w:ind w:left="5397" w:hanging="360"/>
      </w:pPr>
    </w:lvl>
    <w:lvl w:ilvl="7" w:tplc="04220019" w:tentative="1">
      <w:start w:val="1"/>
      <w:numFmt w:val="lowerLetter"/>
      <w:lvlText w:val="%8."/>
      <w:lvlJc w:val="left"/>
      <w:pPr>
        <w:ind w:left="6117" w:hanging="360"/>
      </w:pPr>
    </w:lvl>
    <w:lvl w:ilvl="8" w:tplc="0422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8"/>
  <w:characterSpacingControl w:val="doNotCompress"/>
  <w:compat/>
  <w:rsids>
    <w:rsidRoot w:val="002F0B04"/>
    <w:rsid w:val="002F0B04"/>
    <w:rsid w:val="009334D1"/>
    <w:rsid w:val="00E44986"/>
    <w:rsid w:val="00E84B15"/>
    <w:rsid w:val="00EB7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Текст абзаца"/>
    <w:qFormat/>
    <w:rsid w:val="002F0B04"/>
    <w:pPr>
      <w:spacing w:after="0" w:line="240" w:lineRule="auto"/>
      <w:ind w:firstLine="357"/>
      <w:jc w:val="both"/>
    </w:pPr>
    <w:rPr>
      <w:rFonts w:ascii="Times New Roman" w:eastAsia="Times New Roman" w:hAnsi="Times New Roman" w:cs="Times New Roman"/>
      <w:sz w:val="20"/>
      <w:szCs w:val="24"/>
      <w:lang w:val="uk-UA" w:eastAsia="ru-RU"/>
    </w:rPr>
  </w:style>
  <w:style w:type="paragraph" w:styleId="1">
    <w:name w:val="heading 1"/>
    <w:aliases w:val="Название статьи"/>
    <w:basedOn w:val="a"/>
    <w:next w:val="a"/>
    <w:link w:val="10"/>
    <w:qFormat/>
    <w:rsid w:val="002F0B04"/>
    <w:pPr>
      <w:keepNext/>
      <w:ind w:firstLine="0"/>
      <w:jc w:val="center"/>
      <w:outlineLvl w:val="0"/>
    </w:pPr>
    <w:rPr>
      <w:b/>
      <w:sz w:val="28"/>
      <w:szCs w:val="20"/>
    </w:rPr>
  </w:style>
  <w:style w:type="paragraph" w:styleId="2">
    <w:name w:val="heading 2"/>
    <w:aliases w:val="Авторы,организация,&quot;Заголовок 2,организаця&quot;"/>
    <w:basedOn w:val="a"/>
    <w:next w:val="a"/>
    <w:link w:val="20"/>
    <w:qFormat/>
    <w:rsid w:val="002F0B04"/>
    <w:pPr>
      <w:keepNext/>
      <w:ind w:firstLine="0"/>
      <w:jc w:val="center"/>
      <w:outlineLvl w:val="1"/>
    </w:pPr>
    <w:rPr>
      <w:b/>
      <w:szCs w:val="20"/>
    </w:rPr>
  </w:style>
  <w:style w:type="paragraph" w:styleId="4">
    <w:name w:val="heading 4"/>
    <w:aliases w:val="Название таблицы"/>
    <w:basedOn w:val="a"/>
    <w:next w:val="a"/>
    <w:link w:val="40"/>
    <w:qFormat/>
    <w:rsid w:val="002F0B04"/>
    <w:pPr>
      <w:keepNext/>
      <w:spacing w:before="120" w:after="60"/>
      <w:ind w:firstLine="0"/>
      <w:jc w:val="center"/>
      <w:outlineLvl w:val="3"/>
    </w:pPr>
    <w:rPr>
      <w:b/>
      <w:szCs w:val="20"/>
    </w:rPr>
  </w:style>
  <w:style w:type="paragraph" w:styleId="5">
    <w:name w:val="heading 5"/>
    <w:aliases w:val="Литература"/>
    <w:basedOn w:val="a"/>
    <w:next w:val="a"/>
    <w:link w:val="50"/>
    <w:qFormat/>
    <w:rsid w:val="002F0B04"/>
    <w:pPr>
      <w:keepNext/>
      <w:jc w:val="left"/>
      <w:outlineLvl w:val="4"/>
    </w:pPr>
    <w:rPr>
      <w:b/>
      <w:bCs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Название статьи Знак"/>
    <w:basedOn w:val="a0"/>
    <w:link w:val="1"/>
    <w:rsid w:val="002F0B04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character" w:customStyle="1" w:styleId="20">
    <w:name w:val="Заголовок 2 Знак"/>
    <w:aliases w:val="Авторы Знак,организация Знак,&quot;Заголовок 2 Знак,организаця&quot; Знак"/>
    <w:basedOn w:val="a0"/>
    <w:link w:val="2"/>
    <w:rsid w:val="002F0B04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character" w:customStyle="1" w:styleId="40">
    <w:name w:val="Заголовок 4 Знак"/>
    <w:aliases w:val="Название таблицы Знак"/>
    <w:basedOn w:val="a0"/>
    <w:link w:val="4"/>
    <w:rsid w:val="002F0B04"/>
    <w:rPr>
      <w:rFonts w:ascii="Times New Roman" w:eastAsia="Times New Roman" w:hAnsi="Times New Roman" w:cs="Times New Roman"/>
      <w:b/>
      <w:sz w:val="20"/>
      <w:szCs w:val="20"/>
      <w:lang w:val="uk-UA" w:eastAsia="ru-RU"/>
    </w:rPr>
  </w:style>
  <w:style w:type="character" w:customStyle="1" w:styleId="50">
    <w:name w:val="Заголовок 5 Знак"/>
    <w:aliases w:val="Литература Знак"/>
    <w:basedOn w:val="a0"/>
    <w:link w:val="5"/>
    <w:rsid w:val="002F0B04"/>
    <w:rPr>
      <w:rFonts w:ascii="Times New Roman" w:eastAsia="Times New Roman" w:hAnsi="Times New Roman" w:cs="Times New Roman"/>
      <w:b/>
      <w:bCs/>
      <w:sz w:val="20"/>
      <w:szCs w:val="20"/>
      <w:lang w:val="uk-UA" w:eastAsia="ru-RU"/>
    </w:rPr>
  </w:style>
  <w:style w:type="paragraph" w:styleId="a3">
    <w:name w:val="List Number"/>
    <w:aliases w:val="Bibliography,Список литературы1,Список литературы11,Bibliography"/>
    <w:basedOn w:val="a"/>
    <w:link w:val="a4"/>
    <w:rsid w:val="002F0B04"/>
    <w:pPr>
      <w:ind w:firstLine="0"/>
    </w:pPr>
  </w:style>
  <w:style w:type="character" w:customStyle="1" w:styleId="a4">
    <w:name w:val="Нумерованный список Знак"/>
    <w:aliases w:val="Список литературы1 Знак,Список литературы11 Знак,Bibliography Знак,Список литературы Знак"/>
    <w:link w:val="a3"/>
    <w:rsid w:val="002F0B04"/>
    <w:rPr>
      <w:rFonts w:ascii="Times New Roman" w:eastAsia="Times New Roman" w:hAnsi="Times New Roman" w:cs="Times New Roman"/>
      <w:sz w:val="20"/>
      <w:szCs w:val="24"/>
      <w:lang w:val="uk-UA" w:eastAsia="ru-RU"/>
    </w:rPr>
  </w:style>
  <w:style w:type="paragraph" w:styleId="a5">
    <w:name w:val="Balloon Text"/>
    <w:basedOn w:val="a"/>
    <w:link w:val="a6"/>
    <w:uiPriority w:val="99"/>
    <w:semiHidden/>
    <w:unhideWhenUsed/>
    <w:rsid w:val="002F0B0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F0B04"/>
    <w:rPr>
      <w:rFonts w:ascii="Tahoma" w:eastAsia="Times New Roman" w:hAnsi="Tahoma" w:cs="Tahoma"/>
      <w:sz w:val="16"/>
      <w:szCs w:val="16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992</Words>
  <Characters>5660</Characters>
  <Application>Microsoft Office Word</Application>
  <DocSecurity>0</DocSecurity>
  <Lines>47</Lines>
  <Paragraphs>13</Paragraphs>
  <ScaleCrop>false</ScaleCrop>
  <Company>Microsoft</Company>
  <LinksUpToDate>false</LinksUpToDate>
  <CharactersWithSpaces>6639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2015-10-20T05:09:00Z</dcterms:created>
  <dcterms:modified xsi:type="dcterms:W3CDTF">2015-10-20T05:09:00Z</dcterms:modified>
</cp:coreProperties>
</file>