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D066D5" w14:textId="7F355725" w:rsidR="00686F48" w:rsidRDefault="00EA3B42">
      <w:pPr>
        <w:spacing w:after="0"/>
      </w:pPr>
      <w:bookmarkStart w:id="0" w:name="_heading=h.gjdgxs" w:colFirst="0" w:colLast="0"/>
      <w:bookmarkEnd w:id="0"/>
      <w:r>
        <w:t xml:space="preserve">УДК </w:t>
      </w:r>
      <w:r w:rsidR="001D3C0A">
        <w:t>614.4:519.87</w:t>
      </w:r>
    </w:p>
    <w:p w14:paraId="4C05DD42" w14:textId="77777777" w:rsidR="00686F48" w:rsidRDefault="00686F48">
      <w:pPr>
        <w:spacing w:after="0"/>
      </w:pPr>
    </w:p>
    <w:p w14:paraId="18060BC3" w14:textId="2879A1E5" w:rsidR="00686F48" w:rsidRDefault="00FE1632">
      <w:pPr>
        <w:spacing w:after="0"/>
        <w:jc w:val="center"/>
        <w:rPr>
          <w:b/>
        </w:rPr>
      </w:pPr>
      <w:r w:rsidRPr="00FE1632">
        <w:rPr>
          <w:b/>
          <w:lang w:val="ru-RU"/>
        </w:rPr>
        <w:t>Д</w:t>
      </w:r>
      <w:r w:rsidRPr="00FE1632">
        <w:rPr>
          <w:b/>
        </w:rPr>
        <w:t>.</w:t>
      </w:r>
      <w:r w:rsidRPr="00FE1632">
        <w:rPr>
          <w:b/>
          <w:lang w:val="ru-RU"/>
        </w:rPr>
        <w:t>фарм</w:t>
      </w:r>
      <w:r w:rsidR="00EA3B42" w:rsidRPr="00FE1632">
        <w:rPr>
          <w:b/>
        </w:rPr>
        <w:t>.</w:t>
      </w:r>
      <w:r w:rsidRPr="00FE1632">
        <w:rPr>
          <w:b/>
          <w:lang w:val="ru-RU"/>
        </w:rPr>
        <w:t>н.</w:t>
      </w:r>
      <w:r w:rsidR="00EA3B42" w:rsidRPr="00FE1632">
        <w:rPr>
          <w:b/>
        </w:rPr>
        <w:t>, доцент Соловйов</w:t>
      </w:r>
      <w:r w:rsidR="00EA3B42">
        <w:rPr>
          <w:b/>
        </w:rPr>
        <w:t xml:space="preserve"> С. О., магістрант Царук Р. М.</w:t>
      </w:r>
    </w:p>
    <w:p w14:paraId="3AFE0910" w14:textId="77777777" w:rsidR="00686F48" w:rsidRDefault="00686F48">
      <w:pPr>
        <w:spacing w:after="0"/>
        <w:jc w:val="center"/>
        <w:rPr>
          <w:b/>
        </w:rPr>
      </w:pPr>
    </w:p>
    <w:p w14:paraId="3EAE80C1" w14:textId="77777777" w:rsidR="00686F48" w:rsidRDefault="00EA3B42">
      <w:pPr>
        <w:spacing w:after="0"/>
        <w:jc w:val="center"/>
        <w:rPr>
          <w:b/>
        </w:rPr>
      </w:pPr>
      <w:r>
        <w:rPr>
          <w:b/>
        </w:rPr>
        <w:t>Національний технічний університет України</w:t>
      </w:r>
      <w:r>
        <w:rPr>
          <w:b/>
        </w:rPr>
        <w:br/>
        <w:t>«Київський політехнічний інститут імені Ігоря Сікорського»</w:t>
      </w:r>
    </w:p>
    <w:p w14:paraId="478E5311" w14:textId="77777777" w:rsidR="00686F48" w:rsidRDefault="00686F48">
      <w:pPr>
        <w:spacing w:after="0"/>
        <w:jc w:val="center"/>
        <w:rPr>
          <w:b/>
        </w:rPr>
      </w:pPr>
    </w:p>
    <w:p w14:paraId="3A157CAE" w14:textId="2D0FC8EF" w:rsidR="00686F48" w:rsidRDefault="00EA3B42" w:rsidP="00FE1632">
      <w:pPr>
        <w:spacing w:after="0"/>
        <w:ind w:firstLine="0"/>
        <w:jc w:val="center"/>
        <w:rPr>
          <w:b/>
        </w:rPr>
      </w:pPr>
      <w:r>
        <w:rPr>
          <w:b/>
          <w:sz w:val="32"/>
          <w:szCs w:val="32"/>
        </w:rPr>
        <w:t>МАТЕМАТИЧН</w:t>
      </w:r>
      <w:r w:rsidR="00FE1632">
        <w:rPr>
          <w:b/>
          <w:sz w:val="32"/>
          <w:szCs w:val="32"/>
        </w:rPr>
        <w:t>Е</w:t>
      </w:r>
      <w:r>
        <w:rPr>
          <w:b/>
          <w:sz w:val="32"/>
          <w:szCs w:val="32"/>
        </w:rPr>
        <w:t xml:space="preserve"> МОДЕЛ</w:t>
      </w:r>
      <w:r w:rsidR="00FE1632">
        <w:rPr>
          <w:b/>
          <w:sz w:val="32"/>
          <w:szCs w:val="32"/>
        </w:rPr>
        <w:t>ЮВАННЯ</w:t>
      </w:r>
      <w:r>
        <w:rPr>
          <w:b/>
          <w:sz w:val="32"/>
          <w:szCs w:val="32"/>
        </w:rPr>
        <w:t xml:space="preserve"> П</w:t>
      </w:r>
      <w:r w:rsidR="00FE1632">
        <w:rPr>
          <w:b/>
          <w:sz w:val="32"/>
          <w:szCs w:val="32"/>
        </w:rPr>
        <w:t>ОШИРЕННЯ ПОЛІОМІЄЛІТУ НА ОСНОВІ ІСТОРИЧНИХ ДАНИХ</w:t>
      </w:r>
    </w:p>
    <w:p w14:paraId="655D0051" w14:textId="77777777" w:rsidR="00686F48" w:rsidRDefault="00686F48">
      <w:pPr>
        <w:spacing w:after="0"/>
        <w:rPr>
          <w:b/>
        </w:rPr>
      </w:pPr>
    </w:p>
    <w:p w14:paraId="3BE20CDA" w14:textId="77777777" w:rsidR="00686F48" w:rsidRDefault="00EA3B42">
      <w:pPr>
        <w:spacing w:after="0"/>
        <w:rPr>
          <w:b/>
        </w:rPr>
      </w:pPr>
      <w:r>
        <w:rPr>
          <w:b/>
        </w:rPr>
        <w:t>Abstract</w:t>
      </w:r>
    </w:p>
    <w:p w14:paraId="6A13D079" w14:textId="77777777" w:rsidR="00686F48" w:rsidRDefault="00686F48">
      <w:pPr>
        <w:spacing w:after="0"/>
        <w:jc w:val="center"/>
        <w:rPr>
          <w:b/>
          <w:sz w:val="24"/>
          <w:szCs w:val="24"/>
        </w:rPr>
      </w:pPr>
    </w:p>
    <w:p w14:paraId="1531A486" w14:textId="27360DDE" w:rsidR="00686F48" w:rsidRDefault="00EA3B42">
      <w:pPr>
        <w:spacing w:after="0"/>
        <w:ind w:firstLine="720"/>
        <w:jc w:val="center"/>
        <w:rPr>
          <w:b/>
          <w:sz w:val="24"/>
          <w:szCs w:val="24"/>
        </w:rPr>
      </w:pPr>
      <w:r>
        <w:rPr>
          <w:b/>
          <w:sz w:val="24"/>
          <w:szCs w:val="24"/>
        </w:rPr>
        <w:t>Serhi</w:t>
      </w:r>
      <w:r w:rsidR="00FE1632">
        <w:rPr>
          <w:b/>
          <w:sz w:val="24"/>
          <w:szCs w:val="24"/>
          <w:lang w:val="en-US"/>
        </w:rPr>
        <w:t>i</w:t>
      </w:r>
      <w:r>
        <w:rPr>
          <w:b/>
          <w:sz w:val="24"/>
          <w:szCs w:val="24"/>
        </w:rPr>
        <w:t xml:space="preserve"> Solov</w:t>
      </w:r>
      <w:r w:rsidR="00FE1632">
        <w:rPr>
          <w:b/>
          <w:sz w:val="24"/>
          <w:szCs w:val="24"/>
          <w:lang w:val="en-US"/>
        </w:rPr>
        <w:t>i</w:t>
      </w:r>
      <w:r>
        <w:rPr>
          <w:b/>
          <w:sz w:val="24"/>
          <w:szCs w:val="24"/>
        </w:rPr>
        <w:t>ov, PhD, Docent; Tsaruk Roman, student.</w:t>
      </w:r>
    </w:p>
    <w:p w14:paraId="2C81781B" w14:textId="77777777" w:rsidR="00686F48" w:rsidRDefault="00EA3B42">
      <w:pPr>
        <w:spacing w:after="0"/>
        <w:jc w:val="center"/>
        <w:rPr>
          <w:b/>
          <w:i/>
          <w:sz w:val="24"/>
          <w:szCs w:val="24"/>
        </w:rPr>
      </w:pPr>
      <w:r>
        <w:rPr>
          <w:b/>
          <w:i/>
          <w:sz w:val="24"/>
          <w:szCs w:val="24"/>
        </w:rPr>
        <w:t>Mathematical Model of Polio Infection Spread</w:t>
      </w:r>
    </w:p>
    <w:p w14:paraId="7DE96BF6" w14:textId="77777777" w:rsidR="00686F48" w:rsidRDefault="00EA3B42">
      <w:pPr>
        <w:spacing w:after="0"/>
        <w:rPr>
          <w:i/>
          <w:sz w:val="24"/>
          <w:szCs w:val="24"/>
        </w:rPr>
      </w:pPr>
      <w:r>
        <w:rPr>
          <w:i/>
          <w:sz w:val="24"/>
          <w:szCs w:val="24"/>
        </w:rPr>
        <w:t>Despite the prevalence of big data and machine learning, there is still a need for classical mathematical modeling to understand complex phenomena based on limited historical data. This study focuses on modeling the spread of polio between 1950 and 1960, a period preceding widespread vaccination. The proposed model demonstrated a significantly improved fit to the data compared to the standard SIS model, especially in capturing the oscillatory patterns observed in the historical data. The study suggests further exploration of the parameters for the model to better understand the infectious agent.</w:t>
      </w:r>
    </w:p>
    <w:p w14:paraId="7EDFB97E" w14:textId="77777777" w:rsidR="00686F48" w:rsidRDefault="00686F48">
      <w:pPr>
        <w:spacing w:after="0"/>
      </w:pPr>
    </w:p>
    <w:p w14:paraId="67DC2429" w14:textId="6079C573" w:rsidR="00686F48" w:rsidRDefault="00EA3B42">
      <w:pPr>
        <w:spacing w:after="0"/>
        <w:rPr>
          <w:b/>
        </w:rPr>
      </w:pPr>
      <w:r>
        <w:rPr>
          <w:b/>
        </w:rPr>
        <w:t>Вступ</w:t>
      </w:r>
    </w:p>
    <w:p w14:paraId="3A98BEF8" w14:textId="77777777" w:rsidR="0076532C" w:rsidRDefault="0076532C">
      <w:pPr>
        <w:spacing w:after="0"/>
        <w:rPr>
          <w:b/>
        </w:rPr>
      </w:pPr>
    </w:p>
    <w:p w14:paraId="03642FCF" w14:textId="10E3030B" w:rsidR="00686F48" w:rsidRDefault="00EA3B42" w:rsidP="00782699">
      <w:pPr>
        <w:spacing w:after="0"/>
      </w:pPr>
      <w:r>
        <w:t xml:space="preserve">Не </w:t>
      </w:r>
      <w:r w:rsidR="00FE1632" w:rsidRPr="00FE1632">
        <w:t>зважаючи</w:t>
      </w:r>
      <w:r w:rsidR="00FE1632">
        <w:t xml:space="preserve"> на все більший розвиток</w:t>
      </w:r>
      <w:r>
        <w:t xml:space="preserve"> </w:t>
      </w:r>
      <w:r w:rsidR="00FE1632">
        <w:t>методів машинного навчання для аналізу</w:t>
      </w:r>
      <w:r>
        <w:t xml:space="preserve"> великих</w:t>
      </w:r>
      <w:r w:rsidR="00FE1632">
        <w:t xml:space="preserve"> обсягів</w:t>
      </w:r>
      <w:r>
        <w:t xml:space="preserve"> даних, </w:t>
      </w:r>
      <w:r w:rsidR="00782699">
        <w:t>інколи</w:t>
      </w:r>
      <w:r>
        <w:t xml:space="preserve"> досліднику необхідно скласти цілісну картину досліджуваних процесів, ґрунтуючись на </w:t>
      </w:r>
      <w:r w:rsidR="00FE1632">
        <w:t>частковій, обмеженій інформації,</w:t>
      </w:r>
      <w:r>
        <w:t xml:space="preserve"> використовуючи</w:t>
      </w:r>
      <w:r w:rsidR="00782699">
        <w:t xml:space="preserve"> при цьому</w:t>
      </w:r>
      <w:r>
        <w:t xml:space="preserve"> класичні підходи математичного моделювання. </w:t>
      </w:r>
      <w:r w:rsidR="00782699">
        <w:t>Одним з таких прикладів є моделювання поширеності інфекційних захворювань, коли наявні статистичні дані є обмеженими, а в поодиноких випадках – неточними. Сьогодні відомим в літературі є клас моделей, які використовуються для моделювання поширення інфекційних захворювань [1]. Однак зіштовхнувшись зі складною, нелінійною динамікою таких природніх процесів, такі моделі можуть давати незадовільні результати [2], що є мотивацією для їх подальшого покращення. Крім того залишається актуальним і цікавим як з медичної так і математичної точки зору аналіз</w:t>
      </w:r>
      <w:r>
        <w:t xml:space="preserve"> і</w:t>
      </w:r>
      <w:r w:rsidR="00782699">
        <w:t xml:space="preserve">сторичних даних захворювань, які сьогодні практично зникли. Яскравим представником таких захворювань є поліомієліт, який практично викорінено </w:t>
      </w:r>
      <w:r w:rsidR="00782699">
        <w:lastRenderedPageBreak/>
        <w:t xml:space="preserve">сьогодні в світі, проте залишається зацікавленість у формалізації процесів, які </w:t>
      </w:r>
      <w:r w:rsidR="00BC15DB">
        <w:t>були основою його поширеності в минулому</w:t>
      </w:r>
      <w:r>
        <w:t xml:space="preserve">. </w:t>
      </w:r>
    </w:p>
    <w:p w14:paraId="6FF87364" w14:textId="77777777" w:rsidR="0076532C" w:rsidRDefault="0076532C" w:rsidP="00782699">
      <w:pPr>
        <w:spacing w:after="0"/>
      </w:pPr>
    </w:p>
    <w:p w14:paraId="566207F2" w14:textId="77777777" w:rsidR="00686F48" w:rsidRDefault="00EA3B42">
      <w:pPr>
        <w:spacing w:after="0"/>
        <w:rPr>
          <w:b/>
        </w:rPr>
      </w:pPr>
      <w:r>
        <w:rPr>
          <w:b/>
        </w:rPr>
        <w:t>Постановка задачі</w:t>
      </w:r>
    </w:p>
    <w:p w14:paraId="09D7A95B" w14:textId="31F5B61D" w:rsidR="00686F48" w:rsidRDefault="00EA3B42">
      <w:pPr>
        <w:spacing w:after="0"/>
      </w:pPr>
      <w:r>
        <w:t>Метою дослідження є розробка математичної моделі поширення інфекції на основі декількох наборів історичних даних. Кінцевим результатом є обґрунтована функціональна</w:t>
      </w:r>
      <w:r w:rsidR="00CC0D35">
        <w:t xml:space="preserve"> та реалізована програмно</w:t>
      </w:r>
      <w:r>
        <w:t xml:space="preserve"> математична модель. Вихідне рішення має бути достатньо гнучким, щоб майбутні дослідники могли використати запропоновану модель для своїх задач. При недостатній статистичні значущості деякі результати можуть бути підкріплені спостереженнями із попередніх епідеміологічних досліджень [3].</w:t>
      </w:r>
    </w:p>
    <w:p w14:paraId="3188C4C0" w14:textId="77777777" w:rsidR="00686F48" w:rsidRDefault="00686F48">
      <w:pPr>
        <w:spacing w:after="0"/>
      </w:pPr>
    </w:p>
    <w:p w14:paraId="66F0D888" w14:textId="77777777" w:rsidR="00686F48" w:rsidRDefault="00EA3B42">
      <w:pPr>
        <w:spacing w:after="0"/>
        <w:rPr>
          <w:b/>
        </w:rPr>
      </w:pPr>
      <w:r>
        <w:rPr>
          <w:b/>
        </w:rPr>
        <w:t>Вхідні дані</w:t>
      </w:r>
    </w:p>
    <w:p w14:paraId="33F17638" w14:textId="221C6602" w:rsidR="00686F48" w:rsidRDefault="00CC0D35">
      <w:pPr>
        <w:spacing w:after="0"/>
      </w:pPr>
      <w:r w:rsidRPr="00CC0D35">
        <w:t>Основою дослідження були матеріали робіт, представлених на IV науковій сесії Інституту поліомієліту і вірусних енцефалітів та Міжнародному симпозіумі по живій вакцині проти поліомієліту, 17–20 травня 1960 р. [4]</w:t>
      </w:r>
      <w:r w:rsidR="00EA3B42" w:rsidRPr="00CC0D35">
        <w:t xml:space="preserve">. </w:t>
      </w:r>
      <w:r w:rsidR="00EA3B42">
        <w:t xml:space="preserve">Видалення викидів для часових рядів може призвести до втрати цінної інформації, тому </w:t>
      </w:r>
      <w:r>
        <w:t>моделювання проводилось</w:t>
      </w:r>
      <w:r w:rsidR="00EA3B42">
        <w:t xml:space="preserve"> </w:t>
      </w:r>
      <w:r>
        <w:t>на незмінених даних</w:t>
      </w:r>
      <w:r w:rsidR="00EA3B42">
        <w:t xml:space="preserve"> без видалення викидів</w:t>
      </w:r>
      <w:r>
        <w:t xml:space="preserve">, проте додатково випробувано згладження за методом центрованого рухомого середнього </w:t>
      </w:r>
      <w:r w:rsidR="00EA3B42">
        <w:t>[</w:t>
      </w:r>
      <w:r>
        <w:t>5]</w:t>
      </w:r>
      <w:r w:rsidR="00EA3B42">
        <w:t xml:space="preserve">. </w:t>
      </w:r>
    </w:p>
    <w:p w14:paraId="515102EE" w14:textId="77777777" w:rsidR="00686F48" w:rsidRDefault="00686F48">
      <w:pPr>
        <w:spacing w:after="0"/>
      </w:pPr>
    </w:p>
    <w:p w14:paraId="2BEA5455" w14:textId="77777777" w:rsidR="00686F48" w:rsidRDefault="00EA3B42">
      <w:pPr>
        <w:spacing w:after="0"/>
      </w:pPr>
      <w:r>
        <w:rPr>
          <w:b/>
        </w:rPr>
        <w:t>Вдосконалена математична модель поширення поліомієліту</w:t>
      </w:r>
    </w:p>
    <w:p w14:paraId="0FB88D5F" w14:textId="5AC846E0" w:rsidR="004A4A37" w:rsidRDefault="00CC0D35" w:rsidP="004A4A37">
      <w:pPr>
        <w:spacing w:after="0"/>
      </w:pPr>
      <w:r>
        <w:t>В роботі р</w:t>
      </w:r>
      <w:r w:rsidR="00EA3B42">
        <w:t xml:space="preserve">озглянуто декілька компартментних моделей, що поділяють популяцію на компартменти (групи). Базовою моделлю обрано SIS модель, яка описує динаміку переходу осіб з групи сприйнятливих до групи інфікованих </w:t>
      </w:r>
      <w:r>
        <w:t xml:space="preserve">осіб </w:t>
      </w:r>
      <w:r w:rsidR="00EA3B42">
        <w:t>та з групи інфікованих назад до сприйнятливих</w:t>
      </w:r>
      <w:r>
        <w:t xml:space="preserve"> осіб</w:t>
      </w:r>
      <w:r w:rsidR="00EA3B42">
        <w:t xml:space="preserve">. Вона є простішою за модель SIR, </w:t>
      </w:r>
      <w:r>
        <w:t>оскільки</w:t>
      </w:r>
      <w:r w:rsidR="00EA3B42">
        <w:t xml:space="preserve"> частина популяції з групи інфікованих повертається до групи сприятливих, а не переходить до групи видужалих. Таке спрощення допустиме, оскільки кількість осіб, які повертаються до групи сприятливих є </w:t>
      </w:r>
      <w:r>
        <w:t>достатньо малою</w:t>
      </w:r>
      <w:r w:rsidR="00EA3B42">
        <w:t xml:space="preserve"> порівняно із розміром самої групи сприятливих</w:t>
      </w:r>
      <w:r>
        <w:t xml:space="preserve"> щоб ними можна було </w:t>
      </w:r>
      <w:r w:rsidRPr="00CC0D35">
        <w:t>знехтувати при моделюванні без втрати якості моделі</w:t>
      </w:r>
      <w:r w:rsidR="004A4A37">
        <w:t xml:space="preserve"> </w:t>
      </w:r>
      <w:r w:rsidR="00EA3B42">
        <w:t xml:space="preserve">[6]. </w:t>
      </w:r>
      <w:r>
        <w:t>Математична м</w:t>
      </w:r>
      <w:r w:rsidR="00EA3B42">
        <w:t xml:space="preserve">одель </w:t>
      </w:r>
      <w:r>
        <w:t>представлена у вигляді диференціальних рівнянь</w:t>
      </w:r>
      <w:r w:rsidR="00EA3B42">
        <w:t xml:space="preserve"> </w:t>
      </w:r>
      <w:r>
        <w:t>для кожної групи осіб (1, 2)</w:t>
      </w:r>
      <w:r w:rsidR="00EA3B42">
        <w:t>.</w:t>
      </w:r>
    </w:p>
    <w:p w14:paraId="237E7B27" w14:textId="15E7D044" w:rsidR="004A4A37" w:rsidRDefault="004A4A37" w:rsidP="004A4A37">
      <w:pPr>
        <w:spacing w:after="0"/>
      </w:pPr>
      <w:r>
        <w:t>Було запропоновано вдосконалення базових компартментних моделей, що полягало в інтеграції хвильової функції через додавання параметру періоду часу коливання T:</w:t>
      </w:r>
    </w:p>
    <w:sdt>
      <w:sdtPr>
        <w:tag w:val="goog_rdk_1"/>
        <w:id w:val="-23707916"/>
        <w:lock w:val="contentLocked"/>
      </w:sdtPr>
      <w:sdtEndPr/>
      <w:sdtContent>
        <w:tbl>
          <w:tblPr>
            <w:tblStyle w:val="ae"/>
            <w:tblW w:w="9420" w:type="dxa"/>
            <w:tblInd w:w="0" w:type="dxa"/>
            <w:tblLayout w:type="fixed"/>
            <w:tblLook w:val="0600" w:firstRow="0" w:lastRow="0" w:firstColumn="0" w:lastColumn="0" w:noHBand="1" w:noVBand="1"/>
          </w:tblPr>
          <w:tblGrid>
            <w:gridCol w:w="8100"/>
            <w:gridCol w:w="1320"/>
          </w:tblGrid>
          <w:tr w:rsidR="004A4A37" w14:paraId="71C25585" w14:textId="77777777" w:rsidTr="003258F4">
            <w:trPr>
              <w:trHeight w:val="686"/>
            </w:trPr>
            <w:tc>
              <w:tcPr>
                <w:tcW w:w="8100" w:type="dxa"/>
                <w:tcMar>
                  <w:top w:w="0" w:type="dxa"/>
                  <w:left w:w="0" w:type="dxa"/>
                  <w:bottom w:w="0" w:type="dxa"/>
                  <w:right w:w="0" w:type="dxa"/>
                </w:tcMar>
              </w:tcPr>
              <w:p w14:paraId="46475F95" w14:textId="77777777" w:rsidR="004A4A37" w:rsidRDefault="00865A19" w:rsidP="003258F4">
                <w:pPr>
                  <w:shd w:val="clear" w:color="auto" w:fill="FFFFFF"/>
                  <w:spacing w:after="0"/>
                  <w:ind w:firstLine="709"/>
                  <w:jc w:val="center"/>
                </w:pPr>
                <m:oMath>
                  <m:f>
                    <m:fPr>
                      <m:ctrlPr>
                        <w:rPr>
                          <w:rFonts w:ascii="Cambria Math" w:hAnsi="Cambria Math"/>
                        </w:rPr>
                      </m:ctrlPr>
                    </m:fPr>
                    <m:num>
                      <m:r>
                        <w:rPr>
                          <w:rFonts w:ascii="Cambria Math" w:hAnsi="Cambria Math"/>
                        </w:rPr>
                        <m:t>dI</m:t>
                      </m:r>
                    </m:num>
                    <m:den>
                      <m:r>
                        <w:rPr>
                          <w:rFonts w:ascii="Cambria Math" w:hAnsi="Cambria Math"/>
                        </w:rPr>
                        <m:t>dt</m:t>
                      </m:r>
                    </m:den>
                  </m:f>
                  <m:r>
                    <w:rPr>
                      <w:rFonts w:ascii="Cambria Math" w:hAnsi="Cambria Math"/>
                    </w:rPr>
                    <m:t xml:space="preserve"> = -</m:t>
                  </m:r>
                  <m:sSub>
                    <m:sSubPr>
                      <m:ctrlPr>
                        <w:rPr>
                          <w:rFonts w:ascii="Cambria Math" w:hAnsi="Cambria Math"/>
                        </w:rPr>
                      </m:ctrlPr>
                    </m:sSubPr>
                    <m:e>
                      <m:r>
                        <w:rPr>
                          <w:rFonts w:ascii="Cambria Math" w:hAnsi="Cambria Math"/>
                        </w:rPr>
                        <m:t>β</m:t>
                      </m:r>
                    </m:e>
                    <m:sub>
                      <m:r>
                        <w:rPr>
                          <w:rFonts w:ascii="Cambria Math" w:hAnsi="Cambria Math"/>
                        </w:rPr>
                        <m:t>0</m:t>
                      </m:r>
                    </m:sub>
                  </m:sSub>
                  <m:r>
                    <w:rPr>
                      <w:rFonts w:ascii="Cambria Math" w:hAnsi="Cambria Math"/>
                    </w:rPr>
                    <m:t>(1+</m:t>
                  </m:r>
                  <m:box>
                    <m:boxPr>
                      <m:opEmu m:val="1"/>
                      <m:ctrlPr>
                        <w:rPr>
                          <w:rFonts w:ascii="Cambria Math" w:hAnsi="Cambria Math"/>
                        </w:rPr>
                      </m:ctrlPr>
                    </m:boxPr>
                    <m:e>
                      <m:r>
                        <w:rPr>
                          <w:rFonts w:ascii="Cambria Math" w:hAnsi="Cambria Math"/>
                        </w:rPr>
                        <m:t>sin</m:t>
                      </m:r>
                    </m:e>
                  </m:box>
                  <m:r>
                    <w:rPr>
                      <w:rFonts w:ascii="Cambria Math" w:hAnsi="Cambria Math"/>
                    </w:rPr>
                    <m:t xml:space="preserve">(2 π </m:t>
                  </m:r>
                  <m:f>
                    <m:fPr>
                      <m:ctrlPr>
                        <w:rPr>
                          <w:rFonts w:ascii="Cambria Math" w:hAnsi="Cambria Math"/>
                        </w:rPr>
                      </m:ctrlPr>
                    </m:fPr>
                    <m:num>
                      <m:r>
                        <w:rPr>
                          <w:rFonts w:ascii="Cambria Math" w:hAnsi="Cambria Math"/>
                        </w:rPr>
                        <m:t>t</m:t>
                      </m:r>
                    </m:num>
                    <m:den>
                      <m:r>
                        <w:rPr>
                          <w:rFonts w:ascii="Cambria Math" w:hAnsi="Cambria Math"/>
                        </w:rPr>
                        <m:t>T</m:t>
                      </m:r>
                    </m:den>
                  </m:f>
                  <m:r>
                    <w:rPr>
                      <w:rFonts w:ascii="Cambria Math" w:hAnsi="Cambria Math"/>
                    </w:rPr>
                    <m:t>))</m:t>
                  </m:r>
                  <m:f>
                    <m:fPr>
                      <m:ctrlPr>
                        <w:rPr>
                          <w:rFonts w:ascii="Cambria Math" w:hAnsi="Cambria Math"/>
                        </w:rPr>
                      </m:ctrlPr>
                    </m:fPr>
                    <m:num>
                      <m:r>
                        <w:rPr>
                          <w:rFonts w:ascii="Cambria Math" w:hAnsi="Cambria Math"/>
                        </w:rPr>
                        <m:t>SI</m:t>
                      </m:r>
                    </m:num>
                    <m:den>
                      <m:r>
                        <w:rPr>
                          <w:rFonts w:ascii="Cambria Math" w:hAnsi="Cambria Math"/>
                        </w:rPr>
                        <m:t>N</m:t>
                      </m:r>
                    </m:den>
                  </m:f>
                  <m:r>
                    <w:rPr>
                      <w:rFonts w:ascii="Cambria Math" w:hAnsi="Cambria Math"/>
                    </w:rPr>
                    <m:t>+γI</m:t>
                  </m:r>
                </m:oMath>
              </w:p>
            </w:tc>
            <w:tc>
              <w:tcPr>
                <w:tcW w:w="1320" w:type="dxa"/>
                <w:tcMar>
                  <w:top w:w="0" w:type="dxa"/>
                  <w:left w:w="0" w:type="dxa"/>
                  <w:bottom w:w="0" w:type="dxa"/>
                  <w:right w:w="0" w:type="dxa"/>
                </w:tcMar>
              </w:tcPr>
              <w:p w14:paraId="3B2ABDDB" w14:textId="77777777" w:rsidR="004A4A37" w:rsidRDefault="004A4A37" w:rsidP="003258F4">
                <w:pPr>
                  <w:widowControl w:val="0"/>
                  <w:numPr>
                    <w:ilvl w:val="0"/>
                    <w:numId w:val="1"/>
                  </w:numPr>
                  <w:spacing w:after="0"/>
                  <w:jc w:val="right"/>
                </w:pPr>
              </w:p>
            </w:tc>
          </w:tr>
          <w:tr w:rsidR="004A4A37" w14:paraId="6A762481" w14:textId="77777777" w:rsidTr="003258F4">
            <w:trPr>
              <w:trHeight w:val="820"/>
            </w:trPr>
            <w:tc>
              <w:tcPr>
                <w:tcW w:w="8100" w:type="dxa"/>
                <w:tcMar>
                  <w:top w:w="0" w:type="dxa"/>
                  <w:left w:w="0" w:type="dxa"/>
                  <w:bottom w:w="0" w:type="dxa"/>
                  <w:right w:w="0" w:type="dxa"/>
                </w:tcMar>
              </w:tcPr>
              <w:p w14:paraId="4757BCC9" w14:textId="77777777" w:rsidR="004A4A37" w:rsidRDefault="00865A19" w:rsidP="003258F4">
                <w:pPr>
                  <w:jc w:val="center"/>
                </w:pPr>
                <m:oMathPara>
                  <m:oMath>
                    <m:f>
                      <m:fPr>
                        <m:ctrlPr>
                          <w:rPr>
                            <w:rFonts w:ascii="Cambria Math" w:hAnsi="Cambria Math"/>
                          </w:rPr>
                        </m:ctrlPr>
                      </m:fPr>
                      <m:num>
                        <m:r>
                          <w:rPr>
                            <w:rFonts w:ascii="Cambria Math" w:hAnsi="Cambria Math"/>
                          </w:rPr>
                          <m:t>dI</m:t>
                        </m:r>
                      </m:num>
                      <m:den>
                        <m:r>
                          <w:rPr>
                            <w:rFonts w:ascii="Cambria Math" w:hAnsi="Cambria Math"/>
                          </w:rPr>
                          <m:t>dt</m:t>
                        </m:r>
                      </m:den>
                    </m:f>
                    <m:r>
                      <w:rPr>
                        <w:rFonts w:ascii="Cambria Math" w:hAnsi="Cambria Math"/>
                      </w:rPr>
                      <m:t xml:space="preserve"> = </m:t>
                    </m:r>
                    <m:sSub>
                      <m:sSubPr>
                        <m:ctrlPr>
                          <w:rPr>
                            <w:rFonts w:ascii="Cambria Math" w:hAnsi="Cambria Math"/>
                          </w:rPr>
                        </m:ctrlPr>
                      </m:sSubPr>
                      <m:e>
                        <m:r>
                          <w:rPr>
                            <w:rFonts w:ascii="Cambria Math" w:hAnsi="Cambria Math"/>
                          </w:rPr>
                          <m:t>β</m:t>
                        </m:r>
                      </m:e>
                      <m:sub>
                        <m:r>
                          <w:rPr>
                            <w:rFonts w:ascii="Cambria Math" w:hAnsi="Cambria Math"/>
                          </w:rPr>
                          <m:t>0</m:t>
                        </m:r>
                      </m:sub>
                    </m:sSub>
                    <m:r>
                      <w:rPr>
                        <w:rFonts w:ascii="Cambria Math" w:hAnsi="Cambria Math"/>
                      </w:rPr>
                      <m:t>(1+</m:t>
                    </m:r>
                    <m:box>
                      <m:boxPr>
                        <m:opEmu m:val="1"/>
                        <m:ctrlPr>
                          <w:rPr>
                            <w:rFonts w:ascii="Cambria Math" w:hAnsi="Cambria Math"/>
                          </w:rPr>
                        </m:ctrlPr>
                      </m:boxPr>
                      <m:e>
                        <m:r>
                          <w:rPr>
                            <w:rFonts w:ascii="Cambria Math" w:hAnsi="Cambria Math"/>
                          </w:rPr>
                          <m:t>sin</m:t>
                        </m:r>
                      </m:e>
                    </m:box>
                    <m:r>
                      <w:rPr>
                        <w:rFonts w:ascii="Cambria Math" w:hAnsi="Cambria Math"/>
                      </w:rPr>
                      <m:t xml:space="preserve">(2 π </m:t>
                    </m:r>
                    <m:f>
                      <m:fPr>
                        <m:ctrlPr>
                          <w:rPr>
                            <w:rFonts w:ascii="Cambria Math" w:hAnsi="Cambria Math"/>
                          </w:rPr>
                        </m:ctrlPr>
                      </m:fPr>
                      <m:num>
                        <m:r>
                          <w:rPr>
                            <w:rFonts w:ascii="Cambria Math" w:hAnsi="Cambria Math"/>
                          </w:rPr>
                          <m:t>t</m:t>
                        </m:r>
                      </m:num>
                      <m:den>
                        <m:r>
                          <w:rPr>
                            <w:rFonts w:ascii="Cambria Math" w:hAnsi="Cambria Math"/>
                          </w:rPr>
                          <m:t>T</m:t>
                        </m:r>
                      </m:den>
                    </m:f>
                    <m:r>
                      <w:rPr>
                        <w:rFonts w:ascii="Cambria Math" w:hAnsi="Cambria Math"/>
                      </w:rPr>
                      <m:t>))</m:t>
                    </m:r>
                    <m:f>
                      <m:fPr>
                        <m:ctrlPr>
                          <w:rPr>
                            <w:rFonts w:ascii="Cambria Math" w:hAnsi="Cambria Math"/>
                          </w:rPr>
                        </m:ctrlPr>
                      </m:fPr>
                      <m:num>
                        <m:r>
                          <w:rPr>
                            <w:rFonts w:ascii="Cambria Math" w:hAnsi="Cambria Math"/>
                          </w:rPr>
                          <m:t>SI</m:t>
                        </m:r>
                      </m:num>
                      <m:den>
                        <m:r>
                          <w:rPr>
                            <w:rFonts w:ascii="Cambria Math" w:hAnsi="Cambria Math"/>
                          </w:rPr>
                          <m:t>N</m:t>
                        </m:r>
                      </m:den>
                    </m:f>
                    <m:r>
                      <w:rPr>
                        <w:rFonts w:ascii="Cambria Math" w:hAnsi="Cambria Math"/>
                      </w:rPr>
                      <m:t>-γI</m:t>
                    </m:r>
                  </m:oMath>
                </m:oMathPara>
              </w:p>
            </w:tc>
            <w:tc>
              <w:tcPr>
                <w:tcW w:w="1320" w:type="dxa"/>
                <w:tcMar>
                  <w:top w:w="0" w:type="dxa"/>
                  <w:left w:w="0" w:type="dxa"/>
                  <w:bottom w:w="0" w:type="dxa"/>
                  <w:right w:w="0" w:type="dxa"/>
                </w:tcMar>
              </w:tcPr>
              <w:p w14:paraId="0BF25366" w14:textId="77777777" w:rsidR="004A4A37" w:rsidRDefault="00865A19" w:rsidP="003258F4">
                <w:pPr>
                  <w:widowControl w:val="0"/>
                  <w:numPr>
                    <w:ilvl w:val="0"/>
                    <w:numId w:val="1"/>
                  </w:numPr>
                  <w:spacing w:after="0"/>
                  <w:jc w:val="right"/>
                </w:pPr>
              </w:p>
            </w:tc>
          </w:tr>
        </w:tbl>
      </w:sdtContent>
    </w:sdt>
    <w:p w14:paraId="78E5739D" w14:textId="311358A8" w:rsidR="00686F48" w:rsidRPr="004A4A37" w:rsidRDefault="004A4A37" w:rsidP="004A4A37">
      <w:pPr>
        <w:spacing w:after="0"/>
        <w:rPr>
          <w:shd w:val="clear" w:color="auto" w:fill="FFD966"/>
        </w:rPr>
      </w:pPr>
      <w:r>
        <w:t xml:space="preserve"> </w:t>
      </w:r>
      <w:r w:rsidR="00CC0D35">
        <w:t xml:space="preserve">В представленій моделі </w:t>
      </w:r>
      <m:oMath>
        <m:r>
          <w:rPr>
            <w:rFonts w:ascii="Cambria Math" w:hAnsi="Cambria Math"/>
          </w:rPr>
          <m:t>β</m:t>
        </m:r>
      </m:oMath>
      <w:r w:rsidR="00EA3B42">
        <w:t xml:space="preserve"> – швидкість </w:t>
      </w:r>
      <w:r w:rsidR="00CC0D35">
        <w:t>передачі збудника</w:t>
      </w:r>
      <w:r w:rsidR="00EA3B42">
        <w:t>,</w:t>
      </w:r>
      <w:r w:rsidR="00CC0D35">
        <w:t xml:space="preserve"> яка</w:t>
      </w:r>
      <w:r w:rsidR="00EA3B42">
        <w:t xml:space="preserve"> формально визначається як ймовірність передачі </w:t>
      </w:r>
      <w:r w:rsidR="00CC0D35">
        <w:t xml:space="preserve">збудника </w:t>
      </w:r>
      <w:r w:rsidR="00EA3B42">
        <w:t>інфекції між сприйнятлив</w:t>
      </w:r>
      <w:r w:rsidR="00CC0D35">
        <w:t>ою</w:t>
      </w:r>
      <w:r w:rsidR="00EA3B42">
        <w:t xml:space="preserve"> та інфікован</w:t>
      </w:r>
      <w:r w:rsidR="00CC0D35">
        <w:t>ою</w:t>
      </w:r>
      <w:r w:rsidR="00EA3B42">
        <w:t xml:space="preserve"> </w:t>
      </w:r>
      <w:r w:rsidR="00CC0D35">
        <w:t>особою</w:t>
      </w:r>
      <w:r w:rsidR="00EA3B42">
        <w:t xml:space="preserve"> </w:t>
      </w:r>
      <w:r w:rsidR="00CC0D35">
        <w:t>в певний момент</w:t>
      </w:r>
      <w:r w:rsidR="00EA3B42">
        <w:t xml:space="preserve"> часу, </w:t>
      </w:r>
      <m:oMath>
        <m:r>
          <w:rPr>
            <w:rFonts w:ascii="Cambria Math" w:hAnsi="Cambria Math"/>
          </w:rPr>
          <m:t>γ</m:t>
        </m:r>
      </m:oMath>
      <w:r w:rsidR="00EA3B42">
        <w:t xml:space="preserve"> – швидкіс</w:t>
      </w:r>
      <w:r w:rsidR="00CC0D35">
        <w:t>ть видужання з якою інфіковані особи</w:t>
      </w:r>
      <w:r w:rsidR="00EA3B42">
        <w:t xml:space="preserve"> пов</w:t>
      </w:r>
      <w:r w:rsidR="00CC0D35">
        <w:t>ертаються до стану сприйнятливості</w:t>
      </w:r>
      <w:r>
        <w:t xml:space="preserve"> </w:t>
      </w:r>
      <w:r w:rsidR="00EA3B42">
        <w:t xml:space="preserve">[7].  </w:t>
      </w:r>
    </w:p>
    <w:p w14:paraId="30027A9B" w14:textId="77777777" w:rsidR="00686F48" w:rsidRDefault="00686F48">
      <w:pPr>
        <w:spacing w:after="0"/>
      </w:pPr>
    </w:p>
    <w:p w14:paraId="6A266087" w14:textId="77777777" w:rsidR="00686F48" w:rsidRDefault="00EA3B42">
      <w:pPr>
        <w:spacing w:after="0"/>
        <w:rPr>
          <w:b/>
        </w:rPr>
      </w:pPr>
      <w:r>
        <w:rPr>
          <w:b/>
        </w:rPr>
        <w:t>Особливості пошуку оптимальних значень параметрів</w:t>
      </w:r>
    </w:p>
    <w:p w14:paraId="5D51FB2D" w14:textId="5CD6C1A7" w:rsidR="00686F48" w:rsidRDefault="00EA3B42">
      <w:pPr>
        <w:spacing w:after="0"/>
      </w:pPr>
      <w:r>
        <w:t>Для пошуку оптимальних значень параметрів моделі випробувано різні алгоритми, серед яких алгоритми Levenberg–Marquardt, Broyden–Fletcher–Goldfarb–Shanno, Nelder-Mead та Particle Swarm Optimization. Експериментально встановлено, що поширені алгоритми пошуку оптимальних параметрів є неефективними для цієї задачі.</w:t>
      </w:r>
      <w:r>
        <w:rPr>
          <w:b/>
        </w:rPr>
        <w:t xml:space="preserve"> </w:t>
      </w:r>
      <w:r>
        <w:t xml:space="preserve">Моделі з хвильовою компонентою можуть мати локальні мінімуми, що є недосяжними для багатьох оптимізованих алгоритмів [8]. Найкращим виявився алгоритм Particle Swarm Optimization (PSO), що при деяких налаштуваннях стабільно показував найкращі результати, ставши основним методом оптимізації в дослідженні. </w:t>
      </w:r>
    </w:p>
    <w:p w14:paraId="76FB7C4D" w14:textId="77777777" w:rsidR="00CC18B9" w:rsidRDefault="00CC18B9">
      <w:pPr>
        <w:spacing w:after="0"/>
        <w:rPr>
          <w:b/>
        </w:rPr>
      </w:pPr>
    </w:p>
    <w:p w14:paraId="6AB16B22" w14:textId="77777777" w:rsidR="00686F48" w:rsidRDefault="00EA3B42">
      <w:pPr>
        <w:spacing w:after="0"/>
        <w:rPr>
          <w:b/>
        </w:rPr>
      </w:pPr>
      <w:r>
        <w:rPr>
          <w:b/>
        </w:rPr>
        <w:t>Результати</w:t>
      </w:r>
    </w:p>
    <w:p w14:paraId="3367E50C" w14:textId="5B0162F2" w:rsidR="00686F48" w:rsidRDefault="00EA3B42">
      <w:pPr>
        <w:spacing w:after="0"/>
      </w:pPr>
      <w:r>
        <w:t xml:space="preserve">Не маючи змоги вловити коливальний характер кількості випадків захворювання в досліджуваних даних, стандартна SIS модель (рівняння 1, 2) показала дуже низьку точність на досліджуваних даних, досягши від’ємних значень на підсумковому коефіцієнті. Таке можливо, коли модель апроксимує досліджувані дані гірше, ніж горизонтальна лінія [9]. </w:t>
      </w:r>
    </w:p>
    <w:p w14:paraId="33CAD434" w14:textId="7E440DBD" w:rsidR="00686F48" w:rsidRDefault="00EA3B42">
      <w:pPr>
        <w:spacing w:after="0"/>
      </w:pPr>
      <w:r>
        <w:t>При тестуванні покращеної моделі, загальна точність системи встановилась на рівні 0.62. Моделювання зі згладженням значень за принципом рухомого середнього призвело до покращення результатів до 0.68, що може говорити про зашумленість даних. Один із результатів моделювання без згладження зображено на рисунку 1.</w:t>
      </w:r>
    </w:p>
    <w:p w14:paraId="6DC8AAFE" w14:textId="77777777" w:rsidR="0076532C" w:rsidRPr="004A4A37" w:rsidRDefault="0076532C" w:rsidP="0076532C">
      <w:pPr>
        <w:spacing w:after="0"/>
        <w:rPr>
          <w:b/>
        </w:rPr>
      </w:pPr>
      <w:r>
        <w:t>З огляду на дослідження, що вказують на періодичність спалахів поліомієлітної інфекції [10], були встановлені обмеження на параметр Т. Якщо не вводити обмеження на параметри, виникає ризик отримати неадекватно малі чи великі значення.</w:t>
      </w:r>
      <w:r>
        <w:rPr>
          <w:b/>
        </w:rPr>
        <w:t xml:space="preserve"> </w:t>
      </w:r>
      <w:r>
        <w:t>Остаточні результати моделювання зображені в таблиці 1.</w:t>
      </w:r>
    </w:p>
    <w:p w14:paraId="13D009C4" w14:textId="77777777" w:rsidR="0076532C" w:rsidRDefault="0076532C">
      <w:pPr>
        <w:spacing w:after="0"/>
        <w:rPr>
          <w:i/>
        </w:rPr>
      </w:pPr>
    </w:p>
    <w:p w14:paraId="382C63E8" w14:textId="7DC236BC" w:rsidR="004A4A37" w:rsidRDefault="004A4A37" w:rsidP="004A4A37">
      <w:pPr>
        <w:spacing w:after="0"/>
        <w:ind w:firstLine="0"/>
        <w:jc w:val="center"/>
        <w:rPr>
          <w:i/>
        </w:rPr>
      </w:pPr>
      <w:r>
        <w:rPr>
          <w:i/>
          <w:noProof/>
        </w:rPr>
        <w:lastRenderedPageBreak/>
        <w:drawing>
          <wp:inline distT="0" distB="0" distL="0" distR="0" wp14:anchorId="68675D95" wp14:editId="4216BFA0">
            <wp:extent cx="5993130" cy="1743710"/>
            <wp:effectExtent l="0" t="0" r="762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93130" cy="1743710"/>
                    </a:xfrm>
                    <a:prstGeom prst="rect">
                      <a:avLst/>
                    </a:prstGeom>
                    <a:noFill/>
                  </pic:spPr>
                </pic:pic>
              </a:graphicData>
            </a:graphic>
          </wp:inline>
        </w:drawing>
      </w:r>
    </w:p>
    <w:p w14:paraId="073B9660" w14:textId="5B285118" w:rsidR="00686F48" w:rsidRPr="0076532C" w:rsidRDefault="00EA3B42">
      <w:pPr>
        <w:spacing w:after="0"/>
        <w:jc w:val="center"/>
        <w:rPr>
          <w:iCs/>
        </w:rPr>
      </w:pPr>
      <w:r w:rsidRPr="0076532C">
        <w:rPr>
          <w:iCs/>
        </w:rPr>
        <w:t>Рис. 1.</w:t>
      </w:r>
      <w:r w:rsidR="00FE1632" w:rsidRPr="0076532C">
        <w:rPr>
          <w:iCs/>
        </w:rPr>
        <w:t xml:space="preserve"> Результат моделювання </w:t>
      </w:r>
      <w:r w:rsidR="00865C97" w:rsidRPr="0076532C">
        <w:rPr>
          <w:iCs/>
        </w:rPr>
        <w:t xml:space="preserve">захворюваності на поліомієліт на 100 тис. населення для на прикладі </w:t>
      </w:r>
      <w:r w:rsidR="00FE1632" w:rsidRPr="0076532C">
        <w:rPr>
          <w:iCs/>
        </w:rPr>
        <w:t>УРСР</w:t>
      </w:r>
    </w:p>
    <w:p w14:paraId="468B0FB7" w14:textId="77777777" w:rsidR="0076532C" w:rsidRPr="0076532C" w:rsidRDefault="00EA3B42" w:rsidP="0076532C">
      <w:pPr>
        <w:spacing w:after="0"/>
        <w:ind w:firstLine="0"/>
        <w:jc w:val="right"/>
        <w:rPr>
          <w:iCs/>
        </w:rPr>
      </w:pPr>
      <w:r w:rsidRPr="0076532C">
        <w:rPr>
          <w:iCs/>
        </w:rPr>
        <w:t>Таблиця 1</w:t>
      </w:r>
    </w:p>
    <w:p w14:paraId="3C098CAA" w14:textId="2E9D3047" w:rsidR="00686F48" w:rsidRPr="0076532C" w:rsidRDefault="00EA3B42" w:rsidP="0076532C">
      <w:pPr>
        <w:spacing w:after="0"/>
        <w:ind w:firstLine="0"/>
        <w:jc w:val="center"/>
        <w:rPr>
          <w:iCs/>
        </w:rPr>
      </w:pPr>
      <w:r w:rsidRPr="0076532C">
        <w:rPr>
          <w:iCs/>
        </w:rPr>
        <w:t>Результати моделювання за кожним набором даних</w:t>
      </w:r>
    </w:p>
    <w:tbl>
      <w:tblPr>
        <w:tblStyle w:val="af2"/>
        <w:tblW w:w="0" w:type="auto"/>
        <w:tblLook w:val="04A0" w:firstRow="1" w:lastRow="0" w:firstColumn="1" w:lastColumn="0" w:noHBand="0" w:noVBand="1"/>
      </w:tblPr>
      <w:tblGrid>
        <w:gridCol w:w="2878"/>
        <w:gridCol w:w="1861"/>
        <w:gridCol w:w="1102"/>
        <w:gridCol w:w="1275"/>
        <w:gridCol w:w="1133"/>
        <w:gridCol w:w="1145"/>
      </w:tblGrid>
      <w:tr w:rsidR="008F558B" w:rsidRPr="008F558B" w14:paraId="53D2C864" w14:textId="77777777" w:rsidTr="0076532C">
        <w:tc>
          <w:tcPr>
            <w:tcW w:w="2878" w:type="dxa"/>
            <w:vAlign w:val="center"/>
          </w:tcPr>
          <w:p w14:paraId="7AC84D76"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Назва набору даних</w:t>
            </w:r>
          </w:p>
        </w:tc>
        <w:tc>
          <w:tcPr>
            <w:tcW w:w="1861" w:type="dxa"/>
            <w:vAlign w:val="center"/>
          </w:tcPr>
          <w:p w14:paraId="71508F6A"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Кількість спостережень</w:t>
            </w:r>
          </w:p>
        </w:tc>
        <w:tc>
          <w:tcPr>
            <w:tcW w:w="1102" w:type="dxa"/>
            <w:vAlign w:val="center"/>
          </w:tcPr>
          <w:p w14:paraId="3A9AD6E9" w14:textId="77777777" w:rsidR="008F558B" w:rsidRPr="00BD6611" w:rsidRDefault="00865A19" w:rsidP="008F558B">
            <w:pPr>
              <w:spacing w:after="160"/>
              <w:jc w:val="center"/>
              <w:rPr>
                <w:rFonts w:ascii="Times New Roman" w:eastAsia="Cambria Math" w:hAnsi="Times New Roman" w:cs="Times New Roman"/>
                <w:sz w:val="28"/>
                <w:szCs w:val="28"/>
                <w:lang w:eastAsia="uk-UA"/>
              </w:rPr>
            </w:pPr>
            <m:oMathPara>
              <m:oMath>
                <m:sSub>
                  <m:sSubPr>
                    <m:ctrlPr>
                      <w:rPr>
                        <w:rFonts w:ascii="Cambria Math" w:eastAsia="Times New Roman" w:hAnsi="Cambria Math" w:cs="Times New Roman"/>
                        <w:sz w:val="28"/>
                        <w:szCs w:val="28"/>
                        <w:lang w:eastAsia="uk-UA"/>
                      </w:rPr>
                    </m:ctrlPr>
                  </m:sSubPr>
                  <m:e>
                    <m:sSup>
                      <m:sSupPr>
                        <m:ctrlPr>
                          <w:rPr>
                            <w:rFonts w:ascii="Cambria Math" w:eastAsia="Times New Roman" w:hAnsi="Cambria Math" w:cs="Times New Roman"/>
                            <w:sz w:val="28"/>
                            <w:szCs w:val="28"/>
                            <w:lang w:eastAsia="uk-UA"/>
                          </w:rPr>
                        </m:ctrlPr>
                      </m:sSupPr>
                      <m:e>
                        <m:r>
                          <w:rPr>
                            <w:rFonts w:ascii="Cambria Math" w:eastAsia="Times New Roman" w:hAnsi="Cambria Math" w:cs="Times New Roman"/>
                            <w:sz w:val="28"/>
                            <w:szCs w:val="28"/>
                            <w:lang w:eastAsia="uk-UA"/>
                          </w:rPr>
                          <m:t>R</m:t>
                        </m:r>
                      </m:e>
                      <m:sup>
                        <m:r>
                          <w:rPr>
                            <w:rFonts w:ascii="Cambria Math" w:eastAsia="Times New Roman" w:hAnsi="Cambria Math" w:cs="Times New Roman"/>
                            <w:sz w:val="28"/>
                            <w:szCs w:val="28"/>
                            <w:lang w:eastAsia="uk-UA"/>
                          </w:rPr>
                          <m:t>2</m:t>
                        </m:r>
                      </m:sup>
                    </m:sSup>
                  </m:e>
                  <m:sub>
                    <m:r>
                      <w:rPr>
                        <w:rFonts w:ascii="Cambria Math" w:eastAsia="Times New Roman" w:hAnsi="Cambria Math" w:cs="Times New Roman"/>
                        <w:sz w:val="28"/>
                        <w:szCs w:val="28"/>
                        <w:lang w:eastAsia="uk-UA"/>
                      </w:rPr>
                      <m:t>adj</m:t>
                    </m:r>
                  </m:sub>
                </m:sSub>
              </m:oMath>
            </m:oMathPara>
          </w:p>
        </w:tc>
        <w:tc>
          <w:tcPr>
            <w:tcW w:w="1275" w:type="dxa"/>
            <w:vAlign w:val="center"/>
          </w:tcPr>
          <w:p w14:paraId="613376CB" w14:textId="77777777" w:rsidR="008F558B" w:rsidRPr="00BD6611" w:rsidRDefault="00865A19" w:rsidP="008F558B">
            <w:pPr>
              <w:spacing w:after="160"/>
              <w:jc w:val="center"/>
              <w:rPr>
                <w:rFonts w:ascii="Times New Roman" w:eastAsia="Cambria Math" w:hAnsi="Times New Roman" w:cs="Times New Roman"/>
                <w:sz w:val="28"/>
                <w:szCs w:val="28"/>
                <w:lang w:eastAsia="uk-UA"/>
              </w:rPr>
            </w:pPr>
            <m:oMathPara>
              <m:oMath>
                <m:sSub>
                  <m:sSubPr>
                    <m:ctrlPr>
                      <w:rPr>
                        <w:rFonts w:ascii="Cambria Math" w:eastAsia="Cambria Math" w:hAnsi="Cambria Math" w:cs="Times New Roman"/>
                        <w:sz w:val="28"/>
                        <w:szCs w:val="28"/>
                        <w:lang w:eastAsia="uk-UA"/>
                      </w:rPr>
                    </m:ctrlPr>
                  </m:sSubPr>
                  <m:e>
                    <m:r>
                      <w:rPr>
                        <w:rFonts w:ascii="Cambria Math" w:eastAsia="Times New Roman" w:hAnsi="Cambria Math" w:cs="Times New Roman"/>
                        <w:sz w:val="28"/>
                        <w:szCs w:val="28"/>
                        <w:lang w:eastAsia="uk-UA"/>
                      </w:rPr>
                      <m:t>β</m:t>
                    </m:r>
                  </m:e>
                  <m:sub>
                    <m:r>
                      <w:rPr>
                        <w:rFonts w:ascii="Cambria Math" w:eastAsia="Cambria Math" w:hAnsi="Cambria Math" w:cs="Times New Roman"/>
                        <w:sz w:val="28"/>
                        <w:szCs w:val="28"/>
                        <w:lang w:eastAsia="uk-UA"/>
                      </w:rPr>
                      <m:t>0</m:t>
                    </m:r>
                  </m:sub>
                </m:sSub>
              </m:oMath>
            </m:oMathPara>
          </w:p>
        </w:tc>
        <w:tc>
          <w:tcPr>
            <w:tcW w:w="1133" w:type="dxa"/>
            <w:vAlign w:val="center"/>
          </w:tcPr>
          <w:p w14:paraId="0E6134E6" w14:textId="77777777" w:rsidR="008F558B" w:rsidRPr="00BD6611" w:rsidRDefault="008F558B" w:rsidP="008F558B">
            <w:pPr>
              <w:spacing w:after="160"/>
              <w:jc w:val="center"/>
              <w:rPr>
                <w:rFonts w:ascii="Times New Roman" w:eastAsia="Cambria Math" w:hAnsi="Times New Roman" w:cs="Times New Roman"/>
                <w:sz w:val="28"/>
                <w:szCs w:val="28"/>
                <w:lang w:eastAsia="uk-UA"/>
              </w:rPr>
            </w:pPr>
            <m:oMathPara>
              <m:oMath>
                <m:r>
                  <w:rPr>
                    <w:rFonts w:ascii="Cambria Math" w:eastAsia="Times New Roman" w:hAnsi="Cambria Math" w:cs="Times New Roman"/>
                    <w:sz w:val="28"/>
                    <w:szCs w:val="28"/>
                    <w:lang w:eastAsia="uk-UA"/>
                  </w:rPr>
                  <m:t>γ</m:t>
                </m:r>
              </m:oMath>
            </m:oMathPara>
          </w:p>
        </w:tc>
        <w:tc>
          <w:tcPr>
            <w:tcW w:w="1145" w:type="dxa"/>
            <w:vAlign w:val="center"/>
          </w:tcPr>
          <w:p w14:paraId="4237054A" w14:textId="77777777" w:rsidR="008F558B" w:rsidRPr="00BD6611" w:rsidRDefault="008F558B" w:rsidP="008F558B">
            <w:pPr>
              <w:spacing w:after="160"/>
              <w:jc w:val="center"/>
              <w:rPr>
                <w:rFonts w:ascii="Times New Roman" w:eastAsia="Cambria Math" w:hAnsi="Times New Roman" w:cs="Times New Roman"/>
                <w:sz w:val="28"/>
                <w:szCs w:val="28"/>
                <w:lang w:eastAsia="uk-UA"/>
              </w:rPr>
            </w:pPr>
            <m:oMathPara>
              <m:oMath>
                <m:r>
                  <w:rPr>
                    <w:rFonts w:ascii="Cambria Math" w:eastAsia="Cambria Math" w:hAnsi="Cambria Math" w:cs="Times New Roman"/>
                    <w:sz w:val="28"/>
                    <w:szCs w:val="28"/>
                    <w:lang w:eastAsia="uk-UA"/>
                  </w:rPr>
                  <m:t>T</m:t>
                </m:r>
              </m:oMath>
            </m:oMathPara>
          </w:p>
        </w:tc>
      </w:tr>
      <w:tr w:rsidR="008F558B" w:rsidRPr="008F558B" w14:paraId="59F546BD" w14:textId="77777777" w:rsidTr="0076532C">
        <w:tc>
          <w:tcPr>
            <w:tcW w:w="2878" w:type="dxa"/>
            <w:vAlign w:val="center"/>
          </w:tcPr>
          <w:p w14:paraId="585E7C5E"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Округ Дейд, Флорида, США</w:t>
            </w:r>
          </w:p>
        </w:tc>
        <w:tc>
          <w:tcPr>
            <w:tcW w:w="1861" w:type="dxa"/>
            <w:vAlign w:val="center"/>
          </w:tcPr>
          <w:p w14:paraId="3BD60C66"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42</w:t>
            </w:r>
          </w:p>
        </w:tc>
        <w:tc>
          <w:tcPr>
            <w:tcW w:w="1102" w:type="dxa"/>
            <w:vAlign w:val="center"/>
          </w:tcPr>
          <w:p w14:paraId="1DA66E43"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0.26</w:t>
            </w:r>
          </w:p>
        </w:tc>
        <w:tc>
          <w:tcPr>
            <w:tcW w:w="1275" w:type="dxa"/>
            <w:vAlign w:val="center"/>
          </w:tcPr>
          <w:p w14:paraId="14E0C594"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0.4481</w:t>
            </w:r>
          </w:p>
        </w:tc>
        <w:tc>
          <w:tcPr>
            <w:tcW w:w="1133" w:type="dxa"/>
            <w:vAlign w:val="center"/>
          </w:tcPr>
          <w:p w14:paraId="0E086BF3"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0.3909</w:t>
            </w:r>
          </w:p>
        </w:tc>
        <w:tc>
          <w:tcPr>
            <w:tcW w:w="1145" w:type="dxa"/>
            <w:vAlign w:val="center"/>
          </w:tcPr>
          <w:p w14:paraId="7422110E"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0.8826</w:t>
            </w:r>
          </w:p>
        </w:tc>
      </w:tr>
      <w:tr w:rsidR="008F558B" w:rsidRPr="008F558B" w14:paraId="2832952C" w14:textId="77777777" w:rsidTr="0076532C">
        <w:tc>
          <w:tcPr>
            <w:tcW w:w="2878" w:type="dxa"/>
            <w:vAlign w:val="center"/>
          </w:tcPr>
          <w:p w14:paraId="31A795DB"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Естонська РСР</w:t>
            </w:r>
          </w:p>
        </w:tc>
        <w:tc>
          <w:tcPr>
            <w:tcW w:w="1861" w:type="dxa"/>
            <w:vAlign w:val="center"/>
          </w:tcPr>
          <w:p w14:paraId="052CBA32"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36</w:t>
            </w:r>
          </w:p>
        </w:tc>
        <w:tc>
          <w:tcPr>
            <w:tcW w:w="1102" w:type="dxa"/>
            <w:vAlign w:val="center"/>
          </w:tcPr>
          <w:p w14:paraId="1FEFB628"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0.51</w:t>
            </w:r>
          </w:p>
        </w:tc>
        <w:tc>
          <w:tcPr>
            <w:tcW w:w="1275" w:type="dxa"/>
            <w:vAlign w:val="center"/>
          </w:tcPr>
          <w:p w14:paraId="4A2BD387"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0.9982</w:t>
            </w:r>
          </w:p>
        </w:tc>
        <w:tc>
          <w:tcPr>
            <w:tcW w:w="1133" w:type="dxa"/>
            <w:vAlign w:val="center"/>
          </w:tcPr>
          <w:p w14:paraId="0E5EC853"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0.7570</w:t>
            </w:r>
          </w:p>
        </w:tc>
        <w:tc>
          <w:tcPr>
            <w:tcW w:w="1145" w:type="dxa"/>
            <w:vAlign w:val="center"/>
          </w:tcPr>
          <w:p w14:paraId="6537C94E"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0.8598</w:t>
            </w:r>
          </w:p>
        </w:tc>
      </w:tr>
      <w:tr w:rsidR="008F558B" w:rsidRPr="008F558B" w14:paraId="00AAD8F3" w14:textId="77777777" w:rsidTr="0076532C">
        <w:tc>
          <w:tcPr>
            <w:tcW w:w="2878" w:type="dxa"/>
            <w:vAlign w:val="center"/>
          </w:tcPr>
          <w:p w14:paraId="379178AD"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Литовська РСР</w:t>
            </w:r>
          </w:p>
        </w:tc>
        <w:tc>
          <w:tcPr>
            <w:tcW w:w="1861" w:type="dxa"/>
            <w:vAlign w:val="center"/>
          </w:tcPr>
          <w:p w14:paraId="62CF4775"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37</w:t>
            </w:r>
          </w:p>
        </w:tc>
        <w:tc>
          <w:tcPr>
            <w:tcW w:w="1102" w:type="dxa"/>
            <w:vAlign w:val="center"/>
          </w:tcPr>
          <w:p w14:paraId="44F53FB3"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0.31</w:t>
            </w:r>
          </w:p>
        </w:tc>
        <w:tc>
          <w:tcPr>
            <w:tcW w:w="1275" w:type="dxa"/>
            <w:vAlign w:val="center"/>
          </w:tcPr>
          <w:p w14:paraId="0F999AF6"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1.087</w:t>
            </w:r>
          </w:p>
        </w:tc>
        <w:tc>
          <w:tcPr>
            <w:tcW w:w="1133" w:type="dxa"/>
            <w:vAlign w:val="center"/>
          </w:tcPr>
          <w:p w14:paraId="12DA762F"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0.8137</w:t>
            </w:r>
          </w:p>
        </w:tc>
        <w:tc>
          <w:tcPr>
            <w:tcW w:w="1145" w:type="dxa"/>
            <w:vAlign w:val="center"/>
          </w:tcPr>
          <w:p w14:paraId="61F49FFF"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0.8842</w:t>
            </w:r>
          </w:p>
        </w:tc>
      </w:tr>
      <w:tr w:rsidR="008F558B" w:rsidRPr="008F558B" w14:paraId="0FFC6A00" w14:textId="77777777" w:rsidTr="0076532C">
        <w:tc>
          <w:tcPr>
            <w:tcW w:w="2878" w:type="dxa"/>
            <w:vAlign w:val="center"/>
          </w:tcPr>
          <w:p w14:paraId="3551978D"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Узбецька РСР</w:t>
            </w:r>
          </w:p>
        </w:tc>
        <w:tc>
          <w:tcPr>
            <w:tcW w:w="1861" w:type="dxa"/>
            <w:vAlign w:val="center"/>
          </w:tcPr>
          <w:p w14:paraId="162FDBAF"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105</w:t>
            </w:r>
          </w:p>
        </w:tc>
        <w:tc>
          <w:tcPr>
            <w:tcW w:w="1102" w:type="dxa"/>
            <w:vAlign w:val="center"/>
          </w:tcPr>
          <w:p w14:paraId="450B9749"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0.78</w:t>
            </w:r>
          </w:p>
        </w:tc>
        <w:tc>
          <w:tcPr>
            <w:tcW w:w="1275" w:type="dxa"/>
            <w:vAlign w:val="center"/>
          </w:tcPr>
          <w:p w14:paraId="68B7B162"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0.2331</w:t>
            </w:r>
          </w:p>
        </w:tc>
        <w:tc>
          <w:tcPr>
            <w:tcW w:w="1133" w:type="dxa"/>
            <w:vAlign w:val="center"/>
          </w:tcPr>
          <w:p w14:paraId="6A1CE74C"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0.1987</w:t>
            </w:r>
          </w:p>
        </w:tc>
        <w:tc>
          <w:tcPr>
            <w:tcW w:w="1145" w:type="dxa"/>
            <w:vAlign w:val="center"/>
          </w:tcPr>
          <w:p w14:paraId="71E2419F"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0.7820</w:t>
            </w:r>
          </w:p>
        </w:tc>
      </w:tr>
      <w:tr w:rsidR="008F558B" w:rsidRPr="008F558B" w14:paraId="4C795921" w14:textId="77777777" w:rsidTr="0076532C">
        <w:tc>
          <w:tcPr>
            <w:tcW w:w="2878" w:type="dxa"/>
            <w:vAlign w:val="center"/>
          </w:tcPr>
          <w:p w14:paraId="617B3194"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Ташкент, Узбекистан, 1959 рік</w:t>
            </w:r>
          </w:p>
        </w:tc>
        <w:tc>
          <w:tcPr>
            <w:tcW w:w="1861" w:type="dxa"/>
            <w:vAlign w:val="center"/>
          </w:tcPr>
          <w:p w14:paraId="4E29E1B7"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20</w:t>
            </w:r>
          </w:p>
        </w:tc>
        <w:tc>
          <w:tcPr>
            <w:tcW w:w="1102" w:type="dxa"/>
            <w:vAlign w:val="center"/>
          </w:tcPr>
          <w:p w14:paraId="37C51959"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0.97</w:t>
            </w:r>
          </w:p>
        </w:tc>
        <w:tc>
          <w:tcPr>
            <w:tcW w:w="1275" w:type="dxa"/>
            <w:vAlign w:val="center"/>
          </w:tcPr>
          <w:p w14:paraId="1F6A4C71"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0.741946</w:t>
            </w:r>
          </w:p>
        </w:tc>
        <w:tc>
          <w:tcPr>
            <w:tcW w:w="1133" w:type="dxa"/>
            <w:vAlign w:val="center"/>
          </w:tcPr>
          <w:p w14:paraId="4C034E1C"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0.85046</w:t>
            </w:r>
          </w:p>
        </w:tc>
        <w:tc>
          <w:tcPr>
            <w:tcW w:w="1145" w:type="dxa"/>
            <w:vAlign w:val="center"/>
          </w:tcPr>
          <w:p w14:paraId="35D877D1"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0.63203</w:t>
            </w:r>
          </w:p>
        </w:tc>
      </w:tr>
      <w:tr w:rsidR="008F558B" w:rsidRPr="008F558B" w14:paraId="7F77278D" w14:textId="77777777" w:rsidTr="0076532C">
        <w:tc>
          <w:tcPr>
            <w:tcW w:w="2878" w:type="dxa"/>
            <w:vAlign w:val="center"/>
          </w:tcPr>
          <w:p w14:paraId="665D1669"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РРФСР</w:t>
            </w:r>
          </w:p>
        </w:tc>
        <w:tc>
          <w:tcPr>
            <w:tcW w:w="1861" w:type="dxa"/>
            <w:vAlign w:val="center"/>
          </w:tcPr>
          <w:p w14:paraId="1C31A8AB"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24</w:t>
            </w:r>
          </w:p>
        </w:tc>
        <w:tc>
          <w:tcPr>
            <w:tcW w:w="1102" w:type="dxa"/>
            <w:vAlign w:val="center"/>
          </w:tcPr>
          <w:p w14:paraId="38205887"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0.98</w:t>
            </w:r>
          </w:p>
        </w:tc>
        <w:tc>
          <w:tcPr>
            <w:tcW w:w="1275" w:type="dxa"/>
            <w:vAlign w:val="center"/>
          </w:tcPr>
          <w:p w14:paraId="4BF0F38E"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0.4747</w:t>
            </w:r>
          </w:p>
        </w:tc>
        <w:tc>
          <w:tcPr>
            <w:tcW w:w="1133" w:type="dxa"/>
            <w:vAlign w:val="center"/>
          </w:tcPr>
          <w:p w14:paraId="75BC777C"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0.3999</w:t>
            </w:r>
          </w:p>
        </w:tc>
        <w:tc>
          <w:tcPr>
            <w:tcW w:w="1145" w:type="dxa"/>
            <w:vAlign w:val="center"/>
          </w:tcPr>
          <w:p w14:paraId="5A40B546"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0.7654</w:t>
            </w:r>
          </w:p>
        </w:tc>
      </w:tr>
      <w:tr w:rsidR="008F558B" w:rsidRPr="008F558B" w14:paraId="1FFCC832" w14:textId="77777777" w:rsidTr="0076532C">
        <w:tc>
          <w:tcPr>
            <w:tcW w:w="2878" w:type="dxa"/>
            <w:vAlign w:val="center"/>
          </w:tcPr>
          <w:p w14:paraId="1935465C" w14:textId="77777777" w:rsidR="008F558B" w:rsidRPr="00BD6611" w:rsidRDefault="008F558B" w:rsidP="008F558B">
            <w:pPr>
              <w:widowControl w:val="0"/>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УРСР</w:t>
            </w:r>
          </w:p>
        </w:tc>
        <w:tc>
          <w:tcPr>
            <w:tcW w:w="1861" w:type="dxa"/>
            <w:vAlign w:val="center"/>
          </w:tcPr>
          <w:p w14:paraId="2BD8EDE5"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24</w:t>
            </w:r>
          </w:p>
        </w:tc>
        <w:tc>
          <w:tcPr>
            <w:tcW w:w="1102" w:type="dxa"/>
            <w:vAlign w:val="center"/>
          </w:tcPr>
          <w:p w14:paraId="3C2B460E"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0.94</w:t>
            </w:r>
          </w:p>
        </w:tc>
        <w:tc>
          <w:tcPr>
            <w:tcW w:w="1275" w:type="dxa"/>
            <w:vAlign w:val="center"/>
          </w:tcPr>
          <w:p w14:paraId="632B5516"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0.5622</w:t>
            </w:r>
          </w:p>
        </w:tc>
        <w:tc>
          <w:tcPr>
            <w:tcW w:w="1133" w:type="dxa"/>
            <w:vAlign w:val="center"/>
          </w:tcPr>
          <w:p w14:paraId="106C0A35" w14:textId="77777777" w:rsidR="008F558B" w:rsidRPr="00BD6611" w:rsidRDefault="008F558B" w:rsidP="008F558B">
            <w:pPr>
              <w:widowControl w:val="0"/>
              <w:jc w:val="center"/>
              <w:rPr>
                <w:rFonts w:ascii="Times New Roman" w:eastAsia="Times New Roman" w:hAnsi="Times New Roman" w:cs="Times New Roman"/>
                <w:sz w:val="28"/>
                <w:szCs w:val="28"/>
                <w:lang w:eastAsia="uk-UA"/>
              </w:rPr>
            </w:pPr>
            <w:r w:rsidRPr="00BD6611">
              <w:rPr>
                <w:rFonts w:ascii="Times New Roman" w:eastAsia="Times New Roman" w:hAnsi="Times New Roman" w:cs="Times New Roman"/>
                <w:sz w:val="28"/>
                <w:szCs w:val="28"/>
                <w:lang w:eastAsia="uk-UA"/>
              </w:rPr>
              <w:t>0.4799</w:t>
            </w:r>
          </w:p>
        </w:tc>
        <w:tc>
          <w:tcPr>
            <w:tcW w:w="1145" w:type="dxa"/>
            <w:vAlign w:val="center"/>
          </w:tcPr>
          <w:p w14:paraId="1BD0453C" w14:textId="77777777" w:rsidR="008F558B" w:rsidRPr="00BD6611" w:rsidRDefault="008F558B" w:rsidP="008F558B">
            <w:pPr>
              <w:widowControl w:val="0"/>
              <w:jc w:val="center"/>
              <w:rPr>
                <w:rFonts w:ascii="Times New Roman" w:hAnsi="Times New Roman" w:cs="Times New Roman"/>
                <w:sz w:val="28"/>
                <w:szCs w:val="28"/>
              </w:rPr>
            </w:pPr>
            <w:r w:rsidRPr="00BD6611">
              <w:rPr>
                <w:rFonts w:ascii="Times New Roman" w:eastAsia="Times New Roman" w:hAnsi="Times New Roman" w:cs="Times New Roman"/>
                <w:sz w:val="28"/>
                <w:szCs w:val="28"/>
                <w:lang w:eastAsia="uk-UA"/>
              </w:rPr>
              <w:t>0.7772</w:t>
            </w:r>
          </w:p>
        </w:tc>
      </w:tr>
    </w:tbl>
    <w:p w14:paraId="1EE188E6" w14:textId="77777777" w:rsidR="00686F48" w:rsidRDefault="00686F48">
      <w:pPr>
        <w:spacing w:after="0"/>
        <w:ind w:firstLine="0"/>
      </w:pPr>
    </w:p>
    <w:p w14:paraId="4D4DAE3B" w14:textId="5F51D727" w:rsidR="00686F48" w:rsidRDefault="00EA3B42">
      <w:pPr>
        <w:spacing w:after="0"/>
        <w:rPr>
          <w:b/>
        </w:rPr>
      </w:pPr>
      <w:r>
        <w:rPr>
          <w:b/>
        </w:rPr>
        <w:t>Висновки</w:t>
      </w:r>
    </w:p>
    <w:p w14:paraId="61B7D852" w14:textId="77777777" w:rsidR="0076532C" w:rsidRDefault="0076532C">
      <w:pPr>
        <w:spacing w:after="0"/>
        <w:rPr>
          <w:b/>
        </w:rPr>
      </w:pPr>
    </w:p>
    <w:p w14:paraId="3821EB05" w14:textId="09D8A8F2" w:rsidR="00686F48" w:rsidRDefault="00EA3B42" w:rsidP="004A4A37">
      <w:pPr>
        <w:numPr>
          <w:ilvl w:val="0"/>
          <w:numId w:val="2"/>
        </w:numPr>
        <w:spacing w:after="0"/>
        <w:ind w:left="426"/>
      </w:pPr>
      <w:r>
        <w:t xml:space="preserve">Було проведено аналіз історичних даних </w:t>
      </w:r>
      <w:r w:rsidR="00416FD8">
        <w:t>поширеності</w:t>
      </w:r>
      <w:r>
        <w:t xml:space="preserve"> поліомієліту. Встановлено, що поширення </w:t>
      </w:r>
      <w:r w:rsidR="00416FD8">
        <w:t>захворювання</w:t>
      </w:r>
      <w:r>
        <w:t xml:space="preserve"> має чітко виражену періодичність, що не враховується в поширених компартментних </w:t>
      </w:r>
      <w:r w:rsidR="00416FD8">
        <w:t xml:space="preserve">епідеміологічних </w:t>
      </w:r>
      <w:r>
        <w:t>моделях.</w:t>
      </w:r>
    </w:p>
    <w:p w14:paraId="0841F3A4" w14:textId="304B1567" w:rsidR="00686F48" w:rsidRDefault="00EA3B42" w:rsidP="004A4A37">
      <w:pPr>
        <w:numPr>
          <w:ilvl w:val="0"/>
          <w:numId w:val="2"/>
        </w:numPr>
        <w:spacing w:after="0"/>
        <w:ind w:left="426"/>
      </w:pPr>
      <w:r>
        <w:t xml:space="preserve">Запропоновано нову математичну модель, яка враховує періодичні коливання кількості хворих. </w:t>
      </w:r>
      <w:r w:rsidR="00416FD8">
        <w:t>Встановлено, що п</w:t>
      </w:r>
      <w:r>
        <w:t xml:space="preserve">окращена модель </w:t>
      </w:r>
      <w:r w:rsidR="00416FD8">
        <w:t xml:space="preserve">більш </w:t>
      </w:r>
      <w:r>
        <w:t xml:space="preserve">точно </w:t>
      </w:r>
      <w:r w:rsidR="00416FD8">
        <w:t>формалізує</w:t>
      </w:r>
      <w:r>
        <w:t xml:space="preserve"> досліджуваний </w:t>
      </w:r>
      <w:r w:rsidR="00416FD8">
        <w:t>епідемічний</w:t>
      </w:r>
      <w:r>
        <w:t xml:space="preserve"> процес.</w:t>
      </w:r>
    </w:p>
    <w:p w14:paraId="652C7F5E" w14:textId="176020DF" w:rsidR="00686F48" w:rsidRDefault="00416FD8" w:rsidP="004A4A37">
      <w:pPr>
        <w:numPr>
          <w:ilvl w:val="0"/>
          <w:numId w:val="2"/>
        </w:numPr>
        <w:spacing w:after="0"/>
        <w:ind w:left="426"/>
      </w:pPr>
      <w:r>
        <w:t>Розроблена математична м</w:t>
      </w:r>
      <w:r w:rsidR="00EA3B42">
        <w:t xml:space="preserve">одель є гнучкою та може бути застосована для аналізу інших інфекційних захворювань з подібною поведінкою. Параметри моделі мають </w:t>
      </w:r>
      <w:r w:rsidR="00D26E5C">
        <w:t>чітку епідеміологічну</w:t>
      </w:r>
      <w:r w:rsidR="00EA3B42">
        <w:t xml:space="preserve"> інтерпретацію, що дозволяє глибше розуміти механізми поширення інфекції.</w:t>
      </w:r>
    </w:p>
    <w:p w14:paraId="771F1A1A" w14:textId="77777777" w:rsidR="00686F48" w:rsidRDefault="00EA3B42" w:rsidP="004A4A37">
      <w:pPr>
        <w:numPr>
          <w:ilvl w:val="0"/>
          <w:numId w:val="2"/>
        </w:numPr>
        <w:spacing w:after="0"/>
        <w:ind w:left="426"/>
      </w:pPr>
      <w:r>
        <w:lastRenderedPageBreak/>
        <w:t>Модель має перспективи використання у різних сферах досліджень для опису процесів що містять хвильовий компонент та загальну динаміку міжгрупового обміну.</w:t>
      </w:r>
    </w:p>
    <w:p w14:paraId="7F39594B" w14:textId="77777777" w:rsidR="00686F48" w:rsidRDefault="00686F48">
      <w:pPr>
        <w:spacing w:after="0"/>
        <w:ind w:firstLine="0"/>
      </w:pPr>
    </w:p>
    <w:p w14:paraId="56238A35" w14:textId="64F2A3DE" w:rsidR="00686F48" w:rsidRDefault="00EA3B42">
      <w:pPr>
        <w:spacing w:after="0"/>
        <w:rPr>
          <w:b/>
        </w:rPr>
      </w:pPr>
      <w:bookmarkStart w:id="1" w:name="_GoBack"/>
      <w:bookmarkEnd w:id="1"/>
      <w:r>
        <w:rPr>
          <w:b/>
        </w:rPr>
        <w:t>Література</w:t>
      </w:r>
    </w:p>
    <w:p w14:paraId="4B8572EF" w14:textId="77777777" w:rsidR="0076532C" w:rsidRDefault="0076532C">
      <w:pPr>
        <w:spacing w:after="0"/>
        <w:rPr>
          <w:b/>
        </w:rPr>
      </w:pPr>
    </w:p>
    <w:p w14:paraId="2C79E5C0" w14:textId="77777777" w:rsidR="00686F48" w:rsidRDefault="00EA3B42">
      <w:pPr>
        <w:numPr>
          <w:ilvl w:val="0"/>
          <w:numId w:val="3"/>
        </w:numPr>
        <w:pBdr>
          <w:top w:val="nil"/>
          <w:left w:val="nil"/>
          <w:bottom w:val="nil"/>
          <w:right w:val="nil"/>
          <w:between w:val="nil"/>
        </w:pBdr>
        <w:tabs>
          <w:tab w:val="left" w:pos="384"/>
        </w:tabs>
        <w:spacing w:after="0"/>
      </w:pPr>
      <w:r>
        <w:t xml:space="preserve">Miller, J. C., &amp; Volz, E. Incorporating disease and population structure into models of SIR disease in contact networks. </w:t>
      </w:r>
      <w:r>
        <w:rPr>
          <w:i/>
        </w:rPr>
        <w:t>PLoS ONE, 8</w:t>
      </w:r>
      <w:r>
        <w:t xml:space="preserve">. – 2013. – DOI: </w:t>
      </w:r>
      <w:hyperlink r:id="rId9">
        <w:r>
          <w:rPr>
            <w:color w:val="1155CC"/>
            <w:u w:val="single"/>
          </w:rPr>
          <w:t>https://doi.org/10.1371/journal.pone.0069162</w:t>
        </w:r>
      </w:hyperlink>
    </w:p>
    <w:p w14:paraId="5B6FD010" w14:textId="77777777" w:rsidR="00686F48" w:rsidRDefault="00EA3B42">
      <w:pPr>
        <w:numPr>
          <w:ilvl w:val="0"/>
          <w:numId w:val="3"/>
        </w:numPr>
        <w:tabs>
          <w:tab w:val="left" w:pos="384"/>
        </w:tabs>
        <w:spacing w:after="0"/>
      </w:pPr>
      <w:r>
        <w:t xml:space="preserve">Goscé, L., Barton, D., &amp; Johansson, A. Analytical Modelling of the Spread of Disease in Confined and Crowded Spaces. </w:t>
      </w:r>
      <w:r>
        <w:rPr>
          <w:i/>
        </w:rPr>
        <w:t>Scientific Reports, 4</w:t>
      </w:r>
      <w:r>
        <w:t xml:space="preserve">. – 2013. – DOI: </w:t>
      </w:r>
      <w:hyperlink r:id="rId10">
        <w:r>
          <w:rPr>
            <w:color w:val="1155CC"/>
            <w:u w:val="single"/>
          </w:rPr>
          <w:t>https://doi.org/10.1038/srep04856</w:t>
        </w:r>
      </w:hyperlink>
    </w:p>
    <w:p w14:paraId="6B8DE36E" w14:textId="77777777" w:rsidR="00686F48" w:rsidRDefault="00EA3B42">
      <w:pPr>
        <w:numPr>
          <w:ilvl w:val="0"/>
          <w:numId w:val="3"/>
        </w:numPr>
        <w:pBdr>
          <w:top w:val="nil"/>
          <w:left w:val="nil"/>
          <w:bottom w:val="nil"/>
          <w:right w:val="nil"/>
          <w:between w:val="nil"/>
        </w:pBdr>
        <w:tabs>
          <w:tab w:val="left" w:pos="384"/>
        </w:tabs>
        <w:spacing w:after="0"/>
      </w:pPr>
      <w:r>
        <w:t xml:space="preserve">Xu R, Zhao L. When Less Is More: How Limited Data and Clinical Expertise Can Inform Medical Decision-Making. Journal of Clinical Epidemiology. – 2021. – 134:20–29. DOI: </w:t>
      </w:r>
      <w:hyperlink r:id="rId11">
        <w:r>
          <w:rPr>
            <w:color w:val="1155CC"/>
            <w:u w:val="single"/>
          </w:rPr>
          <w:t>https://doi.org/10.1016/j.jclinepi.2021.01.006</w:t>
        </w:r>
      </w:hyperlink>
    </w:p>
    <w:p w14:paraId="3D5AE933" w14:textId="77777777" w:rsidR="00686F48" w:rsidRDefault="00EA3B42">
      <w:pPr>
        <w:numPr>
          <w:ilvl w:val="0"/>
          <w:numId w:val="3"/>
        </w:numPr>
        <w:pBdr>
          <w:top w:val="nil"/>
          <w:left w:val="nil"/>
          <w:bottom w:val="nil"/>
          <w:right w:val="nil"/>
          <w:between w:val="nil"/>
        </w:pBdr>
        <w:tabs>
          <w:tab w:val="left" w:pos="384"/>
        </w:tabs>
        <w:spacing w:after="0"/>
      </w:pPr>
      <w:r>
        <w:t xml:space="preserve">Чумаков М. П. Полиомиелитная пероральная живая вакцина. </w:t>
      </w:r>
      <w:r>
        <w:rPr>
          <w:i/>
        </w:rPr>
        <w:t>Институт полиомиелита и вирусных энцефалитов</w:t>
      </w:r>
      <w:r>
        <w:t>. – 1961.</w:t>
      </w:r>
    </w:p>
    <w:p w14:paraId="63B11547" w14:textId="77777777" w:rsidR="00686F48" w:rsidRDefault="00EA3B42">
      <w:pPr>
        <w:numPr>
          <w:ilvl w:val="0"/>
          <w:numId w:val="3"/>
        </w:numPr>
        <w:pBdr>
          <w:top w:val="nil"/>
          <w:left w:val="nil"/>
          <w:bottom w:val="nil"/>
          <w:right w:val="nil"/>
          <w:between w:val="nil"/>
        </w:pBdr>
        <w:tabs>
          <w:tab w:val="left" w:pos="384"/>
        </w:tabs>
        <w:spacing w:after="0"/>
      </w:pPr>
      <w:r>
        <w:t xml:space="preserve">Chen, C., &amp; Liu, L. M. Joint Estimation of Model Parameters and Outlier Effects in Time Series. </w:t>
      </w:r>
      <w:r>
        <w:rPr>
          <w:i/>
        </w:rPr>
        <w:t>Journal of the American Statistical Association</w:t>
      </w:r>
      <w:r>
        <w:t xml:space="preserve">,  – 1993. – </w:t>
      </w:r>
      <w:r>
        <w:rPr>
          <w:i/>
        </w:rPr>
        <w:t>88</w:t>
      </w:r>
      <w:r>
        <w:t xml:space="preserve">(421), 284–297. DOI: </w:t>
      </w:r>
      <w:hyperlink r:id="rId12">
        <w:r>
          <w:rPr>
            <w:color w:val="1155CC"/>
            <w:u w:val="single"/>
          </w:rPr>
          <w:t>https://doi.org/10.1080/01621459.1993.10594321</w:t>
        </w:r>
      </w:hyperlink>
    </w:p>
    <w:p w14:paraId="1B8A3723" w14:textId="77777777" w:rsidR="00686F48" w:rsidRDefault="00EA3B42">
      <w:pPr>
        <w:numPr>
          <w:ilvl w:val="0"/>
          <w:numId w:val="3"/>
        </w:numPr>
        <w:pBdr>
          <w:top w:val="nil"/>
          <w:left w:val="nil"/>
          <w:bottom w:val="nil"/>
          <w:right w:val="nil"/>
          <w:between w:val="nil"/>
        </w:pBdr>
        <w:tabs>
          <w:tab w:val="left" w:pos="384"/>
        </w:tabs>
        <w:spacing w:after="0"/>
      </w:pPr>
      <w:r>
        <w:t xml:space="preserve">Zhao-chun Chen et al. "Cross-neutralizing human anti-poliovirus antibodies bind the recognition site for cellular receptor." </w:t>
      </w:r>
      <w:r>
        <w:rPr>
          <w:i/>
        </w:rPr>
        <w:t>Proceedings of the National Academy of Sciences</w:t>
      </w:r>
      <w:r>
        <w:t xml:space="preserve">, 110. – 2013. – 20242-20247. DOI: </w:t>
      </w:r>
      <w:hyperlink r:id="rId13">
        <w:r>
          <w:rPr>
            <w:color w:val="1155CC"/>
            <w:u w:val="single"/>
          </w:rPr>
          <w:t>https://doi.org/10.1073/pnas.1320041110</w:t>
        </w:r>
      </w:hyperlink>
    </w:p>
    <w:p w14:paraId="2071F43C" w14:textId="77777777" w:rsidR="00686F48" w:rsidRDefault="00EA3B42">
      <w:pPr>
        <w:numPr>
          <w:ilvl w:val="0"/>
          <w:numId w:val="3"/>
        </w:numPr>
        <w:pBdr>
          <w:top w:val="nil"/>
          <w:left w:val="nil"/>
          <w:bottom w:val="nil"/>
          <w:right w:val="nil"/>
          <w:between w:val="nil"/>
        </w:pBdr>
        <w:tabs>
          <w:tab w:val="left" w:pos="384"/>
        </w:tabs>
        <w:spacing w:after="0"/>
      </w:pPr>
      <w:r>
        <w:t xml:space="preserve">Brauer F, Castillo-Chavez C, Feng Z. Simple Compartmental Models for Disease Transmission. Mathematical Models in Epidemiology. – 2019 – Jun 25;69:21–61. DOI: </w:t>
      </w:r>
      <w:hyperlink r:id="rId14">
        <w:r>
          <w:rPr>
            <w:color w:val="1155CC"/>
            <w:u w:val="single"/>
          </w:rPr>
          <w:t>https://doi.org/10.1007/978-1-4939-9828-9_2</w:t>
        </w:r>
      </w:hyperlink>
    </w:p>
    <w:p w14:paraId="4EB37651" w14:textId="77777777" w:rsidR="00686F48" w:rsidRDefault="00EA3B42">
      <w:pPr>
        <w:numPr>
          <w:ilvl w:val="0"/>
          <w:numId w:val="3"/>
        </w:numPr>
        <w:pBdr>
          <w:top w:val="nil"/>
          <w:left w:val="nil"/>
          <w:bottom w:val="nil"/>
          <w:right w:val="nil"/>
          <w:between w:val="nil"/>
        </w:pBdr>
        <w:tabs>
          <w:tab w:val="left" w:pos="384"/>
        </w:tabs>
        <w:spacing w:after="0"/>
      </w:pPr>
      <w:r>
        <w:t xml:space="preserve">Peterson, R. A. Finding Optimal Normalizing Transformations via bestNormalize. </w:t>
      </w:r>
      <w:r>
        <w:rPr>
          <w:i/>
        </w:rPr>
        <w:t>R Journal</w:t>
      </w:r>
      <w:r>
        <w:t xml:space="preserve">, – 2021. – 13, 310. DOI: </w:t>
      </w:r>
      <w:hyperlink r:id="rId15">
        <w:r>
          <w:rPr>
            <w:color w:val="1155CC"/>
            <w:u w:val="single"/>
          </w:rPr>
          <w:t>https://doi.org/10.32614/rj-2021-041</w:t>
        </w:r>
      </w:hyperlink>
    </w:p>
    <w:p w14:paraId="55CED711" w14:textId="77777777" w:rsidR="00686F48" w:rsidRDefault="00EA3B42">
      <w:pPr>
        <w:numPr>
          <w:ilvl w:val="0"/>
          <w:numId w:val="3"/>
        </w:numPr>
        <w:pBdr>
          <w:top w:val="nil"/>
          <w:left w:val="nil"/>
          <w:bottom w:val="nil"/>
          <w:right w:val="nil"/>
          <w:between w:val="nil"/>
        </w:pBdr>
        <w:tabs>
          <w:tab w:val="left" w:pos="384"/>
        </w:tabs>
        <w:spacing w:after="0"/>
      </w:pPr>
      <w:r>
        <w:t xml:space="preserve">Bosse, M. R., Marland, E., Rhoads, G. S., Sanqui, J. A. T., &amp; BeMent, Z. Generalizing R2 for Deming regressions. Communications in Statistics - Theory and Methods. – 2022. – 52, 7731-7743. </w:t>
      </w:r>
      <w:hyperlink r:id="rId16">
        <w:r>
          <w:rPr>
            <w:color w:val="1155CC"/>
            <w:u w:val="single"/>
          </w:rPr>
          <w:t>https://doi.org/10.1080/03610926.2022.2059678</w:t>
        </w:r>
      </w:hyperlink>
    </w:p>
    <w:p w14:paraId="7B1D989D" w14:textId="77777777" w:rsidR="00686F48" w:rsidRDefault="00EA3B42">
      <w:pPr>
        <w:numPr>
          <w:ilvl w:val="0"/>
          <w:numId w:val="3"/>
        </w:numPr>
        <w:pBdr>
          <w:top w:val="nil"/>
          <w:left w:val="nil"/>
          <w:bottom w:val="nil"/>
          <w:right w:val="nil"/>
          <w:between w:val="nil"/>
        </w:pBdr>
        <w:tabs>
          <w:tab w:val="left" w:pos="384"/>
        </w:tabs>
        <w:spacing w:after="0"/>
      </w:pPr>
      <w:r>
        <w:t xml:space="preserve">Serfling RE, Sherman IL. Poliomyelitis Distribution in the United States. </w:t>
      </w:r>
      <w:r>
        <w:rPr>
          <w:i/>
        </w:rPr>
        <w:t>Proceedings of the Society of Experimental Biology and Medicine</w:t>
      </w:r>
      <w:r>
        <w:t>. – 1953. – 477-481.</w:t>
      </w:r>
    </w:p>
    <w:sectPr w:rsidR="00686F48" w:rsidSect="0076532C">
      <w:footerReference w:type="default" r:id="rId17"/>
      <w:pgSz w:w="12240" w:h="15840"/>
      <w:pgMar w:top="1418" w:right="1418" w:bottom="1985" w:left="1418" w:header="709" w:footer="709" w:gutter="0"/>
      <w:pgNumType w:start="33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CEBB1A" w14:textId="77777777" w:rsidR="00865A19" w:rsidRDefault="00865A19" w:rsidP="0076532C">
      <w:pPr>
        <w:spacing w:after="0"/>
      </w:pPr>
      <w:r>
        <w:separator/>
      </w:r>
    </w:p>
  </w:endnote>
  <w:endnote w:type="continuationSeparator" w:id="0">
    <w:p w14:paraId="3ED53670" w14:textId="77777777" w:rsidR="00865A19" w:rsidRDefault="00865A19" w:rsidP="0076532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embedRegular r:id="rId1" w:fontKey="{4DDBE7A3-9798-4AD8-9A8F-495FB89D36C9}"/>
    <w:embedItalic r:id="rId2" w:fontKey="{049FF6F6-EDBC-4838-8FB1-9D73BA549510}"/>
  </w:font>
  <w:font w:name="Tahoma">
    <w:panose1 w:val="020B0604030504040204"/>
    <w:charset w:val="CC"/>
    <w:family w:val="swiss"/>
    <w:pitch w:val="variable"/>
    <w:sig w:usb0="E1002EFF" w:usb1="C000605B" w:usb2="00000029" w:usb3="00000000" w:csb0="000101FF" w:csb1="00000000"/>
    <w:embedRegular r:id="rId3" w:fontKey="{0BA34F8A-B7CE-4042-A01A-7D7DDC34202E}"/>
  </w:font>
  <w:font w:name="Calibri">
    <w:panose1 w:val="020F0502020204030204"/>
    <w:charset w:val="CC"/>
    <w:family w:val="swiss"/>
    <w:pitch w:val="variable"/>
    <w:sig w:usb0="E4002EFF" w:usb1="C200247B" w:usb2="00000009" w:usb3="00000000" w:csb0="000001FF" w:csb1="00000000"/>
    <w:embedRegular r:id="rId4" w:fontKey="{F16DE3B6-D01D-4EDC-BCC7-27CD3BD8F830}"/>
  </w:font>
  <w:font w:name="Cambria Math">
    <w:panose1 w:val="02040503050406030204"/>
    <w:charset w:val="CC"/>
    <w:family w:val="roman"/>
    <w:pitch w:val="variable"/>
    <w:sig w:usb0="E00006FF" w:usb1="420024FF" w:usb2="02000000" w:usb3="00000000" w:csb0="0000019F" w:csb1="00000000"/>
    <w:embedRegular r:id="rId5" w:fontKey="{C89F2156-9BC6-4CC2-B2FF-28ECD4D4EFC5}"/>
    <w:embedItalic r:id="rId6" w:fontKey="{955BFB48-63A7-438E-9C20-50359BD10F01}"/>
  </w:font>
  <w:font w:name="Calibri Light">
    <w:panose1 w:val="020F0302020204030204"/>
    <w:charset w:val="CC"/>
    <w:family w:val="swiss"/>
    <w:pitch w:val="variable"/>
    <w:sig w:usb0="E4002EFF" w:usb1="C200247B" w:usb2="00000009" w:usb3="00000000" w:csb0="000001FF" w:csb1="00000000"/>
    <w:embedRegular r:id="rId7" w:fontKey="{1E9DF711-2E42-408B-A072-556329FE997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2762539"/>
      <w:docPartObj>
        <w:docPartGallery w:val="Page Numbers (Bottom of Page)"/>
        <w:docPartUnique/>
      </w:docPartObj>
    </w:sdtPr>
    <w:sdtEndPr>
      <w:rPr>
        <w:sz w:val="24"/>
        <w:szCs w:val="24"/>
      </w:rPr>
    </w:sdtEndPr>
    <w:sdtContent>
      <w:p w14:paraId="64C8E5BE" w14:textId="6C48A301" w:rsidR="0076532C" w:rsidRPr="0076532C" w:rsidRDefault="0076532C">
        <w:pPr>
          <w:pStyle w:val="af5"/>
          <w:jc w:val="center"/>
          <w:rPr>
            <w:sz w:val="24"/>
            <w:szCs w:val="24"/>
          </w:rPr>
        </w:pPr>
        <w:r w:rsidRPr="0076532C">
          <w:rPr>
            <w:sz w:val="24"/>
            <w:szCs w:val="24"/>
          </w:rPr>
          <w:fldChar w:fldCharType="begin"/>
        </w:r>
        <w:r w:rsidRPr="0076532C">
          <w:rPr>
            <w:sz w:val="24"/>
            <w:szCs w:val="24"/>
          </w:rPr>
          <w:instrText>PAGE   \* MERGEFORMAT</w:instrText>
        </w:r>
        <w:r w:rsidRPr="0076532C">
          <w:rPr>
            <w:sz w:val="24"/>
            <w:szCs w:val="24"/>
          </w:rPr>
          <w:fldChar w:fldCharType="separate"/>
        </w:r>
        <w:r w:rsidRPr="0076532C">
          <w:rPr>
            <w:sz w:val="24"/>
            <w:szCs w:val="24"/>
          </w:rPr>
          <w:t>2</w:t>
        </w:r>
        <w:r w:rsidRPr="0076532C">
          <w:rPr>
            <w:sz w:val="24"/>
            <w:szCs w:val="24"/>
          </w:rPr>
          <w:fldChar w:fldCharType="end"/>
        </w:r>
      </w:p>
    </w:sdtContent>
  </w:sdt>
  <w:p w14:paraId="0E39AE5E" w14:textId="77777777" w:rsidR="0076532C" w:rsidRDefault="0076532C">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D23A71" w14:textId="77777777" w:rsidR="00865A19" w:rsidRDefault="00865A19" w:rsidP="0076532C">
      <w:pPr>
        <w:spacing w:after="0"/>
      </w:pPr>
      <w:r>
        <w:separator/>
      </w:r>
    </w:p>
  </w:footnote>
  <w:footnote w:type="continuationSeparator" w:id="0">
    <w:p w14:paraId="6487318C" w14:textId="77777777" w:rsidR="00865A19" w:rsidRDefault="00865A19" w:rsidP="0076532C">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6A94EAB"/>
    <w:multiLevelType w:val="multilevel"/>
    <w:tmpl w:val="5C86FC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140055C"/>
    <w:multiLevelType w:val="multilevel"/>
    <w:tmpl w:val="96666D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4824B49"/>
    <w:multiLevelType w:val="multilevel"/>
    <w:tmpl w:val="DBAE63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F48"/>
    <w:rsid w:val="001D3C0A"/>
    <w:rsid w:val="002730C8"/>
    <w:rsid w:val="002C764A"/>
    <w:rsid w:val="00322926"/>
    <w:rsid w:val="00416FD8"/>
    <w:rsid w:val="004A4A37"/>
    <w:rsid w:val="00686F48"/>
    <w:rsid w:val="0076532C"/>
    <w:rsid w:val="00782699"/>
    <w:rsid w:val="00865A19"/>
    <w:rsid w:val="00865C97"/>
    <w:rsid w:val="008F558B"/>
    <w:rsid w:val="00BC15DB"/>
    <w:rsid w:val="00CC0D35"/>
    <w:rsid w:val="00CC18B9"/>
    <w:rsid w:val="00D26E5C"/>
    <w:rsid w:val="00EA3B42"/>
    <w:rsid w:val="00F45844"/>
    <w:rsid w:val="00FE16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3F970"/>
  <w15:docId w15:val="{DB85AC5C-CF71-4D1F-A944-A394118AF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uk-UA" w:eastAsia="uk-UA" w:bidi="ar-SA"/>
      </w:rPr>
    </w:rPrDefault>
    <w:pPrDefault>
      <w:pPr>
        <w:spacing w:after="160"/>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7CDB"/>
    <w:pPr>
      <w:contextualSpacing/>
    </w:p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a4">
    <w:name w:val="Placeholder Text"/>
    <w:basedOn w:val="a0"/>
    <w:uiPriority w:val="99"/>
    <w:semiHidden/>
    <w:rsid w:val="004A1BF0"/>
    <w:rPr>
      <w:color w:val="808080"/>
    </w:rPr>
  </w:style>
  <w:style w:type="paragraph" w:styleId="a5">
    <w:name w:val="caption"/>
    <w:basedOn w:val="a"/>
    <w:next w:val="a"/>
    <w:uiPriority w:val="35"/>
    <w:unhideWhenUsed/>
    <w:qFormat/>
    <w:rsid w:val="00CA086D"/>
    <w:pPr>
      <w:spacing w:after="200"/>
      <w:ind w:firstLine="426"/>
      <w:contextualSpacing w:val="0"/>
    </w:pPr>
    <w:rPr>
      <w:i/>
      <w:iCs/>
      <w:color w:val="44546A" w:themeColor="text2"/>
      <w:sz w:val="18"/>
      <w:szCs w:val="18"/>
    </w:rPr>
  </w:style>
  <w:style w:type="paragraph" w:styleId="a6">
    <w:name w:val="Bibliography"/>
    <w:basedOn w:val="a"/>
    <w:next w:val="a"/>
    <w:uiPriority w:val="37"/>
    <w:unhideWhenUsed/>
    <w:rsid w:val="001272E9"/>
    <w:pPr>
      <w:tabs>
        <w:tab w:val="left" w:pos="384"/>
      </w:tabs>
      <w:spacing w:after="0"/>
      <w:ind w:left="384" w:hanging="384"/>
    </w:pPr>
  </w:style>
  <w:style w:type="paragraph" w:styleId="a7">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top w:w="100" w:type="dxa"/>
        <w:left w:w="100" w:type="dxa"/>
        <w:bottom w:w="100" w:type="dxa"/>
        <w:right w:w="100" w:type="dxa"/>
      </w:tblCellMar>
    </w:tbl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paragraph" w:styleId="af0">
    <w:name w:val="Balloon Text"/>
    <w:basedOn w:val="a"/>
    <w:link w:val="af1"/>
    <w:uiPriority w:val="99"/>
    <w:semiHidden/>
    <w:unhideWhenUsed/>
    <w:rsid w:val="00FE1632"/>
    <w:pPr>
      <w:spacing w:after="0"/>
    </w:pPr>
    <w:rPr>
      <w:rFonts w:ascii="Tahoma" w:hAnsi="Tahoma" w:cs="Tahoma"/>
      <w:sz w:val="16"/>
      <w:szCs w:val="16"/>
    </w:rPr>
  </w:style>
  <w:style w:type="character" w:customStyle="1" w:styleId="af1">
    <w:name w:val="Текст у виносці Знак"/>
    <w:basedOn w:val="a0"/>
    <w:link w:val="af0"/>
    <w:uiPriority w:val="99"/>
    <w:semiHidden/>
    <w:rsid w:val="00FE1632"/>
    <w:rPr>
      <w:rFonts w:ascii="Tahoma" w:hAnsi="Tahoma" w:cs="Tahoma"/>
      <w:sz w:val="16"/>
      <w:szCs w:val="16"/>
    </w:rPr>
  </w:style>
  <w:style w:type="table" w:styleId="af2">
    <w:name w:val="Table Grid"/>
    <w:basedOn w:val="a1"/>
    <w:uiPriority w:val="59"/>
    <w:rsid w:val="008F558B"/>
    <w:pPr>
      <w:spacing w:after="0"/>
      <w:ind w:firstLine="0"/>
      <w:jc w:val="left"/>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header"/>
    <w:basedOn w:val="a"/>
    <w:link w:val="af4"/>
    <w:uiPriority w:val="99"/>
    <w:unhideWhenUsed/>
    <w:rsid w:val="0076532C"/>
    <w:pPr>
      <w:tabs>
        <w:tab w:val="center" w:pos="4819"/>
        <w:tab w:val="right" w:pos="9639"/>
      </w:tabs>
      <w:spacing w:after="0"/>
    </w:pPr>
  </w:style>
  <w:style w:type="character" w:customStyle="1" w:styleId="af4">
    <w:name w:val="Верхній колонтитул Знак"/>
    <w:basedOn w:val="a0"/>
    <w:link w:val="af3"/>
    <w:uiPriority w:val="99"/>
    <w:rsid w:val="0076532C"/>
  </w:style>
  <w:style w:type="paragraph" w:styleId="af5">
    <w:name w:val="footer"/>
    <w:basedOn w:val="a"/>
    <w:link w:val="af6"/>
    <w:uiPriority w:val="99"/>
    <w:unhideWhenUsed/>
    <w:rsid w:val="0076532C"/>
    <w:pPr>
      <w:tabs>
        <w:tab w:val="center" w:pos="4819"/>
        <w:tab w:val="right" w:pos="9639"/>
      </w:tabs>
      <w:spacing w:after="0"/>
    </w:pPr>
  </w:style>
  <w:style w:type="character" w:customStyle="1" w:styleId="af6">
    <w:name w:val="Нижній колонтитул Знак"/>
    <w:basedOn w:val="a0"/>
    <w:link w:val="af5"/>
    <w:uiPriority w:val="99"/>
    <w:rsid w:val="007653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73/pnas.132004111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80/01621459.1993.1059432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080/03610926.2022.20596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jclinepi.2021.01.006" TargetMode="External"/><Relationship Id="rId5" Type="http://schemas.openxmlformats.org/officeDocument/2006/relationships/webSettings" Target="webSettings.xml"/><Relationship Id="rId15" Type="http://schemas.openxmlformats.org/officeDocument/2006/relationships/hyperlink" Target="https://doi.org/10.32614/rj-2021-041" TargetMode="External"/><Relationship Id="rId10" Type="http://schemas.openxmlformats.org/officeDocument/2006/relationships/hyperlink" Target="https://doi.org/10.1038/srep04856"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371/journal.pone.0069162" TargetMode="External"/><Relationship Id="rId14" Type="http://schemas.openxmlformats.org/officeDocument/2006/relationships/hyperlink" Target="https://doi.org/10.1007/978-1-4939-9828-9_2"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ZqEjEcxqTWF/93gTMZXtQgpaSQ==">CgMxLjAaHwoBMBIaChgICVIUChJ0YWJsZS5rZG80ems5dGZsYTEaHwoBMRIaChgICVIUChJ0YWJsZS5lZzgyd3Z5NGMxN3oaHwoBMhIaChgICVIUChJ0YWJsZS5vb3RqbDA4djc1NG8yCGguZ2pkZ3hzOAByITEtR0I3X3R4WmI4ZWd6dmtOdzRTZV95M0JMOGxiU1hsVg==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6265</Words>
  <Characters>3572</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Shulika Sasha</dc:creator>
  <cp:lastModifiedBy>Lubov Drozdenko</cp:lastModifiedBy>
  <cp:revision>3</cp:revision>
  <dcterms:created xsi:type="dcterms:W3CDTF">2024-11-15T10:06:00Z</dcterms:created>
  <dcterms:modified xsi:type="dcterms:W3CDTF">2024-11-30T14:09:00Z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id="es90dzbn"/&gt;&lt;style id="http://www.zotero.org/styles/ieee" locale="en-GB" hasBibliography="1" bibliographyStyleHasBeenSet="1"/&gt;&lt;prefs&gt;&lt;pref name="fieldType" value="Field"/&gt;&lt;/prefs&gt;&lt;/data&gt;</vt:lpwstr>
  </property>
</Properties>
</file>