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theme/themeOverride4.xml" ContentType="application/vnd.openxmlformats-officedocument.themeOverride+xml"/>
  <Override PartName="/word/theme/themeOverride2.xml" ContentType="application/vnd.openxmlformats-officedocument.themeOverride+xml"/>
  <Override PartName="/word/theme/themeOverride3.xml" ContentType="application/vnd.openxmlformats-officedocument.themeOverride+xml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64E8" w:rsidRPr="000275C2" w:rsidRDefault="00CA64E8" w:rsidP="00CA64E8">
      <w:pPr>
        <w:pStyle w:val="3"/>
        <w:spacing w:before="0" w:line="240" w:lineRule="auto"/>
        <w:jc w:val="center"/>
        <w:rPr>
          <w:rFonts w:ascii="Verdana" w:hAnsi="Verdana"/>
          <w:color w:val="auto"/>
          <w:sz w:val="24"/>
          <w:szCs w:val="24"/>
          <w:lang w:val="ru-RU"/>
        </w:rPr>
      </w:pPr>
      <w:bookmarkStart w:id="0" w:name="_Toc352106219"/>
      <w:r w:rsidRPr="00CA64E8">
        <w:rPr>
          <w:rFonts w:ascii="Verdana" w:hAnsi="Verdana"/>
          <w:color w:val="auto"/>
          <w:sz w:val="24"/>
          <w:szCs w:val="24"/>
          <w:lang w:val="ru-RU"/>
        </w:rPr>
        <w:t>Потенційні загрози вразливостей програмного забезпечення</w:t>
      </w:r>
      <w:bookmarkEnd w:id="0"/>
    </w:p>
    <w:p w:rsidR="00CA64E8" w:rsidRPr="000275C2" w:rsidRDefault="00CA64E8" w:rsidP="00CA64E8">
      <w:pPr>
        <w:pStyle w:val="3"/>
        <w:spacing w:before="0" w:line="240" w:lineRule="auto"/>
        <w:jc w:val="center"/>
        <w:rPr>
          <w:rFonts w:ascii="Verdana" w:hAnsi="Verdana"/>
          <w:b w:val="0"/>
          <w:color w:val="auto"/>
          <w:lang w:val="ru-RU"/>
        </w:rPr>
      </w:pPr>
      <w:bookmarkStart w:id="1" w:name="_Toc352106220"/>
      <w:r w:rsidRPr="00CA64E8">
        <w:rPr>
          <w:rFonts w:ascii="Verdana" w:hAnsi="Verdana"/>
          <w:b w:val="0"/>
          <w:color w:val="auto"/>
          <w:lang w:val="ru-RU"/>
        </w:rPr>
        <w:t>Луговець В.В.</w:t>
      </w:r>
      <w:bookmarkEnd w:id="1"/>
    </w:p>
    <w:p w:rsidR="00CA64E8" w:rsidRPr="000275C2" w:rsidRDefault="00CA64E8" w:rsidP="00CA64E8">
      <w:pPr>
        <w:spacing w:after="0" w:line="240" w:lineRule="auto"/>
        <w:contextualSpacing/>
        <w:jc w:val="center"/>
        <w:rPr>
          <w:rFonts w:ascii="Verdana" w:hAnsi="Verdana"/>
          <w:b/>
          <w:lang w:val="ru-RU"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CA64E8" w:rsidRPr="000275C2" w:rsidRDefault="00CA64E8" w:rsidP="00CA64E8">
      <w:pPr>
        <w:spacing w:after="0" w:line="240" w:lineRule="auto"/>
        <w:contextualSpacing/>
        <w:jc w:val="center"/>
        <w:rPr>
          <w:rFonts w:ascii="Verdana" w:hAnsi="Verdana"/>
          <w:i/>
          <w:szCs w:val="18"/>
        </w:rPr>
      </w:pPr>
      <w:r w:rsidRPr="000275C2">
        <w:rPr>
          <w:rFonts w:ascii="Verdana" w:hAnsi="Verdana"/>
          <w:i/>
          <w:szCs w:val="18"/>
          <w:lang w:val="en-US"/>
        </w:rPr>
        <w:t>E</w:t>
      </w:r>
      <w:r w:rsidRPr="000275C2">
        <w:rPr>
          <w:rFonts w:ascii="Verdana" w:hAnsi="Verdana"/>
          <w:i/>
          <w:szCs w:val="18"/>
          <w:lang w:val="ru-RU"/>
        </w:rPr>
        <w:t>-</w:t>
      </w:r>
      <w:r w:rsidRPr="000275C2">
        <w:rPr>
          <w:rFonts w:ascii="Verdana" w:hAnsi="Verdana"/>
          <w:i/>
          <w:szCs w:val="18"/>
          <w:lang w:val="en-US"/>
        </w:rPr>
        <w:t>mail</w:t>
      </w:r>
      <w:r w:rsidRPr="000275C2">
        <w:rPr>
          <w:rFonts w:ascii="Verdana" w:hAnsi="Verdana"/>
          <w:i/>
          <w:szCs w:val="18"/>
          <w:lang w:val="ru-RU"/>
        </w:rPr>
        <w:t xml:space="preserve">: </w:t>
      </w:r>
      <w:hyperlink r:id="rId7" w:history="1">
        <w:r w:rsidRPr="000275C2">
          <w:rPr>
            <w:rStyle w:val="af4"/>
            <w:rFonts w:ascii="Verdana" w:hAnsi="Verdana"/>
            <w:i/>
            <w:color w:val="auto"/>
            <w:szCs w:val="18"/>
            <w:lang w:val="en-US"/>
          </w:rPr>
          <w:t>vitaliylugovets</w:t>
        </w:r>
        <w:r w:rsidRPr="000275C2">
          <w:rPr>
            <w:rStyle w:val="af4"/>
            <w:rFonts w:ascii="Verdana" w:hAnsi="Verdana"/>
            <w:i/>
            <w:color w:val="auto"/>
            <w:szCs w:val="18"/>
          </w:rPr>
          <w:t>@</w:t>
        </w:r>
        <w:r w:rsidRPr="000275C2">
          <w:rPr>
            <w:rStyle w:val="af4"/>
            <w:rFonts w:ascii="Verdana" w:hAnsi="Verdana"/>
            <w:i/>
            <w:color w:val="auto"/>
            <w:szCs w:val="18"/>
            <w:lang w:val="en-US"/>
          </w:rPr>
          <w:t>gmail</w:t>
        </w:r>
        <w:r w:rsidRPr="000275C2">
          <w:rPr>
            <w:rStyle w:val="af4"/>
            <w:rFonts w:ascii="Verdana" w:hAnsi="Verdana"/>
            <w:i/>
            <w:color w:val="auto"/>
            <w:szCs w:val="18"/>
          </w:rPr>
          <w:t>.</w:t>
        </w:r>
        <w:r w:rsidRPr="000275C2">
          <w:rPr>
            <w:rStyle w:val="af4"/>
            <w:rFonts w:ascii="Verdana" w:hAnsi="Verdana"/>
            <w:i/>
            <w:color w:val="auto"/>
            <w:szCs w:val="18"/>
            <w:lang w:val="en-US"/>
          </w:rPr>
          <w:t>com</w:t>
        </w:r>
      </w:hyperlink>
    </w:p>
    <w:p w:rsidR="00CA64E8" w:rsidRPr="000275C2" w:rsidRDefault="00CA64E8" w:rsidP="00CA64E8">
      <w:pPr>
        <w:spacing w:after="0" w:line="240" w:lineRule="auto"/>
        <w:jc w:val="center"/>
        <w:rPr>
          <w:rFonts w:ascii="Verdana" w:hAnsi="Verdana"/>
          <w:lang w:val="ru-RU"/>
        </w:rPr>
      </w:pPr>
      <w:r w:rsidRPr="000275C2">
        <w:rPr>
          <w:rFonts w:ascii="Verdana" w:hAnsi="Verdana"/>
        </w:rPr>
        <w:t>Науковий керівник: к.т.н., доц. Гальчинський Л.Ю.</w:t>
      </w:r>
    </w:p>
    <w:p w:rsidR="00CA64E8" w:rsidRPr="000275C2" w:rsidRDefault="00CA64E8" w:rsidP="00CA64E8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Стрімкий розвиток інформаційних технологій дозволяє робити програмні продукти доступнішими та зручнішими, а їх правильне використання часто призводить до значної економії фінансових та трудових ресурсів компанії. Завдяки своєму унікальному функціоналу та характеристикам використання програмного забезпечення є скоріше необхідністю, ніж конкурентною перевагою, до того ж недешевою. У зв’язку з цим керівництво багатьох компаній нерідко нехтує безпекою своїх даних та стабільністю бізнес-процесів, використовуючи неліцензійне («піратське») програмне забезпечення або приділяючи недостатньо уваги встановленню оновлень до операційних систем та прикладних програм.</w:t>
      </w:r>
    </w:p>
    <w:p w:rsidR="00CA64E8" w:rsidRPr="000275C2" w:rsidRDefault="00CA64E8" w:rsidP="00CA64E8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Щоб зрозуміти загрозу, що криється за таким підходом управління, компанією Sourcefire було проведено дослідження [1], під час якого проаналізовано тенденції розповсюдження вразливостей у програмних продуктах за останні 25 років. </w:t>
      </w:r>
    </w:p>
    <w:p w:rsidR="00CA64E8" w:rsidRPr="000275C2" w:rsidRDefault="00CA64E8" w:rsidP="00CA64E8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На основі даних про кількість критичних вразливостей в програмному забезпеченні та їх розповсюдженість серед користувачів в цілому (для прикладу – операційних систем десктопних та мобільних комп’ютерів [2]), то отримаємо наступні результати (Див. Рис.1-4).</w:t>
      </w:r>
    </w:p>
    <w:p w:rsidR="00CA64E8" w:rsidRPr="000275C2" w:rsidRDefault="00CA64E8" w:rsidP="00CA64E8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 </w:t>
      </w:r>
    </w:p>
    <w:p w:rsidR="00CA64E8" w:rsidRPr="000275C2" w:rsidRDefault="00CA64E8" w:rsidP="00CA64E8">
      <w:pPr>
        <w:spacing w:after="0" w:line="240" w:lineRule="auto"/>
        <w:contextualSpacing/>
        <w:jc w:val="both"/>
        <w:rPr>
          <w:rFonts w:ascii="Verdana" w:hAnsi="Verdana"/>
          <w:sz w:val="18"/>
          <w:szCs w:val="18"/>
        </w:rPr>
      </w:pPr>
      <w:r>
        <w:rPr>
          <w:noProof/>
          <w:lang w:val="ru-RU" w:eastAsia="ru-RU"/>
        </w:rPr>
        <w:drawing>
          <wp:inline distT="0" distB="0" distL="0" distR="0">
            <wp:extent cx="2856223" cy="2150755"/>
            <wp:effectExtent l="6100" t="6091" r="4702" b="5329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Pr="000275C2">
        <w:rPr>
          <w:rFonts w:ascii="Verdana" w:hAnsi="Verdana"/>
          <w:sz w:val="18"/>
          <w:szCs w:val="18"/>
        </w:rPr>
        <w:t xml:space="preserve"> </w:t>
      </w:r>
      <w:r>
        <w:rPr>
          <w:noProof/>
          <w:lang w:val="ru-RU" w:eastAsia="ru-RU"/>
        </w:rPr>
        <w:drawing>
          <wp:inline distT="0" distB="0" distL="0" distR="0">
            <wp:extent cx="3004813" cy="2150755"/>
            <wp:effectExtent l="6099" t="6091" r="8513" b="5329"/>
            <wp:docPr id="2" name="Диаграмма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CA64E8" w:rsidRPr="000275C2" w:rsidRDefault="00CA64E8" w:rsidP="00CA64E8">
      <w:pPr>
        <w:spacing w:after="0" w:line="240" w:lineRule="auto"/>
        <w:contextualSpacing/>
        <w:jc w:val="both"/>
        <w:rPr>
          <w:rFonts w:ascii="Verdana" w:hAnsi="Verdana"/>
          <w:sz w:val="18"/>
          <w:szCs w:val="18"/>
        </w:rPr>
      </w:pPr>
      <w:r>
        <w:rPr>
          <w:noProof/>
          <w:lang w:val="ru-RU" w:eastAsia="ru-RU"/>
        </w:rPr>
        <w:drawing>
          <wp:inline distT="0" distB="0" distL="0" distR="0">
            <wp:extent cx="2848360" cy="2160800"/>
            <wp:effectExtent l="6093" t="6084" r="3047" b="4816"/>
            <wp:docPr id="3" name="Диаграмма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Pr="000275C2">
        <w:rPr>
          <w:rFonts w:ascii="Verdana" w:hAnsi="Verdana"/>
          <w:sz w:val="18"/>
          <w:szCs w:val="18"/>
        </w:rPr>
        <w:t xml:space="preserve"> </w:t>
      </w:r>
      <w:r>
        <w:rPr>
          <w:noProof/>
          <w:lang w:val="ru-RU" w:eastAsia="ru-RU"/>
        </w:rPr>
        <w:drawing>
          <wp:inline distT="0" distB="0" distL="0" distR="0">
            <wp:extent cx="3004813" cy="2150755"/>
            <wp:effectExtent l="6099" t="6091" r="8513" b="5329"/>
            <wp:docPr id="4" name="Диаграмма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CA64E8" w:rsidRPr="000275C2" w:rsidRDefault="00CA64E8" w:rsidP="00CA64E8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Нові версії програмного забезпечення містять менше вразливостей, а значить є більш захищеними і менше загрожують стати причиною витоку даних чи збою роботи систем. </w:t>
      </w:r>
    </w:p>
    <w:p w:rsidR="00CA64E8" w:rsidRPr="000275C2" w:rsidRDefault="00CA64E8" w:rsidP="00CA64E8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Власники ОС </w:t>
      </w:r>
      <w:r w:rsidRPr="000275C2">
        <w:rPr>
          <w:rFonts w:ascii="Verdana" w:hAnsi="Verdana"/>
          <w:sz w:val="18"/>
          <w:szCs w:val="18"/>
          <w:lang w:val="en-US"/>
        </w:rPr>
        <w:t>Windows</w:t>
      </w:r>
      <w:r w:rsidRPr="000275C2">
        <w:rPr>
          <w:rFonts w:ascii="Verdana" w:hAnsi="Verdana"/>
          <w:sz w:val="18"/>
          <w:szCs w:val="18"/>
        </w:rPr>
        <w:t xml:space="preserve"> ХР мають бути готові до переходу на більш нові версії ОС через значний ризик використання ПЗ з великою кількістю вразливостей. Стратегічним кроком до вирішення даної ситуації з боку </w:t>
      </w:r>
      <w:r w:rsidRPr="000275C2">
        <w:rPr>
          <w:rFonts w:ascii="Verdana" w:hAnsi="Verdana"/>
          <w:sz w:val="18"/>
          <w:szCs w:val="18"/>
          <w:lang w:val="en-US"/>
        </w:rPr>
        <w:t>Microsoft</w:t>
      </w:r>
      <w:r w:rsidRPr="000275C2">
        <w:rPr>
          <w:rFonts w:ascii="Verdana" w:hAnsi="Verdana"/>
          <w:sz w:val="18"/>
          <w:szCs w:val="18"/>
        </w:rPr>
        <w:t xml:space="preserve"> стало припинення офіційної підтримки даної ОС. </w:t>
      </w:r>
    </w:p>
    <w:p w:rsidR="00CA64E8" w:rsidRPr="000275C2" w:rsidRDefault="00CA64E8" w:rsidP="00CA64E8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ОС </w:t>
      </w:r>
      <w:r w:rsidRPr="000275C2">
        <w:rPr>
          <w:rFonts w:ascii="Verdana" w:hAnsi="Verdana"/>
          <w:sz w:val="18"/>
          <w:szCs w:val="18"/>
          <w:lang w:val="en-US"/>
        </w:rPr>
        <w:t>Linux</w:t>
      </w:r>
      <w:r w:rsidRPr="000275C2">
        <w:rPr>
          <w:rFonts w:ascii="Verdana" w:hAnsi="Verdana"/>
          <w:sz w:val="18"/>
          <w:szCs w:val="18"/>
        </w:rPr>
        <w:t xml:space="preserve"> є більш безпечною з точки зору кількості вразливостей коду, проте доволі специфічною і мало розповсюдженою.</w:t>
      </w:r>
    </w:p>
    <w:p w:rsidR="00CA64E8" w:rsidRPr="000275C2" w:rsidRDefault="00CA64E8" w:rsidP="00CA64E8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Власники </w:t>
      </w:r>
      <w:r w:rsidRPr="000275C2">
        <w:rPr>
          <w:rFonts w:ascii="Verdana" w:hAnsi="Verdana"/>
          <w:sz w:val="18"/>
          <w:szCs w:val="18"/>
          <w:lang w:val="en-US"/>
        </w:rPr>
        <w:t>iPhone</w:t>
      </w:r>
      <w:r w:rsidRPr="000275C2">
        <w:rPr>
          <w:rFonts w:ascii="Verdana" w:hAnsi="Verdana"/>
          <w:sz w:val="18"/>
          <w:szCs w:val="18"/>
        </w:rPr>
        <w:t xml:space="preserve"> більше ризикую своїми даними у порівнянні з власниками інших мобільних ОС і </w:t>
      </w:r>
      <w:r w:rsidRPr="000275C2">
        <w:rPr>
          <w:rFonts w:ascii="Verdana" w:hAnsi="Verdana"/>
          <w:sz w:val="18"/>
          <w:szCs w:val="18"/>
          <w:lang w:val="en-US"/>
        </w:rPr>
        <w:t>Apple</w:t>
      </w:r>
      <w:r w:rsidRPr="000275C2">
        <w:rPr>
          <w:rFonts w:ascii="Verdana" w:hAnsi="Verdana"/>
          <w:sz w:val="18"/>
          <w:szCs w:val="18"/>
        </w:rPr>
        <w:t xml:space="preserve"> має докладати більше зусиль аби усунути виявлені вразливості.</w:t>
      </w:r>
    </w:p>
    <w:p w:rsidR="00CA64E8" w:rsidRPr="000275C2" w:rsidRDefault="00CA64E8" w:rsidP="00CA64E8">
      <w:pPr>
        <w:spacing w:after="0" w:line="240" w:lineRule="auto"/>
        <w:ind w:firstLine="567"/>
        <w:contextualSpacing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літератури</w:t>
      </w:r>
    </w:p>
    <w:p w:rsidR="00CA64E8" w:rsidRPr="000275C2" w:rsidRDefault="00CA64E8" w:rsidP="00CA64E8">
      <w:pPr>
        <w:pStyle w:val="ab"/>
        <w:numPr>
          <w:ilvl w:val="0"/>
          <w:numId w:val="19"/>
        </w:numPr>
        <w:spacing w:after="0" w:line="240" w:lineRule="auto"/>
        <w:ind w:left="0" w:firstLine="284"/>
        <w:rPr>
          <w:rFonts w:ascii="Verdana" w:hAnsi="Verdana"/>
          <w:sz w:val="16"/>
          <w:szCs w:val="16"/>
          <w:lang w:val="uk-UA"/>
        </w:rPr>
      </w:pPr>
      <w:r w:rsidRPr="000275C2">
        <w:rPr>
          <w:rFonts w:ascii="Verdana" w:hAnsi="Verdana"/>
          <w:sz w:val="16"/>
          <w:szCs w:val="16"/>
          <w:lang w:val="uk-UA"/>
        </w:rPr>
        <w:t>25 Years of Vulnerabilities: 1988-2012 (</w:t>
      </w:r>
      <w:hyperlink r:id="rId12" w:history="1">
        <w:r w:rsidRPr="000275C2">
          <w:rPr>
            <w:rStyle w:val="af4"/>
            <w:rFonts w:ascii="Verdana" w:hAnsi="Verdana"/>
            <w:color w:val="auto"/>
            <w:sz w:val="16"/>
            <w:szCs w:val="16"/>
          </w:rPr>
          <w:t>https://ae.rsaconference.com/US13/connect/fileDownload/session/6981E2280C59E2E5DABB93D4BFD921C4/BR-F41.pdf</w:t>
        </w:r>
      </w:hyperlink>
      <w:r w:rsidRPr="000275C2">
        <w:rPr>
          <w:rFonts w:ascii="Verdana" w:hAnsi="Verdana"/>
          <w:sz w:val="16"/>
          <w:szCs w:val="16"/>
          <w:lang w:val="uk-UA"/>
        </w:rPr>
        <w:t xml:space="preserve"> )</w:t>
      </w:r>
    </w:p>
    <w:p w:rsidR="00CA64E8" w:rsidRPr="000275C2" w:rsidRDefault="00CA64E8" w:rsidP="00CA64E8">
      <w:pPr>
        <w:pStyle w:val="ab"/>
        <w:numPr>
          <w:ilvl w:val="0"/>
          <w:numId w:val="19"/>
        </w:numPr>
        <w:spacing w:after="0" w:line="240" w:lineRule="auto"/>
        <w:ind w:left="0" w:firstLine="284"/>
        <w:rPr>
          <w:rFonts w:ascii="Verdana" w:hAnsi="Verdana"/>
          <w:sz w:val="16"/>
          <w:szCs w:val="16"/>
          <w:lang w:val="uk-UA"/>
        </w:rPr>
      </w:pPr>
      <w:hyperlink r:id="rId13" w:history="1">
        <w:r w:rsidRPr="000275C2">
          <w:rPr>
            <w:rStyle w:val="af4"/>
            <w:rFonts w:ascii="Verdana" w:hAnsi="Verdana"/>
            <w:color w:val="auto"/>
            <w:sz w:val="16"/>
            <w:szCs w:val="16"/>
          </w:rPr>
          <w:t>http://www.netmarketshare.com</w:t>
        </w:r>
      </w:hyperlink>
      <w:r w:rsidRPr="000275C2">
        <w:rPr>
          <w:rFonts w:ascii="Verdana" w:hAnsi="Verdana"/>
          <w:sz w:val="16"/>
          <w:szCs w:val="16"/>
          <w:lang w:val="uk-UA"/>
        </w:rPr>
        <w:t xml:space="preserve"> 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right="-1" w:firstLine="284"/>
        <w:jc w:val="both"/>
        <w:rPr>
          <w:rFonts w:ascii="Verdana" w:hAnsi="Verdana"/>
          <w:sz w:val="18"/>
          <w:szCs w:val="18"/>
        </w:rPr>
      </w:pPr>
    </w:p>
    <w:p w:rsidR="00F91554" w:rsidRPr="00B50F3E" w:rsidRDefault="00F91554" w:rsidP="00B50F3E"/>
    <w:sectPr w:rsidR="00F91554" w:rsidRPr="00B50F3E" w:rsidSect="00987B23">
      <w:footerReference w:type="default" r:id="rId14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725A" w:rsidRDefault="000A725A" w:rsidP="00842066">
      <w:pPr>
        <w:spacing w:after="0" w:line="240" w:lineRule="auto"/>
      </w:pPr>
      <w:r>
        <w:separator/>
      </w:r>
    </w:p>
  </w:endnote>
  <w:endnote w:type="continuationSeparator" w:id="1">
    <w:p w:rsidR="000A725A" w:rsidRDefault="000A725A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FavoritLightC">
    <w:altName w:val="FavoritLightC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CA64E8">
        <w:pPr>
          <w:pStyle w:val="af7"/>
        </w:pPr>
        <w:r>
          <w:t>144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725A" w:rsidRDefault="000A725A" w:rsidP="00842066">
      <w:pPr>
        <w:spacing w:after="0" w:line="240" w:lineRule="auto"/>
      </w:pPr>
      <w:r>
        <w:separator/>
      </w:r>
    </w:p>
  </w:footnote>
  <w:footnote w:type="continuationSeparator" w:id="1">
    <w:p w:rsidR="000A725A" w:rsidRDefault="000A725A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958C1"/>
    <w:multiLevelType w:val="hybridMultilevel"/>
    <w:tmpl w:val="D046C8BE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">
    <w:nsid w:val="0EA9112A"/>
    <w:multiLevelType w:val="hybridMultilevel"/>
    <w:tmpl w:val="4F4EB4CE"/>
    <w:lvl w:ilvl="0" w:tplc="0419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2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4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6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8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0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2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4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68" w:hanging="360"/>
      </w:pPr>
      <w:rPr>
        <w:rFonts w:ascii="Wingdings" w:hAnsi="Wingdings" w:hint="default"/>
      </w:rPr>
    </w:lvl>
  </w:abstractNum>
  <w:abstractNum w:abstractNumId="2">
    <w:nsid w:val="12EE76C6"/>
    <w:multiLevelType w:val="hybridMultilevel"/>
    <w:tmpl w:val="AFEC67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1A1B25BB"/>
    <w:multiLevelType w:val="hybridMultilevel"/>
    <w:tmpl w:val="83BA10B8"/>
    <w:lvl w:ilvl="0" w:tplc="0422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4">
    <w:nsid w:val="1ED33C35"/>
    <w:multiLevelType w:val="hybridMultilevel"/>
    <w:tmpl w:val="014AED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A35459"/>
    <w:multiLevelType w:val="hybridMultilevel"/>
    <w:tmpl w:val="74229BCC"/>
    <w:lvl w:ilvl="0" w:tplc="8528B9F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3202C46"/>
    <w:multiLevelType w:val="hybridMultilevel"/>
    <w:tmpl w:val="4470FC5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9D3AE3"/>
    <w:multiLevelType w:val="hybridMultilevel"/>
    <w:tmpl w:val="C9766180"/>
    <w:lvl w:ilvl="0" w:tplc="8DC64F32">
      <w:start w:val="1"/>
      <w:numFmt w:val="decimal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8">
    <w:nsid w:val="273669D2"/>
    <w:multiLevelType w:val="hybridMultilevel"/>
    <w:tmpl w:val="AC108D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B17D7E"/>
    <w:multiLevelType w:val="hybridMultilevel"/>
    <w:tmpl w:val="51161F12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3DA06191"/>
    <w:multiLevelType w:val="hybridMultilevel"/>
    <w:tmpl w:val="532C34F2"/>
    <w:lvl w:ilvl="0" w:tplc="A6BACF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3A72859"/>
    <w:multiLevelType w:val="hybridMultilevel"/>
    <w:tmpl w:val="69BE116E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36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CE73C5"/>
    <w:multiLevelType w:val="hybridMultilevel"/>
    <w:tmpl w:val="A8847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6E13A5E"/>
    <w:multiLevelType w:val="hybridMultilevel"/>
    <w:tmpl w:val="F312934A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>
    <w:nsid w:val="58950D5C"/>
    <w:multiLevelType w:val="hybridMultilevel"/>
    <w:tmpl w:val="05CE29B8"/>
    <w:lvl w:ilvl="0" w:tplc="A0D47E4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Courier New" w:hint="default"/>
        <w:color w:val="000000"/>
        <w:sz w:val="20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5">
    <w:nsid w:val="5D5A05F9"/>
    <w:multiLevelType w:val="hybridMultilevel"/>
    <w:tmpl w:val="F7E48B02"/>
    <w:lvl w:ilvl="0" w:tplc="5CE2C26E">
      <w:start w:val="1"/>
      <w:numFmt w:val="decimal"/>
      <w:lvlText w:val="%1."/>
      <w:lvlJc w:val="left"/>
      <w:pPr>
        <w:ind w:left="1426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46" w:hanging="360"/>
      </w:pPr>
    </w:lvl>
    <w:lvl w:ilvl="2" w:tplc="0409001B" w:tentative="1">
      <w:start w:val="1"/>
      <w:numFmt w:val="lowerRoman"/>
      <w:lvlText w:val="%3."/>
      <w:lvlJc w:val="right"/>
      <w:pPr>
        <w:ind w:left="2866" w:hanging="180"/>
      </w:pPr>
    </w:lvl>
    <w:lvl w:ilvl="3" w:tplc="0409000F" w:tentative="1">
      <w:start w:val="1"/>
      <w:numFmt w:val="decimal"/>
      <w:lvlText w:val="%4."/>
      <w:lvlJc w:val="left"/>
      <w:pPr>
        <w:ind w:left="3586" w:hanging="360"/>
      </w:pPr>
    </w:lvl>
    <w:lvl w:ilvl="4" w:tplc="04090019" w:tentative="1">
      <w:start w:val="1"/>
      <w:numFmt w:val="lowerLetter"/>
      <w:lvlText w:val="%5."/>
      <w:lvlJc w:val="left"/>
      <w:pPr>
        <w:ind w:left="4306" w:hanging="360"/>
      </w:pPr>
    </w:lvl>
    <w:lvl w:ilvl="5" w:tplc="0409001B" w:tentative="1">
      <w:start w:val="1"/>
      <w:numFmt w:val="lowerRoman"/>
      <w:lvlText w:val="%6."/>
      <w:lvlJc w:val="right"/>
      <w:pPr>
        <w:ind w:left="5026" w:hanging="180"/>
      </w:pPr>
    </w:lvl>
    <w:lvl w:ilvl="6" w:tplc="0409000F" w:tentative="1">
      <w:start w:val="1"/>
      <w:numFmt w:val="decimal"/>
      <w:lvlText w:val="%7."/>
      <w:lvlJc w:val="left"/>
      <w:pPr>
        <w:ind w:left="5746" w:hanging="360"/>
      </w:pPr>
    </w:lvl>
    <w:lvl w:ilvl="7" w:tplc="04090019" w:tentative="1">
      <w:start w:val="1"/>
      <w:numFmt w:val="lowerLetter"/>
      <w:lvlText w:val="%8."/>
      <w:lvlJc w:val="left"/>
      <w:pPr>
        <w:ind w:left="6466" w:hanging="360"/>
      </w:pPr>
    </w:lvl>
    <w:lvl w:ilvl="8" w:tplc="040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6">
    <w:nsid w:val="68B7103E"/>
    <w:multiLevelType w:val="hybridMultilevel"/>
    <w:tmpl w:val="B9186552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7">
    <w:nsid w:val="77054166"/>
    <w:multiLevelType w:val="hybridMultilevel"/>
    <w:tmpl w:val="2EBAE80C"/>
    <w:lvl w:ilvl="0" w:tplc="0419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8">
    <w:nsid w:val="7BAC35F2"/>
    <w:multiLevelType w:val="hybridMultilevel"/>
    <w:tmpl w:val="94FE549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3"/>
  </w:num>
  <w:num w:numId="2">
    <w:abstractNumId w:val="11"/>
  </w:num>
  <w:num w:numId="3">
    <w:abstractNumId w:val="14"/>
  </w:num>
  <w:num w:numId="4">
    <w:abstractNumId w:val="6"/>
  </w:num>
  <w:num w:numId="5">
    <w:abstractNumId w:val="8"/>
  </w:num>
  <w:num w:numId="6">
    <w:abstractNumId w:val="2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10"/>
  </w:num>
  <w:num w:numId="11">
    <w:abstractNumId w:val="4"/>
  </w:num>
  <w:num w:numId="12">
    <w:abstractNumId w:val="7"/>
  </w:num>
  <w:num w:numId="13">
    <w:abstractNumId w:val="15"/>
  </w:num>
  <w:num w:numId="14">
    <w:abstractNumId w:val="0"/>
  </w:num>
  <w:num w:numId="15">
    <w:abstractNumId w:val="16"/>
  </w:num>
  <w:num w:numId="16">
    <w:abstractNumId w:val="1"/>
  </w:num>
  <w:num w:numId="17">
    <w:abstractNumId w:val="17"/>
  </w:num>
  <w:num w:numId="18">
    <w:abstractNumId w:val="13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222F0"/>
    <w:rsid w:val="00067DDC"/>
    <w:rsid w:val="000840AC"/>
    <w:rsid w:val="0009520C"/>
    <w:rsid w:val="000A4DF5"/>
    <w:rsid w:val="000A68DB"/>
    <w:rsid w:val="000A725A"/>
    <w:rsid w:val="000B4355"/>
    <w:rsid w:val="000B59C8"/>
    <w:rsid w:val="000E0576"/>
    <w:rsid w:val="000E33ED"/>
    <w:rsid w:val="000F2AC6"/>
    <w:rsid w:val="000F5DBB"/>
    <w:rsid w:val="00105C83"/>
    <w:rsid w:val="00162A35"/>
    <w:rsid w:val="001752C1"/>
    <w:rsid w:val="001C18CD"/>
    <w:rsid w:val="001C4033"/>
    <w:rsid w:val="001E180B"/>
    <w:rsid w:val="001F6A01"/>
    <w:rsid w:val="00202F3C"/>
    <w:rsid w:val="002073DB"/>
    <w:rsid w:val="00207D46"/>
    <w:rsid w:val="00211E3C"/>
    <w:rsid w:val="002156DF"/>
    <w:rsid w:val="0022232B"/>
    <w:rsid w:val="002372C3"/>
    <w:rsid w:val="0024284B"/>
    <w:rsid w:val="00253813"/>
    <w:rsid w:val="00256C18"/>
    <w:rsid w:val="0026782E"/>
    <w:rsid w:val="002C00BE"/>
    <w:rsid w:val="002C3B8A"/>
    <w:rsid w:val="002E2CD6"/>
    <w:rsid w:val="002F1C3B"/>
    <w:rsid w:val="002F6A61"/>
    <w:rsid w:val="00300FFD"/>
    <w:rsid w:val="00336DE6"/>
    <w:rsid w:val="00343BCA"/>
    <w:rsid w:val="003465BE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951F2"/>
    <w:rsid w:val="004C3C43"/>
    <w:rsid w:val="00500F25"/>
    <w:rsid w:val="00504985"/>
    <w:rsid w:val="00506A0A"/>
    <w:rsid w:val="00512354"/>
    <w:rsid w:val="00540221"/>
    <w:rsid w:val="00544C25"/>
    <w:rsid w:val="00570DD2"/>
    <w:rsid w:val="005751C9"/>
    <w:rsid w:val="005A2078"/>
    <w:rsid w:val="005B28B6"/>
    <w:rsid w:val="005D3369"/>
    <w:rsid w:val="005D64DE"/>
    <w:rsid w:val="005D6B51"/>
    <w:rsid w:val="005E3BD6"/>
    <w:rsid w:val="00604573"/>
    <w:rsid w:val="00607A49"/>
    <w:rsid w:val="00615805"/>
    <w:rsid w:val="00651076"/>
    <w:rsid w:val="006518EC"/>
    <w:rsid w:val="006573BB"/>
    <w:rsid w:val="006A7249"/>
    <w:rsid w:val="006B27E3"/>
    <w:rsid w:val="007059D9"/>
    <w:rsid w:val="00716B2C"/>
    <w:rsid w:val="007240F2"/>
    <w:rsid w:val="00726EBB"/>
    <w:rsid w:val="00733FAA"/>
    <w:rsid w:val="007353A6"/>
    <w:rsid w:val="00745BAB"/>
    <w:rsid w:val="007723B6"/>
    <w:rsid w:val="00772807"/>
    <w:rsid w:val="00777798"/>
    <w:rsid w:val="00793DEB"/>
    <w:rsid w:val="007C4E99"/>
    <w:rsid w:val="007D721A"/>
    <w:rsid w:val="007E0948"/>
    <w:rsid w:val="007E342D"/>
    <w:rsid w:val="007E50FE"/>
    <w:rsid w:val="00800172"/>
    <w:rsid w:val="0080609A"/>
    <w:rsid w:val="00814DB4"/>
    <w:rsid w:val="00826639"/>
    <w:rsid w:val="00842066"/>
    <w:rsid w:val="00845D20"/>
    <w:rsid w:val="00884BD8"/>
    <w:rsid w:val="008A300E"/>
    <w:rsid w:val="008D5547"/>
    <w:rsid w:val="00900632"/>
    <w:rsid w:val="00923CCC"/>
    <w:rsid w:val="00925A57"/>
    <w:rsid w:val="00926C33"/>
    <w:rsid w:val="0092709B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C75FC"/>
    <w:rsid w:val="009D0EB4"/>
    <w:rsid w:val="009D2A18"/>
    <w:rsid w:val="009D434A"/>
    <w:rsid w:val="009E7F0F"/>
    <w:rsid w:val="009F51F2"/>
    <w:rsid w:val="00A1334D"/>
    <w:rsid w:val="00A15681"/>
    <w:rsid w:val="00A30455"/>
    <w:rsid w:val="00A52C1E"/>
    <w:rsid w:val="00A909B3"/>
    <w:rsid w:val="00A9671B"/>
    <w:rsid w:val="00AA3EFD"/>
    <w:rsid w:val="00AA4557"/>
    <w:rsid w:val="00AD1AD3"/>
    <w:rsid w:val="00AF21E6"/>
    <w:rsid w:val="00B078E6"/>
    <w:rsid w:val="00B1060C"/>
    <w:rsid w:val="00B10D8C"/>
    <w:rsid w:val="00B17F3E"/>
    <w:rsid w:val="00B2180B"/>
    <w:rsid w:val="00B26518"/>
    <w:rsid w:val="00B50F3E"/>
    <w:rsid w:val="00B55E76"/>
    <w:rsid w:val="00B66B59"/>
    <w:rsid w:val="00B8397E"/>
    <w:rsid w:val="00B8770B"/>
    <w:rsid w:val="00BC0205"/>
    <w:rsid w:val="00BD129B"/>
    <w:rsid w:val="00BD3A78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92FD8"/>
    <w:rsid w:val="00C97DA1"/>
    <w:rsid w:val="00CA64E8"/>
    <w:rsid w:val="00CB3F13"/>
    <w:rsid w:val="00CD017A"/>
    <w:rsid w:val="00CD3499"/>
    <w:rsid w:val="00CE2014"/>
    <w:rsid w:val="00CE2709"/>
    <w:rsid w:val="00CE4BD2"/>
    <w:rsid w:val="00CF3B92"/>
    <w:rsid w:val="00D14B36"/>
    <w:rsid w:val="00D26A99"/>
    <w:rsid w:val="00D329AE"/>
    <w:rsid w:val="00D66D06"/>
    <w:rsid w:val="00D75E2F"/>
    <w:rsid w:val="00D80ACF"/>
    <w:rsid w:val="00DA0A3C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72D5A"/>
    <w:rsid w:val="00EA15B8"/>
    <w:rsid w:val="00EE2BF5"/>
    <w:rsid w:val="00EE6C47"/>
    <w:rsid w:val="00EF2753"/>
    <w:rsid w:val="00EF6895"/>
    <w:rsid w:val="00F17A96"/>
    <w:rsid w:val="00F31707"/>
    <w:rsid w:val="00F331EF"/>
    <w:rsid w:val="00F5173E"/>
    <w:rsid w:val="00F66438"/>
    <w:rsid w:val="00F91554"/>
    <w:rsid w:val="00FA0F1F"/>
    <w:rsid w:val="00FA222E"/>
    <w:rsid w:val="00FA5990"/>
    <w:rsid w:val="00FA61BF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  <w:style w:type="character" w:customStyle="1" w:styleId="normaltextrun">
    <w:name w:val="normaltextrun"/>
    <w:basedOn w:val="a0"/>
    <w:rsid w:val="000B4355"/>
  </w:style>
  <w:style w:type="paragraph" w:customStyle="1" w:styleId="paragraph">
    <w:name w:val="paragraph"/>
    <w:basedOn w:val="a"/>
    <w:rsid w:val="00F91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eop">
    <w:name w:val="eop"/>
    <w:basedOn w:val="a0"/>
    <w:rsid w:val="00F91554"/>
  </w:style>
  <w:style w:type="character" w:customStyle="1" w:styleId="2BookAntiqua">
    <w:name w:val="Основний текст (2) + Book Antiqua"/>
    <w:aliases w:val="8 pt,Не напівжирний"/>
    <w:rsid w:val="000F2AC6"/>
    <w:rPr>
      <w:rFonts w:ascii="Book Antiqua" w:hAnsi="Book Antiqua" w:cs="Book Antiqua"/>
      <w:b/>
      <w:bCs/>
      <w:sz w:val="16"/>
      <w:szCs w:val="16"/>
      <w:shd w:val="clear" w:color="auto" w:fill="FFFFFF"/>
    </w:rPr>
  </w:style>
  <w:style w:type="character" w:customStyle="1" w:styleId="25">
    <w:name w:val="Основний текст (2)_"/>
    <w:link w:val="26"/>
    <w:rsid w:val="0024284B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26">
    <w:name w:val="Основний текст (2)"/>
    <w:basedOn w:val="a"/>
    <w:link w:val="25"/>
    <w:rsid w:val="0024284B"/>
    <w:pPr>
      <w:shd w:val="clear" w:color="auto" w:fill="FFFFFF"/>
      <w:spacing w:after="0" w:line="197" w:lineRule="exact"/>
    </w:pPr>
    <w:rPr>
      <w:rFonts w:ascii="Times New Roman" w:eastAsiaTheme="minorHAnsi" w:hAnsi="Times New Roman"/>
      <w:b/>
      <w:bCs/>
      <w:sz w:val="17"/>
      <w:szCs w:val="17"/>
      <w:lang w:val="en-US" w:bidi="en-US"/>
    </w:rPr>
  </w:style>
  <w:style w:type="character" w:customStyle="1" w:styleId="31">
    <w:name w:val="Основний текст3"/>
    <w:basedOn w:val="af9"/>
    <w:rsid w:val="0024284B"/>
  </w:style>
  <w:style w:type="character" w:customStyle="1" w:styleId="27">
    <w:name w:val="Основний текст2"/>
    <w:basedOn w:val="af9"/>
    <w:rsid w:val="0024284B"/>
  </w:style>
  <w:style w:type="paragraph" w:customStyle="1" w:styleId="Pa2">
    <w:name w:val="Pa2"/>
    <w:basedOn w:val="Default"/>
    <w:next w:val="Default"/>
    <w:uiPriority w:val="99"/>
    <w:rsid w:val="00900632"/>
    <w:pPr>
      <w:spacing w:line="201" w:lineRule="atLeast"/>
    </w:pPr>
    <w:rPr>
      <w:rFonts w:ascii="FavoritLightC" w:eastAsia="Calibri" w:hAnsi="FavoritLightC" w:cs="Times New Roman"/>
      <w:color w:val="auto"/>
      <w:lang w:val="ru-RU" w:eastAsia="en-US"/>
    </w:rPr>
  </w:style>
  <w:style w:type="character" w:customStyle="1" w:styleId="10pt">
    <w:name w:val="Основний текст + 10 pt"/>
    <w:rsid w:val="0080609A"/>
    <w:rPr>
      <w:rFonts w:ascii="Times New Roman" w:hAnsi="Times New Roman" w:cs="Times New Roman"/>
      <w:spacing w:val="0"/>
      <w:sz w:val="20"/>
      <w:szCs w:val="20"/>
    </w:rPr>
  </w:style>
  <w:style w:type="table" w:styleId="aff3">
    <w:name w:val="Table Grid"/>
    <w:basedOn w:val="a1"/>
    <w:uiPriority w:val="59"/>
    <w:rsid w:val="009D0EB4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uk-UA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4">
    <w:name w:val="footnote text"/>
    <w:basedOn w:val="a"/>
    <w:link w:val="aff5"/>
    <w:uiPriority w:val="99"/>
    <w:semiHidden/>
    <w:rsid w:val="009D0EB4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5">
    <w:name w:val="Текст сноски Знак"/>
    <w:basedOn w:val="a0"/>
    <w:link w:val="aff4"/>
    <w:uiPriority w:val="99"/>
    <w:semiHidden/>
    <w:rsid w:val="009D0EB4"/>
    <w:rPr>
      <w:rFonts w:ascii="Times New Roman" w:eastAsia="Times New Roman" w:hAnsi="Times New Roman" w:cs="Times New Roman"/>
      <w:sz w:val="20"/>
      <w:szCs w:val="20"/>
      <w:lang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://www.netmarketshare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vitaliylugovets@gmail.com" TargetMode="External"/><Relationship Id="rId12" Type="http://schemas.openxmlformats.org/officeDocument/2006/relationships/hyperlink" Target="https://ae.rsaconference.com/US13/connect/fileDownload/session/6981E2280C59E2E5DABB93D4BFD921C4/BR-F41.pdf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4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webSettings" Target="webSettings.xml"/><Relationship Id="rId9" Type="http://schemas.openxmlformats.org/officeDocument/2006/relationships/chart" Target="charts/chart2.xml"/><Relationship Id="rId14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Vitaliy\Desktop\&#1051;&#1080;&#1089;&#1090;%20Microsoft%20Excel.xlsx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44;&#1086;&#1082;&#1091;&#1084;&#1077;&#1085;&#1090;&#1099;\&#1042;&#1048;&#1058;&#1040;&#1051;&#1048;&#1050;\&#1050;&#1086;&#1085;&#1092;&#1077;&#1088;&#1077;&#1085;&#1094;&#1080;&#1103;\&#1060;&#1052;&#1052;%2003,13\guest634986200067584723.xlsx" TargetMode="External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Vitaliy\Desktop\&#1051;&#1080;&#1089;&#1090;%20Microsoft%20Excel.xlsx" TargetMode="External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44;&#1086;&#1082;&#1091;&#1084;&#1077;&#1085;&#1090;&#1099;\&#1042;&#1048;&#1058;&#1040;&#1051;&#1048;&#1050;\&#1050;&#1086;&#1085;&#1092;&#1077;&#1088;&#1077;&#1085;&#1094;&#1080;&#1103;\&#1060;&#1052;&#1052;%2003,13\guest634986213033605205.xlsx" TargetMode="External"/><Relationship Id="rId1" Type="http://schemas.openxmlformats.org/officeDocument/2006/relationships/themeOverride" Target="../theme/themeOverrid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lang="uk-UA"/>
            </a:pPr>
            <a:r>
              <a:rPr lang="uk-UA" sz="900"/>
              <a:t>Рис.1.</a:t>
            </a:r>
            <a:r>
              <a:rPr lang="uk-UA" sz="900" baseline="0"/>
              <a:t> </a:t>
            </a:r>
            <a:r>
              <a:rPr lang="uk-UA" sz="900"/>
              <a:t>Кількість критичних вразливостей в</a:t>
            </a:r>
            <a:r>
              <a:rPr lang="uk-UA" sz="900" baseline="0"/>
              <a:t> програмному забезпеченні</a:t>
            </a:r>
            <a:endParaRPr lang="uk-UA" sz="900"/>
          </a:p>
        </c:rich>
      </c:tx>
      <c:layout>
        <c:manualLayout>
          <c:xMode val="edge"/>
          <c:yMode val="edge"/>
          <c:x val="0.13587172041946619"/>
          <c:y val="2.3536334215945868E-2"/>
        </c:manualLayout>
      </c:layout>
    </c:title>
    <c:plotArea>
      <c:layout/>
      <c:barChart>
        <c:barDir val="col"/>
        <c:grouping val="clustered"/>
        <c:ser>
          <c:idx val="0"/>
          <c:order val="0"/>
          <c:tx>
            <c:v>Кількість критичних вразливостей</c:v>
          </c:tx>
          <c:dLbls>
            <c:txPr>
              <a:bodyPr/>
              <a:lstStyle/>
              <a:p>
                <a:pPr>
                  <a:defRPr lang="uk-UA"/>
                </a:pPr>
                <a:endParaRPr lang="ru-RU"/>
              </a:p>
            </c:txPr>
            <c:showVal val="1"/>
          </c:dLbls>
          <c:cat>
            <c:strRef>
              <c:f>Лист1!$D$1:$D$10</c:f>
              <c:strCache>
                <c:ptCount val="10"/>
                <c:pt idx="0">
                  <c:v>Mac OS X</c:v>
                </c:pt>
                <c:pt idx="1">
                  <c:v>Windows XP</c:v>
                </c:pt>
                <c:pt idx="2">
                  <c:v>Windows Vista</c:v>
                </c:pt>
                <c:pt idx="3">
                  <c:v>Thunderbird</c:v>
                </c:pt>
                <c:pt idx="4">
                  <c:v>Windows 2003 Server</c:v>
                </c:pt>
                <c:pt idx="5">
                  <c:v>Seamonkey</c:v>
                </c:pt>
                <c:pt idx="6">
                  <c:v>Internet Explorer</c:v>
                </c:pt>
                <c:pt idx="7">
                  <c:v>Windows 2003</c:v>
                </c:pt>
                <c:pt idx="8">
                  <c:v>Chrome</c:v>
                </c:pt>
                <c:pt idx="9">
                  <c:v>Firefox</c:v>
                </c:pt>
              </c:strCache>
            </c:strRef>
          </c:cat>
          <c:val>
            <c:numRef>
              <c:f>Лист1!$E$1:$E$10</c:f>
              <c:numCache>
                <c:formatCode>General</c:formatCode>
                <c:ptCount val="10"/>
                <c:pt idx="0">
                  <c:v>282</c:v>
                </c:pt>
                <c:pt idx="1">
                  <c:v>453</c:v>
                </c:pt>
                <c:pt idx="2">
                  <c:v>291</c:v>
                </c:pt>
                <c:pt idx="3">
                  <c:v>283</c:v>
                </c:pt>
                <c:pt idx="4">
                  <c:v>289</c:v>
                </c:pt>
                <c:pt idx="5">
                  <c:v>294</c:v>
                </c:pt>
                <c:pt idx="6">
                  <c:v>307</c:v>
                </c:pt>
                <c:pt idx="7">
                  <c:v>311</c:v>
                </c:pt>
                <c:pt idx="8">
                  <c:v>410</c:v>
                </c:pt>
                <c:pt idx="9">
                  <c:v>433</c:v>
                </c:pt>
              </c:numCache>
            </c:numRef>
          </c:val>
        </c:ser>
        <c:axId val="257723008"/>
        <c:axId val="257565056"/>
      </c:barChart>
      <c:catAx>
        <c:axId val="257723008"/>
        <c:scaling>
          <c:orientation val="minMax"/>
        </c:scaling>
        <c:axPos val="b"/>
        <c:tickLblPos val="nextTo"/>
        <c:txPr>
          <a:bodyPr/>
          <a:lstStyle/>
          <a:p>
            <a:pPr>
              <a:defRPr lang="uk-UA"/>
            </a:pPr>
            <a:endParaRPr lang="ru-RU"/>
          </a:p>
        </c:txPr>
        <c:crossAx val="257565056"/>
        <c:crosses val="autoZero"/>
        <c:auto val="1"/>
        <c:lblAlgn val="ctr"/>
        <c:lblOffset val="100"/>
      </c:catAx>
      <c:valAx>
        <c:axId val="257565056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lang="uk-UA"/>
            </a:pPr>
            <a:endParaRPr lang="ru-RU"/>
          </a:p>
        </c:txPr>
        <c:crossAx val="257723008"/>
        <c:crosses val="autoZero"/>
        <c:crossBetween val="between"/>
      </c:valAx>
    </c:plotArea>
    <c:plotVisOnly val="1"/>
    <c:dispBlanksAs val="gap"/>
  </c:chart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lang="uk-UA"/>
            </a:pPr>
            <a:r>
              <a:rPr lang="uk-UA" sz="900"/>
              <a:t>Рис. 2. Долі ринку </a:t>
            </a:r>
            <a:r>
              <a:rPr lang="uk-UA" sz="900" b="1" i="0" u="none" strike="noStrike" baseline="0">
                <a:effectLst/>
              </a:rPr>
              <a:t>десктопних ОС</a:t>
            </a:r>
            <a:r>
              <a:rPr lang="uk-UA" sz="900"/>
              <a:t>, </a:t>
            </a:r>
          </a:p>
          <a:p>
            <a:pPr>
              <a:defRPr lang="uk-UA"/>
            </a:pPr>
            <a:r>
              <a:rPr lang="uk-UA" sz="900"/>
              <a:t>лютий 2013р.</a:t>
            </a:r>
          </a:p>
        </c:rich>
      </c:tx>
      <c:layout>
        <c:manualLayout>
          <c:xMode val="edge"/>
          <c:yMode val="edge"/>
          <c:x val="0.18199588377861281"/>
          <c:y val="3.0242799526493488E-2"/>
        </c:manualLayout>
      </c:layout>
    </c:title>
    <c:plotArea>
      <c:layout/>
      <c:pieChart>
        <c:varyColors val="1"/>
        <c:ser>
          <c:idx val="0"/>
          <c:order val="0"/>
          <c:tx>
            <c:v>Долі ринку, лютий 2013 р.</c:v>
          </c:tx>
          <c:dLbls>
            <c:txPr>
              <a:bodyPr/>
              <a:lstStyle/>
              <a:p>
                <a:pPr>
                  <a:defRPr lang="uk-UA"/>
                </a:pPr>
                <a:endParaRPr lang="ru-RU"/>
              </a:p>
            </c:txPr>
            <c:showVal val="1"/>
            <c:showLeaderLines val="1"/>
          </c:dLbls>
          <c:cat>
            <c:strRef>
              <c:f>'[guest634986200067584723.xlsx]Desktop Operating System Market'!$A$21:$A$28</c:f>
              <c:strCache>
                <c:ptCount val="8"/>
                <c:pt idx="0">
                  <c:v>Windows 7</c:v>
                </c:pt>
                <c:pt idx="1">
                  <c:v>Windows XP</c:v>
                </c:pt>
                <c:pt idx="2">
                  <c:v>Windows Vista</c:v>
                </c:pt>
                <c:pt idx="3">
                  <c:v>Windows 8</c:v>
                </c:pt>
                <c:pt idx="4">
                  <c:v>Mac OS X 10.8</c:v>
                </c:pt>
                <c:pt idx="5">
                  <c:v>Mac OS X 10.6</c:v>
                </c:pt>
                <c:pt idx="6">
                  <c:v>Mac OS X 10.7</c:v>
                </c:pt>
                <c:pt idx="7">
                  <c:v>Linux</c:v>
                </c:pt>
              </c:strCache>
            </c:strRef>
          </c:cat>
          <c:val>
            <c:numRef>
              <c:f>'[guest634986200067584723.xlsx]Desktop Operating System Market'!$B$21:$B$28</c:f>
              <c:numCache>
                <c:formatCode>0.00%</c:formatCode>
                <c:ptCount val="8"/>
                <c:pt idx="0">
                  <c:v>0.44550824533930045</c:v>
                </c:pt>
                <c:pt idx="1">
                  <c:v>0.38988093996390133</c:v>
                </c:pt>
                <c:pt idx="2">
                  <c:v>5.1726930034800112E-2</c:v>
                </c:pt>
                <c:pt idx="3">
                  <c:v>2.670520190500001E-2</c:v>
                </c:pt>
                <c:pt idx="4">
                  <c:v>2.6059186987300011E-2</c:v>
                </c:pt>
                <c:pt idx="5">
                  <c:v>1.9728573185200035E-2</c:v>
                </c:pt>
                <c:pt idx="6">
                  <c:v>1.9274370178099999E-2</c:v>
                </c:pt>
                <c:pt idx="7">
                  <c:v>1.20728124468E-2</c:v>
                </c:pt>
              </c:numCache>
            </c:numRef>
          </c:val>
        </c:ser>
        <c:firstSliceAng val="0"/>
      </c:pieChart>
    </c:plotArea>
    <c:legend>
      <c:legendPos val="r"/>
      <c:txPr>
        <a:bodyPr/>
        <a:lstStyle/>
        <a:p>
          <a:pPr>
            <a:defRPr lang="uk-UA"/>
          </a:pPr>
          <a:endParaRPr lang="ru-RU"/>
        </a:p>
      </c:txPr>
    </c:legend>
    <c:plotVisOnly val="1"/>
    <c:dispBlanksAs val="zero"/>
  </c:chart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lang="uk-UA" sz="900"/>
            </a:pPr>
            <a:r>
              <a:rPr lang="uk-UA" sz="900"/>
              <a:t>Рис. 3. Кількість критичних вразливостей мобільних ОС</a:t>
            </a:r>
          </a:p>
        </c:rich>
      </c:tx>
    </c:title>
    <c:plotArea>
      <c:layout/>
      <c:barChart>
        <c:barDir val="col"/>
        <c:grouping val="clustered"/>
        <c:ser>
          <c:idx val="0"/>
          <c:order val="0"/>
          <c:tx>
            <c:v>Рис. 3. кількість критичних вразливостей мобільних ОС</c:v>
          </c:tx>
          <c:dLbls>
            <c:txPr>
              <a:bodyPr/>
              <a:lstStyle/>
              <a:p>
                <a:pPr>
                  <a:defRPr lang="uk-UA"/>
                </a:pPr>
                <a:endParaRPr lang="ru-RU"/>
              </a:p>
            </c:txPr>
            <c:showVal val="1"/>
          </c:dLbls>
          <c:cat>
            <c:strRef>
              <c:f>Лист1!$A$15:$A$18</c:f>
              <c:strCache>
                <c:ptCount val="4"/>
                <c:pt idx="0">
                  <c:v>iPhone</c:v>
                </c:pt>
                <c:pt idx="1">
                  <c:v>Android</c:v>
                </c:pt>
                <c:pt idx="2">
                  <c:v>Windows</c:v>
                </c:pt>
                <c:pt idx="3">
                  <c:v>BlackBerry</c:v>
                </c:pt>
              </c:strCache>
            </c:strRef>
          </c:cat>
          <c:val>
            <c:numRef>
              <c:f>Лист1!$B$15:$B$18</c:f>
              <c:numCache>
                <c:formatCode>General</c:formatCode>
                <c:ptCount val="4"/>
                <c:pt idx="0">
                  <c:v>210</c:v>
                </c:pt>
                <c:pt idx="1">
                  <c:v>24</c:v>
                </c:pt>
                <c:pt idx="2">
                  <c:v>14</c:v>
                </c:pt>
                <c:pt idx="3">
                  <c:v>11</c:v>
                </c:pt>
              </c:numCache>
            </c:numRef>
          </c:val>
        </c:ser>
        <c:axId val="257747200"/>
        <c:axId val="257761280"/>
      </c:barChart>
      <c:catAx>
        <c:axId val="257747200"/>
        <c:scaling>
          <c:orientation val="minMax"/>
        </c:scaling>
        <c:axPos val="b"/>
        <c:tickLblPos val="nextTo"/>
        <c:txPr>
          <a:bodyPr/>
          <a:lstStyle/>
          <a:p>
            <a:pPr>
              <a:defRPr lang="uk-UA"/>
            </a:pPr>
            <a:endParaRPr lang="ru-RU"/>
          </a:p>
        </c:txPr>
        <c:crossAx val="257761280"/>
        <c:crosses val="autoZero"/>
        <c:auto val="1"/>
        <c:lblAlgn val="ctr"/>
        <c:lblOffset val="100"/>
      </c:catAx>
      <c:valAx>
        <c:axId val="257761280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lang="uk-UA"/>
            </a:pPr>
            <a:endParaRPr lang="ru-RU"/>
          </a:p>
        </c:txPr>
        <c:crossAx val="257747200"/>
        <c:crosses val="autoZero"/>
        <c:crossBetween val="between"/>
      </c:valAx>
    </c:plotArea>
    <c:plotVisOnly val="1"/>
    <c:dispBlanksAs val="gap"/>
  </c:chart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lang="uk-UA" sz="900"/>
            </a:pPr>
            <a:r>
              <a:rPr lang="uk-UA" sz="900"/>
              <a:t>Рис.4. Долі ринку мобільних ОС, </a:t>
            </a:r>
          </a:p>
          <a:p>
            <a:pPr>
              <a:defRPr lang="uk-UA" sz="900"/>
            </a:pPr>
            <a:r>
              <a:rPr lang="uk-UA" sz="900"/>
              <a:t>лютий 2013 р.</a:t>
            </a:r>
          </a:p>
        </c:rich>
      </c:tx>
    </c:title>
    <c:plotArea>
      <c:layout/>
      <c:pieChart>
        <c:varyColors val="1"/>
        <c:ser>
          <c:idx val="0"/>
          <c:order val="0"/>
          <c:tx>
            <c:v>Долі ринку, лютий 2013 р.</c:v>
          </c:tx>
          <c:dLbls>
            <c:txPr>
              <a:bodyPr/>
              <a:lstStyle/>
              <a:p>
                <a:pPr>
                  <a:defRPr lang="uk-UA"/>
                </a:pPr>
                <a:endParaRPr lang="ru-RU"/>
              </a:p>
            </c:txPr>
            <c:showVal val="1"/>
            <c:showLeaderLines val="1"/>
          </c:dLbls>
          <c:cat>
            <c:strRef>
              <c:f>'[guest634986213033605205.xlsx]Mobile Tablet Operating System '!$A$21:$A$30</c:f>
              <c:strCache>
                <c:ptCount val="10"/>
                <c:pt idx="0">
                  <c:v>iPad</c:v>
                </c:pt>
                <c:pt idx="1">
                  <c:v>iPhone</c:v>
                </c:pt>
                <c:pt idx="2">
                  <c:v>Java ME</c:v>
                </c:pt>
                <c:pt idx="3">
                  <c:v>Android 2.3</c:v>
                </c:pt>
                <c:pt idx="4">
                  <c:v>Android 4.0</c:v>
                </c:pt>
                <c:pt idx="5">
                  <c:v>Android 4.1</c:v>
                </c:pt>
                <c:pt idx="6">
                  <c:v>Symbian</c:v>
                </c:pt>
                <c:pt idx="7">
                  <c:v>BlackBerry</c:v>
                </c:pt>
                <c:pt idx="8">
                  <c:v>Android 2.2</c:v>
                </c:pt>
                <c:pt idx="9">
                  <c:v>Windows Phone OS 7.5</c:v>
                </c:pt>
              </c:strCache>
            </c:strRef>
          </c:cat>
          <c:val>
            <c:numRef>
              <c:f>'[guest634986213033605205.xlsx]Mobile Tablet Operating System '!$B$21:$B$30</c:f>
              <c:numCache>
                <c:formatCode>0.00%</c:formatCode>
                <c:ptCount val="10"/>
                <c:pt idx="0">
                  <c:v>0.33594959571220101</c:v>
                </c:pt>
                <c:pt idx="1">
                  <c:v>0.20452591778170001</c:v>
                </c:pt>
                <c:pt idx="2">
                  <c:v>0.12383110163320014</c:v>
                </c:pt>
                <c:pt idx="3">
                  <c:v>9.0375634949700009E-2</c:v>
                </c:pt>
                <c:pt idx="4">
                  <c:v>8.4052146737100028E-2</c:v>
                </c:pt>
                <c:pt idx="5">
                  <c:v>4.8978203997499976E-2</c:v>
                </c:pt>
                <c:pt idx="6">
                  <c:v>3.3838682505300005E-2</c:v>
                </c:pt>
                <c:pt idx="7">
                  <c:v>1.3875811215600033E-2</c:v>
                </c:pt>
                <c:pt idx="8">
                  <c:v>1.3020630050700003E-2</c:v>
                </c:pt>
                <c:pt idx="9">
                  <c:v>1.2184693911499981E-2</c:v>
                </c:pt>
              </c:numCache>
            </c:numRef>
          </c:val>
        </c:ser>
        <c:firstSliceAng val="0"/>
      </c:pieChart>
    </c:plotArea>
    <c:legend>
      <c:legendPos val="r"/>
      <c:txPr>
        <a:bodyPr/>
        <a:lstStyle/>
        <a:p>
          <a:pPr>
            <a:defRPr lang="uk-UA"/>
          </a:pPr>
          <a:endParaRPr lang="ru-RU"/>
        </a:p>
      </c:txPr>
    </c:legend>
    <c:plotVisOnly val="1"/>
    <c:dispBlanksAs val="zero"/>
  </c:chart>
  <c:externalData r:id="rId2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2013-10-21T10:56:00Z</dcterms:created>
  <dcterms:modified xsi:type="dcterms:W3CDTF">2013-10-21T10:56:00Z</dcterms:modified>
</cp:coreProperties>
</file>