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spacing w:line="360" w:lineRule="auto"/>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Корогодова О. О.</w:t>
      </w:r>
    </w:p>
    <w:p w:rsidR="00000000" w:rsidDel="00000000" w:rsidP="00000000" w:rsidRDefault="00000000" w:rsidRPr="00000000" w14:paraId="00000002">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Національний технічний університет України </w:t>
      </w:r>
    </w:p>
    <w:p w:rsidR="00000000" w:rsidDel="00000000" w:rsidP="00000000" w:rsidRDefault="00000000" w:rsidRPr="00000000" w14:paraId="00000003">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“Київський політехнічний інститут ім. Ігоря Сікорського”,</w:t>
      </w:r>
    </w:p>
    <w:p w:rsidR="00000000" w:rsidDel="00000000" w:rsidP="00000000" w:rsidRDefault="00000000" w:rsidRPr="00000000" w14:paraId="00000004">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к.е.н., доцент, доцент кафедри міжнародної економіки</w:t>
      </w:r>
    </w:p>
    <w:p w:rsidR="00000000" w:rsidDel="00000000" w:rsidP="00000000" w:rsidRDefault="00000000" w:rsidRPr="00000000" w14:paraId="00000005">
      <w:pPr>
        <w:spacing w:line="360" w:lineRule="auto"/>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Глущенко Я. І.</w:t>
      </w:r>
    </w:p>
    <w:p w:rsidR="00000000" w:rsidDel="00000000" w:rsidP="00000000" w:rsidRDefault="00000000" w:rsidRPr="00000000" w14:paraId="00000006">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Національний технічний університет України </w:t>
      </w:r>
    </w:p>
    <w:p w:rsidR="00000000" w:rsidDel="00000000" w:rsidP="00000000" w:rsidRDefault="00000000" w:rsidRPr="00000000" w14:paraId="00000007">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“Київський політехнічний інститут ім. Ігоря Сікорського”,</w:t>
      </w:r>
    </w:p>
    <w:p w:rsidR="00000000" w:rsidDel="00000000" w:rsidP="00000000" w:rsidRDefault="00000000" w:rsidRPr="00000000" w14:paraId="00000008">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к.е.н., доцент, доцент кафедри міжнародної економіки</w:t>
      </w:r>
    </w:p>
    <w:p w:rsidR="00000000" w:rsidDel="00000000" w:rsidP="00000000" w:rsidRDefault="00000000" w:rsidRPr="00000000" w14:paraId="00000009">
      <w:pPr>
        <w:spacing w:line="360" w:lineRule="auto"/>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Моісеєнко Т. Є.</w:t>
      </w:r>
    </w:p>
    <w:p w:rsidR="00000000" w:rsidDel="00000000" w:rsidP="00000000" w:rsidRDefault="00000000" w:rsidRPr="00000000" w14:paraId="0000000A">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Національний технічний університет України </w:t>
      </w:r>
    </w:p>
    <w:p w:rsidR="00000000" w:rsidDel="00000000" w:rsidP="00000000" w:rsidRDefault="00000000" w:rsidRPr="00000000" w14:paraId="0000000B">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“Київський політехнічний інститут ім. Ігоря Сікорського”,</w:t>
      </w:r>
    </w:p>
    <w:p w:rsidR="00000000" w:rsidDel="00000000" w:rsidP="00000000" w:rsidRDefault="00000000" w:rsidRPr="00000000" w14:paraId="0000000C">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к.е.н., доцент, доцент кафедри міжнародної економіки</w:t>
      </w:r>
    </w:p>
    <w:p w:rsidR="00000000" w:rsidDel="00000000" w:rsidP="00000000" w:rsidRDefault="00000000" w:rsidRPr="00000000" w14:paraId="0000000D">
      <w:pPr>
        <w:spacing w:line="360" w:lineRule="auto"/>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Черненко Н. О.</w:t>
      </w:r>
    </w:p>
    <w:p w:rsidR="00000000" w:rsidDel="00000000" w:rsidP="00000000" w:rsidRDefault="00000000" w:rsidRPr="00000000" w14:paraId="0000000E">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Національний технічний університет України </w:t>
      </w:r>
    </w:p>
    <w:p w:rsidR="00000000" w:rsidDel="00000000" w:rsidP="00000000" w:rsidRDefault="00000000" w:rsidRPr="00000000" w14:paraId="0000000F">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“Київський політехнічний інститут ім. Ігоря Сікорського”,</w:t>
      </w:r>
    </w:p>
    <w:p w:rsidR="00000000" w:rsidDel="00000000" w:rsidP="00000000" w:rsidRDefault="00000000" w:rsidRPr="00000000" w14:paraId="00000010">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к.е.н., доцент, доцент кафедри міжнародної економіки</w:t>
      </w:r>
    </w:p>
    <w:p w:rsidR="00000000" w:rsidDel="00000000" w:rsidP="00000000" w:rsidRDefault="00000000" w:rsidRPr="00000000" w14:paraId="00000011">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2">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ЗАХИСТ ПРАВ ІНТЕЛЕКТУАЛЬНОЇ ВЛАСНОСТІ </w:t>
      </w:r>
    </w:p>
    <w:p w:rsidR="00000000" w:rsidDel="00000000" w:rsidP="00000000" w:rsidRDefault="00000000" w:rsidRPr="00000000" w14:paraId="00000013">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 УМОВАХ ІНДУСТРІЇ 4.0</w:t>
      </w:r>
    </w:p>
    <w:p w:rsidR="00000000" w:rsidDel="00000000" w:rsidP="00000000" w:rsidRDefault="00000000" w:rsidRPr="00000000" w14:paraId="00000014">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5">
      <w:pPr>
        <w:spacing w:line="360" w:lineRule="auto"/>
        <w:ind w:firstLine="8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Проблематика захисту прав  інтелектуальної  власності (ІВ) набуває все більшого значення в умовах інтенсифікації провадження підприємницької діяльності внаслідок розвитку технологій та віднайдення найбільш ефективних шляхів їхнього комерційного застосування, що дозволяє визначити актуальність дослідження зазначеного питання. Відповідно до поставлених авторами у [</w:t>
      </w: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sz w:val="28"/>
          <w:szCs w:val="28"/>
          <w:rtl w:val="0"/>
        </w:rPr>
        <w:t xml:space="preserve">] завдань, представляє інтерес огляд наявних систем захисту прав інтелектуальної власності в умовах Індустрії 4.0.</w:t>
      </w:r>
    </w:p>
    <w:p w:rsidR="00000000" w:rsidDel="00000000" w:rsidP="00000000" w:rsidRDefault="00000000" w:rsidRPr="00000000" w14:paraId="00000016">
      <w:pPr>
        <w:spacing w:line="360" w:lineRule="auto"/>
        <w:ind w:firstLine="8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Узагальнене поняття інтелектуальної власності представлено у вигляді нових знань, що передаються у вигляді інформації, яка є видом втілення інтелектуальної діяльності. Згідно типології Організації захисту інтелектуальної власності </w:t>
      </w: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Fonts w:ascii="Times New Roman" w:cs="Times New Roman" w:eastAsia="Times New Roman" w:hAnsi="Times New Roman"/>
          <w:sz w:val="28"/>
          <w:szCs w:val="28"/>
          <w:rtl w:val="0"/>
        </w:rPr>
        <w:t xml:space="preserve">, ІВ може бути представлена у виді копірайтів, патентів, торговельних марок, промислових зразків, географічних зазначень, торговельних таємниць. Права інтелектуальної  власності  таким чином представлені у вигляді специфічної категорії власності, що вимагає особливого регулювання через її нематеріальну сутність. Система економічних відносин в зазначеній сфері представляє процеси привласнення-відчуження прав на товари ІВ. Особливістю такого типу соціально-економічних відносин є специфіка  одночасного  використання  одного  інтелектуального продукту багатьма суб’єктами. </w:t>
      </w:r>
    </w:p>
    <w:p w:rsidR="00000000" w:rsidDel="00000000" w:rsidP="00000000" w:rsidRDefault="00000000" w:rsidRPr="00000000" w14:paraId="00000017">
      <w:pPr>
        <w:spacing w:line="360" w:lineRule="auto"/>
        <w:ind w:firstLine="8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Індустрії 4.0 зазначені питання набувають все більшої актуальності. Так, адитивні технології вважаються одним з безперечних досягнень економічного та технологічного розвитку в межах Індустрії 4.0. Окрім низки позитивних ефектів, існують і певні недоліки з точки зору порушень прав інтелектуальної власності. Наприклад, за допомогою ЗD-друку недобросовісними конкурентами створються репліки відомих товарів [</w:t>
      </w: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sz w:val="28"/>
          <w:szCs w:val="28"/>
          <w:rtl w:val="0"/>
        </w:rPr>
        <w:t xml:space="preserve">]. З точки зору митного захисту національної безпеки економік це має негативний характер, тому що зменшуються можливості збору податків та знижується рівень контролю за захистом прав інтелектуальної власності і за якістю товарів. У звітах Всесвітньої митної організації вже кілька років поспіль ставиться питання оцінки потенційних загроз національній безпеці, втрат конкретних економік світу та глобального економічного співтовариства в цілому, а також розглядається проблематика захисту прав ІВ </w:t>
      </w:r>
      <w:r w:rsidDel="00000000" w:rsidR="00000000" w:rsidRPr="00000000">
        <w:rPr>
          <w:rFonts w:ascii="Times New Roman" w:cs="Times New Roman" w:eastAsia="Times New Roman" w:hAnsi="Times New Roman"/>
          <w:sz w:val="28"/>
          <w:szCs w:val="28"/>
          <w:rtl w:val="0"/>
        </w:rPr>
        <w:t xml:space="preserve">[4; 5; 6]. </w:t>
      </w:r>
    </w:p>
    <w:p w:rsidR="00000000" w:rsidDel="00000000" w:rsidP="00000000" w:rsidRDefault="00000000" w:rsidRPr="00000000" w14:paraId="00000018">
      <w:pPr>
        <w:spacing w:line="360" w:lineRule="auto"/>
        <w:ind w:firstLine="8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Дефініція прав  інтелектуальної власності зафіксована у законодавстві  багатьох  країн та наднаціональних утворень.  Відповідно  до ст. 418 Цивільного Кодексу України: «Право інтелектуальної власності – це право особи на результат інтелектуальної, творчої діяльності або на інший об'єкт права інтелектуальної власності» [</w:t>
      </w: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sz w:val="28"/>
          <w:szCs w:val="28"/>
          <w:rtl w:val="0"/>
        </w:rPr>
        <w:t xml:space="preserve">. Право ІВ розглядається з об’єктивної точки зору як підгалузь цивільного права, а з суб’єктивної як можливість індивіда. В розрізі соціально-економічних відносин особливий інтерес ставлять питання обговорення та визначення прав інтелектуальної власності, їхня зміна трактувань та можливостей з плином часу, зв’язок прав інтелектуальної власності зі змінами в економіці та інноваційній системі під впливом технологічних нововведень в межах Індустрії 4.0, а також соціально-політичні аспекти відносин інтелектуальної власності та неформальні етичні інституції. </w:t>
      </w:r>
    </w:p>
    <w:p w:rsidR="00000000" w:rsidDel="00000000" w:rsidP="00000000" w:rsidRDefault="00000000" w:rsidRPr="00000000" w14:paraId="00000019">
      <w:pPr>
        <w:spacing w:line="360" w:lineRule="auto"/>
        <w:ind w:firstLine="8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зазначається у [</w:t>
      </w: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sz w:val="28"/>
          <w:szCs w:val="28"/>
          <w:rtl w:val="0"/>
        </w:rPr>
        <w:t xml:space="preserve">], характерними рисами об’єктивного права інтелектуальної  власності  доцільно  виокремити  наступні:  є системою правових норм; регулює однорідні суспільні відносини; суспільні відносини, що регулюються, виникають  внаслідок  створення,  використання,  охорони  та захисту результатів інтелектуальної, творчої діяльності.</w:t>
      </w:r>
    </w:p>
    <w:p w:rsidR="00000000" w:rsidDel="00000000" w:rsidP="00000000" w:rsidRDefault="00000000" w:rsidRPr="00000000" w14:paraId="0000001A">
      <w:pPr>
        <w:spacing w:line="360" w:lineRule="auto"/>
        <w:ind w:firstLine="8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Права  інтелектуальної  власності  водночас  з  позитивними можливостями створюють і загрози для суспільних соціально-економічних відносин. Так, права ІВ можуть знижувати рівень ефективність використання інновацій, найбільш проблемним  з  цієї точки зору є утворення  монопольної  влади на винаходи [</w:t>
      </w: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sz w:val="28"/>
          <w:szCs w:val="28"/>
          <w:rtl w:val="0"/>
        </w:rPr>
        <w:t xml:space="preserve">]. Але з точки зору суспільного добробуту та підвищення рівня економічного зростання як національних економік, так і глобалізованого простору в цілому, для ефективного  використання  знань  та  інформації  знадобиться  їх  вільне  розповсюдження.  Постає  питання ймовірностей порушення законів ринкової економіки, зокрема,  закону  конкуренції.  Зазначене  питання  має вирішуватись  за  допомогою  системних  інструментів державного регулювання. Щодо позитивних ефектів, то захист прав ІВ має значний вплив на підвищення рівня інвестиційної привабливості країни [</w:t>
      </w: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sz w:val="28"/>
          <w:szCs w:val="28"/>
          <w:rtl w:val="0"/>
        </w:rPr>
        <w:t xml:space="preserve">]. Стрімка  цифровізація  економік  країн  світу обумовлює загострення глобальної конкуренції між країнами, економічними угрупованнями, наднаціональними утвореннями та окремими компаніями за доступ до продуктів інтелектуальної власності. </w:t>
      </w:r>
    </w:p>
    <w:p w:rsidR="00000000" w:rsidDel="00000000" w:rsidP="00000000" w:rsidRDefault="00000000" w:rsidRPr="00000000" w14:paraId="0000001B">
      <w:pPr>
        <w:spacing w:line="360" w:lineRule="auto"/>
        <w:ind w:firstLine="8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Міжнародного Індексу захисту прав інтелектуальної власності показав, що за період з 2017 по 2021рр. безумовними лідерами даного процесу  є Швейцарія, Японія, США, Нідерланди, Норвегія, Данія. </w:t>
      </w:r>
    </w:p>
    <w:p w:rsidR="00000000" w:rsidDel="00000000" w:rsidP="00000000" w:rsidRDefault="00000000" w:rsidRPr="00000000" w14:paraId="0000001C">
      <w:pPr>
        <w:spacing w:line="360" w:lineRule="auto"/>
        <w:ind w:firstLine="810"/>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spacing w:line="360" w:lineRule="auto"/>
        <w:ind w:firstLine="810"/>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line="360" w:lineRule="auto"/>
        <w:ind w:firstLine="81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w:t>
      </w:r>
    </w:p>
    <w:p w:rsidR="00000000" w:rsidDel="00000000" w:rsidP="00000000" w:rsidRDefault="00000000" w:rsidRPr="00000000" w14:paraId="0000001F">
      <w:pPr>
        <w:spacing w:line="360" w:lineRule="auto"/>
        <w:ind w:firstLine="81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Динаміка Міжнародного Індексу захисту прав інтелектуальної власності провідних країн світу за 2017-2021рр. [8]</w:t>
      </w:r>
    </w:p>
    <w:p w:rsidR="00000000" w:rsidDel="00000000" w:rsidP="00000000" w:rsidRDefault="00000000" w:rsidRPr="00000000" w14:paraId="00000020">
      <w:pPr>
        <w:spacing w:line="360" w:lineRule="auto"/>
        <w:ind w:firstLine="810"/>
        <w:jc w:val="center"/>
        <w:rPr>
          <w:rFonts w:ascii="Times New Roman" w:cs="Times New Roman" w:eastAsia="Times New Roman" w:hAnsi="Times New Roman"/>
          <w:sz w:val="28"/>
          <w:szCs w:val="28"/>
        </w:rPr>
      </w:pPr>
      <w:r w:rsidDel="00000000" w:rsidR="00000000" w:rsidRPr="00000000">
        <w:rPr>
          <w:rtl w:val="0"/>
        </w:rPr>
      </w:r>
    </w:p>
    <w:tbl>
      <w:tblPr>
        <w:tblStyle w:val="Table1"/>
        <w:tblW w:w="964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07.5"/>
        <w:gridCol w:w="1635"/>
        <w:gridCol w:w="1575"/>
        <w:gridCol w:w="1607.5"/>
        <w:gridCol w:w="1607.5"/>
        <w:gridCol w:w="1607.5"/>
        <w:tblGridChange w:id="0">
          <w:tblGrid>
            <w:gridCol w:w="1607.5"/>
            <w:gridCol w:w="1635"/>
            <w:gridCol w:w="1575"/>
            <w:gridCol w:w="1607.5"/>
            <w:gridCol w:w="1607.5"/>
            <w:gridCol w:w="1607.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Країна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2017</w:t>
            </w:r>
          </w:p>
        </w:tc>
        <w:tc>
          <w:tcPr>
            <w:shd w:fill="auto" w:val="clea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2018</w:t>
            </w:r>
          </w:p>
        </w:tc>
        <w:tc>
          <w:tcPr>
            <w:shd w:fill="auto" w:val="clea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2019</w:t>
            </w:r>
          </w:p>
        </w:tc>
        <w:tc>
          <w:tcPr>
            <w:shd w:fill="auto" w:val="clea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2020</w:t>
            </w:r>
          </w:p>
        </w:tc>
        <w:tc>
          <w:tcPr>
            <w:shd w:fill="auto" w:val="clea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Швейцарія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8,561</w:t>
            </w:r>
          </w:p>
        </w:tc>
        <w:tc>
          <w:tcPr>
            <w:shd w:fill="auto" w:val="clea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8,618</w:t>
            </w:r>
          </w:p>
        </w:tc>
        <w:tc>
          <w:tcPr>
            <w:shd w:fill="auto" w:val="clea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8,571</w:t>
            </w:r>
          </w:p>
        </w:tc>
        <w:tc>
          <w:tcPr>
            <w:shd w:fill="auto" w:val="clea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8,530</w:t>
            </w:r>
          </w:p>
        </w:tc>
        <w:tc>
          <w:tcPr>
            <w:shd w:fill="auto" w:val="clea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8,148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США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8,074</w:t>
            </w:r>
          </w:p>
        </w:tc>
        <w:tc>
          <w:tcPr>
            <w:shd w:fill="auto" w:val="clea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8,202</w:t>
            </w:r>
          </w:p>
        </w:tc>
        <w:tc>
          <w:tcPr>
            <w:shd w:fill="auto" w:val="clea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8,050</w:t>
            </w:r>
          </w:p>
        </w:tc>
        <w:tc>
          <w:tcPr>
            <w:shd w:fill="auto" w:val="clea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7,993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Нідерланди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8,296</w:t>
            </w:r>
          </w:p>
        </w:tc>
        <w:tc>
          <w:tcPr>
            <w:shd w:fill="auto" w:val="clea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8,325</w:t>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8,273</w:t>
            </w:r>
          </w:p>
        </w:tc>
        <w:tc>
          <w:tcPr>
            <w:shd w:fill="auto" w:val="clea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8,281</w:t>
            </w:r>
          </w:p>
        </w:tc>
        <w:tc>
          <w:tcPr>
            <w:shd w:fill="auto" w:val="clea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7,963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Норвегія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8,533</w:t>
            </w:r>
          </w:p>
        </w:tc>
        <w:tc>
          <w:tcPr>
            <w:shd w:fill="auto" w:val="clea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8,450</w:t>
            </w:r>
          </w:p>
        </w:tc>
        <w:tc>
          <w:tcPr>
            <w:shd w:fill="auto" w:val="clea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8,279</w:t>
            </w:r>
          </w:p>
        </w:tc>
        <w:tc>
          <w:tcPr>
            <w:shd w:fill="auto" w:val="clea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8,248</w:t>
            </w:r>
          </w:p>
        </w:tc>
        <w:tc>
          <w:tcPr>
            <w:shd w:fill="auto" w:val="clea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7,957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8,158</w:t>
            </w:r>
          </w:p>
        </w:tc>
        <w:tc>
          <w:tcPr>
            <w:shd w:fill="auto" w:val="clea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8,163</w:t>
            </w:r>
          </w:p>
        </w:tc>
        <w:tc>
          <w:tcPr>
            <w:shd w:fill="auto" w:val="clea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8,174</w:t>
            </w:r>
          </w:p>
        </w:tc>
        <w:tc>
          <w:tcPr>
            <w:shd w:fill="auto" w:val="clea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8,211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7,927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Австрія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8,012</w:t>
            </w:r>
          </w:p>
        </w:tc>
        <w:tc>
          <w:tcPr>
            <w:shd w:fill="auto" w:val="clea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8,004</w:t>
            </w:r>
          </w:p>
        </w:tc>
        <w:tc>
          <w:tcPr>
            <w:shd w:fill="auto" w:val="clea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8,089</w:t>
            </w:r>
          </w:p>
        </w:tc>
        <w:tc>
          <w:tcPr>
            <w:shd w:fill="auto" w:val="clea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8,145</w:t>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7,925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Австралія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8,244</w:t>
            </w:r>
          </w:p>
        </w:tc>
        <w:tc>
          <w:tcPr>
            <w:shd w:fill="auto" w:val="clea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8,329</w:t>
            </w:r>
          </w:p>
        </w:tc>
        <w:tc>
          <w:tcPr>
            <w:shd w:fill="auto" w:val="clea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8,363</w:t>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8,358</w:t>
            </w:r>
          </w:p>
        </w:tc>
        <w:tc>
          <w:tcPr>
            <w:shd w:fill="auto" w:val="clea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7,904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Японія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8,327</w:t>
            </w:r>
          </w:p>
        </w:tc>
        <w:tc>
          <w:tcPr>
            <w:shd w:fill="auto" w:val="clea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8,231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8,323</w:t>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8,362</w:t>
            </w:r>
          </w:p>
        </w:tc>
        <w:tc>
          <w:tcPr>
            <w:shd w:fill="auto" w:val="clea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7,893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Швеція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8,608</w:t>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8,396</w:t>
            </w:r>
          </w:p>
        </w:tc>
        <w:tc>
          <w:tcPr>
            <w:shd w:fill="auto" w:val="clea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8,280</w:t>
            </w:r>
          </w:p>
        </w:tc>
        <w:tc>
          <w:tcPr>
            <w:shd w:fill="auto" w:val="clea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8,187</w:t>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7,817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Велика Британія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8,129</w:t>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8,141</w:t>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8,044</w:t>
            </w:r>
          </w:p>
        </w:tc>
        <w:tc>
          <w:tcPr>
            <w:shd w:fill="auto" w:val="clea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7,678</w:t>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Гонконг</w:t>
            </w:r>
          </w:p>
        </w:tc>
        <w:tc>
          <w:tcPr>
            <w:shd w:fill="auto" w:val="clea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7,786</w:t>
            </w:r>
          </w:p>
        </w:tc>
        <w:tc>
          <w:tcPr>
            <w:shd w:fill="auto" w:val="clea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7,849</w:t>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7,902</w:t>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7,941</w:t>
            </w:r>
          </w:p>
        </w:tc>
        <w:tc>
          <w:tcPr>
            <w:shd w:fill="auto" w:val="clea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7,509</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Канада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8,179</w:t>
            </w:r>
          </w:p>
        </w:tc>
        <w:tc>
          <w:tcPr>
            <w:shd w:fill="auto" w:val="clea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8,294</w:t>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8,264</w:t>
            </w:r>
          </w:p>
        </w:tc>
        <w:tc>
          <w:tcPr>
            <w:shd w:fill="auto" w:val="clea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8,046</w:t>
            </w:r>
          </w:p>
        </w:tc>
        <w:tc>
          <w:tcPr>
            <w:shd w:fill="auto" w:val="clea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7,748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Бельгія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7,839</w:t>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7,678</w:t>
            </w:r>
          </w:p>
        </w:tc>
        <w:tc>
          <w:tcPr>
            <w:shd w:fill="auto" w:val="clea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7,669</w:t>
            </w:r>
          </w:p>
        </w:tc>
        <w:tc>
          <w:tcPr>
            <w:shd w:fill="auto" w:val="clea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7,706</w:t>
            </w:r>
          </w:p>
        </w:tc>
        <w:tc>
          <w:tcPr>
            <w:shd w:fill="auto" w:val="clea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7,400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Німеччина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7,959</w:t>
            </w:r>
          </w:p>
        </w:tc>
        <w:tc>
          <w:tcPr>
            <w:shd w:fill="auto" w:val="clea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7,909</w:t>
            </w:r>
          </w:p>
        </w:tc>
        <w:tc>
          <w:tcPr>
            <w:shd w:fill="auto" w:val="clea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7,850</w:t>
            </w:r>
          </w:p>
        </w:tc>
        <w:tc>
          <w:tcPr>
            <w:shd w:fill="auto" w:val="clea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7,741</w:t>
            </w:r>
          </w:p>
        </w:tc>
        <w:tc>
          <w:tcPr>
            <w:shd w:fill="auto" w:val="clea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7,437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Ісландія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7,700</w:t>
            </w:r>
          </w:p>
        </w:tc>
        <w:tc>
          <w:tcPr>
            <w:shd w:fill="auto" w:val="clea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7,617</w:t>
            </w:r>
          </w:p>
        </w:tc>
        <w:tc>
          <w:tcPr>
            <w:shd w:fill="auto" w:val="clea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7,565</w:t>
            </w:r>
          </w:p>
        </w:tc>
        <w:tc>
          <w:tcPr>
            <w:shd w:fill="auto" w:val="clea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7,616</w:t>
            </w:r>
          </w:p>
        </w:tc>
        <w:tc>
          <w:tcPr>
            <w:shd w:fill="auto" w:val="clea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7,433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Ірландія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7,872</w:t>
            </w:r>
          </w:p>
        </w:tc>
        <w:tc>
          <w:tcPr>
            <w:shd w:fill="auto" w:val="clea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7,659</w:t>
            </w:r>
          </w:p>
        </w:tc>
        <w:tc>
          <w:tcPr>
            <w:shd w:fill="auto" w:val="clea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7,612</w:t>
            </w:r>
          </w:p>
        </w:tc>
        <w:tc>
          <w:tcPr>
            <w:shd w:fill="auto" w:val="clea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7,529</w:t>
            </w:r>
          </w:p>
        </w:tc>
        <w:tc>
          <w:tcPr>
            <w:shd w:fill="auto" w:val="clea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7,337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Франція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7,336</w:t>
            </w:r>
          </w:p>
        </w:tc>
        <w:tc>
          <w:tcPr>
            <w:shd w:fill="auto" w:val="clea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7,184</w:t>
            </w:r>
          </w:p>
        </w:tc>
        <w:tc>
          <w:tcPr>
            <w:shd w:fill="auto" w:val="clea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7,384</w:t>
            </w:r>
          </w:p>
        </w:tc>
        <w:tc>
          <w:tcPr>
            <w:shd w:fill="auto" w:val="clea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7,212</w:t>
            </w:r>
          </w:p>
        </w:tc>
        <w:tc>
          <w:tcPr>
            <w:shd w:fill="auto" w:val="clea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6,977</w:t>
            </w:r>
          </w:p>
        </w:tc>
      </w:tr>
    </w:tbl>
    <w:p w:rsidR="00000000" w:rsidDel="00000000" w:rsidP="00000000" w:rsidRDefault="00000000" w:rsidRPr="00000000" w14:paraId="0000008D">
      <w:pPr>
        <w:spacing w:line="360" w:lineRule="auto"/>
        <w:ind w:firstLine="81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E">
      <w:pPr>
        <w:spacing w:line="360" w:lineRule="auto"/>
        <w:ind w:firstLine="810"/>
        <w:jc w:val="both"/>
        <w:rPr>
          <w:rFonts w:ascii="Times New Roman" w:cs="Times New Roman" w:eastAsia="Times New Roman" w:hAnsi="Times New Roman"/>
          <w:color w:val="333333"/>
          <w:sz w:val="28"/>
          <w:szCs w:val="28"/>
        </w:rPr>
      </w:pPr>
      <w:r w:rsidDel="00000000" w:rsidR="00000000" w:rsidRPr="00000000">
        <w:rPr>
          <w:rFonts w:ascii="Times New Roman" w:cs="Times New Roman" w:eastAsia="Times New Roman" w:hAnsi="Times New Roman"/>
          <w:sz w:val="28"/>
          <w:szCs w:val="28"/>
          <w:rtl w:val="0"/>
        </w:rPr>
        <w:t xml:space="preserve">Стосовно України слід зазначити, що Індекс нашої країни майже вдвічі менший значень провідних країн світу: 2021 р. - 4,453; 2020р. - 4,466; 2019р. - 4,432; 2018р. - 5,144; 2017р. - 3,424 [8]. Отже, ризики  та  можливості,  що  ставить  перед індивідуумами  система  захисту  прав  інтелектуальної власності  в  умовах  обмеження  конкуренції,  мають бути врегульовані на інституційному рівні. Так, українським урядом у Женеві 5 жовтня 2021 року підписано </w:t>
      </w:r>
      <w:r w:rsidDel="00000000" w:rsidR="00000000" w:rsidRPr="00000000">
        <w:rPr>
          <w:rFonts w:ascii="Times New Roman" w:cs="Times New Roman" w:eastAsia="Times New Roman" w:hAnsi="Times New Roman"/>
          <w:color w:val="333333"/>
          <w:sz w:val="28"/>
          <w:szCs w:val="28"/>
          <w:rtl w:val="0"/>
        </w:rPr>
        <w:t xml:space="preserve">Меморандум про взаєморозуміння між Міністерством економіки України та Всесвітньою організацією інтелектуальної власності щодо співробітництва у сфері інтелектуальної власності, що набрав чинності у ту ж дату.  [</w:t>
      </w:r>
      <w:r w:rsidDel="00000000" w:rsidR="00000000" w:rsidRPr="00000000">
        <w:rPr>
          <w:rFonts w:ascii="Times New Roman" w:cs="Times New Roman" w:eastAsia="Times New Roman" w:hAnsi="Times New Roman"/>
          <w:color w:val="333333"/>
          <w:sz w:val="28"/>
          <w:szCs w:val="28"/>
          <w:rtl w:val="0"/>
        </w:rPr>
        <w:t xml:space="preserve">9</w:t>
      </w:r>
      <w:r w:rsidDel="00000000" w:rsidR="00000000" w:rsidRPr="00000000">
        <w:rPr>
          <w:rFonts w:ascii="Times New Roman" w:cs="Times New Roman" w:eastAsia="Times New Roman" w:hAnsi="Times New Roman"/>
          <w:color w:val="333333"/>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Метою </w:t>
      </w:r>
      <w:r w:rsidDel="00000000" w:rsidR="00000000" w:rsidRPr="00000000">
        <w:rPr>
          <w:rFonts w:ascii="Times New Roman" w:cs="Times New Roman" w:eastAsia="Times New Roman" w:hAnsi="Times New Roman"/>
          <w:color w:val="333333"/>
          <w:sz w:val="28"/>
          <w:szCs w:val="28"/>
          <w:rtl w:val="0"/>
        </w:rPr>
        <w:t xml:space="preserve">Меморандуму зазначено поглиблення співробітництва між урядом України та ВОІВ, що спрямоване на: подальший розвиток національної системи ІВ України та посилення охорони прав ІВ; розвиток кадрового потенціалу у сфері ІВ; посилення потенціалу університетів і дослідницьких інститутів України з метою їх ефективного управління активами ІВ; заохочення поширення нових знань про ІВ та комерціалізації ІВ; підвищення рівня обізнаності у сфері ІВ та поглиблення поваги до сфери ІВ в Україні [</w:t>
      </w:r>
      <w:r w:rsidDel="00000000" w:rsidR="00000000" w:rsidRPr="00000000">
        <w:rPr>
          <w:rFonts w:ascii="Times New Roman" w:cs="Times New Roman" w:eastAsia="Times New Roman" w:hAnsi="Times New Roman"/>
          <w:color w:val="333333"/>
          <w:sz w:val="28"/>
          <w:szCs w:val="28"/>
          <w:rtl w:val="0"/>
        </w:rPr>
        <w:t xml:space="preserve">9</w:t>
      </w:r>
      <w:r w:rsidDel="00000000" w:rsidR="00000000" w:rsidRPr="00000000">
        <w:rPr>
          <w:rFonts w:ascii="Times New Roman" w:cs="Times New Roman" w:eastAsia="Times New Roman" w:hAnsi="Times New Roman"/>
          <w:color w:val="333333"/>
          <w:sz w:val="28"/>
          <w:szCs w:val="28"/>
          <w:rtl w:val="0"/>
        </w:rPr>
        <w:t xml:space="preserve">].</w:t>
      </w:r>
    </w:p>
    <w:p w:rsidR="00000000" w:rsidDel="00000000" w:rsidP="00000000" w:rsidRDefault="00000000" w:rsidRPr="00000000" w14:paraId="0000008F">
      <w:pPr>
        <w:spacing w:line="360" w:lineRule="auto"/>
        <w:ind w:firstLine="8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система захисту прав ІВ  має бути спрямована на розширення можливостей доступу суспільства до інтелектуальних продуктів,  регулювання  розподілу  доходу  між  автором та  суспільством,  активізацію  міжнародного трансферу капіталу у країну, розширення впливу закладів вищої освіти науково-дослідницького типу. </w:t>
      </w:r>
    </w:p>
    <w:p w:rsidR="00000000" w:rsidDel="00000000" w:rsidP="00000000" w:rsidRDefault="00000000" w:rsidRPr="00000000" w14:paraId="00000090">
      <w:pPr>
        <w:spacing w:line="360" w:lineRule="auto"/>
        <w:ind w:firstLine="81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1">
      <w:pPr>
        <w:spacing w:line="360" w:lineRule="auto"/>
        <w:ind w:firstLine="81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літератури:</w:t>
      </w:r>
      <w:r w:rsidDel="00000000" w:rsidR="00000000" w:rsidRPr="00000000">
        <w:rPr>
          <w:rtl w:val="0"/>
        </w:rPr>
      </w:r>
    </w:p>
    <w:p w:rsidR="00000000" w:rsidDel="00000000" w:rsidP="00000000" w:rsidRDefault="00000000" w:rsidRPr="00000000" w14:paraId="00000092">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 Є. Моісеєнко, О. О. Корогодова, Н. О. Черненко, Я. І. Глущенко. Теоретичні аспекти та економічна сутність поняття права інтелектуальної власності.  </w:t>
      </w:r>
      <w:r w:rsidDel="00000000" w:rsidR="00000000" w:rsidRPr="00000000">
        <w:rPr>
          <w:rFonts w:ascii="Times New Roman" w:cs="Times New Roman" w:eastAsia="Times New Roman" w:hAnsi="Times New Roman"/>
          <w:sz w:val="28"/>
          <w:szCs w:val="28"/>
          <w:rtl w:val="0"/>
        </w:rPr>
        <w:t xml:space="preserve">№ 18 (2021): Економічний вісник НТУУ "КПІ" - 2021. </w:t>
      </w:r>
      <w:r w:rsidDel="00000000" w:rsidR="00000000" w:rsidRPr="00000000">
        <w:rPr>
          <w:rFonts w:ascii="Times New Roman" w:cs="Times New Roman" w:eastAsia="Times New Roman" w:hAnsi="Times New Roman"/>
          <w:sz w:val="28"/>
          <w:szCs w:val="28"/>
          <w:rtl w:val="0"/>
        </w:rPr>
        <w:t xml:space="preserve"> DOI: </w:t>
      </w:r>
      <w:r w:rsidDel="00000000" w:rsidR="00000000" w:rsidRPr="00000000">
        <w:rPr>
          <w:rFonts w:ascii="Times New Roman" w:cs="Times New Roman" w:eastAsia="Times New Roman" w:hAnsi="Times New Roman"/>
          <w:sz w:val="28"/>
          <w:szCs w:val="28"/>
          <w:rtl w:val="0"/>
        </w:rPr>
        <w:t xml:space="preserve">https://doi.org/10.20535/2307-5651.18.2021.240442 (дата звернення 03.03.2022)</w:t>
      </w:r>
    </w:p>
    <w:p w:rsidR="00000000" w:rsidDel="00000000" w:rsidP="00000000" w:rsidRDefault="00000000" w:rsidRPr="00000000" w14:paraId="00000093">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Types of intellectual property. WIPO: the official site. URL: </w:t>
      </w:r>
      <w:r w:rsidDel="00000000" w:rsidR="00000000" w:rsidRPr="00000000">
        <w:rPr>
          <w:rFonts w:ascii="Times New Roman" w:cs="Times New Roman" w:eastAsia="Times New Roman" w:hAnsi="Times New Roman"/>
          <w:sz w:val="28"/>
          <w:szCs w:val="28"/>
          <w:rtl w:val="0"/>
        </w:rPr>
        <w:t xml:space="preserve">https://www.wipo.int/about-ip/en/ (дата звернення 03.03.2022)</w:t>
      </w:r>
    </w:p>
    <w:p w:rsidR="00000000" w:rsidDel="00000000" w:rsidP="00000000" w:rsidRDefault="00000000" w:rsidRPr="00000000" w14:paraId="00000094">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Корогодова О. О., Глущенко Я. І. Адитивні технології, права інтелектуальної власності та митний контроль: проблеми та оптимізація в умовах Індустрії 4.0. // Створення, охорона, захист і комерціалізація об'єктів права інтелектуальної власності: зб. матеріалів ІІІ Всеукраїнської наук.-практ. конференції, м. Київ, 23 квіт. 2020 р. / Упоряд.: А.С.Ромашко, С. Ю. Петряєв. Київ : КПІ ім. Ігоря Сікорського, Вид-во «Політехніка», 2020. С.108-112. </w:t>
      </w:r>
    </w:p>
    <w:p w:rsidR="00000000" w:rsidDel="00000000" w:rsidP="00000000" w:rsidRDefault="00000000" w:rsidRPr="00000000" w14:paraId="00000095">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Annual reports 2018-2019. World Customs Organization: the official site. URL: http://www.wcoomd.org/-/media/wco/public/global/pdf/media/annual-reports/ annual-report-2018_2019.pdf (дата звернення 01.04.2022).</w:t>
      </w:r>
    </w:p>
    <w:p w:rsidR="00000000" w:rsidDel="00000000" w:rsidP="00000000" w:rsidRDefault="00000000" w:rsidRPr="00000000" w14:paraId="00000096">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Annual reports 2019-2020. World Customs Organization: the official site. URL: </w:t>
      </w:r>
      <w:r w:rsidDel="00000000" w:rsidR="00000000" w:rsidRPr="00000000">
        <w:rPr>
          <w:rFonts w:ascii="Times New Roman" w:cs="Times New Roman" w:eastAsia="Times New Roman" w:hAnsi="Times New Roman"/>
          <w:sz w:val="28"/>
          <w:szCs w:val="28"/>
          <w:rtl w:val="0"/>
        </w:rPr>
        <w:t xml:space="preserve">http://www.wcoomd.org/-/media/wco/public/global/pdf/about-us/annual-reports/annual-report-2019_2020.pdf</w:t>
      </w:r>
      <w:r w:rsidDel="00000000" w:rsidR="00000000" w:rsidRPr="00000000">
        <w:rPr>
          <w:rFonts w:ascii="Times New Roman" w:cs="Times New Roman" w:eastAsia="Times New Roman" w:hAnsi="Times New Roman"/>
          <w:sz w:val="28"/>
          <w:szCs w:val="28"/>
          <w:rtl w:val="0"/>
        </w:rPr>
        <w:t xml:space="preserve"> (дата звернення 01.04.2022).</w:t>
      </w:r>
    </w:p>
    <w:p w:rsidR="00000000" w:rsidDel="00000000" w:rsidP="00000000" w:rsidRDefault="00000000" w:rsidRPr="00000000" w14:paraId="00000097">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Annual reports 2020-2021. World Customs Organization: the official site. URL: </w:t>
      </w:r>
      <w:r w:rsidDel="00000000" w:rsidR="00000000" w:rsidRPr="00000000">
        <w:rPr>
          <w:rFonts w:ascii="Times New Roman" w:cs="Times New Roman" w:eastAsia="Times New Roman" w:hAnsi="Times New Roman"/>
          <w:sz w:val="28"/>
          <w:szCs w:val="28"/>
          <w:rtl w:val="0"/>
        </w:rPr>
        <w:t xml:space="preserve">http://www.wcoomd.org/-/media/wco/public/global/pdf/about-us/annual-reports/annual-report-2020_2021.pdf</w:t>
      </w:r>
      <w:r w:rsidDel="00000000" w:rsidR="00000000" w:rsidRPr="00000000">
        <w:rPr>
          <w:rFonts w:ascii="Times New Roman" w:cs="Times New Roman" w:eastAsia="Times New Roman" w:hAnsi="Times New Roman"/>
          <w:sz w:val="28"/>
          <w:szCs w:val="28"/>
          <w:rtl w:val="0"/>
        </w:rPr>
        <w:t xml:space="preserve"> (дата звернення 01.04.2022).</w:t>
      </w:r>
    </w:p>
    <w:p w:rsidR="00000000" w:rsidDel="00000000" w:rsidP="00000000" w:rsidRDefault="00000000" w:rsidRPr="00000000" w14:paraId="00000098">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3c4043"/>
          <w:sz w:val="28"/>
          <w:szCs w:val="28"/>
          <w:rtl w:val="0"/>
        </w:rPr>
        <w:t xml:space="preserve">Цивільний кодекс України No 435-IV від 16 січня 2003 р. зі змінами та доповненнями // Верховна Рада України. URL: https://ips.ligazakon.net/document/T030435</w:t>
      </w:r>
      <w:r w:rsidDel="00000000" w:rsidR="00000000" w:rsidRPr="00000000">
        <w:rPr>
          <w:rFonts w:ascii="Times New Roman" w:cs="Times New Roman" w:eastAsia="Times New Roman" w:hAnsi="Times New Roman"/>
          <w:sz w:val="28"/>
          <w:szCs w:val="28"/>
          <w:rtl w:val="0"/>
        </w:rPr>
        <w:t xml:space="preserve"> (дата звернення 03.03.2022)</w:t>
      </w:r>
    </w:p>
    <w:p w:rsidR="00000000" w:rsidDel="00000000" w:rsidP="00000000" w:rsidRDefault="00000000" w:rsidRPr="00000000" w14:paraId="00000099">
      <w:pPr>
        <w:numPr>
          <w:ilvl w:val="0"/>
          <w:numId w:val="1"/>
        </w:numPr>
        <w:shd w:fill="ffffff" w:val="clear"/>
        <w:spacing w:line="360" w:lineRule="auto"/>
        <w:ind w:left="720" w:hanging="360"/>
        <w:jc w:val="both"/>
        <w:rPr>
          <w:rFonts w:ascii="Times New Roman" w:cs="Times New Roman" w:eastAsia="Times New Roman" w:hAnsi="Times New Roman"/>
          <w:color w:val="333333"/>
          <w:sz w:val="28"/>
          <w:szCs w:val="28"/>
        </w:rPr>
      </w:pPr>
      <w:r w:rsidDel="00000000" w:rsidR="00000000" w:rsidRPr="00000000">
        <w:rPr>
          <w:rFonts w:ascii="Times New Roman" w:cs="Times New Roman" w:eastAsia="Times New Roman" w:hAnsi="Times New Roman"/>
          <w:color w:val="333333"/>
          <w:sz w:val="28"/>
          <w:szCs w:val="28"/>
          <w:rtl w:val="0"/>
        </w:rPr>
        <w:t xml:space="preserve">International property rights index. Property Rights Alliance. URL: https://www.internationalpropertyrightsindex.org/#world-map </w:t>
      </w:r>
      <w:r w:rsidDel="00000000" w:rsidR="00000000" w:rsidRPr="00000000">
        <w:rPr>
          <w:rFonts w:ascii="Times New Roman" w:cs="Times New Roman" w:eastAsia="Times New Roman" w:hAnsi="Times New Roman"/>
          <w:sz w:val="28"/>
          <w:szCs w:val="28"/>
          <w:rtl w:val="0"/>
        </w:rPr>
        <w:t xml:space="preserve">(дата звернення 03.04.2022)</w:t>
      </w:r>
    </w:p>
    <w:p w:rsidR="00000000" w:rsidDel="00000000" w:rsidP="00000000" w:rsidRDefault="00000000" w:rsidRPr="00000000" w14:paraId="0000009A">
      <w:pPr>
        <w:numPr>
          <w:ilvl w:val="0"/>
          <w:numId w:val="1"/>
        </w:numPr>
        <w:shd w:fill="ffffff" w:val="clea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333333"/>
          <w:sz w:val="28"/>
          <w:szCs w:val="28"/>
          <w:rtl w:val="0"/>
        </w:rPr>
        <w:t xml:space="preserve">МЕМОРАНДУМ про взаєморозуміння між Міністерством економіки України та Всесвітньою організацією інтелектуальної власності щодо співробітництва у сфері інтелектуальної власності.  URL: https://zakon.rada.gov.ua/laws/show/999_001-21#Text </w:t>
      </w:r>
      <w:r w:rsidDel="00000000" w:rsidR="00000000" w:rsidRPr="00000000">
        <w:rPr>
          <w:rFonts w:ascii="Times New Roman" w:cs="Times New Roman" w:eastAsia="Times New Roman" w:hAnsi="Times New Roman"/>
          <w:sz w:val="28"/>
          <w:szCs w:val="28"/>
          <w:rtl w:val="0"/>
        </w:rPr>
        <w:t xml:space="preserve">(дата звернення 23.03.2022)</w:t>
      </w:r>
    </w:p>
    <w:p w:rsidR="00000000" w:rsidDel="00000000" w:rsidP="00000000" w:rsidRDefault="00000000" w:rsidRPr="00000000" w14:paraId="0000009B">
      <w:pPr>
        <w:shd w:fill="ffffff" w:val="clear"/>
        <w:spacing w:line="360" w:lineRule="auto"/>
        <w:ind w:left="720" w:firstLine="0"/>
        <w:jc w:val="both"/>
        <w:rPr>
          <w:rFonts w:ascii="Times New Roman" w:cs="Times New Roman" w:eastAsia="Times New Roman" w:hAnsi="Times New Roman"/>
          <w:color w:val="333333"/>
          <w:sz w:val="28"/>
          <w:szCs w:val="28"/>
        </w:rPr>
      </w:pPr>
      <w:r w:rsidDel="00000000" w:rsidR="00000000" w:rsidRPr="00000000">
        <w:rPr>
          <w:rtl w:val="0"/>
        </w:rPr>
      </w:r>
    </w:p>
    <w:p w:rsidR="00000000" w:rsidDel="00000000" w:rsidP="00000000" w:rsidRDefault="00000000" w:rsidRPr="00000000" w14:paraId="0000009C">
      <w:pPr>
        <w:shd w:fill="ffffff" w:val="clear"/>
        <w:spacing w:line="360" w:lineRule="auto"/>
        <w:ind w:left="0" w:firstLine="0"/>
        <w:jc w:val="both"/>
        <w:rPr>
          <w:rFonts w:ascii="Times New Roman" w:cs="Times New Roman" w:eastAsia="Times New Roman" w:hAnsi="Times New Roman"/>
          <w:color w:val="333333"/>
          <w:sz w:val="28"/>
          <w:szCs w:val="28"/>
        </w:rPr>
      </w:pPr>
      <w:r w:rsidDel="00000000" w:rsidR="00000000" w:rsidRPr="00000000">
        <w:rPr>
          <w:rtl w:val="0"/>
        </w:rPr>
      </w:r>
    </w:p>
    <w:sectPr>
      <w:pgSz w:h="16838" w:w="11906" w:orient="portrait"/>
      <w:pgMar w:bottom="1133.8582677165355" w:top="1133.8582677165355" w:left="1133.8582677165355" w:right="1133.8582677165355"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