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5E9B" w:rsidRPr="00B25E9B" w:rsidRDefault="00B25E9B" w:rsidP="00B25E9B">
      <w:pPr>
        <w:pStyle w:val="3"/>
        <w:spacing w:before="0" w:line="240" w:lineRule="auto"/>
        <w:jc w:val="center"/>
        <w:rPr>
          <w:rFonts w:ascii="Verdana" w:hAnsi="Verdana"/>
          <w:color w:val="auto"/>
          <w:sz w:val="24"/>
          <w:szCs w:val="24"/>
          <w:lang w:val="ru-RU"/>
        </w:rPr>
      </w:pPr>
      <w:bookmarkStart w:id="0" w:name="_Toc352106231"/>
      <w:r w:rsidRPr="00B25E9B">
        <w:rPr>
          <w:rFonts w:ascii="Verdana" w:hAnsi="Verdana"/>
          <w:color w:val="auto"/>
          <w:sz w:val="24"/>
          <w:szCs w:val="24"/>
          <w:lang w:val="ru-RU"/>
        </w:rPr>
        <w:t>Основні фактори впливу на формування ціни на житло в Україні</w:t>
      </w:r>
      <w:bookmarkEnd w:id="0"/>
    </w:p>
    <w:p w:rsidR="00B25E9B" w:rsidRPr="00B25E9B" w:rsidRDefault="00B25E9B" w:rsidP="00B25E9B">
      <w:pPr>
        <w:pStyle w:val="3"/>
        <w:spacing w:before="0" w:line="240" w:lineRule="auto"/>
        <w:jc w:val="center"/>
        <w:rPr>
          <w:rFonts w:ascii="Verdana" w:hAnsi="Verdana"/>
          <w:b w:val="0"/>
          <w:color w:val="auto"/>
          <w:lang w:val="ru-RU"/>
        </w:rPr>
      </w:pPr>
      <w:bookmarkStart w:id="1" w:name="_Toc352106232"/>
      <w:r w:rsidRPr="00B25E9B">
        <w:rPr>
          <w:rFonts w:ascii="Verdana" w:hAnsi="Verdana"/>
          <w:b w:val="0"/>
          <w:color w:val="auto"/>
          <w:lang w:val="ru-RU"/>
        </w:rPr>
        <w:t>Станіславчук Ю. С.</w:t>
      </w:r>
      <w:bookmarkEnd w:id="1"/>
    </w:p>
    <w:p w:rsidR="00B25E9B" w:rsidRPr="000275C2" w:rsidRDefault="00B25E9B" w:rsidP="00B25E9B">
      <w:pPr>
        <w:pStyle w:val="12"/>
        <w:rPr>
          <w:rFonts w:ascii="Verdana" w:hAnsi="Verdana"/>
          <w:b/>
          <w:sz w:val="22"/>
          <w:szCs w:val="22"/>
          <w:lang w:val="ru-RU"/>
        </w:rPr>
      </w:pPr>
      <w:r w:rsidRPr="000275C2">
        <w:rPr>
          <w:rFonts w:ascii="Verdana" w:hAnsi="Verdana"/>
          <w:b/>
          <w:sz w:val="22"/>
          <w:szCs w:val="22"/>
        </w:rPr>
        <w:t>Національний технічний університет України «КПІ»</w:t>
      </w:r>
      <w:r w:rsidRPr="000275C2">
        <w:rPr>
          <w:rFonts w:ascii="Verdana" w:hAnsi="Verdana"/>
          <w:b/>
          <w:sz w:val="22"/>
          <w:szCs w:val="22"/>
          <w:lang w:val="ru-RU"/>
        </w:rPr>
        <w:t xml:space="preserve"> </w:t>
      </w:r>
    </w:p>
    <w:p w:rsidR="00B25E9B" w:rsidRPr="000275C2" w:rsidRDefault="00B25E9B" w:rsidP="00B25E9B">
      <w:pPr>
        <w:pStyle w:val="12"/>
        <w:tabs>
          <w:tab w:val="clear" w:pos="540"/>
          <w:tab w:val="left" w:pos="0"/>
        </w:tabs>
        <w:rPr>
          <w:rFonts w:ascii="Verdana" w:hAnsi="Verdana"/>
          <w:i/>
          <w:sz w:val="22"/>
          <w:szCs w:val="22"/>
        </w:rPr>
      </w:pPr>
      <w:r w:rsidRPr="000275C2">
        <w:rPr>
          <w:rFonts w:ascii="Verdana" w:hAnsi="Verdana"/>
          <w:i/>
          <w:sz w:val="22"/>
          <w:szCs w:val="22"/>
          <w:lang w:val="fr-FR"/>
        </w:rPr>
        <w:t xml:space="preserve">E-mail: </w:t>
      </w:r>
      <w:hyperlink r:id="rId7" w:history="1">
        <w:r w:rsidRPr="000275C2">
          <w:rPr>
            <w:rStyle w:val="af4"/>
            <w:rFonts w:ascii="Verdana" w:eastAsiaTheme="majorEastAsia" w:hAnsi="Verdana"/>
            <w:i/>
            <w:color w:val="auto"/>
            <w:sz w:val="22"/>
            <w:szCs w:val="22"/>
          </w:rPr>
          <w:t>yulia.stanislavchuk@gmail.com</w:t>
        </w:r>
      </w:hyperlink>
    </w:p>
    <w:p w:rsidR="00B25E9B" w:rsidRPr="000275C2" w:rsidRDefault="00B25E9B" w:rsidP="00B25E9B">
      <w:pPr>
        <w:pStyle w:val="12"/>
        <w:rPr>
          <w:rFonts w:ascii="Verdana" w:hAnsi="Verdana"/>
          <w:i/>
          <w:sz w:val="22"/>
          <w:szCs w:val="22"/>
          <w:lang w:val="fr-FR"/>
        </w:rPr>
      </w:pPr>
      <w:r w:rsidRPr="000275C2">
        <w:rPr>
          <w:rFonts w:ascii="Verdana" w:hAnsi="Verdana"/>
          <w:sz w:val="22"/>
          <w:szCs w:val="22"/>
        </w:rPr>
        <w:t>Науковий керівник:</w:t>
      </w:r>
      <w:r w:rsidRPr="000275C2">
        <w:rPr>
          <w:rFonts w:ascii="Verdana" w:hAnsi="Verdana"/>
        </w:rPr>
        <w:t xml:space="preserve"> </w:t>
      </w:r>
      <w:r w:rsidRPr="000275C2">
        <w:rPr>
          <w:rFonts w:ascii="Verdana" w:hAnsi="Verdana"/>
          <w:sz w:val="22"/>
          <w:szCs w:val="22"/>
        </w:rPr>
        <w:t>к.т.н., доц. Гальчинський Л.Ю.</w:t>
      </w:r>
    </w:p>
    <w:p w:rsidR="00B25E9B" w:rsidRPr="000275C2" w:rsidRDefault="00B25E9B" w:rsidP="00B25E9B">
      <w:pPr>
        <w:spacing w:after="0" w:line="240" w:lineRule="auto"/>
        <w:ind w:firstLine="567"/>
        <w:jc w:val="both"/>
        <w:rPr>
          <w:rFonts w:ascii="Verdana" w:hAnsi="Verdana"/>
          <w:sz w:val="18"/>
          <w:szCs w:val="18"/>
        </w:rPr>
      </w:pPr>
      <w:r w:rsidRPr="000275C2">
        <w:rPr>
          <w:rFonts w:ascii="Verdana" w:hAnsi="Verdana"/>
          <w:sz w:val="18"/>
          <w:szCs w:val="18"/>
        </w:rPr>
        <w:t>Як відомо, житло, як основа будівельного ринку, є однією з головних потреб людини та найбільшою цінністю для більшості громадян України. При цьому, далеко не кожна людина може собі дозволити придбати енну кількість квадратних метрів з причини їх скаженої дорожнечі.</w:t>
      </w:r>
    </w:p>
    <w:p w:rsidR="00B25E9B" w:rsidRPr="000275C2" w:rsidRDefault="00B25E9B" w:rsidP="00B25E9B">
      <w:pPr>
        <w:spacing w:after="0" w:line="240" w:lineRule="auto"/>
        <w:ind w:firstLine="567"/>
        <w:jc w:val="both"/>
        <w:rPr>
          <w:rFonts w:ascii="Verdana" w:hAnsi="Verdana"/>
          <w:sz w:val="18"/>
          <w:szCs w:val="18"/>
        </w:rPr>
      </w:pPr>
      <w:r w:rsidRPr="000275C2">
        <w:rPr>
          <w:rFonts w:ascii="Verdana" w:hAnsi="Verdana"/>
          <w:sz w:val="18"/>
          <w:szCs w:val="18"/>
        </w:rPr>
        <w:t xml:space="preserve">У фундаментальній економічній праці К. Р. Макконела та С. Л, Брю «Економікс» [1] </w:t>
      </w:r>
      <w:r w:rsidRPr="000275C2">
        <w:rPr>
          <w:rFonts w:ascii="Verdana" w:hAnsi="Verdana"/>
          <w:i/>
          <w:sz w:val="18"/>
          <w:szCs w:val="18"/>
        </w:rPr>
        <w:t xml:space="preserve">ринок </w:t>
      </w:r>
      <w:r w:rsidRPr="000275C2">
        <w:rPr>
          <w:rFonts w:ascii="Verdana" w:hAnsi="Verdana"/>
          <w:sz w:val="18"/>
          <w:szCs w:val="18"/>
        </w:rPr>
        <w:t>трактується як інститут, що зводить докупи продавців і покупців окремих товарів, послуг чи ресурсів.</w:t>
      </w:r>
    </w:p>
    <w:p w:rsidR="00B25E9B" w:rsidRPr="000275C2" w:rsidRDefault="00B25E9B" w:rsidP="00B25E9B">
      <w:pPr>
        <w:spacing w:after="0" w:line="240" w:lineRule="auto"/>
        <w:ind w:firstLine="567"/>
        <w:jc w:val="both"/>
        <w:rPr>
          <w:rFonts w:ascii="Verdana" w:hAnsi="Verdana"/>
          <w:sz w:val="18"/>
          <w:szCs w:val="18"/>
        </w:rPr>
      </w:pPr>
      <w:r w:rsidRPr="000275C2">
        <w:rPr>
          <w:rFonts w:ascii="Verdana" w:hAnsi="Verdana"/>
          <w:sz w:val="18"/>
          <w:szCs w:val="18"/>
        </w:rPr>
        <w:t xml:space="preserve">Виходячи з цього, можна визначити </w:t>
      </w:r>
      <w:r w:rsidRPr="000275C2">
        <w:rPr>
          <w:rFonts w:ascii="Verdana" w:hAnsi="Verdana"/>
          <w:bCs/>
          <w:i/>
          <w:sz w:val="18"/>
          <w:szCs w:val="18"/>
        </w:rPr>
        <w:t xml:space="preserve">ринок </w:t>
      </w:r>
      <w:r w:rsidRPr="000275C2">
        <w:rPr>
          <w:rFonts w:ascii="Verdana" w:hAnsi="Verdana"/>
          <w:bCs/>
          <w:sz w:val="18"/>
          <w:szCs w:val="18"/>
        </w:rPr>
        <w:t>нерухомості (будівництва)</w:t>
      </w:r>
      <w:r w:rsidRPr="000275C2">
        <w:rPr>
          <w:rFonts w:ascii="Verdana" w:hAnsi="Verdana"/>
          <w:sz w:val="18"/>
          <w:szCs w:val="18"/>
        </w:rPr>
        <w:t>, як механізм, за допомогою якого поєднуються інтереси та права на нерухомість і встановлюються ціни на неї.</w:t>
      </w:r>
    </w:p>
    <w:p w:rsidR="00B25E9B" w:rsidRPr="000275C2" w:rsidRDefault="00B25E9B" w:rsidP="00B25E9B">
      <w:pPr>
        <w:spacing w:after="0" w:line="240" w:lineRule="auto"/>
        <w:ind w:firstLine="567"/>
        <w:jc w:val="both"/>
        <w:rPr>
          <w:rFonts w:ascii="Verdana" w:hAnsi="Verdana"/>
          <w:sz w:val="18"/>
          <w:szCs w:val="18"/>
        </w:rPr>
      </w:pPr>
      <w:r w:rsidRPr="000275C2">
        <w:rPr>
          <w:rFonts w:ascii="Verdana" w:hAnsi="Verdana"/>
          <w:sz w:val="18"/>
          <w:szCs w:val="18"/>
        </w:rPr>
        <w:t>Досліджуючи питання формування ринкової ціни на житло, необхідно враховувати, що ринок житла є напрочуд чутливим економічним механізмом і знаходиться під впливом багатьох макро- та мікроекономічних факторів і лише ґрунтовний математичний аналіз різних економічних чинників може бути основою для подальшого моделювання ринку житла в Україні.</w:t>
      </w:r>
    </w:p>
    <w:p w:rsidR="00B25E9B" w:rsidRPr="000275C2" w:rsidRDefault="00B25E9B" w:rsidP="00B25E9B">
      <w:pPr>
        <w:spacing w:after="0" w:line="240" w:lineRule="auto"/>
        <w:ind w:firstLine="567"/>
        <w:jc w:val="both"/>
        <w:rPr>
          <w:rFonts w:ascii="Verdana" w:hAnsi="Verdana"/>
          <w:sz w:val="18"/>
          <w:szCs w:val="18"/>
        </w:rPr>
      </w:pPr>
      <w:r w:rsidRPr="000275C2">
        <w:rPr>
          <w:rFonts w:ascii="Verdana" w:hAnsi="Verdana"/>
          <w:sz w:val="18"/>
          <w:szCs w:val="18"/>
        </w:rPr>
        <w:t>Для нашого аналізу було обрано ринок житла в місті Києві,  як найбільш економічно жвавому регіоні країни, особливо в пост-кризовий період, який в певній мірі відображає загальну ситуацію на ринку житла в країні в цілому.</w:t>
      </w:r>
    </w:p>
    <w:p w:rsidR="00B25E9B" w:rsidRPr="000275C2" w:rsidRDefault="00B25E9B" w:rsidP="00B25E9B">
      <w:pPr>
        <w:spacing w:after="0" w:line="240" w:lineRule="auto"/>
        <w:ind w:firstLine="567"/>
        <w:jc w:val="both"/>
        <w:rPr>
          <w:rFonts w:ascii="Verdana" w:hAnsi="Verdana"/>
          <w:sz w:val="18"/>
          <w:szCs w:val="18"/>
        </w:rPr>
      </w:pPr>
      <w:r w:rsidRPr="000275C2">
        <w:rPr>
          <w:rFonts w:ascii="Verdana" w:hAnsi="Verdana"/>
          <w:sz w:val="18"/>
          <w:szCs w:val="18"/>
        </w:rPr>
        <w:t xml:space="preserve">Згідно з </w:t>
      </w:r>
      <w:r w:rsidRPr="000275C2">
        <w:rPr>
          <w:rFonts w:ascii="Verdana" w:hAnsi="Verdana"/>
          <w:sz w:val="18"/>
          <w:szCs w:val="18"/>
          <w:lang w:val="ru-RU"/>
        </w:rPr>
        <w:t>[2]</w:t>
      </w:r>
      <w:r w:rsidRPr="000275C2">
        <w:rPr>
          <w:rFonts w:ascii="Verdana" w:hAnsi="Verdana"/>
          <w:sz w:val="18"/>
          <w:szCs w:val="18"/>
        </w:rPr>
        <w:t>, для аналізу були взяті поквартальні показники ціни одного квадратного метра житла, номінального наявного доходу домогосподарств,  відсоткової ставки по житловим кредитам та об`єму боргу домогосподарств по житловим кредитам за період з четвертого кварталу  2008 року по кінець 2012 року.</w:t>
      </w:r>
    </w:p>
    <w:p w:rsidR="00B25E9B" w:rsidRPr="000275C2" w:rsidRDefault="00B25E9B" w:rsidP="00B25E9B">
      <w:pPr>
        <w:spacing w:after="0" w:line="240" w:lineRule="auto"/>
        <w:ind w:firstLine="567"/>
        <w:rPr>
          <w:rFonts w:ascii="Verdana" w:hAnsi="Verdana"/>
          <w:sz w:val="18"/>
          <w:szCs w:val="18"/>
        </w:rPr>
      </w:pPr>
      <w:r w:rsidRPr="000275C2">
        <w:rPr>
          <w:rFonts w:ascii="Verdana" w:hAnsi="Verdana"/>
          <w:sz w:val="18"/>
          <w:szCs w:val="18"/>
        </w:rPr>
        <w:t>Матриця кореляцій для цих величин виглядає наступним чином.</w:t>
      </w:r>
    </w:p>
    <w:tbl>
      <w:tblPr>
        <w:tblW w:w="62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5"/>
        <w:gridCol w:w="868"/>
        <w:gridCol w:w="1285"/>
        <w:gridCol w:w="1335"/>
        <w:gridCol w:w="1335"/>
      </w:tblGrid>
      <w:tr w:rsidR="00B25E9B" w:rsidRPr="000275C2" w:rsidTr="00262D2F">
        <w:trPr>
          <w:trHeight w:val="900"/>
          <w:jc w:val="center"/>
        </w:trPr>
        <w:tc>
          <w:tcPr>
            <w:tcW w:w="1418" w:type="dxa"/>
            <w:shd w:val="clear" w:color="auto" w:fill="auto"/>
            <w:vAlign w:val="center"/>
          </w:tcPr>
          <w:p w:rsidR="00B25E9B" w:rsidRPr="000275C2" w:rsidRDefault="00B25E9B" w:rsidP="00262D2F">
            <w:pPr>
              <w:spacing w:after="0" w:line="240" w:lineRule="auto"/>
              <w:rPr>
                <w:rFonts w:ascii="Verdana" w:hAnsi="Verdana"/>
                <w:sz w:val="16"/>
                <w:szCs w:val="16"/>
                <w:lang w:val="ru-RU"/>
              </w:rPr>
            </w:pPr>
          </w:p>
        </w:tc>
        <w:tc>
          <w:tcPr>
            <w:tcW w:w="871" w:type="dxa"/>
            <w:shd w:val="clear" w:color="auto" w:fill="auto"/>
            <w:vAlign w:val="center"/>
          </w:tcPr>
          <w:p w:rsidR="00B25E9B" w:rsidRPr="000275C2" w:rsidRDefault="00B25E9B" w:rsidP="00262D2F">
            <w:pPr>
              <w:spacing w:after="0" w:line="240" w:lineRule="auto"/>
              <w:ind w:right="2"/>
              <w:jc w:val="center"/>
              <w:rPr>
                <w:rFonts w:ascii="Verdana" w:hAnsi="Verdana"/>
                <w:sz w:val="16"/>
                <w:szCs w:val="16"/>
                <w:vertAlign w:val="superscript"/>
              </w:rPr>
            </w:pPr>
            <w:r w:rsidRPr="000275C2">
              <w:rPr>
                <w:rFonts w:ascii="Verdana" w:hAnsi="Verdana"/>
                <w:sz w:val="16"/>
                <w:szCs w:val="16"/>
              </w:rPr>
              <w:t>Ціна за м</w:t>
            </w:r>
            <w:r w:rsidRPr="000275C2">
              <w:rPr>
                <w:rFonts w:ascii="Verdana" w:hAnsi="Verdana"/>
                <w:sz w:val="16"/>
                <w:szCs w:val="16"/>
                <w:vertAlign w:val="superscript"/>
              </w:rPr>
              <w:t>2</w:t>
            </w:r>
          </w:p>
        </w:tc>
        <w:tc>
          <w:tcPr>
            <w:tcW w:w="1277"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Номінальний наявний дохід</w:t>
            </w:r>
          </w:p>
        </w:tc>
        <w:tc>
          <w:tcPr>
            <w:tcW w:w="1336"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Відсоткова ставка по кредитам на нерухомість</w:t>
            </w:r>
          </w:p>
        </w:tc>
        <w:tc>
          <w:tcPr>
            <w:tcW w:w="1336"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Об'єм боргу по кредитам на нерухомість</w:t>
            </w:r>
          </w:p>
        </w:tc>
      </w:tr>
      <w:tr w:rsidR="00B25E9B" w:rsidRPr="000275C2" w:rsidTr="00262D2F">
        <w:trPr>
          <w:trHeight w:val="300"/>
          <w:jc w:val="center"/>
        </w:trPr>
        <w:tc>
          <w:tcPr>
            <w:tcW w:w="1418" w:type="dxa"/>
            <w:shd w:val="clear" w:color="auto" w:fill="auto"/>
            <w:vAlign w:val="center"/>
          </w:tcPr>
          <w:p w:rsidR="00B25E9B" w:rsidRPr="000275C2" w:rsidRDefault="00B25E9B" w:rsidP="00262D2F">
            <w:pPr>
              <w:spacing w:after="0" w:line="240" w:lineRule="auto"/>
              <w:jc w:val="center"/>
              <w:rPr>
                <w:rFonts w:ascii="Verdana" w:hAnsi="Verdana"/>
                <w:sz w:val="16"/>
                <w:szCs w:val="16"/>
                <w:vertAlign w:val="superscript"/>
              </w:rPr>
            </w:pPr>
            <w:r w:rsidRPr="000275C2">
              <w:rPr>
                <w:rFonts w:ascii="Verdana" w:hAnsi="Verdana"/>
                <w:sz w:val="16"/>
                <w:szCs w:val="16"/>
              </w:rPr>
              <w:t>Ціна за м</w:t>
            </w:r>
            <w:r w:rsidRPr="000275C2">
              <w:rPr>
                <w:rFonts w:ascii="Verdana" w:hAnsi="Verdana"/>
                <w:sz w:val="16"/>
                <w:szCs w:val="16"/>
                <w:vertAlign w:val="superscript"/>
              </w:rPr>
              <w:t>2</w:t>
            </w:r>
          </w:p>
        </w:tc>
        <w:tc>
          <w:tcPr>
            <w:tcW w:w="871" w:type="dxa"/>
            <w:shd w:val="clear" w:color="auto" w:fill="auto"/>
            <w:vAlign w:val="center"/>
          </w:tcPr>
          <w:p w:rsidR="00B25E9B" w:rsidRPr="000275C2" w:rsidRDefault="00B25E9B" w:rsidP="00262D2F">
            <w:pPr>
              <w:spacing w:after="0" w:line="240" w:lineRule="auto"/>
              <w:ind w:right="2"/>
              <w:jc w:val="center"/>
              <w:rPr>
                <w:rFonts w:ascii="Verdana" w:hAnsi="Verdana"/>
                <w:sz w:val="16"/>
                <w:szCs w:val="16"/>
              </w:rPr>
            </w:pPr>
            <w:r w:rsidRPr="000275C2">
              <w:rPr>
                <w:rFonts w:ascii="Verdana" w:hAnsi="Verdana"/>
                <w:sz w:val="16"/>
                <w:szCs w:val="16"/>
              </w:rPr>
              <w:t>1</w:t>
            </w:r>
          </w:p>
        </w:tc>
        <w:tc>
          <w:tcPr>
            <w:tcW w:w="1277"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-0.87</w:t>
            </w:r>
          </w:p>
        </w:tc>
        <w:tc>
          <w:tcPr>
            <w:tcW w:w="1336"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0.62</w:t>
            </w:r>
          </w:p>
        </w:tc>
        <w:tc>
          <w:tcPr>
            <w:tcW w:w="1336"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0.44</w:t>
            </w:r>
          </w:p>
        </w:tc>
      </w:tr>
      <w:tr w:rsidR="00B25E9B" w:rsidRPr="000275C2" w:rsidTr="00262D2F">
        <w:trPr>
          <w:trHeight w:val="600"/>
          <w:jc w:val="center"/>
        </w:trPr>
        <w:tc>
          <w:tcPr>
            <w:tcW w:w="1418"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Номінальний наявний дохід</w:t>
            </w:r>
          </w:p>
        </w:tc>
        <w:tc>
          <w:tcPr>
            <w:tcW w:w="871" w:type="dxa"/>
            <w:shd w:val="clear" w:color="auto" w:fill="auto"/>
            <w:vAlign w:val="center"/>
          </w:tcPr>
          <w:p w:rsidR="00B25E9B" w:rsidRPr="000275C2" w:rsidRDefault="00B25E9B" w:rsidP="00262D2F">
            <w:pPr>
              <w:spacing w:after="0" w:line="240" w:lineRule="auto"/>
              <w:ind w:right="2"/>
              <w:jc w:val="center"/>
              <w:rPr>
                <w:rFonts w:ascii="Verdana" w:hAnsi="Verdana"/>
                <w:sz w:val="16"/>
                <w:szCs w:val="16"/>
              </w:rPr>
            </w:pPr>
            <w:r w:rsidRPr="000275C2">
              <w:rPr>
                <w:rFonts w:ascii="Verdana" w:hAnsi="Verdana"/>
                <w:sz w:val="16"/>
                <w:szCs w:val="16"/>
              </w:rPr>
              <w:t>-0.87</w:t>
            </w:r>
          </w:p>
        </w:tc>
        <w:tc>
          <w:tcPr>
            <w:tcW w:w="1277"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1</w:t>
            </w:r>
          </w:p>
        </w:tc>
        <w:tc>
          <w:tcPr>
            <w:tcW w:w="1336"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-0.68</w:t>
            </w:r>
          </w:p>
        </w:tc>
        <w:tc>
          <w:tcPr>
            <w:tcW w:w="1336"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-0.58</w:t>
            </w:r>
          </w:p>
        </w:tc>
      </w:tr>
      <w:tr w:rsidR="00B25E9B" w:rsidRPr="000275C2" w:rsidTr="00262D2F">
        <w:trPr>
          <w:trHeight w:val="900"/>
          <w:jc w:val="center"/>
        </w:trPr>
        <w:tc>
          <w:tcPr>
            <w:tcW w:w="1418"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Відсоткова ставка по кредитам на нерухомість</w:t>
            </w:r>
          </w:p>
        </w:tc>
        <w:tc>
          <w:tcPr>
            <w:tcW w:w="871" w:type="dxa"/>
            <w:shd w:val="clear" w:color="auto" w:fill="auto"/>
            <w:vAlign w:val="center"/>
          </w:tcPr>
          <w:p w:rsidR="00B25E9B" w:rsidRPr="000275C2" w:rsidRDefault="00B25E9B" w:rsidP="00262D2F">
            <w:pPr>
              <w:spacing w:after="0" w:line="240" w:lineRule="auto"/>
              <w:ind w:right="2"/>
              <w:jc w:val="center"/>
              <w:rPr>
                <w:rFonts w:ascii="Verdana" w:hAnsi="Verdana"/>
                <w:sz w:val="16"/>
                <w:szCs w:val="16"/>
              </w:rPr>
            </w:pPr>
            <w:r w:rsidRPr="000275C2">
              <w:rPr>
                <w:rFonts w:ascii="Verdana" w:hAnsi="Verdana"/>
                <w:sz w:val="16"/>
                <w:szCs w:val="16"/>
              </w:rPr>
              <w:t>0.62</w:t>
            </w:r>
          </w:p>
        </w:tc>
        <w:tc>
          <w:tcPr>
            <w:tcW w:w="1277"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-0.68</w:t>
            </w:r>
          </w:p>
        </w:tc>
        <w:tc>
          <w:tcPr>
            <w:tcW w:w="1336"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1</w:t>
            </w:r>
          </w:p>
        </w:tc>
        <w:tc>
          <w:tcPr>
            <w:tcW w:w="1336"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0.83</w:t>
            </w:r>
          </w:p>
        </w:tc>
      </w:tr>
      <w:tr w:rsidR="00B25E9B" w:rsidRPr="000275C2" w:rsidTr="00262D2F">
        <w:trPr>
          <w:trHeight w:val="699"/>
          <w:jc w:val="center"/>
        </w:trPr>
        <w:tc>
          <w:tcPr>
            <w:tcW w:w="1418"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Об'єм боргу по кредитам на нерухомість</w:t>
            </w:r>
          </w:p>
        </w:tc>
        <w:tc>
          <w:tcPr>
            <w:tcW w:w="871" w:type="dxa"/>
            <w:shd w:val="clear" w:color="auto" w:fill="auto"/>
            <w:vAlign w:val="center"/>
          </w:tcPr>
          <w:p w:rsidR="00B25E9B" w:rsidRPr="000275C2" w:rsidRDefault="00B25E9B" w:rsidP="00262D2F">
            <w:pPr>
              <w:spacing w:after="0" w:line="240" w:lineRule="auto"/>
              <w:ind w:right="2"/>
              <w:jc w:val="center"/>
              <w:rPr>
                <w:rFonts w:ascii="Verdana" w:hAnsi="Verdana"/>
                <w:sz w:val="16"/>
                <w:szCs w:val="16"/>
              </w:rPr>
            </w:pPr>
            <w:r w:rsidRPr="000275C2">
              <w:rPr>
                <w:rFonts w:ascii="Verdana" w:hAnsi="Verdana"/>
                <w:sz w:val="16"/>
                <w:szCs w:val="16"/>
              </w:rPr>
              <w:t>0.44</w:t>
            </w:r>
          </w:p>
        </w:tc>
        <w:tc>
          <w:tcPr>
            <w:tcW w:w="1277"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-0.58</w:t>
            </w:r>
          </w:p>
        </w:tc>
        <w:tc>
          <w:tcPr>
            <w:tcW w:w="1336"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0.83</w:t>
            </w:r>
          </w:p>
        </w:tc>
        <w:tc>
          <w:tcPr>
            <w:tcW w:w="1336" w:type="dxa"/>
            <w:shd w:val="clear" w:color="auto" w:fill="auto"/>
            <w:vAlign w:val="center"/>
          </w:tcPr>
          <w:p w:rsidR="00B25E9B" w:rsidRPr="000275C2" w:rsidRDefault="00B25E9B" w:rsidP="00262D2F">
            <w:pPr>
              <w:spacing w:after="0" w:line="240" w:lineRule="auto"/>
              <w:jc w:val="center"/>
              <w:rPr>
                <w:rFonts w:ascii="Verdana" w:hAnsi="Verdana"/>
                <w:sz w:val="16"/>
                <w:szCs w:val="16"/>
              </w:rPr>
            </w:pPr>
            <w:r w:rsidRPr="000275C2">
              <w:rPr>
                <w:rFonts w:ascii="Verdana" w:hAnsi="Verdana"/>
                <w:sz w:val="16"/>
                <w:szCs w:val="16"/>
              </w:rPr>
              <w:t>1</w:t>
            </w:r>
          </w:p>
        </w:tc>
      </w:tr>
    </w:tbl>
    <w:p w:rsidR="00B25E9B" w:rsidRPr="000275C2" w:rsidRDefault="00B25E9B" w:rsidP="00B25E9B">
      <w:pPr>
        <w:spacing w:after="0" w:line="240" w:lineRule="auto"/>
        <w:ind w:firstLine="567"/>
        <w:jc w:val="both"/>
        <w:rPr>
          <w:rFonts w:ascii="Verdana" w:hAnsi="Verdana" w:cs="Arial"/>
          <w:sz w:val="18"/>
          <w:szCs w:val="18"/>
        </w:rPr>
      </w:pPr>
    </w:p>
    <w:p w:rsidR="00B25E9B" w:rsidRPr="000275C2" w:rsidRDefault="00B25E9B" w:rsidP="00B25E9B">
      <w:pPr>
        <w:spacing w:after="0" w:line="240" w:lineRule="auto"/>
        <w:ind w:firstLine="567"/>
        <w:jc w:val="both"/>
        <w:rPr>
          <w:rFonts w:ascii="Verdana" w:hAnsi="Verdana" w:cs="Arial"/>
          <w:sz w:val="18"/>
          <w:szCs w:val="18"/>
        </w:rPr>
      </w:pPr>
      <w:r w:rsidRPr="000275C2">
        <w:rPr>
          <w:rFonts w:ascii="Verdana" w:hAnsi="Verdana" w:cs="Arial"/>
          <w:sz w:val="18"/>
          <w:szCs w:val="18"/>
        </w:rPr>
        <w:t xml:space="preserve">Очевидно, що існує тісний взаємозв’язок між відсотковою ставкою по кредитам на нерухомість та об’ємом боргу по кредитам. Менш очікуваним виявилось те, що ступінь впливу номінального наявного доходу домогосподарств на формування ціни значно перевищує вплив інших показників. </w:t>
      </w:r>
    </w:p>
    <w:p w:rsidR="00B25E9B" w:rsidRPr="000275C2" w:rsidRDefault="00B25E9B" w:rsidP="00B25E9B">
      <w:pPr>
        <w:spacing w:after="0" w:line="240" w:lineRule="auto"/>
        <w:ind w:firstLine="567"/>
        <w:jc w:val="both"/>
        <w:rPr>
          <w:rFonts w:ascii="Verdana" w:hAnsi="Verdana"/>
          <w:sz w:val="18"/>
          <w:szCs w:val="18"/>
        </w:rPr>
      </w:pPr>
      <w:r w:rsidRPr="000275C2">
        <w:rPr>
          <w:rFonts w:ascii="Verdana" w:hAnsi="Verdana" w:cs="Arial"/>
          <w:sz w:val="18"/>
          <w:szCs w:val="18"/>
        </w:rPr>
        <w:t xml:space="preserve">Подальший аналіз факторних навантажень показав можливість ідентифікувати два незалежних фактори формування ціни на ринку житла в Україні. До першого і значно більш вагомого можна віднести номінальний наявний дохід домогосподарств. В той же час, </w:t>
      </w:r>
      <w:r w:rsidRPr="000275C2">
        <w:rPr>
          <w:rFonts w:ascii="Verdana" w:hAnsi="Verdana"/>
          <w:sz w:val="18"/>
          <w:szCs w:val="18"/>
        </w:rPr>
        <w:t>відсоткова ставка по кредитам на нерухомість та об’єм боргу по кредитам на нерухомість можуть бути об’єднані в другий фактор.</w:t>
      </w:r>
    </w:p>
    <w:p w:rsidR="00B25E9B" w:rsidRPr="000275C2" w:rsidRDefault="00B25E9B" w:rsidP="00B25E9B">
      <w:pPr>
        <w:spacing w:after="0" w:line="240" w:lineRule="auto"/>
        <w:ind w:firstLine="567"/>
        <w:jc w:val="both"/>
        <w:rPr>
          <w:rFonts w:ascii="Verdana" w:hAnsi="Verdana"/>
          <w:sz w:val="18"/>
          <w:szCs w:val="18"/>
          <w:lang w:val="ru-RU"/>
        </w:rPr>
      </w:pPr>
      <w:r w:rsidRPr="000275C2">
        <w:rPr>
          <w:rFonts w:ascii="Verdana" w:hAnsi="Verdana"/>
          <w:sz w:val="18"/>
          <w:szCs w:val="18"/>
        </w:rPr>
        <w:t>Таким чином, стає зрозуміло, що основним фактором формування цін на житло в Україні є доходи, а відповідно і платоспроможність домогосподарств. А фактор кредитування з 2009 року відіграє другорядну роль, що мусить бути враховано при подальшому моделюванні та прогнозуванні ринку нерухомості в Україні.</w:t>
      </w:r>
    </w:p>
    <w:p w:rsidR="00B25E9B" w:rsidRPr="000275C2" w:rsidRDefault="00B25E9B" w:rsidP="00B25E9B">
      <w:pPr>
        <w:spacing w:after="0" w:line="240" w:lineRule="auto"/>
        <w:ind w:firstLine="284"/>
        <w:rPr>
          <w:rFonts w:ascii="Verdana" w:hAnsi="Verdana"/>
          <w:b/>
          <w:sz w:val="18"/>
          <w:szCs w:val="18"/>
        </w:rPr>
      </w:pPr>
      <w:r w:rsidRPr="000275C2">
        <w:rPr>
          <w:rFonts w:ascii="Verdana" w:hAnsi="Verdana"/>
          <w:b/>
          <w:sz w:val="18"/>
          <w:szCs w:val="18"/>
        </w:rPr>
        <w:t>Список використаної літератури:</w:t>
      </w:r>
    </w:p>
    <w:p w:rsidR="00B25E9B" w:rsidRPr="000275C2" w:rsidRDefault="00B25E9B" w:rsidP="00B25E9B">
      <w:pPr>
        <w:numPr>
          <w:ilvl w:val="0"/>
          <w:numId w:val="23"/>
        </w:numPr>
        <w:spacing w:after="0" w:line="240" w:lineRule="auto"/>
        <w:ind w:left="0" w:firstLine="284"/>
        <w:jc w:val="both"/>
        <w:rPr>
          <w:rFonts w:ascii="Verdana" w:hAnsi="Verdana"/>
          <w:sz w:val="18"/>
          <w:szCs w:val="18"/>
        </w:rPr>
      </w:pPr>
      <w:r w:rsidRPr="000275C2">
        <w:rPr>
          <w:rFonts w:ascii="Verdana" w:hAnsi="Verdana"/>
          <w:iCs/>
          <w:sz w:val="18"/>
          <w:szCs w:val="18"/>
        </w:rPr>
        <w:t>Макконнелл К.Р., Брю С.Л. Экономикс. Принципы, проблемы и политика. — М. Инфра-М., 2006. — 940 с.</w:t>
      </w:r>
    </w:p>
    <w:p w:rsidR="00B25E9B" w:rsidRPr="000275C2" w:rsidRDefault="00B25E9B" w:rsidP="00B25E9B">
      <w:pPr>
        <w:numPr>
          <w:ilvl w:val="0"/>
          <w:numId w:val="23"/>
        </w:numPr>
        <w:spacing w:after="0" w:line="240" w:lineRule="auto"/>
        <w:ind w:left="0" w:firstLine="284"/>
        <w:jc w:val="both"/>
        <w:rPr>
          <w:rFonts w:ascii="Verdana" w:hAnsi="Verdana"/>
          <w:sz w:val="18"/>
          <w:szCs w:val="18"/>
        </w:rPr>
      </w:pPr>
      <w:r w:rsidRPr="000275C2">
        <w:rPr>
          <w:rFonts w:ascii="Verdana" w:hAnsi="Verdana"/>
          <w:sz w:val="18"/>
          <w:szCs w:val="18"/>
          <w:lang w:val="en-US"/>
        </w:rPr>
        <w:t>Arestis</w:t>
      </w:r>
      <w:r w:rsidRPr="000275C2">
        <w:rPr>
          <w:rFonts w:ascii="Verdana" w:hAnsi="Verdana"/>
          <w:sz w:val="18"/>
          <w:szCs w:val="18"/>
        </w:rPr>
        <w:t xml:space="preserve">, </w:t>
      </w:r>
      <w:r w:rsidRPr="000275C2">
        <w:rPr>
          <w:rFonts w:ascii="Verdana" w:hAnsi="Verdana"/>
          <w:sz w:val="18"/>
          <w:szCs w:val="18"/>
          <w:lang w:val="en-US"/>
        </w:rPr>
        <w:t>Ph</w:t>
      </w:r>
      <w:r w:rsidRPr="000275C2">
        <w:rPr>
          <w:rFonts w:ascii="Verdana" w:hAnsi="Verdana"/>
          <w:sz w:val="18"/>
          <w:szCs w:val="18"/>
        </w:rPr>
        <w:t xml:space="preserve">. </w:t>
      </w:r>
      <w:r w:rsidRPr="000275C2">
        <w:rPr>
          <w:rFonts w:ascii="Verdana" w:hAnsi="Verdana"/>
          <w:sz w:val="18"/>
          <w:szCs w:val="18"/>
          <w:lang w:val="en-US"/>
        </w:rPr>
        <w:t>And</w:t>
      </w:r>
      <w:r w:rsidRPr="000275C2">
        <w:rPr>
          <w:rFonts w:ascii="Verdana" w:hAnsi="Verdana"/>
          <w:sz w:val="18"/>
          <w:szCs w:val="18"/>
        </w:rPr>
        <w:t xml:space="preserve"> </w:t>
      </w:r>
      <w:r w:rsidRPr="000275C2">
        <w:rPr>
          <w:rFonts w:ascii="Verdana" w:hAnsi="Verdana"/>
          <w:sz w:val="18"/>
          <w:szCs w:val="18"/>
          <w:lang w:val="en-US"/>
        </w:rPr>
        <w:t>Karakitsos</w:t>
      </w:r>
      <w:r w:rsidRPr="000275C2">
        <w:rPr>
          <w:rFonts w:ascii="Verdana" w:hAnsi="Verdana"/>
          <w:sz w:val="18"/>
          <w:szCs w:val="18"/>
        </w:rPr>
        <w:t xml:space="preserve">, </w:t>
      </w:r>
      <w:r w:rsidRPr="000275C2">
        <w:rPr>
          <w:rFonts w:ascii="Verdana" w:hAnsi="Verdana"/>
          <w:sz w:val="18"/>
          <w:szCs w:val="18"/>
          <w:lang w:val="en-US"/>
        </w:rPr>
        <w:t>E</w:t>
      </w:r>
      <w:r w:rsidRPr="000275C2">
        <w:rPr>
          <w:rFonts w:ascii="Verdana" w:hAnsi="Verdana"/>
          <w:sz w:val="18"/>
          <w:szCs w:val="18"/>
        </w:rPr>
        <w:t xml:space="preserve">. </w:t>
      </w:r>
      <w:r w:rsidRPr="000275C2">
        <w:rPr>
          <w:rFonts w:ascii="Verdana" w:hAnsi="Verdana"/>
          <w:sz w:val="18"/>
          <w:szCs w:val="18"/>
          <w:lang w:val="en-US"/>
        </w:rPr>
        <w:t>Modelling</w:t>
      </w:r>
      <w:r w:rsidRPr="000275C2">
        <w:rPr>
          <w:rFonts w:ascii="Verdana" w:hAnsi="Verdana"/>
          <w:sz w:val="18"/>
          <w:szCs w:val="18"/>
        </w:rPr>
        <w:t xml:space="preserve"> </w:t>
      </w:r>
      <w:r w:rsidRPr="000275C2">
        <w:rPr>
          <w:rFonts w:ascii="Verdana" w:hAnsi="Verdana"/>
          <w:sz w:val="18"/>
          <w:szCs w:val="18"/>
          <w:lang w:val="en-US"/>
        </w:rPr>
        <w:t>the</w:t>
      </w:r>
      <w:r w:rsidRPr="000275C2">
        <w:rPr>
          <w:rFonts w:ascii="Verdana" w:hAnsi="Verdana"/>
          <w:sz w:val="18"/>
          <w:szCs w:val="18"/>
        </w:rPr>
        <w:t xml:space="preserve"> </w:t>
      </w:r>
      <w:r w:rsidRPr="000275C2">
        <w:rPr>
          <w:rFonts w:ascii="Verdana" w:hAnsi="Verdana"/>
          <w:sz w:val="18"/>
          <w:szCs w:val="18"/>
          <w:lang w:val="en-US"/>
        </w:rPr>
        <w:t>US</w:t>
      </w:r>
      <w:r w:rsidRPr="000275C2">
        <w:rPr>
          <w:rFonts w:ascii="Verdana" w:hAnsi="Verdana"/>
          <w:sz w:val="18"/>
          <w:szCs w:val="18"/>
        </w:rPr>
        <w:t xml:space="preserve"> </w:t>
      </w:r>
      <w:r w:rsidRPr="000275C2">
        <w:rPr>
          <w:rFonts w:ascii="Verdana" w:hAnsi="Verdana"/>
          <w:sz w:val="18"/>
          <w:szCs w:val="18"/>
          <w:lang w:val="en-US"/>
        </w:rPr>
        <w:t>Housing</w:t>
      </w:r>
      <w:r w:rsidRPr="000275C2">
        <w:rPr>
          <w:rFonts w:ascii="Verdana" w:hAnsi="Verdana"/>
          <w:sz w:val="18"/>
          <w:szCs w:val="18"/>
        </w:rPr>
        <w:t xml:space="preserve"> </w:t>
      </w:r>
      <w:r w:rsidRPr="000275C2">
        <w:rPr>
          <w:rFonts w:ascii="Verdana" w:hAnsi="Verdana"/>
          <w:sz w:val="18"/>
          <w:szCs w:val="18"/>
          <w:lang w:val="en-US"/>
        </w:rPr>
        <w:t>Market</w:t>
      </w:r>
      <w:r w:rsidRPr="000275C2">
        <w:rPr>
          <w:rFonts w:ascii="Verdana" w:hAnsi="Verdana"/>
          <w:sz w:val="18"/>
          <w:szCs w:val="18"/>
        </w:rPr>
        <w:t xml:space="preserve">., </w:t>
      </w:r>
      <w:r w:rsidRPr="000275C2">
        <w:rPr>
          <w:rFonts w:ascii="Verdana" w:hAnsi="Verdana"/>
          <w:sz w:val="18"/>
          <w:szCs w:val="18"/>
          <w:lang w:val="en-US"/>
        </w:rPr>
        <w:t>Mimeo</w:t>
      </w:r>
      <w:r w:rsidRPr="000275C2">
        <w:rPr>
          <w:rFonts w:ascii="Verdana" w:hAnsi="Verdana"/>
          <w:sz w:val="18"/>
          <w:szCs w:val="18"/>
        </w:rPr>
        <w:t>, 2007 (Артезіс Пх. і Каракітсос, І. Моделювання ринку житла США., Мімео, 2007.)</w:t>
      </w:r>
    </w:p>
    <w:p w:rsidR="00B25E9B" w:rsidRPr="000275C2" w:rsidRDefault="00B25E9B" w:rsidP="00B25E9B">
      <w:pPr>
        <w:numPr>
          <w:ilvl w:val="0"/>
          <w:numId w:val="23"/>
        </w:numPr>
        <w:spacing w:after="0" w:line="240" w:lineRule="auto"/>
        <w:ind w:left="0" w:firstLine="284"/>
        <w:jc w:val="both"/>
        <w:rPr>
          <w:rFonts w:ascii="Verdana" w:hAnsi="Verdana"/>
          <w:sz w:val="18"/>
          <w:szCs w:val="18"/>
          <w:lang w:eastAsia="uk-UA"/>
        </w:rPr>
      </w:pPr>
      <w:r w:rsidRPr="000275C2">
        <w:rPr>
          <w:rFonts w:ascii="Verdana" w:hAnsi="Verdana"/>
          <w:iCs/>
          <w:sz w:val="18"/>
          <w:szCs w:val="18"/>
        </w:rPr>
        <w:t>Манцевич Ю.М. Про можливі шляхи зниження цін на ринку житла / Ю.М. Манцевич // Економіка України. — 2008. — №3. — С. 76—83.</w:t>
      </w:r>
    </w:p>
    <w:p w:rsidR="00F91554" w:rsidRPr="00A93575" w:rsidRDefault="00F91554" w:rsidP="00A93575"/>
    <w:sectPr w:rsidR="00F91554" w:rsidRPr="00A93575" w:rsidSect="00987B23">
      <w:footerReference w:type="default" r:id="rId8"/>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2FF8" w:rsidRDefault="00472FF8" w:rsidP="00842066">
      <w:pPr>
        <w:spacing w:after="0" w:line="240" w:lineRule="auto"/>
      </w:pPr>
      <w:r>
        <w:separator/>
      </w:r>
    </w:p>
  </w:endnote>
  <w:endnote w:type="continuationSeparator" w:id="1">
    <w:p w:rsidR="00472FF8" w:rsidRDefault="00472FF8"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Book Antiqua">
    <w:panose1 w:val="02040602050305030304"/>
    <w:charset w:val="CC"/>
    <w:family w:val="roman"/>
    <w:pitch w:val="variable"/>
    <w:sig w:usb0="00000287" w:usb1="00000000" w:usb2="00000000" w:usb3="00000000" w:csb0="0000009F" w:csb1="00000000"/>
  </w:font>
  <w:font w:name="FavoritLightC">
    <w:altName w:val="FavoritLightC"/>
    <w:panose1 w:val="00000000000000000000"/>
    <w:charset w:val="CC"/>
    <w:family w:val="swiss"/>
    <w:notTrueType/>
    <w:pitch w:val="default"/>
    <w:sig w:usb0="00000203" w:usb1="00000000" w:usb2="00000000" w:usb3="00000000" w:csb0="0000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B25E9B">
        <w:pPr>
          <w:pStyle w:val="af7"/>
        </w:pPr>
        <w:r>
          <w:t>1</w:t>
        </w:r>
        <w:r w:rsidR="00A93575">
          <w:t>5</w:t>
        </w:r>
        <w:r>
          <w:t>1</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2FF8" w:rsidRDefault="00472FF8" w:rsidP="00842066">
      <w:pPr>
        <w:spacing w:after="0" w:line="240" w:lineRule="auto"/>
      </w:pPr>
      <w:r>
        <w:separator/>
      </w:r>
    </w:p>
  </w:footnote>
  <w:footnote w:type="continuationSeparator" w:id="1">
    <w:p w:rsidR="00472FF8" w:rsidRDefault="00472FF8"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F4F99"/>
    <w:multiLevelType w:val="multilevel"/>
    <w:tmpl w:val="F294AF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6958C1"/>
    <w:multiLevelType w:val="hybridMultilevel"/>
    <w:tmpl w:val="D046C8BE"/>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
    <w:nsid w:val="0EA9112A"/>
    <w:multiLevelType w:val="hybridMultilevel"/>
    <w:tmpl w:val="4F4EB4CE"/>
    <w:lvl w:ilvl="0" w:tplc="04190001">
      <w:start w:val="1"/>
      <w:numFmt w:val="bullet"/>
      <w:lvlText w:val=""/>
      <w:lvlJc w:val="left"/>
      <w:pPr>
        <w:ind w:left="2008" w:hanging="360"/>
      </w:pPr>
      <w:rPr>
        <w:rFonts w:ascii="Symbol" w:hAnsi="Symbol" w:hint="default"/>
      </w:rPr>
    </w:lvl>
    <w:lvl w:ilvl="1" w:tplc="04190003" w:tentative="1">
      <w:start w:val="1"/>
      <w:numFmt w:val="bullet"/>
      <w:lvlText w:val="o"/>
      <w:lvlJc w:val="left"/>
      <w:pPr>
        <w:ind w:left="2728" w:hanging="360"/>
      </w:pPr>
      <w:rPr>
        <w:rFonts w:ascii="Courier New" w:hAnsi="Courier New" w:cs="Courier New" w:hint="default"/>
      </w:rPr>
    </w:lvl>
    <w:lvl w:ilvl="2" w:tplc="04190005" w:tentative="1">
      <w:start w:val="1"/>
      <w:numFmt w:val="bullet"/>
      <w:lvlText w:val=""/>
      <w:lvlJc w:val="left"/>
      <w:pPr>
        <w:ind w:left="3448" w:hanging="360"/>
      </w:pPr>
      <w:rPr>
        <w:rFonts w:ascii="Wingdings" w:hAnsi="Wingdings" w:hint="default"/>
      </w:rPr>
    </w:lvl>
    <w:lvl w:ilvl="3" w:tplc="04190001" w:tentative="1">
      <w:start w:val="1"/>
      <w:numFmt w:val="bullet"/>
      <w:lvlText w:val=""/>
      <w:lvlJc w:val="left"/>
      <w:pPr>
        <w:ind w:left="4168" w:hanging="360"/>
      </w:pPr>
      <w:rPr>
        <w:rFonts w:ascii="Symbol" w:hAnsi="Symbol" w:hint="default"/>
      </w:rPr>
    </w:lvl>
    <w:lvl w:ilvl="4" w:tplc="04190003" w:tentative="1">
      <w:start w:val="1"/>
      <w:numFmt w:val="bullet"/>
      <w:lvlText w:val="o"/>
      <w:lvlJc w:val="left"/>
      <w:pPr>
        <w:ind w:left="4888" w:hanging="360"/>
      </w:pPr>
      <w:rPr>
        <w:rFonts w:ascii="Courier New" w:hAnsi="Courier New" w:cs="Courier New" w:hint="default"/>
      </w:rPr>
    </w:lvl>
    <w:lvl w:ilvl="5" w:tplc="04190005" w:tentative="1">
      <w:start w:val="1"/>
      <w:numFmt w:val="bullet"/>
      <w:lvlText w:val=""/>
      <w:lvlJc w:val="left"/>
      <w:pPr>
        <w:ind w:left="5608" w:hanging="360"/>
      </w:pPr>
      <w:rPr>
        <w:rFonts w:ascii="Wingdings" w:hAnsi="Wingdings" w:hint="default"/>
      </w:rPr>
    </w:lvl>
    <w:lvl w:ilvl="6" w:tplc="04190001" w:tentative="1">
      <w:start w:val="1"/>
      <w:numFmt w:val="bullet"/>
      <w:lvlText w:val=""/>
      <w:lvlJc w:val="left"/>
      <w:pPr>
        <w:ind w:left="6328" w:hanging="360"/>
      </w:pPr>
      <w:rPr>
        <w:rFonts w:ascii="Symbol" w:hAnsi="Symbol" w:hint="default"/>
      </w:rPr>
    </w:lvl>
    <w:lvl w:ilvl="7" w:tplc="04190003" w:tentative="1">
      <w:start w:val="1"/>
      <w:numFmt w:val="bullet"/>
      <w:lvlText w:val="o"/>
      <w:lvlJc w:val="left"/>
      <w:pPr>
        <w:ind w:left="7048" w:hanging="360"/>
      </w:pPr>
      <w:rPr>
        <w:rFonts w:ascii="Courier New" w:hAnsi="Courier New" w:cs="Courier New" w:hint="default"/>
      </w:rPr>
    </w:lvl>
    <w:lvl w:ilvl="8" w:tplc="04190005" w:tentative="1">
      <w:start w:val="1"/>
      <w:numFmt w:val="bullet"/>
      <w:lvlText w:val=""/>
      <w:lvlJc w:val="left"/>
      <w:pPr>
        <w:ind w:left="7768" w:hanging="360"/>
      </w:pPr>
      <w:rPr>
        <w:rFonts w:ascii="Wingdings" w:hAnsi="Wingdings" w:hint="default"/>
      </w:rPr>
    </w:lvl>
  </w:abstractNum>
  <w:abstractNum w:abstractNumId="3">
    <w:nsid w:val="12EE76C6"/>
    <w:multiLevelType w:val="hybridMultilevel"/>
    <w:tmpl w:val="AFEC67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A1B25BB"/>
    <w:multiLevelType w:val="hybridMultilevel"/>
    <w:tmpl w:val="83BA10B8"/>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5">
    <w:nsid w:val="1ED33C35"/>
    <w:multiLevelType w:val="hybridMultilevel"/>
    <w:tmpl w:val="014AED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0A35459"/>
    <w:multiLevelType w:val="hybridMultilevel"/>
    <w:tmpl w:val="74229BCC"/>
    <w:lvl w:ilvl="0" w:tplc="8528B9F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23202C46"/>
    <w:multiLevelType w:val="hybridMultilevel"/>
    <w:tmpl w:val="4470FC5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59D3AE3"/>
    <w:multiLevelType w:val="hybridMultilevel"/>
    <w:tmpl w:val="C9766180"/>
    <w:lvl w:ilvl="0" w:tplc="8DC64F32">
      <w:start w:val="1"/>
      <w:numFmt w:val="decimal"/>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9">
    <w:nsid w:val="273669D2"/>
    <w:multiLevelType w:val="hybridMultilevel"/>
    <w:tmpl w:val="AC108D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AB17D7E"/>
    <w:multiLevelType w:val="hybridMultilevel"/>
    <w:tmpl w:val="51161F1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3DA06191"/>
    <w:multiLevelType w:val="hybridMultilevel"/>
    <w:tmpl w:val="532C34F2"/>
    <w:lvl w:ilvl="0" w:tplc="A6BACFE0">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43A72859"/>
    <w:multiLevelType w:val="hybridMultilevel"/>
    <w:tmpl w:val="69BE116E"/>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36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3CE73C5"/>
    <w:multiLevelType w:val="hybridMultilevel"/>
    <w:tmpl w:val="A8847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C9D6339"/>
    <w:multiLevelType w:val="hybridMultilevel"/>
    <w:tmpl w:val="B4DE2F56"/>
    <w:lvl w:ilvl="0" w:tplc="919C726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56E13A5E"/>
    <w:multiLevelType w:val="hybridMultilevel"/>
    <w:tmpl w:val="F312934A"/>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6">
    <w:nsid w:val="58950D5C"/>
    <w:multiLevelType w:val="hybridMultilevel"/>
    <w:tmpl w:val="05CE29B8"/>
    <w:lvl w:ilvl="0" w:tplc="A0D47E40">
      <w:start w:val="1"/>
      <w:numFmt w:val="decimal"/>
      <w:lvlText w:val="%1."/>
      <w:lvlJc w:val="left"/>
      <w:pPr>
        <w:tabs>
          <w:tab w:val="num" w:pos="927"/>
        </w:tabs>
        <w:ind w:left="927" w:hanging="360"/>
      </w:pPr>
      <w:rPr>
        <w:rFonts w:cs="Courier New" w:hint="default"/>
        <w:color w:val="000000"/>
        <w:sz w:val="20"/>
      </w:rPr>
    </w:lvl>
    <w:lvl w:ilvl="1" w:tplc="04190019">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7">
    <w:nsid w:val="5D5A05F9"/>
    <w:multiLevelType w:val="hybridMultilevel"/>
    <w:tmpl w:val="F7E48B02"/>
    <w:lvl w:ilvl="0" w:tplc="5CE2C26E">
      <w:start w:val="1"/>
      <w:numFmt w:val="decimal"/>
      <w:lvlText w:val="%1."/>
      <w:lvlJc w:val="left"/>
      <w:pPr>
        <w:ind w:left="1426" w:hanging="360"/>
      </w:pPr>
      <w:rPr>
        <w:b w:val="0"/>
      </w:r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18">
    <w:nsid w:val="675D320F"/>
    <w:multiLevelType w:val="multilevel"/>
    <w:tmpl w:val="39AE5C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8B7103E"/>
    <w:multiLevelType w:val="hybridMultilevel"/>
    <w:tmpl w:val="B9186552"/>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0">
    <w:nsid w:val="69B520F5"/>
    <w:multiLevelType w:val="multilevel"/>
    <w:tmpl w:val="E0A0D450"/>
    <w:lvl w:ilvl="0">
      <w:start w:val="1"/>
      <w:numFmt w:val="lowerLetter"/>
      <w:lvlText w:val="%1."/>
      <w:lvlJc w:val="left"/>
      <w:pPr>
        <w:tabs>
          <w:tab w:val="num" w:pos="720"/>
        </w:tabs>
        <w:ind w:left="720" w:hanging="360"/>
      </w:pPr>
    </w:lvl>
    <w:lvl w:ilvl="1">
      <w:start w:val="1"/>
      <w:numFmt w:val="decimal"/>
      <w:lvlText w:val="%2."/>
      <w:lvlJc w:val="left"/>
      <w:pPr>
        <w:ind w:left="1440" w:hanging="360"/>
      </w:pPr>
      <w:rPr>
        <w:rFonts w:ascii="Verdana" w:eastAsia="Times New Roman" w:hAnsi="Verdana" w:cs="Arial"/>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nsid w:val="77054166"/>
    <w:multiLevelType w:val="hybridMultilevel"/>
    <w:tmpl w:val="2EBAE80C"/>
    <w:lvl w:ilvl="0" w:tplc="04190001">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2">
    <w:nsid w:val="7BAC35F2"/>
    <w:multiLevelType w:val="hybridMultilevel"/>
    <w:tmpl w:val="94FE549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4"/>
  </w:num>
  <w:num w:numId="2">
    <w:abstractNumId w:val="12"/>
  </w:num>
  <w:num w:numId="3">
    <w:abstractNumId w:val="16"/>
  </w:num>
  <w:num w:numId="4">
    <w:abstractNumId w:val="7"/>
  </w:num>
  <w:num w:numId="5">
    <w:abstractNumId w:val="9"/>
  </w:num>
  <w:num w:numId="6">
    <w:abstractNumId w:val="3"/>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1"/>
  </w:num>
  <w:num w:numId="11">
    <w:abstractNumId w:val="5"/>
  </w:num>
  <w:num w:numId="12">
    <w:abstractNumId w:val="8"/>
  </w:num>
  <w:num w:numId="13">
    <w:abstractNumId w:val="17"/>
  </w:num>
  <w:num w:numId="14">
    <w:abstractNumId w:val="1"/>
  </w:num>
  <w:num w:numId="15">
    <w:abstractNumId w:val="19"/>
  </w:num>
  <w:num w:numId="16">
    <w:abstractNumId w:val="2"/>
  </w:num>
  <w:num w:numId="17">
    <w:abstractNumId w:val="21"/>
  </w:num>
  <w:num w:numId="18">
    <w:abstractNumId w:val="15"/>
  </w:num>
  <w:num w:numId="19">
    <w:abstractNumId w:val="22"/>
  </w:num>
  <w:num w:numId="20">
    <w:abstractNumId w:val="18"/>
  </w:num>
  <w:num w:numId="21">
    <w:abstractNumId w:val="20"/>
  </w:num>
  <w:num w:numId="22">
    <w:abstractNumId w:val="0"/>
  </w:num>
  <w:num w:numId="23">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222F0"/>
    <w:rsid w:val="00067DDC"/>
    <w:rsid w:val="000840AC"/>
    <w:rsid w:val="0009520C"/>
    <w:rsid w:val="000A4DF5"/>
    <w:rsid w:val="000A68DB"/>
    <w:rsid w:val="000B4355"/>
    <w:rsid w:val="000B59C8"/>
    <w:rsid w:val="000E0576"/>
    <w:rsid w:val="000E33ED"/>
    <w:rsid w:val="000F2AC6"/>
    <w:rsid w:val="000F5DBB"/>
    <w:rsid w:val="00105C83"/>
    <w:rsid w:val="00117351"/>
    <w:rsid w:val="00162A35"/>
    <w:rsid w:val="001752C1"/>
    <w:rsid w:val="001C18CD"/>
    <w:rsid w:val="001C4033"/>
    <w:rsid w:val="001E180B"/>
    <w:rsid w:val="001F6300"/>
    <w:rsid w:val="001F6A01"/>
    <w:rsid w:val="00202F3C"/>
    <w:rsid w:val="002073DB"/>
    <w:rsid w:val="00207D46"/>
    <w:rsid w:val="00211E3C"/>
    <w:rsid w:val="002156DF"/>
    <w:rsid w:val="0021694B"/>
    <w:rsid w:val="0022232B"/>
    <w:rsid w:val="002372C3"/>
    <w:rsid w:val="0024284B"/>
    <w:rsid w:val="00253813"/>
    <w:rsid w:val="00256C18"/>
    <w:rsid w:val="0026782E"/>
    <w:rsid w:val="002C00BE"/>
    <w:rsid w:val="002C3B8A"/>
    <w:rsid w:val="002E2CD6"/>
    <w:rsid w:val="002F1C3B"/>
    <w:rsid w:val="002F6A61"/>
    <w:rsid w:val="00300FFD"/>
    <w:rsid w:val="00336DE6"/>
    <w:rsid w:val="00343BCA"/>
    <w:rsid w:val="003465BE"/>
    <w:rsid w:val="00374B02"/>
    <w:rsid w:val="00376112"/>
    <w:rsid w:val="003831FF"/>
    <w:rsid w:val="00397084"/>
    <w:rsid w:val="003B19C3"/>
    <w:rsid w:val="00404BAA"/>
    <w:rsid w:val="004464F7"/>
    <w:rsid w:val="0045151F"/>
    <w:rsid w:val="00455885"/>
    <w:rsid w:val="00466112"/>
    <w:rsid w:val="00472221"/>
    <w:rsid w:val="00472FF8"/>
    <w:rsid w:val="004828C7"/>
    <w:rsid w:val="00485B02"/>
    <w:rsid w:val="004951F2"/>
    <w:rsid w:val="004C3C43"/>
    <w:rsid w:val="00500F25"/>
    <w:rsid w:val="00504985"/>
    <w:rsid w:val="00506A0A"/>
    <w:rsid w:val="00512354"/>
    <w:rsid w:val="00540221"/>
    <w:rsid w:val="00544C25"/>
    <w:rsid w:val="00570DD2"/>
    <w:rsid w:val="005751C9"/>
    <w:rsid w:val="005A2078"/>
    <w:rsid w:val="005B28B6"/>
    <w:rsid w:val="005D3369"/>
    <w:rsid w:val="005D64DE"/>
    <w:rsid w:val="005D6B51"/>
    <w:rsid w:val="005E3BD6"/>
    <w:rsid w:val="00604573"/>
    <w:rsid w:val="00607A49"/>
    <w:rsid w:val="00615805"/>
    <w:rsid w:val="00651076"/>
    <w:rsid w:val="006518EC"/>
    <w:rsid w:val="006573BB"/>
    <w:rsid w:val="006A7249"/>
    <w:rsid w:val="006B27E3"/>
    <w:rsid w:val="007059D9"/>
    <w:rsid w:val="00716B2C"/>
    <w:rsid w:val="007240F2"/>
    <w:rsid w:val="00726EBB"/>
    <w:rsid w:val="00733FAA"/>
    <w:rsid w:val="007353A6"/>
    <w:rsid w:val="00745BAB"/>
    <w:rsid w:val="007723B6"/>
    <w:rsid w:val="00772807"/>
    <w:rsid w:val="00777798"/>
    <w:rsid w:val="00793DEB"/>
    <w:rsid w:val="007C4E99"/>
    <w:rsid w:val="007D721A"/>
    <w:rsid w:val="007E0948"/>
    <w:rsid w:val="007E342D"/>
    <w:rsid w:val="007E50FE"/>
    <w:rsid w:val="00800172"/>
    <w:rsid w:val="0080609A"/>
    <w:rsid w:val="00814DB4"/>
    <w:rsid w:val="00826639"/>
    <w:rsid w:val="00842066"/>
    <w:rsid w:val="00845D20"/>
    <w:rsid w:val="00884BD8"/>
    <w:rsid w:val="008A300E"/>
    <w:rsid w:val="008D5547"/>
    <w:rsid w:val="00900632"/>
    <w:rsid w:val="00923CCC"/>
    <w:rsid w:val="00925A57"/>
    <w:rsid w:val="00926C33"/>
    <w:rsid w:val="0092709B"/>
    <w:rsid w:val="00944C4B"/>
    <w:rsid w:val="009604D0"/>
    <w:rsid w:val="00961D19"/>
    <w:rsid w:val="009772C4"/>
    <w:rsid w:val="00977C49"/>
    <w:rsid w:val="0098493A"/>
    <w:rsid w:val="00987B23"/>
    <w:rsid w:val="00997453"/>
    <w:rsid w:val="009A0D1B"/>
    <w:rsid w:val="009C677F"/>
    <w:rsid w:val="009C75FC"/>
    <w:rsid w:val="009D0EB4"/>
    <w:rsid w:val="009D2A18"/>
    <w:rsid w:val="009D434A"/>
    <w:rsid w:val="009E7F0F"/>
    <w:rsid w:val="009F51F2"/>
    <w:rsid w:val="00A1334D"/>
    <w:rsid w:val="00A15681"/>
    <w:rsid w:val="00A30455"/>
    <w:rsid w:val="00A52C1E"/>
    <w:rsid w:val="00A909B3"/>
    <w:rsid w:val="00A93575"/>
    <w:rsid w:val="00A9671B"/>
    <w:rsid w:val="00AA3EFD"/>
    <w:rsid w:val="00AA4557"/>
    <w:rsid w:val="00AD1AD3"/>
    <w:rsid w:val="00AF21E6"/>
    <w:rsid w:val="00B078E6"/>
    <w:rsid w:val="00B1060C"/>
    <w:rsid w:val="00B10D8C"/>
    <w:rsid w:val="00B17F3E"/>
    <w:rsid w:val="00B2180B"/>
    <w:rsid w:val="00B25E9B"/>
    <w:rsid w:val="00B26518"/>
    <w:rsid w:val="00B50F3E"/>
    <w:rsid w:val="00B55E76"/>
    <w:rsid w:val="00B66B59"/>
    <w:rsid w:val="00B8397E"/>
    <w:rsid w:val="00B8770B"/>
    <w:rsid w:val="00BC0205"/>
    <w:rsid w:val="00BD129B"/>
    <w:rsid w:val="00BD3A78"/>
    <w:rsid w:val="00BD6F9F"/>
    <w:rsid w:val="00BE66C9"/>
    <w:rsid w:val="00C055CA"/>
    <w:rsid w:val="00C25F2A"/>
    <w:rsid w:val="00C431F4"/>
    <w:rsid w:val="00C43FFD"/>
    <w:rsid w:val="00C64378"/>
    <w:rsid w:val="00C646CF"/>
    <w:rsid w:val="00C65DB8"/>
    <w:rsid w:val="00C844A5"/>
    <w:rsid w:val="00C85B4E"/>
    <w:rsid w:val="00C92FD8"/>
    <w:rsid w:val="00C97DA1"/>
    <w:rsid w:val="00CA64E8"/>
    <w:rsid w:val="00CB3F13"/>
    <w:rsid w:val="00CD017A"/>
    <w:rsid w:val="00CD3499"/>
    <w:rsid w:val="00CE2014"/>
    <w:rsid w:val="00CE2709"/>
    <w:rsid w:val="00CE4BD2"/>
    <w:rsid w:val="00CF3B92"/>
    <w:rsid w:val="00D14B36"/>
    <w:rsid w:val="00D26A99"/>
    <w:rsid w:val="00D329AE"/>
    <w:rsid w:val="00D66D06"/>
    <w:rsid w:val="00D75E2F"/>
    <w:rsid w:val="00D80ACF"/>
    <w:rsid w:val="00DA0A3C"/>
    <w:rsid w:val="00DA2709"/>
    <w:rsid w:val="00DA7BA4"/>
    <w:rsid w:val="00DB0988"/>
    <w:rsid w:val="00DC6492"/>
    <w:rsid w:val="00DD0E8A"/>
    <w:rsid w:val="00DD53BA"/>
    <w:rsid w:val="00DE6B1D"/>
    <w:rsid w:val="00DF2451"/>
    <w:rsid w:val="00DF3CE7"/>
    <w:rsid w:val="00E113BA"/>
    <w:rsid w:val="00E236A9"/>
    <w:rsid w:val="00E2712E"/>
    <w:rsid w:val="00E3695E"/>
    <w:rsid w:val="00E45840"/>
    <w:rsid w:val="00E476B8"/>
    <w:rsid w:val="00E6719D"/>
    <w:rsid w:val="00E71C27"/>
    <w:rsid w:val="00E72D5A"/>
    <w:rsid w:val="00EA15B8"/>
    <w:rsid w:val="00EE266D"/>
    <w:rsid w:val="00EE2BF5"/>
    <w:rsid w:val="00EE6C47"/>
    <w:rsid w:val="00EF2753"/>
    <w:rsid w:val="00EF6895"/>
    <w:rsid w:val="00F17A96"/>
    <w:rsid w:val="00F31707"/>
    <w:rsid w:val="00F331EF"/>
    <w:rsid w:val="00F5173E"/>
    <w:rsid w:val="00F66438"/>
    <w:rsid w:val="00F91554"/>
    <w:rsid w:val="00FA0F1F"/>
    <w:rsid w:val="00FA222E"/>
    <w:rsid w:val="00FA5990"/>
    <w:rsid w:val="00FA61BF"/>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unhideWhenUsed/>
    <w:rsid w:val="00D26A99"/>
    <w:pPr>
      <w:spacing w:after="120"/>
    </w:pPr>
  </w:style>
  <w:style w:type="character" w:customStyle="1" w:styleId="afe">
    <w:name w:val="Основной текст Знак"/>
    <w:basedOn w:val="a0"/>
    <w:link w:val="afd"/>
    <w:uiPriority w:val="99"/>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 w:type="paragraph" w:customStyle="1" w:styleId="Default">
    <w:name w:val="Default"/>
    <w:rsid w:val="00EE6C47"/>
    <w:pPr>
      <w:autoSpaceDE w:val="0"/>
      <w:autoSpaceDN w:val="0"/>
      <w:adjustRightInd w:val="0"/>
      <w:spacing w:after="0" w:line="240" w:lineRule="auto"/>
    </w:pPr>
    <w:rPr>
      <w:rFonts w:ascii="Arial" w:eastAsia="Times New Roman" w:hAnsi="Arial" w:cs="Arial"/>
      <w:color w:val="000000"/>
      <w:sz w:val="24"/>
      <w:szCs w:val="24"/>
      <w:lang w:val="uk-UA" w:eastAsia="uk-UA" w:bidi="ar-SA"/>
    </w:rPr>
  </w:style>
  <w:style w:type="character" w:customStyle="1" w:styleId="58">
    <w:name w:val="Основной текст (5) + 8"/>
    <w:aliases w:val="5 pt1,Не полужирный"/>
    <w:rsid w:val="00105C83"/>
    <w:rPr>
      <w:rFonts w:ascii="Arial Narrow" w:hAnsi="Arial Narrow" w:cs="Arial Narrow"/>
      <w:b/>
      <w:bCs/>
      <w:sz w:val="17"/>
      <w:szCs w:val="17"/>
      <w:shd w:val="clear" w:color="auto" w:fill="FFFFFF"/>
    </w:rPr>
  </w:style>
  <w:style w:type="paragraph" w:customStyle="1" w:styleId="13">
    <w:name w:val="Обычный1"/>
    <w:basedOn w:val="a"/>
    <w:rsid w:val="009C677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normalchar">
    <w:name w:val="normal__char"/>
    <w:rsid w:val="009C677F"/>
  </w:style>
  <w:style w:type="character" w:customStyle="1" w:styleId="list0020paragraphchar">
    <w:name w:val="list_0020paragraph__char"/>
    <w:rsid w:val="009C677F"/>
  </w:style>
  <w:style w:type="character" w:customStyle="1" w:styleId="hyperlinkchar">
    <w:name w:val="hyperlink__char"/>
    <w:rsid w:val="009C677F"/>
  </w:style>
  <w:style w:type="paragraph" w:customStyle="1" w:styleId="mystyl">
    <w:name w:val="mystyl"/>
    <w:rsid w:val="00A30455"/>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val="ru-RU" w:eastAsia="ru-RU" w:bidi="ar-SA"/>
    </w:rPr>
  </w:style>
  <w:style w:type="character" w:styleId="HTML1">
    <w:name w:val="HTML Cite"/>
    <w:uiPriority w:val="99"/>
    <w:semiHidden/>
    <w:unhideWhenUsed/>
    <w:rsid w:val="00A30455"/>
    <w:rPr>
      <w:i/>
      <w:iCs/>
    </w:rPr>
  </w:style>
  <w:style w:type="character" w:customStyle="1" w:styleId="aff">
    <w:name w:val="Основной текст_"/>
    <w:link w:val="14"/>
    <w:locked/>
    <w:rsid w:val="00C64378"/>
    <w:rPr>
      <w:rFonts w:ascii="Arial Narrow" w:hAnsi="Arial Narrow" w:cs="Arial Narrow"/>
      <w:sz w:val="17"/>
      <w:szCs w:val="17"/>
      <w:shd w:val="clear" w:color="auto" w:fill="FFFFFF"/>
    </w:rPr>
  </w:style>
  <w:style w:type="paragraph" w:customStyle="1" w:styleId="14">
    <w:name w:val="Основной текст1"/>
    <w:basedOn w:val="a"/>
    <w:link w:val="aff"/>
    <w:rsid w:val="00C64378"/>
    <w:pPr>
      <w:shd w:val="clear" w:color="auto" w:fill="FFFFFF"/>
      <w:spacing w:after="0" w:line="240" w:lineRule="atLeast"/>
    </w:pPr>
    <w:rPr>
      <w:rFonts w:ascii="Arial Narrow" w:eastAsiaTheme="minorHAnsi" w:hAnsi="Arial Narrow" w:cs="Arial Narrow"/>
      <w:sz w:val="17"/>
      <w:szCs w:val="17"/>
      <w:lang w:val="en-US" w:bidi="en-US"/>
    </w:rPr>
  </w:style>
  <w:style w:type="character" w:customStyle="1" w:styleId="51">
    <w:name w:val="Основной текст (5)_"/>
    <w:link w:val="52"/>
    <w:locked/>
    <w:rsid w:val="00C64378"/>
    <w:rPr>
      <w:rFonts w:ascii="Arial Narrow" w:hAnsi="Arial Narrow" w:cs="Arial Narrow"/>
      <w:sz w:val="15"/>
      <w:szCs w:val="15"/>
      <w:shd w:val="clear" w:color="auto" w:fill="FFFFFF"/>
    </w:rPr>
  </w:style>
  <w:style w:type="paragraph" w:customStyle="1" w:styleId="52">
    <w:name w:val="Основной текст (5)"/>
    <w:basedOn w:val="a"/>
    <w:link w:val="51"/>
    <w:rsid w:val="00C64378"/>
    <w:pPr>
      <w:shd w:val="clear" w:color="auto" w:fill="FFFFFF"/>
      <w:spacing w:after="0" w:line="216" w:lineRule="exact"/>
      <w:jc w:val="both"/>
    </w:pPr>
    <w:rPr>
      <w:rFonts w:ascii="Arial Narrow" w:eastAsiaTheme="minorHAnsi" w:hAnsi="Arial Narrow" w:cs="Arial Narrow"/>
      <w:sz w:val="15"/>
      <w:szCs w:val="15"/>
      <w:lang w:val="en-US" w:bidi="en-US"/>
    </w:rPr>
  </w:style>
  <w:style w:type="character" w:customStyle="1" w:styleId="71">
    <w:name w:val="Основной текст + 7"/>
    <w:aliases w:val="5 pt,Полужирный"/>
    <w:rsid w:val="00C64378"/>
    <w:rPr>
      <w:rFonts w:ascii="Arial Narrow" w:hAnsi="Arial Narrow" w:cs="Arial Narrow"/>
      <w:b/>
      <w:bCs/>
      <w:sz w:val="15"/>
      <w:szCs w:val="15"/>
      <w:shd w:val="clear" w:color="auto" w:fill="FFFFFF"/>
    </w:rPr>
  </w:style>
  <w:style w:type="character" w:customStyle="1" w:styleId="710">
    <w:name w:val="Основной текст + 71"/>
    <w:aliases w:val="5 pt2,Малые прописные"/>
    <w:rsid w:val="00C64378"/>
    <w:rPr>
      <w:rFonts w:ascii="Arial Narrow" w:hAnsi="Arial Narrow" w:cs="Arial Narrow"/>
      <w:smallCaps/>
      <w:sz w:val="15"/>
      <w:szCs w:val="15"/>
      <w:shd w:val="clear" w:color="auto" w:fill="FFFFFF"/>
    </w:rPr>
  </w:style>
  <w:style w:type="character" w:customStyle="1" w:styleId="aff0">
    <w:name w:val="Основной текст + Курсив"/>
    <w:rsid w:val="00C64378"/>
    <w:rPr>
      <w:rFonts w:ascii="Arial Narrow" w:hAnsi="Arial Narrow" w:cs="Arial Narrow"/>
      <w:i/>
      <w:iCs/>
      <w:spacing w:val="0"/>
      <w:w w:val="100"/>
      <w:sz w:val="17"/>
      <w:szCs w:val="17"/>
      <w:shd w:val="clear" w:color="auto" w:fill="FFFFFF"/>
    </w:rPr>
  </w:style>
  <w:style w:type="character" w:customStyle="1" w:styleId="15">
    <w:name w:val="Основной текст (15)_"/>
    <w:link w:val="150"/>
    <w:locked/>
    <w:rsid w:val="00C64378"/>
    <w:rPr>
      <w:rFonts w:ascii="Arial Narrow" w:hAnsi="Arial Narrow" w:cs="Arial Narrow"/>
      <w:sz w:val="15"/>
      <w:szCs w:val="15"/>
      <w:shd w:val="clear" w:color="auto" w:fill="FFFFFF"/>
    </w:rPr>
  </w:style>
  <w:style w:type="paragraph" w:customStyle="1" w:styleId="150">
    <w:name w:val="Основной текст (15)"/>
    <w:basedOn w:val="a"/>
    <w:link w:val="15"/>
    <w:rsid w:val="00C64378"/>
    <w:pPr>
      <w:shd w:val="clear" w:color="auto" w:fill="FFFFFF"/>
      <w:spacing w:before="60" w:after="60" w:line="240" w:lineRule="atLeast"/>
    </w:pPr>
    <w:rPr>
      <w:rFonts w:ascii="Arial Narrow" w:eastAsiaTheme="minorHAnsi" w:hAnsi="Arial Narrow" w:cs="Arial Narrow"/>
      <w:sz w:val="15"/>
      <w:szCs w:val="15"/>
      <w:lang w:val="en-US" w:bidi="en-US"/>
    </w:rPr>
  </w:style>
  <w:style w:type="paragraph" w:styleId="aff1">
    <w:name w:val="Balloon Text"/>
    <w:basedOn w:val="a"/>
    <w:link w:val="aff2"/>
    <w:uiPriority w:val="99"/>
    <w:semiHidden/>
    <w:unhideWhenUsed/>
    <w:rsid w:val="00C64378"/>
    <w:pPr>
      <w:spacing w:after="0" w:line="240" w:lineRule="auto"/>
    </w:pPr>
    <w:rPr>
      <w:rFonts w:ascii="Tahoma" w:hAnsi="Tahoma" w:cs="Tahoma"/>
      <w:sz w:val="16"/>
      <w:szCs w:val="16"/>
    </w:rPr>
  </w:style>
  <w:style w:type="character" w:customStyle="1" w:styleId="aff2">
    <w:name w:val="Текст выноски Знак"/>
    <w:basedOn w:val="a0"/>
    <w:link w:val="aff1"/>
    <w:uiPriority w:val="99"/>
    <w:semiHidden/>
    <w:rsid w:val="00C64378"/>
    <w:rPr>
      <w:rFonts w:ascii="Tahoma" w:eastAsia="Calibri" w:hAnsi="Tahoma" w:cs="Tahoma"/>
      <w:sz w:val="16"/>
      <w:szCs w:val="16"/>
      <w:lang w:val="uk-UA" w:bidi="ar-SA"/>
    </w:rPr>
  </w:style>
  <w:style w:type="character" w:customStyle="1" w:styleId="normaltextrun">
    <w:name w:val="normaltextrun"/>
    <w:basedOn w:val="a0"/>
    <w:rsid w:val="000B4355"/>
  </w:style>
  <w:style w:type="paragraph" w:customStyle="1" w:styleId="paragraph">
    <w:name w:val="paragraph"/>
    <w:basedOn w:val="a"/>
    <w:rsid w:val="00F91554"/>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eop">
    <w:name w:val="eop"/>
    <w:basedOn w:val="a0"/>
    <w:rsid w:val="00F91554"/>
  </w:style>
  <w:style w:type="character" w:customStyle="1" w:styleId="2BookAntiqua">
    <w:name w:val="Основний текст (2) + Book Antiqua"/>
    <w:aliases w:val="8 pt,Не напівжирний"/>
    <w:rsid w:val="000F2AC6"/>
    <w:rPr>
      <w:rFonts w:ascii="Book Antiqua" w:hAnsi="Book Antiqua" w:cs="Book Antiqua"/>
      <w:b/>
      <w:bCs/>
      <w:sz w:val="16"/>
      <w:szCs w:val="16"/>
      <w:shd w:val="clear" w:color="auto" w:fill="FFFFFF"/>
    </w:rPr>
  </w:style>
  <w:style w:type="character" w:customStyle="1" w:styleId="25">
    <w:name w:val="Основний текст (2)_"/>
    <w:link w:val="26"/>
    <w:rsid w:val="0024284B"/>
    <w:rPr>
      <w:rFonts w:ascii="Times New Roman" w:hAnsi="Times New Roman" w:cs="Times New Roman"/>
      <w:b/>
      <w:bCs/>
      <w:sz w:val="17"/>
      <w:szCs w:val="17"/>
      <w:shd w:val="clear" w:color="auto" w:fill="FFFFFF"/>
    </w:rPr>
  </w:style>
  <w:style w:type="paragraph" w:customStyle="1" w:styleId="26">
    <w:name w:val="Основний текст (2)"/>
    <w:basedOn w:val="a"/>
    <w:link w:val="25"/>
    <w:rsid w:val="0024284B"/>
    <w:pPr>
      <w:shd w:val="clear" w:color="auto" w:fill="FFFFFF"/>
      <w:spacing w:after="0" w:line="197" w:lineRule="exact"/>
    </w:pPr>
    <w:rPr>
      <w:rFonts w:ascii="Times New Roman" w:eastAsiaTheme="minorHAnsi" w:hAnsi="Times New Roman"/>
      <w:b/>
      <w:bCs/>
      <w:sz w:val="17"/>
      <w:szCs w:val="17"/>
      <w:lang w:val="en-US" w:bidi="en-US"/>
    </w:rPr>
  </w:style>
  <w:style w:type="character" w:customStyle="1" w:styleId="31">
    <w:name w:val="Основний текст3"/>
    <w:basedOn w:val="af9"/>
    <w:rsid w:val="0024284B"/>
  </w:style>
  <w:style w:type="character" w:customStyle="1" w:styleId="27">
    <w:name w:val="Основний текст2"/>
    <w:basedOn w:val="af9"/>
    <w:rsid w:val="0024284B"/>
  </w:style>
  <w:style w:type="paragraph" w:customStyle="1" w:styleId="Pa2">
    <w:name w:val="Pa2"/>
    <w:basedOn w:val="Default"/>
    <w:next w:val="Default"/>
    <w:uiPriority w:val="99"/>
    <w:rsid w:val="00900632"/>
    <w:pPr>
      <w:spacing w:line="201" w:lineRule="atLeast"/>
    </w:pPr>
    <w:rPr>
      <w:rFonts w:ascii="FavoritLightC" w:eastAsia="Calibri" w:hAnsi="FavoritLightC" w:cs="Times New Roman"/>
      <w:color w:val="auto"/>
      <w:lang w:val="ru-RU" w:eastAsia="en-US"/>
    </w:rPr>
  </w:style>
  <w:style w:type="character" w:customStyle="1" w:styleId="10pt">
    <w:name w:val="Основний текст + 10 pt"/>
    <w:rsid w:val="0080609A"/>
    <w:rPr>
      <w:rFonts w:ascii="Times New Roman" w:hAnsi="Times New Roman" w:cs="Times New Roman"/>
      <w:spacing w:val="0"/>
      <w:sz w:val="20"/>
      <w:szCs w:val="20"/>
    </w:rPr>
  </w:style>
  <w:style w:type="table" w:styleId="aff3">
    <w:name w:val="Table Grid"/>
    <w:basedOn w:val="a1"/>
    <w:uiPriority w:val="59"/>
    <w:rsid w:val="009D0EB4"/>
    <w:pPr>
      <w:spacing w:after="0" w:line="240" w:lineRule="auto"/>
    </w:pPr>
    <w:rPr>
      <w:rFonts w:ascii="Calibri" w:eastAsia="Calibri" w:hAnsi="Calibri" w:cs="Times New Roman"/>
      <w:sz w:val="20"/>
      <w:szCs w:val="20"/>
      <w:lang w:val="ru-RU" w:eastAsia="uk-UA"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footnote text"/>
    <w:basedOn w:val="a"/>
    <w:link w:val="aff5"/>
    <w:uiPriority w:val="99"/>
    <w:semiHidden/>
    <w:rsid w:val="009D0EB4"/>
    <w:pPr>
      <w:spacing w:after="0" w:line="240" w:lineRule="auto"/>
    </w:pPr>
    <w:rPr>
      <w:rFonts w:ascii="Times New Roman" w:eastAsia="Times New Roman" w:hAnsi="Times New Roman"/>
      <w:sz w:val="20"/>
      <w:szCs w:val="20"/>
      <w:lang w:eastAsia="ru-RU"/>
    </w:rPr>
  </w:style>
  <w:style w:type="character" w:customStyle="1" w:styleId="aff5">
    <w:name w:val="Текст сноски Знак"/>
    <w:basedOn w:val="a0"/>
    <w:link w:val="aff4"/>
    <w:uiPriority w:val="99"/>
    <w:semiHidden/>
    <w:rsid w:val="009D0EB4"/>
    <w:rPr>
      <w:rFonts w:ascii="Times New Roman" w:eastAsia="Times New Roman" w:hAnsi="Times New Roman" w:cs="Times New Roman"/>
      <w:sz w:val="20"/>
      <w:szCs w:val="20"/>
      <w:lang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yulia.stanislavchuk@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522</Words>
  <Characters>2978</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3494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2013-10-22T07:58:00Z</dcterms:created>
  <dcterms:modified xsi:type="dcterms:W3CDTF">2013-10-22T07:58:00Z</dcterms:modified>
</cp:coreProperties>
</file>