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C57E13">
      <w:pPr>
        <w:jc w:val="center"/>
        <w:rPr>
          <w:rFonts w:ascii="Times New Roman" w:hAnsi="Times New Roman" w:eastAsia="Calibri" w:cs="Times New Roman"/>
          <w:b/>
          <w:bCs/>
          <w:szCs w:val="28"/>
          <w:lang w:val="ru-RU" w:eastAsia="ru-RU"/>
        </w:rPr>
      </w:pPr>
      <w:r>
        <w:rPr>
          <w:rFonts w:ascii="Times New Roman" w:hAnsi="Times New Roman" w:eastAsia="Calibri" w:cs="Times New Roman"/>
          <w:b/>
          <w:bCs/>
          <w:szCs w:val="28"/>
          <w:lang w:val="ru-RU" w:eastAsia="ru-RU"/>
        </w:rPr>
        <w:t>НАЦІОНАЛЬНИЙ ТЕХНІЧНИЙ УНІВЕРСИТЕТ УКРАЇНИ</w:t>
      </w:r>
    </w:p>
    <w:p w14:paraId="666B3C18">
      <w:pPr>
        <w:jc w:val="center"/>
        <w:rPr>
          <w:rFonts w:ascii="Times New Roman" w:hAnsi="Times New Roman" w:eastAsia="Calibri" w:cs="Times New Roman"/>
          <w:b/>
          <w:bCs/>
          <w:szCs w:val="28"/>
          <w:lang w:val="ru-RU" w:eastAsia="ru-RU"/>
        </w:rPr>
      </w:pPr>
      <w:r>
        <w:rPr>
          <w:rFonts w:ascii="Times New Roman" w:hAnsi="Times New Roman" w:eastAsia="Calibri" w:cs="Times New Roman"/>
          <w:b/>
          <w:bCs/>
          <w:szCs w:val="28"/>
          <w:lang w:val="ru-RU" w:eastAsia="ru-RU"/>
        </w:rPr>
        <w:t xml:space="preserve"> «КИЇВСЬКИЙ ПОЛІТЕХНІЧНИЙ ІНСТИТУТ</w:t>
      </w:r>
    </w:p>
    <w:p w14:paraId="3381F400">
      <w:pPr>
        <w:jc w:val="center"/>
        <w:rPr>
          <w:rFonts w:ascii="Times New Roman" w:hAnsi="Times New Roman" w:eastAsia="Calibri" w:cs="Times New Roman"/>
          <w:b/>
          <w:bCs/>
          <w:szCs w:val="28"/>
          <w:lang w:val="ru-RU" w:eastAsia="ru-RU"/>
        </w:rPr>
      </w:pPr>
      <w:r>
        <w:rPr>
          <w:rFonts w:ascii="Times New Roman" w:hAnsi="Times New Roman" w:eastAsia="Calibri" w:cs="Times New Roman"/>
          <w:b/>
          <w:bCs/>
          <w:szCs w:val="28"/>
          <w:lang w:val="ru-RU" w:eastAsia="ru-RU"/>
        </w:rPr>
        <w:t xml:space="preserve"> імені ІГОРЯ СІКОРСЬКОГО»</w:t>
      </w:r>
    </w:p>
    <w:p w14:paraId="6135D86A">
      <w:pPr>
        <w:jc w:val="center"/>
        <w:rPr>
          <w:rFonts w:ascii="Times New Roman" w:hAnsi="Times New Roman" w:eastAsia="Calibri" w:cs="Times New Roman"/>
          <w:b/>
          <w:bCs/>
          <w:sz w:val="28"/>
          <w:szCs w:val="28"/>
          <w:lang w:val="ru-RU" w:eastAsia="ru-RU"/>
        </w:rPr>
      </w:pPr>
      <w:r>
        <w:rPr>
          <w:rFonts w:ascii="Times New Roman" w:hAnsi="Times New Roman" w:eastAsia="Calibri" w:cs="Times New Roman"/>
          <w:b/>
          <w:bCs/>
          <w:sz w:val="28"/>
          <w:szCs w:val="28"/>
          <w:lang w:val="ru-RU" w:eastAsia="ru-RU"/>
        </w:rPr>
        <w:t>Навчально – науковий інститут енергозбереження та енергоменеджменту Кафедра автоматизації електротехнічних та мехатронних комплексів</w:t>
      </w:r>
    </w:p>
    <w:p w14:paraId="124ED4AD">
      <w:pPr>
        <w:tabs>
          <w:tab w:val="left" w:pos="5387"/>
        </w:tabs>
        <w:rPr>
          <w:rFonts w:ascii="Times New Roman" w:hAnsi="Times New Roman" w:eastAsia="Calibri" w:cs="Times New Roman"/>
          <w:lang w:val="ru-RU" w:eastAsia="ru-RU"/>
        </w:rPr>
      </w:pPr>
      <w:r>
        <w:rPr>
          <w:rFonts w:ascii="Times New Roman" w:hAnsi="Times New Roman" w:eastAsia="Calibri" w:cs="Times New Roman"/>
          <w:lang w:val="ru-RU" w:eastAsia="ru-RU"/>
        </w:rPr>
        <w:t>«На правах рукопису»</w:t>
      </w:r>
      <w:r>
        <w:rPr>
          <w:rFonts w:ascii="Times New Roman" w:hAnsi="Times New Roman" w:eastAsia="Calibri" w:cs="Times New Roman"/>
          <w:lang w:val="ru-RU" w:eastAsia="ru-RU"/>
        </w:rPr>
        <w:tab/>
      </w:r>
      <w:r>
        <w:rPr>
          <w:rFonts w:ascii="Times New Roman" w:hAnsi="Times New Roman" w:eastAsia="Calibri" w:cs="Times New Roman"/>
          <w:lang w:val="ru-RU" w:eastAsia="ru-RU"/>
        </w:rPr>
        <w:t>До захисту допущено:</w:t>
      </w:r>
    </w:p>
    <w:p w14:paraId="4DD17AED">
      <w:pPr>
        <w:tabs>
          <w:tab w:val="left" w:pos="5387"/>
        </w:tabs>
        <w:rPr>
          <w:rFonts w:ascii="Times New Roman" w:hAnsi="Times New Roman" w:eastAsia="Calibri" w:cs="Times New Roman"/>
          <w:lang w:val="ru-RU" w:eastAsia="ru-RU"/>
        </w:rPr>
      </w:pPr>
      <w:r>
        <w:rPr>
          <w:rFonts w:ascii="Times New Roman" w:hAnsi="Times New Roman" w:eastAsia="Calibri" w:cs="Times New Roman"/>
          <w:lang w:val="ru-RU" w:eastAsia="ru-RU"/>
        </w:rPr>
        <w:t>УДК 681.9</w:t>
      </w:r>
      <w:r>
        <w:rPr>
          <w:rFonts w:ascii="Times New Roman" w:hAnsi="Times New Roman" w:eastAsia="Calibri" w:cs="Times New Roman"/>
          <w:lang w:val="ru-RU" w:eastAsia="ru-RU"/>
        </w:rPr>
        <w:tab/>
      </w:r>
      <w:r>
        <w:rPr>
          <w:rFonts w:ascii="Times New Roman" w:hAnsi="Times New Roman" w:eastAsia="Calibri" w:cs="Times New Roman"/>
          <w:lang w:val="ru-RU" w:eastAsia="ru-RU"/>
        </w:rPr>
        <w:t xml:space="preserve">Завідувач кафедри </w:t>
      </w:r>
    </w:p>
    <w:p w14:paraId="63AA8180">
      <w:pPr>
        <w:tabs>
          <w:tab w:val="left" w:pos="5387"/>
        </w:tabs>
        <w:rPr>
          <w:rFonts w:ascii="Times New Roman" w:hAnsi="Times New Roman" w:eastAsia="Calibri" w:cs="Times New Roman"/>
          <w:lang w:val="ru-RU" w:eastAsia="ru-RU"/>
        </w:rPr>
      </w:pPr>
      <w:r>
        <w:rPr>
          <w:rFonts w:ascii="Times New Roman" w:hAnsi="Times New Roman" w:eastAsia="Calibri" w:cs="Times New Roman"/>
          <w:lang w:val="ru-RU" w:eastAsia="ru-RU"/>
        </w:rPr>
        <w:tab/>
      </w:r>
      <w:r>
        <w:rPr>
          <w:rFonts w:ascii="Times New Roman" w:hAnsi="Times New Roman" w:eastAsia="Calibri" w:cs="Times New Roman"/>
          <w:lang w:val="ru-RU" w:eastAsia="ru-RU"/>
        </w:rPr>
        <w:t>_______ Сергій БОЙЧЕНКО</w:t>
      </w:r>
    </w:p>
    <w:p w14:paraId="7AE746AE">
      <w:pPr>
        <w:tabs>
          <w:tab w:val="left" w:pos="5387"/>
        </w:tabs>
        <w:spacing w:line="360" w:lineRule="auto"/>
        <w:rPr>
          <w:rFonts w:ascii="Times New Roman" w:hAnsi="Times New Roman" w:eastAsia="Calibri" w:cs="Times New Roman"/>
          <w:b/>
          <w:bCs/>
          <w:lang w:val="ru-RU" w:eastAsia="ru-RU"/>
        </w:rPr>
      </w:pPr>
      <w:r>
        <w:rPr>
          <w:rFonts w:ascii="Times New Roman" w:hAnsi="Times New Roman" w:eastAsia="Calibri" w:cs="Times New Roman"/>
          <w:lang w:val="ru-RU" w:eastAsia="ru-RU"/>
        </w:rPr>
        <w:tab/>
      </w:r>
      <w:r>
        <w:rPr>
          <w:rFonts w:ascii="Times New Roman" w:hAnsi="Times New Roman" w:eastAsia="Calibri" w:cs="Times New Roman"/>
          <w:lang w:val="ru-RU" w:eastAsia="ru-RU"/>
        </w:rPr>
        <w:t>«___»_________20__р.</w:t>
      </w:r>
    </w:p>
    <w:p w14:paraId="36F86FCF">
      <w:pPr>
        <w:jc w:val="center"/>
        <w:rPr>
          <w:rFonts w:ascii="Times New Roman" w:hAnsi="Times New Roman" w:eastAsia="Calibri" w:cs="Times New Roman"/>
          <w:b/>
          <w:bCs/>
          <w:sz w:val="36"/>
          <w:szCs w:val="36"/>
          <w:lang w:val="ru-RU" w:eastAsia="ru-RU"/>
        </w:rPr>
      </w:pPr>
      <w:r>
        <w:rPr>
          <w:rFonts w:ascii="Times New Roman" w:hAnsi="Times New Roman" w:eastAsia="Calibri" w:cs="Times New Roman"/>
          <w:b/>
          <w:bCs/>
          <w:sz w:val="36"/>
          <w:szCs w:val="36"/>
          <w:lang w:val="ru-RU" w:eastAsia="ru-RU"/>
        </w:rPr>
        <w:t>Магістерська дисертація</w:t>
      </w:r>
    </w:p>
    <w:p w14:paraId="5EAC4FBF">
      <w:pPr>
        <w:jc w:val="center"/>
        <w:rPr>
          <w:rFonts w:ascii="Times New Roman" w:hAnsi="Times New Roman" w:eastAsia="Calibri" w:cs="Times New Roman"/>
          <w:b/>
          <w:bCs/>
          <w:sz w:val="28"/>
          <w:szCs w:val="28"/>
          <w:lang w:val="ru-RU" w:eastAsia="ru-RU"/>
        </w:rPr>
      </w:pPr>
      <w:r>
        <w:rPr>
          <w:rFonts w:ascii="Times New Roman" w:hAnsi="Times New Roman" w:eastAsia="Calibri" w:cs="Times New Roman"/>
          <w:b/>
          <w:bCs/>
          <w:sz w:val="28"/>
          <w:szCs w:val="28"/>
          <w:lang w:val="ru-RU" w:eastAsia="ru-RU"/>
        </w:rPr>
        <w:t>На здобуття ступеня магістра</w:t>
      </w:r>
    </w:p>
    <w:p w14:paraId="209794E4">
      <w:pPr>
        <w:jc w:val="center"/>
        <w:rPr>
          <w:rFonts w:ascii="Times New Roman" w:hAnsi="Times New Roman" w:eastAsia="Calibri" w:cs="Times New Roman"/>
          <w:sz w:val="28"/>
          <w:szCs w:val="28"/>
          <w:lang w:val="ru-RU" w:eastAsia="ru-RU"/>
        </w:rPr>
      </w:pPr>
      <w:r>
        <w:rPr>
          <w:rFonts w:ascii="Times New Roman" w:hAnsi="Times New Roman" w:eastAsia="Calibri" w:cs="Times New Roman"/>
          <w:b/>
          <w:bCs/>
          <w:sz w:val="28"/>
          <w:szCs w:val="28"/>
          <w:lang w:val="ru-RU" w:eastAsia="ru-RU"/>
        </w:rPr>
        <w:t xml:space="preserve">За освітньо-професійною програмою </w:t>
      </w:r>
      <w:r>
        <w:rPr>
          <w:rFonts w:ascii="Times New Roman" w:hAnsi="Times New Roman" w:eastAsia="Calibri" w:cs="Times New Roman"/>
          <w:sz w:val="28"/>
          <w:szCs w:val="28"/>
          <w:lang w:val="ru-RU" w:eastAsia="ru-RU"/>
        </w:rPr>
        <w:t xml:space="preserve">«Інжиніринг інтелектуальних </w:t>
      </w:r>
    </w:p>
    <w:p w14:paraId="6FE55407">
      <w:pPr>
        <w:jc w:val="center"/>
        <w:rPr>
          <w:rFonts w:ascii="Times New Roman" w:hAnsi="Times New Roman" w:eastAsia="Calibri" w:cs="Times New Roman"/>
          <w:sz w:val="28"/>
          <w:szCs w:val="28"/>
          <w:lang w:val="ru-RU" w:eastAsia="ru-RU"/>
        </w:rPr>
      </w:pPr>
      <w:r>
        <w:rPr>
          <w:rFonts w:ascii="Times New Roman" w:hAnsi="Times New Roman" w:eastAsia="Calibri" w:cs="Times New Roman"/>
          <w:sz w:val="28"/>
          <w:szCs w:val="28"/>
          <w:lang w:val="ru-RU" w:eastAsia="ru-RU"/>
        </w:rPr>
        <w:t>електротехнічних та мехатронних комплексів»</w:t>
      </w:r>
    </w:p>
    <w:p w14:paraId="5E5004BD">
      <w:pPr>
        <w:jc w:val="center"/>
        <w:rPr>
          <w:rFonts w:ascii="Times New Roman" w:hAnsi="Times New Roman" w:eastAsia="Calibri" w:cs="Times New Roman"/>
          <w:sz w:val="28"/>
          <w:szCs w:val="28"/>
          <w:lang w:val="ru-RU" w:eastAsia="ru-RU"/>
        </w:rPr>
      </w:pPr>
      <w:r>
        <w:rPr>
          <w:rFonts w:ascii="Times New Roman" w:hAnsi="Times New Roman" w:eastAsia="Calibri" w:cs="Times New Roman"/>
          <w:b/>
          <w:bCs/>
          <w:sz w:val="28"/>
          <w:szCs w:val="28"/>
          <w:lang w:val="ru-RU" w:eastAsia="ru-RU"/>
        </w:rPr>
        <w:t xml:space="preserve">зі спеціальності </w:t>
      </w:r>
      <w:r>
        <w:rPr>
          <w:rFonts w:ascii="Times New Roman" w:hAnsi="Times New Roman" w:eastAsia="Calibri" w:cs="Times New Roman"/>
          <w:sz w:val="28"/>
          <w:szCs w:val="28"/>
          <w:lang w:val="ru-RU" w:eastAsia="ru-RU"/>
        </w:rPr>
        <w:t>141 «Електроенергетика, електротехніка та електромеханіка»</w:t>
      </w:r>
    </w:p>
    <w:p w14:paraId="06AE21DB">
      <w:pPr>
        <w:spacing w:line="259" w:lineRule="auto"/>
        <w:rPr>
          <w:rFonts w:ascii="Times New Roman" w:hAnsi="Times New Roman" w:eastAsia="Calibri" w:cs="Times New Roman"/>
          <w:b/>
          <w:lang w:val="uk-UA" w:eastAsia="ru-RU"/>
        </w:rPr>
      </w:pPr>
      <w:r>
        <w:rPr>
          <w:rFonts w:ascii="Times New Roman" w:hAnsi="Times New Roman" w:eastAsia="Calibri" w:cs="Times New Roman"/>
          <w:b/>
          <w:bCs/>
          <w:sz w:val="28"/>
          <w:szCs w:val="28"/>
          <w:lang w:val="uk-UA" w:eastAsia="ru-RU"/>
        </w:rPr>
        <w:t>на  тему:</w:t>
      </w:r>
      <w:r>
        <w:rPr>
          <w:rFonts w:ascii="Times New Roman" w:hAnsi="Times New Roman" w:eastAsia="Calibri" w:cs="Times New Roman"/>
          <w:lang w:val="uk-UA" w:eastAsia="ru-RU"/>
        </w:rPr>
        <w:t xml:space="preserve"> </w:t>
      </w:r>
      <w:r>
        <w:rPr>
          <w:rFonts w:ascii="Times New Roman" w:hAnsi="Times New Roman" w:eastAsia="Calibri" w:cs="Times New Roman"/>
          <w:b/>
          <w:sz w:val="28"/>
          <w:szCs w:val="28"/>
          <w:lang w:val="uk-UA" w:eastAsia="ru-RU"/>
        </w:rPr>
        <w:t>«</w:t>
      </w:r>
      <w:r>
        <w:rPr>
          <w:rFonts w:hint="default" w:ascii="Times New Roman" w:hAnsi="Times New Roman" w:eastAsia="Calibri" w:cs="Times New Roman"/>
          <w:b/>
          <w:sz w:val="28"/>
          <w:szCs w:val="28"/>
          <w:lang w:val="uk-UA" w:eastAsia="ru-RU"/>
        </w:rPr>
        <w:t>Підвищення рівня енергоефективності електропостачания промислового підприємства з використанням кінетичних накопичувачів енергії</w:t>
      </w:r>
      <w:r>
        <w:rPr>
          <w:rFonts w:ascii="Times New Roman" w:hAnsi="Times New Roman" w:eastAsia="Calibri" w:cs="Times New Roman"/>
          <w:b/>
          <w:sz w:val="28"/>
          <w:szCs w:val="28"/>
          <w:lang w:val="uk-UA" w:eastAsia="ru-RU"/>
        </w:rPr>
        <w:t>»</w:t>
      </w:r>
    </w:p>
    <w:p w14:paraId="07326348">
      <w:pPr>
        <w:spacing w:line="259" w:lineRule="auto"/>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Виконав: </w:t>
      </w:r>
    </w:p>
    <w:p w14:paraId="5AF5ADCF">
      <w:pPr>
        <w:spacing w:line="259" w:lineRule="auto"/>
        <w:rPr>
          <w:rFonts w:ascii="Times New Roman" w:hAnsi="Times New Roman" w:eastAsia="Calibri" w:cs="Times New Roman"/>
          <w:lang w:val="uk-UA" w:eastAsia="ru-RU"/>
        </w:rPr>
      </w:pPr>
      <w:r>
        <w:rPr>
          <w:rFonts w:ascii="Times New Roman" w:hAnsi="Times New Roman" w:eastAsia="Calibri" w:cs="Times New Roman"/>
          <w:lang w:val="uk-UA" w:eastAsia="ru-RU"/>
        </w:rPr>
        <w:t>студент VІ курсу, групи ГА-31мп</w:t>
      </w:r>
    </w:p>
    <w:p w14:paraId="1FBCF89C">
      <w:pPr>
        <w:spacing w:line="259" w:lineRule="auto"/>
        <w:rPr>
          <w:rFonts w:ascii="Times New Roman" w:hAnsi="Times New Roman" w:eastAsia="Calibri" w:cs="Times New Roman"/>
          <w:u w:val="single"/>
          <w:lang w:val="uk-UA" w:eastAsia="ru-RU"/>
        </w:rPr>
      </w:pPr>
      <w:r>
        <w:rPr>
          <w:rFonts w:ascii="Times New Roman" w:hAnsi="Times New Roman" w:eastAsia="Calibri" w:cs="Times New Roman"/>
          <w:lang w:val="uk-UA" w:eastAsia="ru-RU"/>
        </w:rPr>
        <w:t>Гентош</w:t>
      </w:r>
      <w:r>
        <w:rPr>
          <w:rFonts w:hint="default" w:ascii="Times New Roman" w:hAnsi="Times New Roman" w:eastAsia="Calibri" w:cs="Times New Roman"/>
          <w:lang w:val="uk-UA" w:eastAsia="ru-RU"/>
        </w:rPr>
        <w:t xml:space="preserve"> Ілля Анатолійович</w:t>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ascii="Times New Roman" w:hAnsi="Times New Roman" w:eastAsia="Calibri" w:cs="Times New Roman"/>
          <w:lang w:val="ru-RU" w:eastAsia="ru-RU"/>
        </w:rPr>
        <w:t>___________</w:t>
      </w:r>
    </w:p>
    <w:p w14:paraId="6617F0F3">
      <w:pPr>
        <w:spacing w:line="259" w:lineRule="auto"/>
        <w:rPr>
          <w:rFonts w:ascii="Times New Roman" w:hAnsi="Times New Roman" w:eastAsia="Calibri" w:cs="Times New Roman"/>
          <w:lang w:val="uk-UA" w:eastAsia="ru-RU"/>
        </w:rPr>
      </w:pPr>
    </w:p>
    <w:p w14:paraId="75751424">
      <w:pPr>
        <w:spacing w:line="259" w:lineRule="auto"/>
        <w:rPr>
          <w:rFonts w:ascii="Times New Roman" w:hAnsi="Times New Roman" w:eastAsia="Calibri" w:cs="Times New Roman"/>
          <w:lang w:val="uk-UA" w:eastAsia="ru-RU"/>
        </w:rPr>
      </w:pPr>
      <w:r>
        <w:rPr>
          <w:rFonts w:ascii="Times New Roman" w:hAnsi="Times New Roman" w:eastAsia="Calibri" w:cs="Times New Roman"/>
          <w:lang w:val="uk-UA" w:eastAsia="ru-RU"/>
        </w:rPr>
        <w:t>Науковий керівник:</w:t>
      </w:r>
    </w:p>
    <w:p w14:paraId="231D0377">
      <w:pPr>
        <w:spacing w:line="259" w:lineRule="auto"/>
        <w:rPr>
          <w:rFonts w:ascii="Times New Roman" w:hAnsi="Times New Roman" w:eastAsia="Calibri" w:cs="Times New Roman"/>
          <w:lang w:val="uk-UA" w:eastAsia="ru-RU"/>
        </w:rPr>
      </w:pPr>
      <w:r>
        <w:rPr>
          <w:rFonts w:ascii="Times New Roman" w:hAnsi="Times New Roman" w:eastAsia="Calibri" w:cs="Times New Roman"/>
          <w:lang w:val="uk-UA" w:eastAsia="ru-RU"/>
        </w:rPr>
        <w:t>проф.д.т.н., доцент</w:t>
      </w:r>
    </w:p>
    <w:p w14:paraId="69A2C005">
      <w:pPr>
        <w:spacing w:line="259" w:lineRule="auto"/>
        <w:rPr>
          <w:rFonts w:ascii="Times New Roman" w:hAnsi="Times New Roman" w:eastAsia="Calibri" w:cs="Times New Roman"/>
          <w:lang w:val="uk-UA" w:eastAsia="ru-RU"/>
        </w:rPr>
      </w:pPr>
      <w:r>
        <w:rPr>
          <w:rFonts w:ascii="Times New Roman" w:hAnsi="Times New Roman" w:eastAsia="Calibri" w:cs="Times New Roman"/>
          <w:lang w:val="uk-UA" w:eastAsia="ru-RU"/>
        </w:rPr>
        <w:t>Розен</w:t>
      </w:r>
      <w:r>
        <w:rPr>
          <w:rFonts w:hint="default" w:ascii="Times New Roman" w:hAnsi="Times New Roman" w:eastAsia="Calibri" w:cs="Times New Roman"/>
          <w:lang w:val="uk-UA" w:eastAsia="ru-RU"/>
        </w:rPr>
        <w:t xml:space="preserve"> Віктор Петрович</w:t>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hint="default" w:ascii="Times New Roman" w:hAnsi="Times New Roman" w:eastAsia="Calibri" w:cs="Times New Roman"/>
          <w:lang w:val="uk-UA" w:eastAsia="ru-RU"/>
        </w:rPr>
        <w:tab/>
      </w:r>
      <w:r>
        <w:rPr>
          <w:rFonts w:ascii="Times New Roman" w:hAnsi="Times New Roman" w:eastAsia="Calibri" w:cs="Times New Roman"/>
          <w:lang w:val="ru-RU" w:eastAsia="ru-RU"/>
        </w:rPr>
        <w:t>___________</w:t>
      </w:r>
    </w:p>
    <w:p w14:paraId="491AA8E8">
      <w:pPr>
        <w:spacing w:line="259" w:lineRule="auto"/>
        <w:rPr>
          <w:rFonts w:ascii="Times New Roman" w:hAnsi="Times New Roman" w:eastAsia="Calibri" w:cs="Times New Roman"/>
          <w:lang w:val="uk-UA" w:eastAsia="ru-RU"/>
        </w:rPr>
      </w:pPr>
    </w:p>
    <w:p w14:paraId="0BE6BAFC">
      <w:pPr>
        <w:spacing w:line="259"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Консультант з стартапу:</w:t>
      </w:r>
    </w:p>
    <w:p w14:paraId="767BE16C">
      <w:pPr>
        <w:spacing w:line="259"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доцент, к.е.н.</w:t>
      </w:r>
    </w:p>
    <w:p w14:paraId="37253C86">
      <w:pPr>
        <w:spacing w:line="259"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Шевчук Наталія Анатоліївна</w:t>
      </w:r>
      <w:r>
        <w:rPr>
          <w:rFonts w:hint="default" w:ascii="Times New Roman" w:hAnsi="Times New Roman" w:eastAsia="Calibri" w:cs="Times New Roman"/>
          <w:color w:val="000000"/>
          <w:lang w:val="uk-UA" w:eastAsia="ru-RU"/>
        </w:rPr>
        <w:tab/>
      </w:r>
      <w:r>
        <w:rPr>
          <w:rFonts w:hint="default" w:ascii="Times New Roman" w:hAnsi="Times New Roman" w:eastAsia="Calibri" w:cs="Times New Roman"/>
          <w:color w:val="000000"/>
          <w:lang w:val="uk-UA" w:eastAsia="ru-RU"/>
        </w:rPr>
        <w:tab/>
      </w:r>
      <w:r>
        <w:rPr>
          <w:rFonts w:hint="default" w:ascii="Times New Roman" w:hAnsi="Times New Roman" w:eastAsia="Calibri" w:cs="Times New Roman"/>
          <w:color w:val="000000"/>
          <w:lang w:val="uk-UA" w:eastAsia="ru-RU"/>
        </w:rPr>
        <w:tab/>
      </w:r>
      <w:r>
        <w:rPr>
          <w:rFonts w:hint="default" w:ascii="Times New Roman" w:hAnsi="Times New Roman" w:eastAsia="Calibri" w:cs="Times New Roman"/>
          <w:color w:val="000000"/>
          <w:lang w:val="uk-UA" w:eastAsia="ru-RU"/>
        </w:rPr>
        <w:tab/>
      </w:r>
      <w:r>
        <w:rPr>
          <w:rFonts w:hint="default" w:ascii="Times New Roman" w:hAnsi="Times New Roman" w:eastAsia="Calibri" w:cs="Times New Roman"/>
          <w:color w:val="000000"/>
          <w:lang w:val="uk-UA" w:eastAsia="ru-RU"/>
        </w:rPr>
        <w:tab/>
      </w:r>
      <w:r>
        <w:rPr>
          <w:rFonts w:hint="default" w:ascii="Times New Roman" w:hAnsi="Times New Roman" w:eastAsia="Calibri" w:cs="Times New Roman"/>
          <w:color w:val="000000"/>
          <w:lang w:val="uk-UA" w:eastAsia="ru-RU"/>
        </w:rPr>
        <w:tab/>
      </w:r>
      <w:r>
        <w:rPr>
          <w:rFonts w:hint="default" w:ascii="Times New Roman" w:hAnsi="Times New Roman" w:eastAsia="Calibri" w:cs="Times New Roman"/>
          <w:color w:val="000000"/>
          <w:lang w:val="uk-UA" w:eastAsia="ru-RU"/>
        </w:rPr>
        <w:tab/>
      </w:r>
      <w:r>
        <w:rPr>
          <w:rFonts w:ascii="Times New Roman" w:hAnsi="Times New Roman" w:eastAsia="Calibri" w:cs="Times New Roman"/>
          <w:lang w:val="ru-RU" w:eastAsia="ru-RU"/>
        </w:rPr>
        <w:t>___________</w:t>
      </w:r>
      <w:r>
        <w:rPr>
          <w:rFonts w:ascii="Times New Roman" w:hAnsi="Times New Roman" w:eastAsia="Calibri" w:cs="Times New Roman"/>
          <w:color w:val="000000"/>
          <w:lang w:val="uk-UA" w:eastAsia="ru-RU"/>
        </w:rPr>
        <w:t xml:space="preserve"> </w:t>
      </w:r>
    </w:p>
    <w:p w14:paraId="77EEA62E">
      <w:pPr>
        <w:spacing w:line="259" w:lineRule="auto"/>
        <w:rPr>
          <w:rFonts w:ascii="Times New Roman" w:hAnsi="Times New Roman" w:eastAsia="Calibri" w:cs="Times New Roman"/>
          <w:color w:val="000000"/>
          <w:lang w:val="uk-UA" w:eastAsia="ru-RU"/>
        </w:rPr>
      </w:pPr>
    </w:p>
    <w:p w14:paraId="51106F28">
      <w:pPr>
        <w:spacing w:line="259"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Нормоконтролер:</w:t>
      </w:r>
    </w:p>
    <w:p w14:paraId="1F6CE0F6">
      <w:pPr>
        <w:spacing w:line="259"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доцент, к.т.н.</w:t>
      </w:r>
    </w:p>
    <w:p w14:paraId="1BE72DAC">
      <w:pPr>
        <w:spacing w:line="259"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Кулаковський Леонід Ярославович</w:t>
      </w:r>
      <w:r>
        <w:rPr>
          <w:rFonts w:ascii="Times New Roman" w:hAnsi="Times New Roman" w:eastAsia="Calibri" w:cs="Times New Roman"/>
          <w:color w:val="000000"/>
          <w:lang w:val="uk-UA" w:eastAsia="ru-RU"/>
        </w:rPr>
        <w:tab/>
      </w:r>
      <w:r>
        <w:rPr>
          <w:rFonts w:ascii="Times New Roman" w:hAnsi="Times New Roman" w:eastAsia="Calibri" w:cs="Times New Roman"/>
          <w:color w:val="000000"/>
          <w:lang w:val="uk-UA" w:eastAsia="ru-RU"/>
        </w:rPr>
        <w:tab/>
      </w:r>
      <w:r>
        <w:rPr>
          <w:rFonts w:ascii="Times New Roman" w:hAnsi="Times New Roman" w:eastAsia="Calibri" w:cs="Times New Roman"/>
          <w:color w:val="000000"/>
          <w:lang w:val="uk-UA" w:eastAsia="ru-RU"/>
        </w:rPr>
        <w:tab/>
      </w:r>
      <w:r>
        <w:rPr>
          <w:rFonts w:ascii="Times New Roman" w:hAnsi="Times New Roman" w:eastAsia="Calibri" w:cs="Times New Roman"/>
          <w:color w:val="000000"/>
          <w:lang w:val="uk-UA" w:eastAsia="ru-RU"/>
        </w:rPr>
        <w:tab/>
      </w:r>
      <w:r>
        <w:rPr>
          <w:rFonts w:ascii="Times New Roman" w:hAnsi="Times New Roman" w:eastAsia="Calibri" w:cs="Times New Roman"/>
          <w:color w:val="000000"/>
          <w:lang w:val="uk-UA" w:eastAsia="ru-RU"/>
        </w:rPr>
        <w:tab/>
      </w:r>
      <w:r>
        <w:rPr>
          <w:rFonts w:ascii="Times New Roman" w:hAnsi="Times New Roman" w:eastAsia="Calibri" w:cs="Times New Roman"/>
          <w:color w:val="000000"/>
          <w:lang w:val="uk-UA" w:eastAsia="ru-RU"/>
        </w:rPr>
        <w:tab/>
      </w:r>
      <w:r>
        <w:rPr>
          <w:rFonts w:ascii="Times New Roman" w:hAnsi="Times New Roman" w:eastAsia="Calibri" w:cs="Times New Roman"/>
          <w:lang w:val="ru-RU" w:eastAsia="ru-RU"/>
        </w:rPr>
        <w:t>___________</w:t>
      </w:r>
    </w:p>
    <w:tbl>
      <w:tblPr>
        <w:tblStyle w:val="5"/>
        <w:tblpPr w:leftFromText="180" w:rightFromText="180" w:vertAnchor="text" w:horzAnchor="margin" w:tblpXSpec="right" w:tblpY="44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32"/>
      </w:tblGrid>
      <w:tr w14:paraId="39309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0" w:hRule="atLeast"/>
        </w:trPr>
        <w:tc>
          <w:tcPr>
            <w:tcW w:w="5032" w:type="dxa"/>
            <w:tcBorders>
              <w:top w:val="nil"/>
              <w:left w:val="nil"/>
              <w:bottom w:val="nil"/>
              <w:right w:val="nil"/>
            </w:tcBorders>
          </w:tcPr>
          <w:p w14:paraId="082F0D3E">
            <w:pPr>
              <w:spacing w:line="360"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 xml:space="preserve">Засвідчую, що у цій магістерській дисертації     </w:t>
            </w:r>
          </w:p>
          <w:p w14:paraId="5529F668">
            <w:pPr>
              <w:spacing w:line="360"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немає запозичень з праць інших авторів без</w:t>
            </w:r>
          </w:p>
          <w:p w14:paraId="625CD3A2">
            <w:pPr>
              <w:spacing w:line="360"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 xml:space="preserve"> відповідних посилань. </w:t>
            </w:r>
          </w:p>
          <w:p w14:paraId="72EAB8F1">
            <w:pPr>
              <w:spacing w:line="360" w:lineRule="auto"/>
              <w:rPr>
                <w:rFonts w:ascii="Times New Roman" w:hAnsi="Times New Roman" w:eastAsia="Calibri" w:cs="Times New Roman"/>
                <w:color w:val="000000"/>
                <w:lang w:val="uk-UA" w:eastAsia="ru-RU"/>
              </w:rPr>
            </w:pPr>
            <w:r>
              <w:rPr>
                <w:rFonts w:ascii="Times New Roman" w:hAnsi="Times New Roman" w:eastAsia="Calibri" w:cs="Times New Roman"/>
                <w:color w:val="000000"/>
                <w:lang w:val="uk-UA" w:eastAsia="ru-RU"/>
              </w:rPr>
              <w:t>Студент</w:t>
            </w:r>
            <w:r>
              <w:rPr>
                <w:rFonts w:hint="default" w:ascii="Times New Roman" w:hAnsi="Times New Roman" w:eastAsia="Calibri" w:cs="Times New Roman"/>
                <w:color w:val="000000"/>
                <w:lang w:val="uk-UA" w:eastAsia="ru-RU"/>
              </w:rPr>
              <w:t>: Гентош ІлляАнатоліович</w:t>
            </w:r>
            <w:r>
              <w:rPr>
                <w:rFonts w:ascii="Times New Roman" w:hAnsi="Times New Roman" w:eastAsia="Calibri" w:cs="Times New Roman"/>
                <w:color w:val="000000"/>
                <w:lang w:val="uk-UA" w:eastAsia="ru-RU"/>
              </w:rPr>
              <w:t>.</w:t>
            </w:r>
          </w:p>
        </w:tc>
      </w:tr>
    </w:tbl>
    <w:p w14:paraId="659BAC68">
      <w:pPr>
        <w:rPr>
          <w:rFonts w:ascii="Times New Roman" w:hAnsi="Times New Roman" w:eastAsia="Calibri" w:cs="Times New Roman"/>
          <w:lang w:val="uk-UA" w:eastAsia="ru-RU"/>
        </w:rPr>
      </w:pPr>
    </w:p>
    <w:p w14:paraId="53F321CB">
      <w:pPr>
        <w:rPr>
          <w:rFonts w:ascii="Times New Roman" w:hAnsi="Times New Roman" w:eastAsia="Calibri" w:cs="Times New Roman"/>
          <w:lang w:val="uk-UA" w:eastAsia="ru-RU"/>
        </w:rPr>
      </w:pPr>
    </w:p>
    <w:p w14:paraId="6A4ECDA8">
      <w:pPr>
        <w:rPr>
          <w:rFonts w:ascii="Times New Roman" w:hAnsi="Times New Roman" w:eastAsia="Calibri" w:cs="Times New Roman"/>
          <w:lang w:val="uk-UA" w:eastAsia="ru-RU"/>
        </w:rPr>
      </w:pPr>
    </w:p>
    <w:p w14:paraId="43704415">
      <w:pPr>
        <w:rPr>
          <w:rFonts w:ascii="Times New Roman" w:hAnsi="Times New Roman" w:eastAsia="Calibri" w:cs="Times New Roman"/>
          <w:lang w:val="uk-UA" w:eastAsia="ru-RU"/>
        </w:rPr>
      </w:pPr>
    </w:p>
    <w:p w14:paraId="03DB85CA">
      <w:pPr>
        <w:rPr>
          <w:rFonts w:ascii="Times New Roman" w:hAnsi="Times New Roman" w:eastAsia="Calibri" w:cs="Times New Roman"/>
          <w:lang w:val="uk-UA" w:eastAsia="ru-RU"/>
        </w:rPr>
      </w:pPr>
    </w:p>
    <w:p w14:paraId="0BCEB04F">
      <w:pPr>
        <w:rPr>
          <w:rFonts w:ascii="Times New Roman" w:hAnsi="Times New Roman" w:eastAsia="Calibri" w:cs="Times New Roman"/>
          <w:lang w:val="uk-UA" w:eastAsia="ru-RU"/>
        </w:rPr>
      </w:pPr>
    </w:p>
    <w:p w14:paraId="71E5AA64">
      <w:pPr>
        <w:rPr>
          <w:rFonts w:ascii="Times New Roman" w:hAnsi="Times New Roman" w:eastAsia="Calibri" w:cs="Times New Roman"/>
          <w:lang w:val="uk-UA" w:eastAsia="ru-RU"/>
        </w:rPr>
      </w:pPr>
    </w:p>
    <w:p w14:paraId="6220A6DC">
      <w:pPr>
        <w:rPr>
          <w:rFonts w:ascii="Times New Roman" w:hAnsi="Times New Roman" w:eastAsia="Calibri" w:cs="Times New Roman"/>
          <w:lang w:val="uk-UA" w:eastAsia="ru-RU"/>
        </w:rPr>
      </w:pPr>
    </w:p>
    <w:p w14:paraId="5479853A">
      <w:pPr>
        <w:rPr>
          <w:rFonts w:ascii="Times New Roman" w:hAnsi="Times New Roman" w:eastAsia="Calibri" w:cs="Times New Roman"/>
          <w:lang w:val="uk-UA" w:eastAsia="ru-RU"/>
        </w:rPr>
      </w:pPr>
    </w:p>
    <w:p w14:paraId="624431E8">
      <w:pPr>
        <w:rPr>
          <w:rFonts w:ascii="Times New Roman" w:hAnsi="Times New Roman" w:eastAsia="Calibri" w:cs="Times New Roman"/>
          <w:lang w:val="uk-UA" w:eastAsia="ru-RU"/>
        </w:rPr>
      </w:pPr>
    </w:p>
    <w:p w14:paraId="503ED403">
      <w:pPr>
        <w:rPr>
          <w:rFonts w:ascii="Times New Roman" w:hAnsi="Times New Roman" w:eastAsia="Calibri" w:cs="Times New Roman"/>
          <w:lang w:val="uk-UA" w:eastAsia="ru-RU"/>
        </w:rPr>
      </w:pPr>
    </w:p>
    <w:p w14:paraId="0229B7B2">
      <w:pPr>
        <w:rPr>
          <w:rFonts w:ascii="Times New Roman" w:hAnsi="Times New Roman" w:eastAsia="Calibri" w:cs="Times New Roman"/>
          <w:lang w:val="uk-UA" w:eastAsia="ru-RU"/>
        </w:rPr>
      </w:pPr>
    </w:p>
    <w:p w14:paraId="6A15C36C">
      <w:pPr>
        <w:rPr>
          <w:rFonts w:ascii="Times New Roman" w:hAnsi="Times New Roman" w:eastAsia="Calibri" w:cs="Times New Roman"/>
          <w:lang w:val="uk-UA" w:eastAsia="ru-RU"/>
        </w:rPr>
      </w:pPr>
    </w:p>
    <w:p w14:paraId="650082AE">
      <w:pPr>
        <w:jc w:val="center"/>
        <w:rPr>
          <w:rFonts w:ascii="Times New Roman" w:hAnsi="Times New Roman" w:eastAsia="Calibri" w:cs="Times New Roman"/>
          <w:lang w:val="uk-UA" w:eastAsia="ru-RU"/>
        </w:rPr>
      </w:pPr>
      <w:r>
        <w:rPr>
          <w:rFonts w:ascii="Times New Roman" w:hAnsi="Times New Roman" w:eastAsia="Calibri" w:cs="Times New Roman"/>
          <w:lang w:val="uk-UA" w:eastAsia="ru-RU"/>
        </w:rPr>
        <w:t>Київ – 2024 року</w:t>
      </w:r>
    </w:p>
    <w:p w14:paraId="0A180F2E">
      <w:pPr>
        <w:spacing w:line="360" w:lineRule="auto"/>
        <w:jc w:val="center"/>
        <w:rPr>
          <w:rFonts w:ascii="Times New Roman" w:hAnsi="Times New Roman" w:eastAsia="Calibri" w:cs="Times New Roman"/>
          <w:b/>
          <w:lang w:val="uk-UA" w:eastAsia="ru-RU"/>
        </w:rPr>
        <w:sectPr>
          <w:headerReference r:id="rId5" w:type="first"/>
          <w:footerReference r:id="rId8" w:type="first"/>
          <w:headerReference r:id="rId3" w:type="default"/>
          <w:footerReference r:id="rId6" w:type="default"/>
          <w:headerReference r:id="rId4" w:type="even"/>
          <w:footerReference r:id="rId7" w:type="even"/>
          <w:pgSz w:w="11906" w:h="16838"/>
          <w:pgMar w:top="1134" w:right="851" w:bottom="1134" w:left="1701" w:header="708" w:footer="708" w:gutter="0"/>
          <w:pgNumType w:fmt="decimal"/>
          <w:cols w:space="708" w:num="1"/>
          <w:titlePg/>
          <w:docGrid w:linePitch="360" w:charSpace="0"/>
        </w:sectPr>
      </w:pPr>
    </w:p>
    <w:p w14:paraId="464B27E4">
      <w:pPr>
        <w:spacing w:line="360" w:lineRule="auto"/>
        <w:jc w:val="center"/>
        <w:rPr>
          <w:rFonts w:ascii="Times New Roman" w:hAnsi="Times New Roman" w:eastAsia="Calibri" w:cs="Times New Roman"/>
          <w:b/>
          <w:lang w:val="uk-UA" w:eastAsia="ru-RU"/>
        </w:rPr>
      </w:pPr>
      <w:r>
        <w:rPr>
          <w:rFonts w:ascii="Times New Roman" w:hAnsi="Times New Roman" w:eastAsia="Calibri" w:cs="Times New Roman"/>
          <w:b/>
          <w:lang w:val="uk-UA" w:eastAsia="ru-RU"/>
        </w:rPr>
        <w:t>Національний технічний університет України</w:t>
      </w:r>
    </w:p>
    <w:p w14:paraId="2AE597DF">
      <w:pPr>
        <w:spacing w:line="360" w:lineRule="auto"/>
        <w:jc w:val="center"/>
        <w:rPr>
          <w:rFonts w:ascii="Times New Roman" w:hAnsi="Times New Roman" w:eastAsia="Calibri" w:cs="Times New Roman"/>
          <w:b/>
          <w:lang w:val="uk-UA" w:eastAsia="ru-RU"/>
        </w:rPr>
      </w:pPr>
      <w:r>
        <w:rPr>
          <w:rFonts w:ascii="Times New Roman" w:hAnsi="Times New Roman" w:eastAsia="Calibri" w:cs="Times New Roman"/>
          <w:b/>
          <w:lang w:val="uk-UA" w:eastAsia="ru-RU"/>
        </w:rPr>
        <w:t>«Київський політехнічний інститут імені Ігоря Сікорського»</w:t>
      </w:r>
    </w:p>
    <w:p w14:paraId="27FF9A87">
      <w:pPr>
        <w:spacing w:line="360" w:lineRule="auto"/>
        <w:jc w:val="center"/>
        <w:rPr>
          <w:rFonts w:ascii="Times New Roman" w:hAnsi="Times New Roman" w:eastAsia="Calibri" w:cs="Times New Roman"/>
          <w:b/>
          <w:lang w:val="uk-UA" w:eastAsia="ru-RU"/>
        </w:rPr>
      </w:pPr>
      <w:r>
        <w:rPr>
          <w:rFonts w:ascii="Times New Roman" w:hAnsi="Times New Roman" w:eastAsia="Calibri" w:cs="Times New Roman"/>
          <w:b/>
          <w:lang w:val="uk-UA" w:eastAsia="ru-RU"/>
        </w:rPr>
        <w:t>Навчально – науковий інститут енергозбереження та енергоменеджменту</w:t>
      </w:r>
    </w:p>
    <w:p w14:paraId="44F3854F">
      <w:pPr>
        <w:spacing w:line="360" w:lineRule="auto"/>
        <w:jc w:val="center"/>
        <w:rPr>
          <w:rFonts w:ascii="Times New Roman" w:hAnsi="Times New Roman" w:eastAsia="Calibri" w:cs="Times New Roman"/>
          <w:b/>
          <w:lang w:val="uk-UA" w:eastAsia="ru-RU"/>
        </w:rPr>
      </w:pPr>
      <w:r>
        <w:rPr>
          <w:rFonts w:ascii="Times New Roman" w:hAnsi="Times New Roman" w:eastAsia="Calibri" w:cs="Times New Roman"/>
          <w:b/>
          <w:lang w:val="uk-UA" w:eastAsia="ru-RU"/>
        </w:rPr>
        <w:t>Кафедра автоматизації електротехнічних та мехатронних комплексів</w:t>
      </w:r>
    </w:p>
    <w:p w14:paraId="29C097C4">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 Рівень вищої освіти – другий (магістерський) </w:t>
      </w:r>
    </w:p>
    <w:p w14:paraId="0F4F531E">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Спеціальність – 141 «Електроенергетика, електротехніка та електромеханіка» </w:t>
      </w:r>
    </w:p>
    <w:p w14:paraId="59CB7400">
      <w:pPr>
        <w:rPr>
          <w:rFonts w:ascii="Times New Roman" w:hAnsi="Times New Roman" w:eastAsia="Calibri" w:cs="Times New Roman"/>
          <w:lang w:val="uk-UA" w:eastAsia="ru-RU"/>
        </w:rPr>
      </w:pPr>
      <w:r>
        <w:rPr>
          <w:rFonts w:ascii="Times New Roman" w:hAnsi="Times New Roman" w:eastAsia="Calibri" w:cs="Times New Roman"/>
          <w:lang w:val="uk-UA" w:eastAsia="ru-RU"/>
        </w:rPr>
        <w:t>Освітньо-професійна програма «Інжиніринг інтелектуальних</w:t>
      </w:r>
    </w:p>
    <w:p w14:paraId="5A297787">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 електротехнічних та мехатронних комплексів»</w:t>
      </w:r>
    </w:p>
    <w:tbl>
      <w:tblPr>
        <w:tblStyle w:val="5"/>
        <w:tblpPr w:leftFromText="180" w:rightFromText="180" w:vertAnchor="text" w:tblpX="5210" w:tblpY="24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68"/>
      </w:tblGrid>
      <w:tr w14:paraId="3A0DA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7" w:hRule="atLeast"/>
        </w:trPr>
        <w:tc>
          <w:tcPr>
            <w:tcW w:w="3868" w:type="dxa"/>
            <w:tcBorders>
              <w:top w:val="nil"/>
              <w:left w:val="nil"/>
              <w:bottom w:val="nil"/>
              <w:right w:val="nil"/>
            </w:tcBorders>
          </w:tcPr>
          <w:p w14:paraId="51E7CE35">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ЗАТВЕРДЖУЮ                 </w:t>
            </w:r>
          </w:p>
          <w:p w14:paraId="50D54D51">
            <w:pPr>
              <w:rPr>
                <w:rFonts w:ascii="Times New Roman" w:hAnsi="Times New Roman" w:eastAsia="Calibri" w:cs="Times New Roman"/>
                <w:lang w:val="uk-UA" w:eastAsia="ru-RU"/>
              </w:rPr>
            </w:pPr>
            <w:r>
              <w:rPr>
                <w:rFonts w:ascii="Times New Roman" w:hAnsi="Times New Roman" w:eastAsia="Calibri" w:cs="Times New Roman"/>
                <w:lang w:val="uk-UA" w:eastAsia="ru-RU"/>
              </w:rPr>
              <w:t>Завідувач кафедри</w:t>
            </w:r>
          </w:p>
          <w:p w14:paraId="607477E7">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 _______ Сергій БОЙЧЕНКО</w:t>
            </w:r>
          </w:p>
          <w:p w14:paraId="5542D280">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 «___»_____________20__ р. </w:t>
            </w:r>
          </w:p>
          <w:p w14:paraId="3B088680">
            <w:pPr>
              <w:rPr>
                <w:rFonts w:ascii="Times New Roman" w:hAnsi="Times New Roman" w:eastAsia="Calibri" w:cs="Times New Roman"/>
                <w:lang w:val="uk-UA" w:eastAsia="ru-RU"/>
              </w:rPr>
            </w:pPr>
          </w:p>
        </w:tc>
      </w:tr>
    </w:tbl>
    <w:p w14:paraId="7B50CD86">
      <w:pPr>
        <w:rPr>
          <w:rFonts w:ascii="Times New Roman" w:hAnsi="Times New Roman" w:eastAsia="Calibri" w:cs="Times New Roman"/>
          <w:lang w:val="uk-UA" w:eastAsia="ru-RU"/>
        </w:rPr>
      </w:pPr>
    </w:p>
    <w:p w14:paraId="2268862D">
      <w:pPr>
        <w:rPr>
          <w:rFonts w:ascii="Times New Roman" w:hAnsi="Times New Roman" w:eastAsia="Calibri" w:cs="Times New Roman"/>
          <w:lang w:val="uk-UA" w:eastAsia="ru-RU"/>
        </w:rPr>
      </w:pPr>
    </w:p>
    <w:p w14:paraId="2F8D71A7">
      <w:pPr>
        <w:rPr>
          <w:rFonts w:ascii="Times New Roman" w:hAnsi="Times New Roman" w:eastAsia="Calibri" w:cs="Times New Roman"/>
          <w:lang w:val="uk-UA" w:eastAsia="ru-RU"/>
        </w:rPr>
      </w:pPr>
    </w:p>
    <w:p w14:paraId="144B9284">
      <w:pPr>
        <w:rPr>
          <w:rFonts w:ascii="Times New Roman" w:hAnsi="Times New Roman" w:eastAsia="Calibri" w:cs="Times New Roman"/>
          <w:lang w:val="uk-UA" w:eastAsia="ru-RU"/>
        </w:rPr>
      </w:pPr>
    </w:p>
    <w:p w14:paraId="6DF856ED">
      <w:pPr>
        <w:rPr>
          <w:rFonts w:ascii="Times New Roman" w:hAnsi="Times New Roman" w:eastAsia="Calibri" w:cs="Times New Roman"/>
          <w:lang w:val="uk-UA" w:eastAsia="ru-RU"/>
        </w:rPr>
      </w:pPr>
    </w:p>
    <w:p w14:paraId="73FEB260">
      <w:pPr>
        <w:rPr>
          <w:rFonts w:ascii="Times New Roman" w:hAnsi="Times New Roman" w:eastAsia="Calibri" w:cs="Times New Roman"/>
          <w:lang w:val="uk-UA" w:eastAsia="ru-RU"/>
        </w:rPr>
      </w:pPr>
    </w:p>
    <w:p w14:paraId="74297085">
      <w:pPr>
        <w:rPr>
          <w:rFonts w:ascii="Times New Roman" w:hAnsi="Times New Roman" w:eastAsia="Calibri" w:cs="Times New Roman"/>
          <w:lang w:val="uk-UA" w:eastAsia="ru-RU"/>
        </w:rPr>
      </w:pPr>
    </w:p>
    <w:p w14:paraId="5BD7C83B">
      <w:pPr>
        <w:rPr>
          <w:rFonts w:ascii="Times New Roman" w:hAnsi="Times New Roman" w:eastAsia="Calibri" w:cs="Times New Roman"/>
          <w:lang w:val="uk-UA" w:eastAsia="ru-RU"/>
        </w:rPr>
      </w:pPr>
    </w:p>
    <w:p w14:paraId="6605DB5B">
      <w:pPr>
        <w:rPr>
          <w:rFonts w:ascii="Times New Roman" w:hAnsi="Times New Roman" w:eastAsia="Calibri" w:cs="Times New Roman"/>
          <w:lang w:val="uk-UA" w:eastAsia="ru-RU"/>
        </w:rPr>
      </w:pPr>
    </w:p>
    <w:p w14:paraId="5252A0F0">
      <w:pPr>
        <w:rPr>
          <w:rFonts w:ascii="Times New Roman" w:hAnsi="Times New Roman" w:eastAsia="Calibri" w:cs="Times New Roman"/>
          <w:lang w:val="uk-UA" w:eastAsia="ru-RU"/>
        </w:rPr>
      </w:pPr>
    </w:p>
    <w:p w14:paraId="3ED5DC48">
      <w:pPr>
        <w:spacing w:line="360" w:lineRule="auto"/>
        <w:jc w:val="center"/>
        <w:rPr>
          <w:rFonts w:ascii="Times New Roman" w:hAnsi="Times New Roman" w:eastAsia="Calibri" w:cs="Times New Roman"/>
          <w:b/>
          <w:lang w:val="uk-UA" w:eastAsia="ru-RU"/>
        </w:rPr>
      </w:pPr>
      <w:r>
        <w:rPr>
          <w:rFonts w:ascii="Times New Roman" w:hAnsi="Times New Roman" w:eastAsia="Calibri" w:cs="Times New Roman"/>
          <w:b/>
          <w:lang w:val="uk-UA" w:eastAsia="ru-RU"/>
        </w:rPr>
        <w:t>ЗАВДАННЯ</w:t>
      </w:r>
    </w:p>
    <w:p w14:paraId="7632B895">
      <w:pPr>
        <w:spacing w:line="360" w:lineRule="auto"/>
        <w:jc w:val="center"/>
        <w:rPr>
          <w:rFonts w:ascii="Times New Roman" w:hAnsi="Times New Roman" w:eastAsia="Calibri" w:cs="Times New Roman"/>
          <w:b/>
          <w:lang w:val="uk-UA" w:eastAsia="ru-RU"/>
        </w:rPr>
      </w:pPr>
      <w:r>
        <w:rPr>
          <w:rFonts w:ascii="Times New Roman" w:hAnsi="Times New Roman" w:eastAsia="Calibri" w:cs="Times New Roman"/>
          <w:b/>
          <w:lang w:val="uk-UA" w:eastAsia="ru-RU"/>
        </w:rPr>
        <w:t>на магістерську дисертацію студенту</w:t>
      </w:r>
    </w:p>
    <w:p w14:paraId="5055C431">
      <w:pPr>
        <w:spacing w:line="360" w:lineRule="auto"/>
        <w:jc w:val="center"/>
        <w:rPr>
          <w:rFonts w:hint="default" w:ascii="Times New Roman" w:hAnsi="Times New Roman" w:eastAsia="Times New Roman" w:cs="Times New Roman"/>
          <w:color w:val="FF0000"/>
          <w:sz w:val="28"/>
          <w:szCs w:val="28"/>
          <w:lang w:val="uk-UA" w:eastAsia="ru-RU"/>
        </w:rPr>
      </w:pPr>
      <w:r>
        <w:rPr>
          <w:rFonts w:ascii="Times New Roman" w:hAnsi="Times New Roman" w:eastAsia="Calibri" w:cs="Times New Roman"/>
          <w:sz w:val="28"/>
          <w:szCs w:val="28"/>
          <w:lang w:val="uk-UA" w:eastAsia="ru-RU"/>
        </w:rPr>
        <w:t>Гентош</w:t>
      </w:r>
      <w:r>
        <w:rPr>
          <w:rFonts w:hint="default" w:ascii="Times New Roman" w:hAnsi="Times New Roman" w:eastAsia="Calibri" w:cs="Times New Roman"/>
          <w:sz w:val="28"/>
          <w:szCs w:val="28"/>
          <w:lang w:val="uk-UA" w:eastAsia="ru-RU"/>
        </w:rPr>
        <w:t xml:space="preserve"> Ілля Анатолійович</w:t>
      </w:r>
    </w:p>
    <w:p w14:paraId="558BF4EC">
      <w:pPr>
        <w:rPr>
          <w:rFonts w:ascii="Times New Roman" w:hAnsi="Times New Roman" w:eastAsia="Calibri" w:cs="Times New Roman"/>
          <w:lang w:val="uk-UA" w:eastAsia="ru-RU"/>
        </w:rPr>
      </w:pPr>
    </w:p>
    <w:p w14:paraId="0752BA56">
      <w:pPr>
        <w:rPr>
          <w:rFonts w:ascii="Times New Roman" w:hAnsi="Times New Roman" w:eastAsia="Calibri" w:cs="Times New Roman"/>
          <w:lang w:val="uk-UA" w:eastAsia="ru-RU"/>
        </w:rPr>
      </w:pPr>
      <w:r>
        <w:rPr>
          <w:rFonts w:ascii="Times New Roman" w:hAnsi="Times New Roman" w:eastAsia="Calibri" w:cs="Times New Roman"/>
          <w:lang w:val="uk-UA" w:eastAsia="ru-RU"/>
        </w:rPr>
        <w:t>1. Тема дисертації «</w:t>
      </w:r>
      <w:r>
        <w:rPr>
          <w:rFonts w:hint="default" w:ascii="Times New Roman" w:hAnsi="Times New Roman" w:eastAsia="Calibri"/>
          <w:sz w:val="28"/>
          <w:szCs w:val="28"/>
          <w:lang w:val="uk-UA" w:eastAsia="ru-RU"/>
        </w:rPr>
        <w:t>Підвищення рівня енергоефективності електропостачания промислового підприємства з використанням кінетичних накопичувачів енергії</w:t>
      </w:r>
      <w:r>
        <w:rPr>
          <w:rFonts w:ascii="Times New Roman" w:hAnsi="Times New Roman" w:eastAsia="Calibri" w:cs="Times New Roman"/>
          <w:lang w:val="uk-UA" w:eastAsia="ru-RU"/>
        </w:rPr>
        <w:t xml:space="preserve">», </w:t>
      </w:r>
    </w:p>
    <w:p w14:paraId="5527CA1F">
      <w:pPr>
        <w:rPr>
          <w:rFonts w:hint="default" w:ascii="Times New Roman" w:hAnsi="Times New Roman" w:eastAsia="Calibri" w:cs="Times New Roman"/>
          <w:lang w:val="uk-UA" w:eastAsia="ru-RU"/>
        </w:rPr>
      </w:pPr>
      <w:r>
        <w:rPr>
          <w:rFonts w:ascii="Times New Roman" w:hAnsi="Times New Roman" w:eastAsia="Calibri" w:cs="Times New Roman"/>
          <w:lang w:val="uk-UA" w:eastAsia="ru-RU"/>
        </w:rPr>
        <w:t>науковий керівник дисертації:</w:t>
      </w:r>
      <w:r>
        <w:rPr>
          <w:rFonts w:hint="default" w:ascii="Times New Roman" w:hAnsi="Times New Roman" w:eastAsia="Calibri" w:cs="Times New Roman"/>
          <w:lang w:val="uk-UA" w:eastAsia="ru-RU"/>
        </w:rPr>
        <w:t xml:space="preserve"> </w:t>
      </w:r>
      <w:r>
        <w:rPr>
          <w:rFonts w:ascii="Times New Roman" w:hAnsi="Times New Roman" w:eastAsia="Calibri" w:cs="Times New Roman"/>
          <w:lang w:val="uk-UA" w:eastAsia="ru-RU"/>
        </w:rPr>
        <w:t>д.т.н. доцент,</w:t>
      </w:r>
      <w:r>
        <w:rPr>
          <w:rFonts w:hint="default" w:ascii="Times New Roman" w:hAnsi="Times New Roman" w:eastAsia="Calibri" w:cs="Times New Roman"/>
          <w:lang w:val="uk-UA" w:eastAsia="ru-RU"/>
        </w:rPr>
        <w:t xml:space="preserve"> </w:t>
      </w:r>
      <w:r>
        <w:rPr>
          <w:rFonts w:ascii="Times New Roman" w:hAnsi="Times New Roman" w:eastAsia="Calibri" w:cs="Times New Roman"/>
          <w:lang w:val="uk-UA" w:eastAsia="ru-RU"/>
        </w:rPr>
        <w:t>Розен</w:t>
      </w:r>
      <w:r>
        <w:rPr>
          <w:rFonts w:hint="default" w:ascii="Times New Roman" w:hAnsi="Times New Roman" w:eastAsia="Calibri" w:cs="Times New Roman"/>
          <w:lang w:val="uk-UA" w:eastAsia="ru-RU"/>
        </w:rPr>
        <w:t xml:space="preserve"> Віктор Петрович</w:t>
      </w:r>
    </w:p>
    <w:p w14:paraId="4274AA76">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затверджені наказом по університету від «___»_________ 20__ р. №_____ </w:t>
      </w:r>
    </w:p>
    <w:p w14:paraId="07B6C6AC">
      <w:pPr>
        <w:rPr>
          <w:rFonts w:ascii="Times New Roman" w:hAnsi="Times New Roman" w:eastAsia="Calibri" w:cs="Times New Roman"/>
          <w:lang w:val="uk-UA" w:eastAsia="ru-RU"/>
        </w:rPr>
      </w:pPr>
    </w:p>
    <w:p w14:paraId="095FC360">
      <w:pPr>
        <w:numPr>
          <w:ilvl w:val="0"/>
          <w:numId w:val="1"/>
        </w:num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Термін подання студентом дисертації:        </w:t>
      </w:r>
      <w:r>
        <w:rPr>
          <w:rFonts w:hint="default" w:ascii="Times New Roman" w:hAnsi="Times New Roman" w:eastAsia="Calibri" w:cs="Times New Roman"/>
          <w:lang w:val="uk-UA" w:eastAsia="ru-RU"/>
        </w:rPr>
        <w:t>20</w:t>
      </w:r>
      <w:r>
        <w:rPr>
          <w:rFonts w:ascii="Times New Roman" w:hAnsi="Times New Roman" w:eastAsia="Calibri" w:cs="Times New Roman"/>
          <w:lang w:val="uk-UA" w:eastAsia="ru-RU"/>
        </w:rPr>
        <w:t>.12.24 р.</w:t>
      </w:r>
    </w:p>
    <w:p w14:paraId="0D7C2989">
      <w:pPr>
        <w:numPr>
          <w:ilvl w:val="0"/>
          <w:numId w:val="0"/>
        </w:numPr>
        <w:rPr>
          <w:rFonts w:ascii="Times New Roman" w:hAnsi="Times New Roman" w:eastAsia="Calibri" w:cs="Times New Roman"/>
          <w:lang w:val="uk-UA" w:eastAsia="ru-RU"/>
        </w:rPr>
      </w:pPr>
    </w:p>
    <w:p w14:paraId="61FF15B5">
      <w:pPr>
        <w:numPr>
          <w:ilvl w:val="0"/>
          <w:numId w:val="1"/>
        </w:numPr>
        <w:ind w:left="0" w:leftChars="0" w:firstLine="0" w:firstLineChars="0"/>
        <w:rPr>
          <w:rFonts w:hint="default" w:ascii="Times New Roman" w:hAnsi="Times New Roman" w:eastAsia="Calibri" w:cs="Times New Roman"/>
          <w:lang w:val="uk-UA" w:eastAsia="ru-RU"/>
        </w:rPr>
      </w:pPr>
      <w:r>
        <w:rPr>
          <w:rFonts w:ascii="Times New Roman" w:hAnsi="Times New Roman" w:eastAsia="Calibri" w:cs="Times New Roman"/>
          <w:lang w:val="uk-UA" w:eastAsia="ru-RU"/>
        </w:rPr>
        <w:t>Об’єкт дослідження:  Системи</w:t>
      </w:r>
      <w:r>
        <w:rPr>
          <w:rFonts w:hint="default" w:ascii="Times New Roman" w:hAnsi="Times New Roman" w:eastAsia="Calibri" w:cs="Times New Roman"/>
          <w:lang w:val="uk-UA" w:eastAsia="ru-RU"/>
        </w:rPr>
        <w:t xml:space="preserve"> кінетичних накопичувачів енергії</w:t>
      </w:r>
    </w:p>
    <w:p w14:paraId="14EF6DCA">
      <w:pPr>
        <w:numPr>
          <w:ilvl w:val="0"/>
          <w:numId w:val="0"/>
        </w:numPr>
        <w:ind w:leftChars="0"/>
        <w:rPr>
          <w:rFonts w:hint="default" w:ascii="Times New Roman" w:hAnsi="Times New Roman" w:eastAsia="Calibri" w:cs="Times New Roman"/>
          <w:lang w:val="uk-UA" w:eastAsia="ru-RU"/>
        </w:rPr>
      </w:pPr>
    </w:p>
    <w:p w14:paraId="4247A91B">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4. Вихідні дані:  -  матеріали переддипломної практики, курсового та дипломного </w:t>
      </w:r>
    </w:p>
    <w:p w14:paraId="69EB9503">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проєктування, результати наукової роботи кафедри</w:t>
      </w:r>
    </w:p>
    <w:p w14:paraId="2BCA4C05">
      <w:pPr>
        <w:jc w:val="both"/>
        <w:rPr>
          <w:rFonts w:ascii="Times New Roman" w:hAnsi="Times New Roman" w:eastAsia="Calibri" w:cs="Times New Roman"/>
          <w:lang w:val="uk-UA" w:eastAsia="ru-RU"/>
        </w:rPr>
      </w:pPr>
    </w:p>
    <w:p w14:paraId="5B3E3B1B">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5. Перелік завдань, які потрібно розробити:</w:t>
      </w:r>
    </w:p>
    <w:p w14:paraId="24DDBBA3">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5.1.</w:t>
      </w:r>
      <w:r>
        <w:rPr>
          <w:rFonts w:hint="default" w:ascii="Times New Roman" w:hAnsi="Times New Roman" w:eastAsia="Calibri" w:cs="Times New Roman"/>
          <w:lang w:val="uk-UA" w:eastAsia="ru-RU"/>
        </w:rPr>
        <w:t xml:space="preserve"> </w:t>
      </w:r>
      <w:r>
        <w:rPr>
          <w:rFonts w:ascii="Times New Roman" w:hAnsi="Times New Roman" w:eastAsia="Calibri" w:cs="Times New Roman"/>
          <w:lang w:val="uk-UA" w:eastAsia="ru-RU"/>
        </w:rPr>
        <w:t>Виконати теоретичні</w:t>
      </w:r>
      <w:r>
        <w:rPr>
          <w:rFonts w:hint="default" w:ascii="Times New Roman" w:hAnsi="Times New Roman" w:eastAsia="Calibri" w:cs="Times New Roman"/>
          <w:lang w:val="uk-UA" w:eastAsia="ru-RU"/>
        </w:rPr>
        <w:t xml:space="preserve"> основи підвищення енергоефективності систем електропостачання промислових підприємст</w:t>
      </w:r>
      <w:r>
        <w:rPr>
          <w:rFonts w:ascii="Times New Roman" w:hAnsi="Times New Roman" w:eastAsia="Calibri" w:cs="Times New Roman"/>
          <w:lang w:val="uk-UA" w:eastAsia="ru-RU"/>
        </w:rPr>
        <w:t>.</w:t>
      </w:r>
    </w:p>
    <w:p w14:paraId="31B981E7">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5.2. Привести аналіз системи</w:t>
      </w:r>
      <w:r>
        <w:rPr>
          <w:rFonts w:hint="default" w:ascii="Times New Roman" w:hAnsi="Times New Roman" w:eastAsia="Calibri" w:cs="Times New Roman"/>
          <w:lang w:val="uk-UA" w:eastAsia="ru-RU"/>
        </w:rPr>
        <w:t xml:space="preserve"> електропостачання промислового підприємства та розробка заходів з підвищення її енергоефективності</w:t>
      </w:r>
      <w:r>
        <w:rPr>
          <w:rFonts w:ascii="Times New Roman" w:hAnsi="Times New Roman" w:eastAsia="Calibri" w:cs="Times New Roman"/>
          <w:lang w:val="uk-UA" w:eastAsia="ru-RU"/>
        </w:rPr>
        <w:t>.</w:t>
      </w:r>
    </w:p>
    <w:p w14:paraId="08889198">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5.3. Провести аналіз літературних джерел, патентної інформації та виробничої інформації   з мережі Інтернет  за темою дисертації.</w:t>
      </w:r>
    </w:p>
    <w:p w14:paraId="5084A786">
      <w:pPr>
        <w:jc w:val="both"/>
        <w:rPr>
          <w:rFonts w:hint="default" w:ascii="Times New Roman" w:hAnsi="Times New Roman" w:eastAsia="Calibri" w:cs="Times New Roman"/>
          <w:u w:val="single"/>
          <w:lang w:val="uk-UA" w:eastAsia="ru-RU"/>
        </w:rPr>
      </w:pPr>
      <w:r>
        <w:rPr>
          <w:rFonts w:ascii="Times New Roman" w:hAnsi="Times New Roman" w:eastAsia="Calibri" w:cs="Times New Roman"/>
          <w:lang w:val="uk-UA" w:eastAsia="ru-RU"/>
        </w:rPr>
        <w:t>5.4. Зробити</w:t>
      </w:r>
      <w:r>
        <w:rPr>
          <w:rFonts w:hint="default" w:ascii="Times New Roman" w:hAnsi="Times New Roman" w:eastAsia="Calibri" w:cs="Times New Roman"/>
          <w:lang w:val="uk-UA" w:eastAsia="ru-RU"/>
        </w:rPr>
        <w:t xml:space="preserve"> техніко-економічне обгрунтування запропонованих рішень з модернізації систем електропостачання. </w:t>
      </w:r>
    </w:p>
    <w:p w14:paraId="12BC89F8">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5.</w:t>
      </w:r>
      <w:r>
        <w:rPr>
          <w:rFonts w:hint="default" w:ascii="Times New Roman" w:hAnsi="Times New Roman" w:eastAsia="Calibri" w:cs="Times New Roman"/>
          <w:lang w:val="uk-UA" w:eastAsia="ru-RU"/>
        </w:rPr>
        <w:t>5</w:t>
      </w:r>
      <w:r>
        <w:rPr>
          <w:rFonts w:ascii="Times New Roman" w:hAnsi="Times New Roman" w:eastAsia="Calibri" w:cs="Times New Roman"/>
          <w:lang w:val="uk-UA" w:eastAsia="ru-RU"/>
        </w:rPr>
        <w:t>.  Розробити стартап проєкту за темою дисертації.</w:t>
      </w:r>
    </w:p>
    <w:p w14:paraId="58E45025">
      <w:pPr>
        <w:jc w:val="both"/>
        <w:rPr>
          <w:rFonts w:ascii="Times New Roman" w:hAnsi="Times New Roman" w:eastAsia="Calibri" w:cs="Times New Roman"/>
          <w:lang w:val="uk-UA" w:eastAsia="ru-RU"/>
        </w:rPr>
      </w:pPr>
    </w:p>
    <w:p w14:paraId="5B72603B">
      <w:pPr>
        <w:jc w:val="both"/>
        <w:rPr>
          <w:rFonts w:hint="default" w:ascii="Times New Roman" w:hAnsi="Times New Roman" w:eastAsia="Calibri" w:cs="Times New Roman"/>
          <w:lang w:val="uk-UA" w:eastAsia="ru-RU"/>
        </w:rPr>
      </w:pPr>
      <w:r>
        <w:rPr>
          <w:rFonts w:ascii="Times New Roman" w:hAnsi="Times New Roman" w:eastAsia="Calibri" w:cs="Times New Roman"/>
          <w:lang w:val="uk-UA" w:eastAsia="ru-RU"/>
        </w:rPr>
        <w:t>6. Орієнтовний перелік графічного (ілюстративного) матеріалу:</w:t>
      </w:r>
      <w:r>
        <w:rPr>
          <w:rFonts w:hint="default" w:ascii="Times New Roman" w:hAnsi="Times New Roman" w:eastAsia="Calibri" w:cs="Times New Roman"/>
          <w:lang w:val="uk-UA" w:eastAsia="ru-RU"/>
        </w:rPr>
        <w:t xml:space="preserve"> 10 - 15 слайдів для призентації.</w:t>
      </w:r>
    </w:p>
    <w:p w14:paraId="3126AB95">
      <w:pPr>
        <w:jc w:val="both"/>
        <w:rPr>
          <w:rFonts w:ascii="Times New Roman" w:hAnsi="Times New Roman" w:eastAsia="Calibri" w:cs="Times New Roman"/>
          <w:lang w:val="uk-UA" w:eastAsia="ru-RU"/>
        </w:rPr>
        <w:sectPr>
          <w:headerReference r:id="rId10" w:type="first"/>
          <w:headerReference r:id="rId9" w:type="default"/>
          <w:pgSz w:w="11906" w:h="16838"/>
          <w:pgMar w:top="1134" w:right="851" w:bottom="1134" w:left="1701" w:header="708" w:footer="708" w:gutter="0"/>
          <w:pgNumType w:fmt="decimal"/>
          <w:cols w:space="708" w:num="1"/>
          <w:titlePg/>
          <w:docGrid w:linePitch="360" w:charSpace="0"/>
        </w:sectPr>
      </w:pPr>
    </w:p>
    <w:p w14:paraId="1D9AB66D">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 7. </w:t>
      </w:r>
      <w:r>
        <w:rPr>
          <w:rFonts w:hint="default" w:ascii="Times New Roman" w:hAnsi="Times New Roman" w:eastAsia="Calibri" w:cs="Times New Roman"/>
          <w:lang w:val="uk-UA" w:eastAsia="ru-RU"/>
        </w:rPr>
        <w:t xml:space="preserve">Орієнтовний перелік публікацій – визначити перелік необхідних наукових </w:t>
      </w:r>
    </w:p>
    <w:p w14:paraId="2079B6D5">
      <w:pPr>
        <w:jc w:val="both"/>
        <w:rPr>
          <w:rFonts w:ascii="Times New Roman" w:hAnsi="Times New Roman" w:eastAsia="Calibri" w:cs="Times New Roman"/>
          <w:i/>
          <w:color w:val="FF0000"/>
          <w:lang w:val="uk-UA" w:eastAsia="ru-RU"/>
        </w:rPr>
      </w:pPr>
      <w:r>
        <w:rPr>
          <w:rFonts w:hint="default" w:ascii="Times New Roman" w:hAnsi="Times New Roman" w:eastAsia="Calibri" w:cs="Times New Roman"/>
          <w:lang w:val="uk-UA" w:eastAsia="ru-RU"/>
        </w:rPr>
        <w:t>джерел та інформаційних матеріалів.</w:t>
      </w:r>
    </w:p>
    <w:p w14:paraId="2675151D">
      <w:pPr>
        <w:jc w:val="both"/>
        <w:rPr>
          <w:rFonts w:ascii="Times New Roman" w:hAnsi="Times New Roman" w:eastAsia="Calibri" w:cs="Times New Roman"/>
          <w:lang w:val="uk-UA" w:eastAsia="ru-RU"/>
        </w:rPr>
      </w:pPr>
    </w:p>
    <w:p w14:paraId="6669C629">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8. Консультанти розділів дисертації </w:t>
      </w:r>
    </w:p>
    <w:p w14:paraId="626F40F1">
      <w:pPr>
        <w:rPr>
          <w:rFonts w:ascii="Times New Roman" w:hAnsi="Times New Roman" w:eastAsia="Calibri" w:cs="Times New Roman"/>
          <w:lang w:val="uk-UA" w:eastAsia="ru-RU"/>
        </w:rPr>
      </w:pPr>
    </w:p>
    <w:tbl>
      <w:tblPr>
        <w:tblStyle w:val="5"/>
        <w:tblW w:w="0" w:type="auto"/>
        <w:tblInd w:w="3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09"/>
        <w:gridCol w:w="3575"/>
        <w:gridCol w:w="1342"/>
        <w:gridCol w:w="1429"/>
      </w:tblGrid>
      <w:tr w14:paraId="10BB1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2709" w:type="dxa"/>
            <w:vMerge w:val="restart"/>
          </w:tcPr>
          <w:p w14:paraId="368ABBCC">
            <w:pPr>
              <w:rPr>
                <w:rFonts w:ascii="Times New Roman" w:hAnsi="Times New Roman" w:eastAsia="Calibri" w:cs="Times New Roman"/>
                <w:lang w:val="uk-UA" w:eastAsia="ru-RU"/>
              </w:rPr>
            </w:pPr>
            <w:r>
              <w:rPr>
                <w:rFonts w:ascii="Times New Roman" w:hAnsi="Times New Roman" w:eastAsia="Calibri" w:cs="Times New Roman"/>
                <w:lang w:val="uk-UA" w:eastAsia="ru-RU"/>
              </w:rPr>
              <w:t>Розділ</w:t>
            </w:r>
          </w:p>
        </w:tc>
        <w:tc>
          <w:tcPr>
            <w:tcW w:w="3575" w:type="dxa"/>
            <w:vMerge w:val="restart"/>
          </w:tcPr>
          <w:p w14:paraId="0C19E28F">
            <w:pPr>
              <w:rPr>
                <w:rFonts w:ascii="Times New Roman" w:hAnsi="Times New Roman" w:eastAsia="Calibri" w:cs="Times New Roman"/>
                <w:lang w:val="uk-UA" w:eastAsia="ru-RU"/>
              </w:rPr>
            </w:pPr>
            <w:r>
              <w:rPr>
                <w:rFonts w:ascii="Times New Roman" w:hAnsi="Times New Roman" w:eastAsia="Calibri" w:cs="Times New Roman"/>
                <w:lang w:val="uk-UA" w:eastAsia="ru-RU"/>
              </w:rPr>
              <w:t>Прізвище, ініціали та посада</w:t>
            </w:r>
          </w:p>
          <w:p w14:paraId="017F815C">
            <w:pPr>
              <w:rPr>
                <w:rFonts w:ascii="Times New Roman" w:hAnsi="Times New Roman" w:eastAsia="Calibri" w:cs="Times New Roman"/>
                <w:lang w:val="uk-UA" w:eastAsia="ru-RU"/>
              </w:rPr>
            </w:pPr>
            <w:r>
              <w:rPr>
                <w:rFonts w:ascii="Times New Roman" w:hAnsi="Times New Roman" w:eastAsia="Calibri" w:cs="Times New Roman"/>
                <w:lang w:val="uk-UA" w:eastAsia="ru-RU"/>
              </w:rPr>
              <w:t>консультанта</w:t>
            </w:r>
          </w:p>
        </w:tc>
        <w:tc>
          <w:tcPr>
            <w:tcW w:w="2771" w:type="dxa"/>
            <w:gridSpan w:val="2"/>
          </w:tcPr>
          <w:p w14:paraId="4A36FE3C">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Підпис, дата  </w:t>
            </w:r>
          </w:p>
          <w:p w14:paraId="563A9E62">
            <w:pPr>
              <w:rPr>
                <w:rFonts w:ascii="Times New Roman" w:hAnsi="Times New Roman" w:eastAsia="Calibri" w:cs="Times New Roman"/>
                <w:lang w:val="uk-UA" w:eastAsia="ru-RU"/>
              </w:rPr>
            </w:pPr>
          </w:p>
        </w:tc>
      </w:tr>
      <w:tr w14:paraId="6F000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2709" w:type="dxa"/>
            <w:vMerge w:val="continue"/>
          </w:tcPr>
          <w:p w14:paraId="336DC281">
            <w:pPr>
              <w:rPr>
                <w:rFonts w:ascii="Times New Roman" w:hAnsi="Times New Roman" w:eastAsia="Calibri" w:cs="Times New Roman"/>
                <w:lang w:val="uk-UA" w:eastAsia="ru-RU"/>
              </w:rPr>
            </w:pPr>
          </w:p>
        </w:tc>
        <w:tc>
          <w:tcPr>
            <w:tcW w:w="3575" w:type="dxa"/>
            <w:vMerge w:val="continue"/>
          </w:tcPr>
          <w:p w14:paraId="68826A8D">
            <w:pPr>
              <w:rPr>
                <w:rFonts w:ascii="Times New Roman" w:hAnsi="Times New Roman" w:eastAsia="Calibri" w:cs="Times New Roman"/>
                <w:lang w:val="uk-UA" w:eastAsia="ru-RU"/>
              </w:rPr>
            </w:pPr>
          </w:p>
        </w:tc>
        <w:tc>
          <w:tcPr>
            <w:tcW w:w="1342" w:type="dxa"/>
          </w:tcPr>
          <w:p w14:paraId="50AB4695">
            <w:pPr>
              <w:rPr>
                <w:rFonts w:ascii="Times New Roman" w:hAnsi="Times New Roman" w:eastAsia="Calibri" w:cs="Times New Roman"/>
                <w:lang w:val="uk-UA" w:eastAsia="ru-RU"/>
              </w:rPr>
            </w:pPr>
            <w:r>
              <w:rPr>
                <w:rFonts w:ascii="Times New Roman" w:hAnsi="Times New Roman" w:eastAsia="Calibri" w:cs="Times New Roman"/>
                <w:lang w:val="uk-UA" w:eastAsia="ru-RU"/>
              </w:rPr>
              <w:t>завдання видав</w:t>
            </w:r>
          </w:p>
        </w:tc>
        <w:tc>
          <w:tcPr>
            <w:tcW w:w="1429" w:type="dxa"/>
          </w:tcPr>
          <w:p w14:paraId="50735C0D">
            <w:pPr>
              <w:rPr>
                <w:rFonts w:ascii="Times New Roman" w:hAnsi="Times New Roman" w:eastAsia="Calibri" w:cs="Times New Roman"/>
                <w:lang w:val="uk-UA" w:eastAsia="ru-RU"/>
              </w:rPr>
            </w:pPr>
            <w:r>
              <w:rPr>
                <w:rFonts w:ascii="Times New Roman" w:hAnsi="Times New Roman" w:eastAsia="Calibri" w:cs="Times New Roman"/>
                <w:lang w:val="uk-UA" w:eastAsia="ru-RU"/>
              </w:rPr>
              <w:t>завдання прийняв</w:t>
            </w:r>
          </w:p>
        </w:tc>
      </w:tr>
      <w:tr w14:paraId="6CF3C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2709" w:type="dxa"/>
          </w:tcPr>
          <w:p w14:paraId="4A05C085">
            <w:pPr>
              <w:rPr>
                <w:rFonts w:ascii="Times New Roman" w:hAnsi="Times New Roman" w:eastAsia="Calibri" w:cs="Times New Roman"/>
                <w:lang w:val="uk-UA" w:eastAsia="ru-RU"/>
              </w:rPr>
            </w:pPr>
          </w:p>
          <w:p w14:paraId="13B74998">
            <w:pPr>
              <w:rPr>
                <w:rFonts w:ascii="Times New Roman" w:hAnsi="Times New Roman" w:eastAsia="Calibri" w:cs="Times New Roman"/>
                <w:lang w:val="uk-UA" w:eastAsia="ru-RU"/>
              </w:rPr>
            </w:pPr>
            <w:r>
              <w:rPr>
                <w:rFonts w:ascii="Times New Roman" w:hAnsi="Times New Roman" w:eastAsia="Calibri" w:cs="Times New Roman"/>
                <w:lang w:val="uk-UA" w:eastAsia="ru-RU"/>
              </w:rPr>
              <w:t>Стартап проект</w:t>
            </w:r>
          </w:p>
        </w:tc>
        <w:tc>
          <w:tcPr>
            <w:tcW w:w="3575" w:type="dxa"/>
          </w:tcPr>
          <w:p w14:paraId="0EE51513">
            <w:pPr>
              <w:rPr>
                <w:rFonts w:ascii="Times New Roman" w:hAnsi="Times New Roman" w:eastAsia="Calibri" w:cs="Times New Roman"/>
                <w:lang w:val="uk-UA" w:eastAsia="ru-RU"/>
              </w:rPr>
            </w:pPr>
          </w:p>
          <w:p w14:paraId="4177FAEB">
            <w:pPr>
              <w:rPr>
                <w:rFonts w:ascii="Times New Roman" w:hAnsi="Times New Roman" w:eastAsia="Calibri" w:cs="Times New Roman"/>
                <w:lang w:val="uk-UA" w:eastAsia="ru-RU"/>
              </w:rPr>
            </w:pPr>
            <w:r>
              <w:rPr>
                <w:rFonts w:ascii="Times New Roman" w:hAnsi="Times New Roman" w:eastAsia="Calibri" w:cs="Times New Roman"/>
                <w:lang w:val="uk-UA" w:eastAsia="ru-RU"/>
              </w:rPr>
              <w:t>Шевчук Н.А., доцент</w:t>
            </w:r>
          </w:p>
        </w:tc>
        <w:tc>
          <w:tcPr>
            <w:tcW w:w="1342" w:type="dxa"/>
          </w:tcPr>
          <w:p w14:paraId="0B53A830">
            <w:pPr>
              <w:rPr>
                <w:rFonts w:ascii="Times New Roman" w:hAnsi="Times New Roman" w:eastAsia="Calibri" w:cs="Times New Roman"/>
                <w:lang w:val="uk-UA" w:eastAsia="ru-RU"/>
              </w:rPr>
            </w:pPr>
          </w:p>
          <w:p w14:paraId="11980A41">
            <w:pPr>
              <w:rPr>
                <w:rFonts w:ascii="Times New Roman" w:hAnsi="Times New Roman" w:eastAsia="Calibri" w:cs="Times New Roman"/>
                <w:lang w:val="en-US" w:eastAsia="ru-RU"/>
              </w:rPr>
            </w:pPr>
            <w:r>
              <w:rPr>
                <w:rFonts w:ascii="Times New Roman" w:hAnsi="Times New Roman" w:eastAsia="Calibri" w:cs="Times New Roman"/>
                <w:lang w:val="uk-UA" w:eastAsia="ru-RU"/>
              </w:rPr>
              <w:t>1.12.2</w:t>
            </w:r>
            <w:r>
              <w:rPr>
                <w:rFonts w:ascii="Times New Roman" w:hAnsi="Times New Roman" w:eastAsia="Calibri" w:cs="Times New Roman"/>
                <w:lang w:val="en-US" w:eastAsia="ru-RU"/>
              </w:rPr>
              <w:t>4</w:t>
            </w:r>
          </w:p>
        </w:tc>
        <w:tc>
          <w:tcPr>
            <w:tcW w:w="1429" w:type="dxa"/>
          </w:tcPr>
          <w:p w14:paraId="1A39F291">
            <w:pPr>
              <w:rPr>
                <w:rFonts w:ascii="Times New Roman" w:hAnsi="Times New Roman" w:eastAsia="Calibri" w:cs="Times New Roman"/>
                <w:lang w:val="uk-UA" w:eastAsia="ru-RU"/>
              </w:rPr>
            </w:pPr>
          </w:p>
          <w:p w14:paraId="17BBA755">
            <w:pPr>
              <w:rPr>
                <w:rFonts w:ascii="Times New Roman" w:hAnsi="Times New Roman" w:eastAsia="Calibri" w:cs="Times New Roman"/>
                <w:lang w:val="en-US" w:eastAsia="ru-RU"/>
              </w:rPr>
            </w:pPr>
            <w:r>
              <w:rPr>
                <w:rFonts w:ascii="Times New Roman" w:hAnsi="Times New Roman" w:eastAsia="Calibri" w:cs="Times New Roman"/>
                <w:lang w:val="uk-UA" w:eastAsia="ru-RU"/>
              </w:rPr>
              <w:t>10.12.2</w:t>
            </w:r>
            <w:r>
              <w:rPr>
                <w:rFonts w:ascii="Times New Roman" w:hAnsi="Times New Roman" w:eastAsia="Calibri" w:cs="Times New Roman"/>
                <w:lang w:val="en-US" w:eastAsia="ru-RU"/>
              </w:rPr>
              <w:t>4</w:t>
            </w:r>
          </w:p>
        </w:tc>
      </w:tr>
      <w:tr w14:paraId="70ECA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709" w:type="dxa"/>
          </w:tcPr>
          <w:p w14:paraId="335AE2F9">
            <w:pPr>
              <w:rPr>
                <w:rFonts w:ascii="Times New Roman" w:hAnsi="Times New Roman" w:eastAsia="Calibri" w:cs="Times New Roman"/>
                <w:lang w:val="uk-UA" w:eastAsia="ru-RU"/>
              </w:rPr>
            </w:pPr>
            <w:r>
              <w:rPr>
                <w:rFonts w:ascii="Times New Roman" w:hAnsi="Times New Roman" w:eastAsia="Calibri" w:cs="Times New Roman"/>
                <w:lang w:val="uk-UA" w:eastAsia="ru-RU"/>
              </w:rPr>
              <w:t>Нормоконтроль</w:t>
            </w:r>
          </w:p>
        </w:tc>
        <w:tc>
          <w:tcPr>
            <w:tcW w:w="3575" w:type="dxa"/>
          </w:tcPr>
          <w:p w14:paraId="269AE625">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Кулаковський </w:t>
            </w:r>
            <w:r>
              <w:rPr>
                <w:rFonts w:ascii="Times New Roman" w:hAnsi="Times New Roman" w:eastAsia="Calibri" w:cs="Times New Roman"/>
                <w:b w:val="0"/>
                <w:bCs w:val="0"/>
                <w:kern w:val="32"/>
                <w:sz w:val="24"/>
                <w:szCs w:val="24"/>
                <w:lang w:val="ru-RU" w:eastAsia="ru-RU"/>
              </w:rPr>
              <w:t>Л</w:t>
            </w:r>
            <w:r>
              <w:rPr>
                <w:rFonts w:ascii="Times New Roman" w:hAnsi="Times New Roman" w:eastAsia="Calibri" w:cs="Times New Roman"/>
                <w:lang w:val="uk-UA" w:eastAsia="ru-RU"/>
              </w:rPr>
              <w:t>.Я., доцент</w:t>
            </w:r>
          </w:p>
        </w:tc>
        <w:tc>
          <w:tcPr>
            <w:tcW w:w="1342" w:type="dxa"/>
          </w:tcPr>
          <w:p w14:paraId="18ED27F2">
            <w:pPr>
              <w:rPr>
                <w:rFonts w:ascii="Times New Roman" w:hAnsi="Times New Roman" w:eastAsia="Calibri" w:cs="Times New Roman"/>
                <w:lang w:val="uk-UA" w:eastAsia="ru-RU"/>
              </w:rPr>
            </w:pPr>
            <w:r>
              <w:rPr>
                <w:rFonts w:ascii="Times New Roman" w:hAnsi="Times New Roman" w:eastAsia="Calibri" w:cs="Times New Roman"/>
                <w:lang w:val="uk-UA" w:eastAsia="ru-RU"/>
              </w:rPr>
              <w:t>11.</w:t>
            </w:r>
            <w:r>
              <w:rPr>
                <w:rFonts w:ascii="Times New Roman" w:hAnsi="Times New Roman" w:eastAsia="Calibri" w:cs="Times New Roman"/>
                <w:lang w:val="en-US" w:eastAsia="ru-RU"/>
              </w:rPr>
              <w:t>12</w:t>
            </w:r>
            <w:r>
              <w:rPr>
                <w:rFonts w:ascii="Times New Roman" w:hAnsi="Times New Roman" w:eastAsia="Calibri" w:cs="Times New Roman"/>
                <w:lang w:val="uk-UA" w:eastAsia="ru-RU"/>
              </w:rPr>
              <w:t>.24</w:t>
            </w:r>
          </w:p>
        </w:tc>
        <w:tc>
          <w:tcPr>
            <w:tcW w:w="1429" w:type="dxa"/>
          </w:tcPr>
          <w:p w14:paraId="48526287">
            <w:pPr>
              <w:rPr>
                <w:rFonts w:ascii="Times New Roman" w:hAnsi="Times New Roman" w:eastAsia="Calibri" w:cs="Times New Roman"/>
                <w:lang w:val="uk-UA" w:eastAsia="ru-RU"/>
              </w:rPr>
            </w:pPr>
            <w:r>
              <w:rPr>
                <w:rFonts w:ascii="Times New Roman" w:hAnsi="Times New Roman" w:eastAsia="Calibri" w:cs="Times New Roman"/>
                <w:lang w:val="en-US" w:eastAsia="ru-RU"/>
              </w:rPr>
              <w:t>1</w:t>
            </w:r>
            <w:r>
              <w:rPr>
                <w:rFonts w:ascii="Times New Roman" w:hAnsi="Times New Roman" w:eastAsia="Calibri" w:cs="Times New Roman"/>
                <w:lang w:val="uk-UA" w:eastAsia="ru-RU"/>
              </w:rPr>
              <w:t>2.</w:t>
            </w:r>
            <w:r>
              <w:rPr>
                <w:rFonts w:ascii="Times New Roman" w:hAnsi="Times New Roman" w:eastAsia="Calibri" w:cs="Times New Roman"/>
                <w:lang w:val="en-US" w:eastAsia="ru-RU"/>
              </w:rPr>
              <w:t>12</w:t>
            </w:r>
            <w:r>
              <w:rPr>
                <w:rFonts w:ascii="Times New Roman" w:hAnsi="Times New Roman" w:eastAsia="Calibri" w:cs="Times New Roman"/>
                <w:lang w:val="uk-UA" w:eastAsia="ru-RU"/>
              </w:rPr>
              <w:t>.24</w:t>
            </w:r>
          </w:p>
        </w:tc>
      </w:tr>
    </w:tbl>
    <w:p w14:paraId="25A316FD">
      <w:pPr>
        <w:rPr>
          <w:rFonts w:ascii="Times New Roman" w:hAnsi="Times New Roman" w:eastAsia="Calibri" w:cs="Times New Roman"/>
          <w:lang w:val="uk-UA" w:eastAsia="ru-RU"/>
        </w:rPr>
      </w:pPr>
    </w:p>
    <w:p w14:paraId="6FBC8E2E">
      <w:pPr>
        <w:rPr>
          <w:rFonts w:ascii="Times New Roman" w:hAnsi="Times New Roman" w:eastAsia="Calibri" w:cs="Times New Roman"/>
          <w:lang w:val="uk-UA" w:eastAsia="ru-RU"/>
        </w:rPr>
      </w:pPr>
      <w:r>
        <w:rPr>
          <w:rFonts w:ascii="Times New Roman" w:hAnsi="Times New Roman" w:eastAsia="Calibri" w:cs="Times New Roman"/>
          <w:lang w:val="uk-UA" w:eastAsia="ru-RU"/>
        </w:rPr>
        <w:t>9. Дата видачі завдання</w:t>
      </w:r>
    </w:p>
    <w:p w14:paraId="15B3652B">
      <w:pPr>
        <w:rPr>
          <w:rFonts w:ascii="Times New Roman" w:hAnsi="Times New Roman" w:eastAsia="Calibri" w:cs="Times New Roman"/>
          <w:lang w:val="uk-UA" w:eastAsia="ru-RU"/>
        </w:rPr>
      </w:pPr>
    </w:p>
    <w:p w14:paraId="7362A3A2">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Календарний план </w:t>
      </w:r>
    </w:p>
    <w:p w14:paraId="7BA3CC79">
      <w:pPr>
        <w:rPr>
          <w:rFonts w:ascii="Times New Roman" w:hAnsi="Times New Roman" w:eastAsia="Calibri" w:cs="Times New Roman"/>
          <w:lang w:val="uk-UA" w:eastAsia="ru-RU"/>
        </w:rPr>
      </w:pPr>
    </w:p>
    <w:tbl>
      <w:tblPr>
        <w:tblStyle w:val="5"/>
        <w:tblW w:w="0" w:type="auto"/>
        <w:tblInd w:w="1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0"/>
        <w:gridCol w:w="4653"/>
        <w:gridCol w:w="2609"/>
        <w:gridCol w:w="1650"/>
      </w:tblGrid>
      <w:tr w14:paraId="35AAD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520" w:type="dxa"/>
          </w:tcPr>
          <w:p w14:paraId="58FA111D">
            <w:pPr>
              <w:ind w:left="-30"/>
              <w:rPr>
                <w:rFonts w:ascii="Times New Roman" w:hAnsi="Times New Roman" w:eastAsia="Calibri" w:cs="Times New Roman"/>
                <w:lang w:val="uk-UA" w:eastAsia="ru-RU"/>
              </w:rPr>
            </w:pPr>
            <w:r>
              <w:rPr>
                <w:rFonts w:ascii="Times New Roman" w:hAnsi="Times New Roman" w:eastAsia="Calibri" w:cs="Times New Roman"/>
                <w:lang w:val="uk-UA" w:eastAsia="ru-RU"/>
              </w:rPr>
              <w:t>№ з/п</w:t>
            </w:r>
          </w:p>
          <w:p w14:paraId="43493C55">
            <w:pPr>
              <w:ind w:left="-30"/>
              <w:rPr>
                <w:rFonts w:ascii="Times New Roman" w:hAnsi="Times New Roman" w:eastAsia="Calibri" w:cs="Times New Roman"/>
                <w:lang w:val="uk-UA" w:eastAsia="ru-RU"/>
              </w:rPr>
            </w:pPr>
          </w:p>
        </w:tc>
        <w:tc>
          <w:tcPr>
            <w:tcW w:w="4653" w:type="dxa"/>
          </w:tcPr>
          <w:p w14:paraId="01678AD4">
            <w:pPr>
              <w:rPr>
                <w:rFonts w:ascii="Times New Roman" w:hAnsi="Times New Roman" w:eastAsia="Calibri" w:cs="Times New Roman"/>
                <w:lang w:val="uk-UA" w:eastAsia="ru-RU"/>
              </w:rPr>
            </w:pPr>
            <w:r>
              <w:rPr>
                <w:rFonts w:ascii="Times New Roman" w:hAnsi="Times New Roman" w:eastAsia="Calibri" w:cs="Times New Roman"/>
                <w:lang w:val="uk-UA" w:eastAsia="ru-RU"/>
              </w:rPr>
              <w:t>Назва етапів виконання магістерської дисертації</w:t>
            </w:r>
          </w:p>
          <w:p w14:paraId="29491D85">
            <w:pPr>
              <w:rPr>
                <w:rFonts w:ascii="Times New Roman" w:hAnsi="Times New Roman" w:eastAsia="Calibri" w:cs="Times New Roman"/>
                <w:lang w:val="uk-UA" w:eastAsia="ru-RU"/>
              </w:rPr>
            </w:pPr>
          </w:p>
        </w:tc>
        <w:tc>
          <w:tcPr>
            <w:tcW w:w="2609" w:type="dxa"/>
          </w:tcPr>
          <w:p w14:paraId="3ABB8BF4">
            <w:pPr>
              <w:rPr>
                <w:rFonts w:ascii="Times New Roman" w:hAnsi="Times New Roman" w:eastAsia="Calibri" w:cs="Times New Roman"/>
                <w:lang w:val="uk-UA" w:eastAsia="ru-RU"/>
              </w:rPr>
            </w:pPr>
            <w:r>
              <w:rPr>
                <w:rFonts w:ascii="Times New Roman" w:hAnsi="Times New Roman" w:eastAsia="Calibri" w:cs="Times New Roman"/>
                <w:lang w:val="uk-UA" w:eastAsia="ru-RU"/>
              </w:rPr>
              <w:t>Термін виконання етапів магістерської дисертації</w:t>
            </w:r>
          </w:p>
          <w:p w14:paraId="27F72D41">
            <w:pPr>
              <w:rPr>
                <w:rFonts w:ascii="Times New Roman" w:hAnsi="Times New Roman" w:eastAsia="Calibri" w:cs="Times New Roman"/>
                <w:lang w:val="uk-UA" w:eastAsia="ru-RU"/>
              </w:rPr>
            </w:pPr>
          </w:p>
        </w:tc>
        <w:tc>
          <w:tcPr>
            <w:tcW w:w="1650" w:type="dxa"/>
          </w:tcPr>
          <w:p w14:paraId="63D2F49F">
            <w:pPr>
              <w:rPr>
                <w:rFonts w:ascii="Times New Roman" w:hAnsi="Times New Roman" w:eastAsia="Calibri" w:cs="Times New Roman"/>
                <w:lang w:val="uk-UA" w:eastAsia="ru-RU"/>
              </w:rPr>
            </w:pPr>
            <w:r>
              <w:rPr>
                <w:rFonts w:ascii="Times New Roman" w:hAnsi="Times New Roman" w:eastAsia="Calibri" w:cs="Times New Roman"/>
                <w:lang w:val="uk-UA" w:eastAsia="ru-RU"/>
              </w:rPr>
              <w:t>Примітка</w:t>
            </w:r>
          </w:p>
          <w:p w14:paraId="6643BE55">
            <w:pPr>
              <w:rPr>
                <w:rFonts w:ascii="Times New Roman" w:hAnsi="Times New Roman" w:eastAsia="Calibri" w:cs="Times New Roman"/>
                <w:lang w:val="uk-UA" w:eastAsia="ru-RU"/>
              </w:rPr>
            </w:pPr>
          </w:p>
        </w:tc>
      </w:tr>
      <w:tr w14:paraId="3FB04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trPr>
        <w:tc>
          <w:tcPr>
            <w:tcW w:w="520" w:type="dxa"/>
          </w:tcPr>
          <w:p w14:paraId="76996D97">
            <w:pPr>
              <w:ind w:left="-30"/>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1. </w:t>
            </w:r>
          </w:p>
          <w:p w14:paraId="55CD29C6">
            <w:pPr>
              <w:ind w:left="-30"/>
              <w:rPr>
                <w:rFonts w:ascii="Times New Roman" w:hAnsi="Times New Roman" w:eastAsia="Calibri" w:cs="Times New Roman"/>
                <w:lang w:val="uk-UA" w:eastAsia="ru-RU"/>
              </w:rPr>
            </w:pPr>
          </w:p>
          <w:p w14:paraId="4E0CE965">
            <w:pPr>
              <w:ind w:left="-30"/>
              <w:rPr>
                <w:rFonts w:ascii="Times New Roman" w:hAnsi="Times New Roman" w:eastAsia="Calibri" w:cs="Times New Roman"/>
                <w:lang w:val="uk-UA" w:eastAsia="ru-RU"/>
              </w:rPr>
            </w:pPr>
          </w:p>
        </w:tc>
        <w:tc>
          <w:tcPr>
            <w:tcW w:w="4653" w:type="dxa"/>
          </w:tcPr>
          <w:p w14:paraId="3AC7623D">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Теоретичні</w:t>
            </w:r>
            <w:r>
              <w:rPr>
                <w:rFonts w:hint="default" w:ascii="Times New Roman" w:hAnsi="Times New Roman" w:eastAsia="Calibri" w:cs="Times New Roman"/>
                <w:lang w:val="uk-UA" w:eastAsia="ru-RU"/>
              </w:rPr>
              <w:t xml:space="preserve"> основи підвищення енергоефективності систем електропостачання промислових підприємст</w:t>
            </w:r>
          </w:p>
        </w:tc>
        <w:tc>
          <w:tcPr>
            <w:tcW w:w="2609" w:type="dxa"/>
          </w:tcPr>
          <w:p w14:paraId="254A6301">
            <w:pPr>
              <w:rPr>
                <w:rFonts w:ascii="Times New Roman" w:hAnsi="Times New Roman" w:eastAsia="Calibri" w:cs="Times New Roman"/>
                <w:lang w:val="uk-UA" w:eastAsia="ru-RU"/>
              </w:rPr>
            </w:pPr>
            <w:r>
              <w:rPr>
                <w:rFonts w:ascii="Times New Roman" w:hAnsi="Times New Roman" w:eastAsia="Calibri" w:cs="Times New Roman"/>
                <w:lang w:val="uk-UA" w:eastAsia="ru-RU"/>
              </w:rPr>
              <w:t>28.09.24</w:t>
            </w:r>
          </w:p>
          <w:p w14:paraId="6875E61A">
            <w:pPr>
              <w:rPr>
                <w:rFonts w:ascii="Times New Roman" w:hAnsi="Times New Roman" w:eastAsia="Calibri" w:cs="Times New Roman"/>
                <w:lang w:val="uk-UA" w:eastAsia="ru-RU"/>
              </w:rPr>
            </w:pPr>
          </w:p>
          <w:p w14:paraId="1B331803">
            <w:pPr>
              <w:rPr>
                <w:rFonts w:ascii="Times New Roman" w:hAnsi="Times New Roman" w:eastAsia="Calibri" w:cs="Times New Roman"/>
                <w:lang w:val="uk-UA" w:eastAsia="ru-RU"/>
              </w:rPr>
            </w:pPr>
          </w:p>
        </w:tc>
        <w:tc>
          <w:tcPr>
            <w:tcW w:w="1650" w:type="dxa"/>
          </w:tcPr>
          <w:p w14:paraId="24798144">
            <w:pPr>
              <w:rPr>
                <w:rFonts w:ascii="Times New Roman" w:hAnsi="Times New Roman" w:eastAsia="Calibri" w:cs="Times New Roman"/>
                <w:lang w:val="uk-UA" w:eastAsia="ru-RU"/>
              </w:rPr>
            </w:pPr>
            <w:r>
              <w:rPr>
                <w:rFonts w:ascii="Times New Roman" w:hAnsi="Times New Roman" w:eastAsia="Calibri" w:cs="Times New Roman"/>
                <w:lang w:val="uk-UA" w:eastAsia="ru-RU"/>
              </w:rPr>
              <w:t>≈20 стор.</w:t>
            </w:r>
          </w:p>
          <w:p w14:paraId="3F9069D5">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 тексту</w:t>
            </w:r>
          </w:p>
          <w:p w14:paraId="3A196A5A">
            <w:pPr>
              <w:rPr>
                <w:rFonts w:ascii="Times New Roman" w:hAnsi="Times New Roman" w:eastAsia="Calibri" w:cs="Times New Roman"/>
                <w:lang w:val="uk-UA" w:eastAsia="ru-RU"/>
              </w:rPr>
            </w:pPr>
          </w:p>
          <w:p w14:paraId="4338291D">
            <w:pPr>
              <w:rPr>
                <w:rFonts w:ascii="Times New Roman" w:hAnsi="Times New Roman" w:eastAsia="Calibri" w:cs="Times New Roman"/>
                <w:lang w:val="uk-UA" w:eastAsia="ru-RU"/>
              </w:rPr>
            </w:pPr>
          </w:p>
        </w:tc>
      </w:tr>
      <w:tr w14:paraId="40B38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520" w:type="dxa"/>
          </w:tcPr>
          <w:p w14:paraId="0AA5113D">
            <w:pPr>
              <w:ind w:left="-30"/>
              <w:rPr>
                <w:rFonts w:ascii="Times New Roman" w:hAnsi="Times New Roman" w:eastAsia="Calibri" w:cs="Times New Roman"/>
                <w:lang w:val="uk-UA" w:eastAsia="ru-RU"/>
              </w:rPr>
            </w:pPr>
            <w:r>
              <w:rPr>
                <w:rFonts w:ascii="Times New Roman" w:hAnsi="Times New Roman" w:eastAsia="Calibri" w:cs="Times New Roman"/>
                <w:lang w:val="uk-UA" w:eastAsia="ru-RU"/>
              </w:rPr>
              <w:t>2.</w:t>
            </w:r>
          </w:p>
        </w:tc>
        <w:tc>
          <w:tcPr>
            <w:tcW w:w="4653" w:type="dxa"/>
          </w:tcPr>
          <w:p w14:paraId="5F0EF094">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Аналіз системи</w:t>
            </w:r>
            <w:r>
              <w:rPr>
                <w:rFonts w:hint="default" w:ascii="Times New Roman" w:hAnsi="Times New Roman" w:eastAsia="Calibri" w:cs="Times New Roman"/>
                <w:lang w:val="uk-UA" w:eastAsia="ru-RU"/>
              </w:rPr>
              <w:t xml:space="preserve"> електропостачання промислового підприємства та розробка заходів з підвищення її енергоефективності</w:t>
            </w:r>
          </w:p>
        </w:tc>
        <w:tc>
          <w:tcPr>
            <w:tcW w:w="2609" w:type="dxa"/>
          </w:tcPr>
          <w:p w14:paraId="68AE0AB3">
            <w:pPr>
              <w:rPr>
                <w:rFonts w:ascii="Times New Roman" w:hAnsi="Times New Roman" w:eastAsia="Calibri" w:cs="Times New Roman"/>
                <w:lang w:val="uk-UA" w:eastAsia="ru-RU"/>
              </w:rPr>
            </w:pPr>
            <w:r>
              <w:rPr>
                <w:rFonts w:ascii="Times New Roman" w:hAnsi="Times New Roman" w:eastAsia="Calibri" w:cs="Times New Roman"/>
                <w:lang w:val="uk-UA" w:eastAsia="ru-RU"/>
              </w:rPr>
              <w:t>03.10.24</w:t>
            </w:r>
          </w:p>
        </w:tc>
        <w:tc>
          <w:tcPr>
            <w:tcW w:w="1650" w:type="dxa"/>
          </w:tcPr>
          <w:p w14:paraId="24CED656">
            <w:pPr>
              <w:rPr>
                <w:rFonts w:ascii="Times New Roman" w:hAnsi="Times New Roman" w:eastAsia="Calibri" w:cs="Times New Roman"/>
                <w:lang w:val="uk-UA" w:eastAsia="ru-RU"/>
              </w:rPr>
            </w:pPr>
            <w:r>
              <w:rPr>
                <w:rFonts w:ascii="Times New Roman" w:hAnsi="Times New Roman" w:eastAsia="Calibri" w:cs="Times New Roman"/>
                <w:lang w:val="uk-UA" w:eastAsia="ru-RU"/>
              </w:rPr>
              <w:t>Формат А1</w:t>
            </w:r>
          </w:p>
        </w:tc>
      </w:tr>
      <w:tr w14:paraId="39ED5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trPr>
        <w:tc>
          <w:tcPr>
            <w:tcW w:w="520" w:type="dxa"/>
          </w:tcPr>
          <w:p w14:paraId="23C66CE5">
            <w:pPr>
              <w:ind w:left="-30"/>
              <w:rPr>
                <w:rFonts w:ascii="Times New Roman" w:hAnsi="Times New Roman" w:eastAsia="Calibri" w:cs="Times New Roman"/>
                <w:lang w:val="uk-UA" w:eastAsia="ru-RU"/>
              </w:rPr>
            </w:pPr>
            <w:r>
              <w:rPr>
                <w:rFonts w:ascii="Times New Roman" w:hAnsi="Times New Roman" w:eastAsia="Calibri" w:cs="Times New Roman"/>
                <w:lang w:val="uk-UA" w:eastAsia="ru-RU"/>
              </w:rPr>
              <w:t>3.</w:t>
            </w:r>
          </w:p>
        </w:tc>
        <w:tc>
          <w:tcPr>
            <w:tcW w:w="4653" w:type="dxa"/>
          </w:tcPr>
          <w:p w14:paraId="2FE48CEE">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Аналіз літературних джерел, патентної інформації та виробничої інформації   з мережі Інтернет  за темою дисертації</w:t>
            </w:r>
          </w:p>
        </w:tc>
        <w:tc>
          <w:tcPr>
            <w:tcW w:w="2609" w:type="dxa"/>
          </w:tcPr>
          <w:p w14:paraId="1C0AEE92">
            <w:pPr>
              <w:rPr>
                <w:rFonts w:ascii="Times New Roman" w:hAnsi="Times New Roman" w:eastAsia="Calibri" w:cs="Times New Roman"/>
                <w:lang w:val="uk-UA" w:eastAsia="ru-RU"/>
              </w:rPr>
            </w:pPr>
            <w:r>
              <w:rPr>
                <w:rFonts w:ascii="Times New Roman" w:hAnsi="Times New Roman" w:eastAsia="Calibri" w:cs="Times New Roman"/>
                <w:lang w:val="uk-UA" w:eastAsia="ru-RU"/>
              </w:rPr>
              <w:t>05.11.24</w:t>
            </w:r>
          </w:p>
        </w:tc>
        <w:tc>
          <w:tcPr>
            <w:tcW w:w="1650" w:type="dxa"/>
          </w:tcPr>
          <w:p w14:paraId="02B08A27">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≈20 стор. </w:t>
            </w:r>
          </w:p>
          <w:p w14:paraId="3F2A34EE">
            <w:pPr>
              <w:rPr>
                <w:rFonts w:ascii="Times New Roman" w:hAnsi="Times New Roman" w:eastAsia="Calibri" w:cs="Times New Roman"/>
                <w:lang w:val="uk-UA" w:eastAsia="ru-RU"/>
              </w:rPr>
            </w:pPr>
            <w:r>
              <w:rPr>
                <w:rFonts w:ascii="Times New Roman" w:hAnsi="Times New Roman" w:eastAsia="Calibri" w:cs="Times New Roman"/>
                <w:lang w:val="uk-UA" w:eastAsia="ru-RU"/>
              </w:rPr>
              <w:t>тексту</w:t>
            </w:r>
          </w:p>
          <w:p w14:paraId="667CA097">
            <w:pPr>
              <w:rPr>
                <w:rFonts w:ascii="Times New Roman" w:hAnsi="Times New Roman" w:eastAsia="Calibri" w:cs="Times New Roman"/>
                <w:lang w:val="uk-UA" w:eastAsia="ru-RU"/>
              </w:rPr>
            </w:pPr>
          </w:p>
        </w:tc>
      </w:tr>
      <w:tr w14:paraId="336A5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3" w:hRule="atLeast"/>
        </w:trPr>
        <w:tc>
          <w:tcPr>
            <w:tcW w:w="520" w:type="dxa"/>
          </w:tcPr>
          <w:p w14:paraId="335BF5B5">
            <w:pPr>
              <w:ind w:left="-30"/>
              <w:rPr>
                <w:rFonts w:ascii="Times New Roman" w:hAnsi="Times New Roman" w:eastAsia="Calibri" w:cs="Times New Roman"/>
                <w:lang w:val="uk-UA" w:eastAsia="ru-RU"/>
              </w:rPr>
            </w:pPr>
            <w:r>
              <w:rPr>
                <w:rFonts w:ascii="Times New Roman" w:hAnsi="Times New Roman" w:eastAsia="Calibri" w:cs="Times New Roman"/>
                <w:lang w:val="uk-UA" w:eastAsia="ru-RU"/>
              </w:rPr>
              <w:t>4.</w:t>
            </w:r>
          </w:p>
        </w:tc>
        <w:tc>
          <w:tcPr>
            <w:tcW w:w="4653" w:type="dxa"/>
          </w:tcPr>
          <w:p w14:paraId="24F282C8">
            <w:pPr>
              <w:rPr>
                <w:rFonts w:ascii="Times New Roman" w:hAnsi="Times New Roman" w:eastAsia="Calibri" w:cs="Times New Roman"/>
                <w:lang w:val="uk-UA" w:eastAsia="ru-RU"/>
              </w:rPr>
            </w:pPr>
            <w:r>
              <w:rPr>
                <w:rFonts w:hint="default" w:ascii="Times New Roman" w:hAnsi="Times New Roman" w:eastAsia="Calibri" w:cs="Times New Roman"/>
                <w:lang w:val="uk-UA" w:eastAsia="ru-RU"/>
              </w:rPr>
              <w:t>Техніко-економічне обгрунтування запропонованих рішень з модернізації систем електропостачання</w:t>
            </w:r>
          </w:p>
        </w:tc>
        <w:tc>
          <w:tcPr>
            <w:tcW w:w="2609" w:type="dxa"/>
          </w:tcPr>
          <w:p w14:paraId="2A5ACBFF">
            <w:pPr>
              <w:rPr>
                <w:rFonts w:ascii="Times New Roman" w:hAnsi="Times New Roman" w:eastAsia="Calibri" w:cs="Times New Roman"/>
                <w:lang w:val="uk-UA" w:eastAsia="ru-RU"/>
              </w:rPr>
            </w:pPr>
            <w:r>
              <w:rPr>
                <w:rFonts w:ascii="Times New Roman" w:hAnsi="Times New Roman" w:eastAsia="Calibri" w:cs="Times New Roman"/>
                <w:lang w:val="uk-UA" w:eastAsia="ru-RU"/>
              </w:rPr>
              <w:t>10.11.24</w:t>
            </w:r>
          </w:p>
        </w:tc>
        <w:tc>
          <w:tcPr>
            <w:tcW w:w="1650" w:type="dxa"/>
          </w:tcPr>
          <w:p w14:paraId="0FC8917A">
            <w:pPr>
              <w:rPr>
                <w:rFonts w:ascii="Times New Roman" w:hAnsi="Times New Roman" w:eastAsia="Calibri" w:cs="Times New Roman"/>
                <w:lang w:val="uk-UA" w:eastAsia="ru-RU"/>
              </w:rPr>
            </w:pPr>
            <w:r>
              <w:rPr>
                <w:rFonts w:ascii="Times New Roman" w:hAnsi="Times New Roman" w:eastAsia="Calibri" w:cs="Times New Roman"/>
                <w:lang w:val="uk-UA" w:eastAsia="ru-RU"/>
              </w:rPr>
              <w:t xml:space="preserve">≈20 стор. </w:t>
            </w:r>
          </w:p>
          <w:p w14:paraId="204D312A">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тексту</w:t>
            </w:r>
          </w:p>
          <w:p w14:paraId="5D1D3661">
            <w:pPr>
              <w:rPr>
                <w:rFonts w:ascii="Times New Roman" w:hAnsi="Times New Roman" w:eastAsia="Calibri" w:cs="Times New Roman"/>
                <w:lang w:val="uk-UA" w:eastAsia="ru-RU"/>
              </w:rPr>
            </w:pPr>
          </w:p>
        </w:tc>
      </w:tr>
      <w:tr w14:paraId="5BC89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520" w:type="dxa"/>
          </w:tcPr>
          <w:p w14:paraId="30409B64">
            <w:pPr>
              <w:ind w:left="-30"/>
              <w:rPr>
                <w:rFonts w:ascii="Times New Roman" w:hAnsi="Times New Roman" w:eastAsia="Calibri" w:cs="Times New Roman"/>
                <w:lang w:val="uk-UA" w:eastAsia="ru-RU"/>
              </w:rPr>
            </w:pPr>
            <w:r>
              <w:rPr>
                <w:rFonts w:ascii="Times New Roman" w:hAnsi="Times New Roman" w:eastAsia="Calibri" w:cs="Times New Roman"/>
                <w:lang w:val="uk-UA" w:eastAsia="ru-RU"/>
              </w:rPr>
              <w:t>11</w:t>
            </w:r>
          </w:p>
        </w:tc>
        <w:tc>
          <w:tcPr>
            <w:tcW w:w="4653" w:type="dxa"/>
          </w:tcPr>
          <w:p w14:paraId="77970B50">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Розробка стартапу впровадження результатів дисертаційної роботи</w:t>
            </w:r>
          </w:p>
        </w:tc>
        <w:tc>
          <w:tcPr>
            <w:tcW w:w="2609" w:type="dxa"/>
          </w:tcPr>
          <w:p w14:paraId="58C3591B">
            <w:pPr>
              <w:rPr>
                <w:rFonts w:ascii="Times New Roman" w:hAnsi="Times New Roman" w:eastAsia="Calibri" w:cs="Times New Roman"/>
                <w:lang w:val="uk-UA" w:eastAsia="ru-RU"/>
              </w:rPr>
            </w:pPr>
            <w:r>
              <w:rPr>
                <w:rFonts w:ascii="Times New Roman" w:hAnsi="Times New Roman" w:eastAsia="Calibri" w:cs="Times New Roman"/>
                <w:lang w:val="uk-UA" w:eastAsia="ru-RU"/>
              </w:rPr>
              <w:t>10.12.24</w:t>
            </w:r>
          </w:p>
        </w:tc>
        <w:tc>
          <w:tcPr>
            <w:tcW w:w="1650" w:type="dxa"/>
          </w:tcPr>
          <w:p w14:paraId="4543C6C4">
            <w:pPr>
              <w:rPr>
                <w:rFonts w:ascii="Times New Roman" w:hAnsi="Times New Roman" w:eastAsia="Calibri" w:cs="Times New Roman"/>
                <w:lang w:val="uk-UA" w:eastAsia="ru-RU"/>
              </w:rPr>
            </w:pPr>
            <w:r>
              <w:rPr>
                <w:rFonts w:ascii="Times New Roman" w:hAnsi="Times New Roman" w:eastAsia="Calibri" w:cs="Times New Roman"/>
                <w:lang w:val="uk-UA" w:eastAsia="ru-RU"/>
              </w:rPr>
              <w:t>≈20 стор. тексту</w:t>
            </w:r>
          </w:p>
        </w:tc>
      </w:tr>
      <w:tr w14:paraId="78DDA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520" w:type="dxa"/>
          </w:tcPr>
          <w:p w14:paraId="5D507C15">
            <w:pPr>
              <w:ind w:left="-30"/>
              <w:rPr>
                <w:rFonts w:ascii="Times New Roman" w:hAnsi="Times New Roman" w:eastAsia="Calibri" w:cs="Times New Roman"/>
                <w:lang w:val="uk-UA" w:eastAsia="ru-RU"/>
              </w:rPr>
            </w:pPr>
            <w:r>
              <w:rPr>
                <w:rFonts w:ascii="Times New Roman" w:hAnsi="Times New Roman" w:eastAsia="Calibri" w:cs="Times New Roman"/>
                <w:lang w:val="uk-UA" w:eastAsia="ru-RU"/>
              </w:rPr>
              <w:t>12</w:t>
            </w:r>
          </w:p>
        </w:tc>
        <w:tc>
          <w:tcPr>
            <w:tcW w:w="4653" w:type="dxa"/>
          </w:tcPr>
          <w:p w14:paraId="25D3CCD7">
            <w:pPr>
              <w:jc w:val="both"/>
              <w:rPr>
                <w:rFonts w:ascii="Times New Roman" w:hAnsi="Times New Roman" w:eastAsia="Calibri" w:cs="Times New Roman"/>
                <w:lang w:val="uk-UA" w:eastAsia="ru-RU"/>
              </w:rPr>
            </w:pPr>
            <w:r>
              <w:rPr>
                <w:rFonts w:ascii="Times New Roman" w:hAnsi="Times New Roman" w:eastAsia="Calibri" w:cs="Times New Roman"/>
                <w:lang w:val="uk-UA" w:eastAsia="ru-RU"/>
              </w:rPr>
              <w:t>Підготовка  документів необхідних для захисту дисертації</w:t>
            </w:r>
          </w:p>
        </w:tc>
        <w:tc>
          <w:tcPr>
            <w:tcW w:w="2609" w:type="dxa"/>
          </w:tcPr>
          <w:p w14:paraId="5A210293">
            <w:pPr>
              <w:rPr>
                <w:rFonts w:ascii="Times New Roman" w:hAnsi="Times New Roman" w:eastAsia="Calibri" w:cs="Times New Roman"/>
                <w:lang w:val="uk-UA" w:eastAsia="ru-RU"/>
              </w:rPr>
            </w:pPr>
            <w:r>
              <w:rPr>
                <w:rFonts w:ascii="Times New Roman" w:hAnsi="Times New Roman" w:eastAsia="Calibri" w:cs="Times New Roman"/>
                <w:lang w:val="uk-UA" w:eastAsia="ru-RU"/>
              </w:rPr>
              <w:t>12.12.24</w:t>
            </w:r>
          </w:p>
        </w:tc>
        <w:tc>
          <w:tcPr>
            <w:tcW w:w="1650" w:type="dxa"/>
          </w:tcPr>
          <w:p w14:paraId="793891E1">
            <w:pPr>
              <w:rPr>
                <w:rFonts w:ascii="Times New Roman" w:hAnsi="Times New Roman" w:eastAsia="Calibri" w:cs="Times New Roman"/>
                <w:lang w:val="uk-UA" w:eastAsia="ru-RU"/>
              </w:rPr>
            </w:pPr>
          </w:p>
        </w:tc>
      </w:tr>
    </w:tbl>
    <w:p w14:paraId="2D3A3CB6">
      <w:pPr>
        <w:rPr>
          <w:rFonts w:ascii="Times New Roman" w:hAnsi="Times New Roman" w:eastAsia="Calibri" w:cs="Times New Roman"/>
          <w:lang w:val="uk-UA" w:eastAsia="ru-RU"/>
        </w:rPr>
      </w:pPr>
    </w:p>
    <w:p w14:paraId="577FF791">
      <w:pPr>
        <w:rPr>
          <w:rFonts w:ascii="Times New Roman" w:hAnsi="Times New Roman" w:eastAsia="Calibri" w:cs="Times New Roman"/>
          <w:lang w:val="uk-UA" w:eastAsia="ru-RU"/>
        </w:rPr>
      </w:pPr>
    </w:p>
    <w:p w14:paraId="7BA662B8">
      <w:pPr>
        <w:rPr>
          <w:rFonts w:ascii="Times New Roman" w:hAnsi="Times New Roman" w:eastAsia="Calibri" w:cs="Times New Roman"/>
          <w:lang w:val="uk-UA" w:eastAsia="ru-RU"/>
        </w:rPr>
      </w:pPr>
    </w:p>
    <w:p w14:paraId="145C1309">
      <w:pPr>
        <w:spacing w:line="360" w:lineRule="auto"/>
        <w:jc w:val="both"/>
        <w:rPr>
          <w:rFonts w:hint="default" w:ascii="Times New Roman" w:hAnsi="Times New Roman" w:eastAsia="Calibri" w:cs="Times New Roman"/>
          <w:lang w:val="uk-UA" w:eastAsia="ru-RU"/>
        </w:rPr>
      </w:pPr>
      <w:r>
        <w:rPr>
          <w:rFonts w:ascii="Times New Roman" w:hAnsi="Times New Roman" w:eastAsia="Calibri" w:cs="Times New Roman"/>
          <w:lang w:val="uk-UA" w:eastAsia="ru-RU"/>
        </w:rPr>
        <w:t>Студент</w:t>
      </w:r>
      <w:r>
        <w:rPr>
          <w:rFonts w:hint="default" w:ascii="Times New Roman" w:hAnsi="Times New Roman" w:eastAsia="Calibri" w:cs="Times New Roman"/>
          <w:lang w:val="uk-UA" w:eastAsia="ru-RU"/>
        </w:rPr>
        <w:t>:</w:t>
      </w:r>
      <w:r>
        <w:rPr>
          <w:rFonts w:ascii="Times New Roman" w:hAnsi="Times New Roman" w:eastAsia="Calibri" w:cs="Times New Roman"/>
          <w:lang w:val="uk-UA" w:eastAsia="ru-RU"/>
        </w:rPr>
        <w:t xml:space="preserve"> </w:t>
      </w:r>
      <w:r>
        <w:rPr>
          <w:rFonts w:hint="default" w:ascii="Times New Roman" w:hAnsi="Times New Roman" w:eastAsia="Calibri" w:cs="Times New Roman"/>
          <w:lang w:val="uk-UA" w:eastAsia="ru-RU"/>
        </w:rPr>
        <w:t>Гентош Ілля Анатолійович</w:t>
      </w:r>
    </w:p>
    <w:p w14:paraId="59D2BCE2">
      <w:pPr>
        <w:rPr>
          <w:rFonts w:ascii="Times New Roman" w:hAnsi="Times New Roman" w:eastAsia="Times New Roman" w:cs="Times New Roman"/>
          <w:color w:val="000000"/>
          <w:sz w:val="28"/>
          <w:szCs w:val="28"/>
          <w:lang w:val="uk-UA" w:eastAsia="ru-RU"/>
        </w:rPr>
      </w:pPr>
    </w:p>
    <w:p w14:paraId="1FA1AE90">
      <w:pPr>
        <w:spacing w:line="360" w:lineRule="auto"/>
        <w:jc w:val="center"/>
        <w:rPr>
          <w:rFonts w:ascii="Times New Roman" w:hAnsi="Times New Roman" w:eastAsia="Times New Roman" w:cs="Times New Roman"/>
          <w:color w:val="FF0000"/>
          <w:sz w:val="28"/>
          <w:szCs w:val="28"/>
          <w:lang w:val="uk-UA" w:eastAsia="ru-RU"/>
        </w:rPr>
      </w:pPr>
    </w:p>
    <w:p w14:paraId="6AE6F7D4">
      <w:pPr>
        <w:rPr>
          <w:rFonts w:ascii="Times New Roman" w:hAnsi="Times New Roman" w:eastAsia="Calibri" w:cs="Times New Roman"/>
          <w:lang w:val="uk-UA" w:eastAsia="ru-RU"/>
        </w:rPr>
      </w:pPr>
    </w:p>
    <w:p w14:paraId="2637D8ED">
      <w:pPr>
        <w:rPr>
          <w:rFonts w:hint="default"/>
          <w:lang w:val="uk-UA"/>
        </w:rPr>
      </w:pPr>
      <w:r>
        <w:rPr>
          <w:rFonts w:ascii="Times New Roman" w:hAnsi="Times New Roman" w:eastAsia="Calibri" w:cs="Times New Roman"/>
          <w:lang w:val="uk-UA" w:eastAsia="ru-RU"/>
        </w:rPr>
        <w:t>Науковий керівник</w:t>
      </w:r>
      <w:r>
        <w:rPr>
          <w:rFonts w:hint="default" w:ascii="Times New Roman" w:hAnsi="Times New Roman" w:eastAsia="Calibri" w:cs="Times New Roman"/>
          <w:lang w:val="uk-UA" w:eastAsia="ru-RU"/>
        </w:rPr>
        <w:t>: Розен Віктор Петрович</w:t>
      </w:r>
    </w:p>
    <w:p w14:paraId="0038F96A">
      <w:pPr>
        <w:spacing w:line="360" w:lineRule="auto"/>
        <w:ind w:firstLine="709"/>
        <w:jc w:val="center"/>
        <w:rPr>
          <w:lang w:val="ru-RU"/>
        </w:rPr>
      </w:pPr>
    </w:p>
    <w:p w14:paraId="2A9CB5DF">
      <w:pPr>
        <w:keepNext w:val="0"/>
        <w:keepLines w:val="0"/>
        <w:widowControl/>
        <w:suppressLineNumbers w:val="0"/>
        <w:jc w:val="center"/>
        <w:rPr>
          <w:rFonts w:hint="default" w:ascii="Times New Roman" w:hAnsi="Times New Roman" w:eastAsia="TimesNewRomanPS-BoldMT" w:cs="Times New Roman"/>
          <w:b/>
          <w:bCs/>
          <w:color w:val="000000"/>
          <w:kern w:val="0"/>
          <w:sz w:val="28"/>
          <w:szCs w:val="28"/>
          <w:lang w:val="en-US" w:eastAsia="zh-CN" w:bidi="ar"/>
        </w:rPr>
      </w:pPr>
    </w:p>
    <w:p w14:paraId="53EEB12C">
      <w:pPr>
        <w:keepNext w:val="0"/>
        <w:keepLines w:val="0"/>
        <w:widowControl/>
        <w:suppressLineNumbers w:val="0"/>
        <w:jc w:val="center"/>
        <w:rPr>
          <w:rFonts w:hint="default" w:ascii="Times New Roman" w:hAnsi="Times New Roman" w:eastAsia="TimesNewRomanPS-BoldMT" w:cs="Times New Roman"/>
          <w:b/>
          <w:bCs/>
          <w:color w:val="000000"/>
          <w:kern w:val="0"/>
          <w:sz w:val="28"/>
          <w:szCs w:val="28"/>
          <w:lang w:val="en-US" w:eastAsia="zh-CN" w:bidi="ar"/>
        </w:rPr>
      </w:pPr>
    </w:p>
    <w:p w14:paraId="72FE987A">
      <w:pPr>
        <w:keepNext w:val="0"/>
        <w:keepLines w:val="0"/>
        <w:widowControl/>
        <w:suppressLineNumbers w:val="0"/>
        <w:jc w:val="center"/>
        <w:rPr>
          <w:rFonts w:hint="default" w:ascii="Times New Roman" w:hAnsi="Times New Roman" w:eastAsia="TimesNewRomanPS-BoldMT" w:cs="Times New Roman"/>
          <w:b/>
          <w:bCs/>
          <w:color w:val="000000"/>
          <w:kern w:val="0"/>
          <w:sz w:val="28"/>
          <w:szCs w:val="28"/>
          <w:lang w:val="en-US" w:eastAsia="zh-CN" w:bidi="ar"/>
        </w:rPr>
      </w:pPr>
    </w:p>
    <w:p w14:paraId="53265BFF">
      <w:pPr>
        <w:keepNext w:val="0"/>
        <w:keepLines w:val="0"/>
        <w:widowControl/>
        <w:suppressLineNumbers w:val="0"/>
        <w:jc w:val="center"/>
        <w:rPr>
          <w:rFonts w:hint="default" w:ascii="Times New Roman" w:hAnsi="Times New Roman" w:eastAsia="TimesNewRomanPS-BoldMT" w:cs="Times New Roman"/>
          <w:b/>
          <w:bCs/>
          <w:color w:val="000000"/>
          <w:kern w:val="0"/>
          <w:sz w:val="28"/>
          <w:szCs w:val="28"/>
          <w:lang w:val="en-US" w:eastAsia="zh-CN" w:bidi="ar"/>
        </w:rPr>
      </w:pPr>
    </w:p>
    <w:p w14:paraId="69A948BD">
      <w:pPr>
        <w:keepNext w:val="0"/>
        <w:keepLines w:val="0"/>
        <w:widowControl/>
        <w:suppressLineNumbers w:val="0"/>
        <w:jc w:val="center"/>
        <w:rPr>
          <w:rFonts w:hint="default" w:ascii="Times New Roman" w:hAnsi="Times New Roman" w:eastAsia="TimesNewRomanPS-BoldMT" w:cs="Times New Roman"/>
          <w:b/>
          <w:bCs/>
          <w:color w:val="000000"/>
          <w:kern w:val="0"/>
          <w:sz w:val="28"/>
          <w:szCs w:val="28"/>
          <w:lang w:val="en-US" w:eastAsia="zh-CN" w:bidi="ar"/>
        </w:rPr>
      </w:pPr>
    </w:p>
    <w:p w14:paraId="0C024016">
      <w:pPr>
        <w:keepNext w:val="0"/>
        <w:keepLines w:val="0"/>
        <w:widowControl/>
        <w:suppressLineNumbers w:val="0"/>
        <w:jc w:val="center"/>
        <w:rPr>
          <w:rFonts w:hint="default" w:ascii="Times New Roman" w:hAnsi="Times New Roman" w:eastAsia="TimesNewRomanPS-BoldMT" w:cs="Times New Roman"/>
          <w:b/>
          <w:bCs/>
          <w:color w:val="000000"/>
          <w:kern w:val="0"/>
          <w:sz w:val="28"/>
          <w:szCs w:val="28"/>
          <w:lang w:val="en-US" w:eastAsia="zh-CN" w:bidi="ar"/>
        </w:rPr>
      </w:pPr>
    </w:p>
    <w:p w14:paraId="56B8BF41">
      <w:pPr>
        <w:keepNext w:val="0"/>
        <w:keepLines w:val="0"/>
        <w:widowControl/>
        <w:suppressLineNumbers w:val="0"/>
        <w:jc w:val="center"/>
        <w:rPr>
          <w:rFonts w:hint="default" w:ascii="Times New Roman" w:hAnsi="Times New Roman" w:eastAsia="TimesNewRomanPS-BoldMT" w:cs="Times New Roman"/>
          <w:b/>
          <w:bCs/>
          <w:color w:val="000000"/>
          <w:kern w:val="0"/>
          <w:sz w:val="28"/>
          <w:szCs w:val="28"/>
          <w:lang w:val="en-US" w:eastAsia="zh-CN" w:bidi="ar"/>
        </w:rPr>
      </w:pPr>
    </w:p>
    <w:p w14:paraId="0BD69E74">
      <w:pPr>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TimesNewRomanPS-BoldMT" w:cs="Times New Roman"/>
          <w:b/>
          <w:bCs/>
          <w:color w:val="000000"/>
          <w:kern w:val="0"/>
          <w:sz w:val="28"/>
          <w:szCs w:val="28"/>
          <w:lang w:val="en-US" w:eastAsia="zh-CN" w:bidi="ar"/>
        </w:rPr>
        <w:t>Пояснювальна записка</w:t>
      </w:r>
    </w:p>
    <w:p w14:paraId="70FC34F5">
      <w:pPr>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imSun" w:cs="Times New Roman"/>
          <w:color w:val="000000"/>
          <w:kern w:val="0"/>
          <w:sz w:val="28"/>
          <w:szCs w:val="28"/>
          <w:lang w:val="en-US" w:eastAsia="zh-CN" w:bidi="ar"/>
        </w:rPr>
        <w:t>до магістерської дисертації</w:t>
      </w:r>
    </w:p>
    <w:p w14:paraId="7287F076">
      <w:pPr>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imSun" w:cs="Times New Roman"/>
          <w:color w:val="000000"/>
          <w:kern w:val="0"/>
          <w:sz w:val="28"/>
          <w:szCs w:val="28"/>
          <w:lang w:val="en-US" w:eastAsia="zh-CN" w:bidi="ar"/>
        </w:rPr>
        <w:t>на тему: «Підвищення рівня енергоефективності слектропостачания промислового підприємства з використанням кінетичних накопичувачів енергії»</w:t>
      </w:r>
    </w:p>
    <w:p w14:paraId="6F2EA6DE">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01E3D5CA">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38D3C092">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296D8ACB">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70640146">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2CB642FD">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72B2B0E7">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2739F12D">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5168CB12">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1E3193EF">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7F1AB6A1">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0EE3520E">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3CFBB639">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22DDDFBB">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5C9D6B1C">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657BB733">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2CF22058">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469F6B1D">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1FC738FE">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11D5472B">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32104B74">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33852C39">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2B2B69AA">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492128A7">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16F30A7C">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1817C642">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3BDAA064">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4AC88782">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14A79E2A">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14AECAA2">
      <w:pPr>
        <w:keepNext w:val="0"/>
        <w:keepLines w:val="0"/>
        <w:widowControl/>
        <w:suppressLineNumbers w:val="0"/>
        <w:jc w:val="both"/>
        <w:rPr>
          <w:rFonts w:hint="default" w:ascii="Times New Roman" w:hAnsi="Times New Roman" w:eastAsia="SimSun" w:cs="Times New Roman"/>
          <w:color w:val="000000"/>
          <w:kern w:val="0"/>
          <w:sz w:val="28"/>
          <w:szCs w:val="28"/>
          <w:lang w:val="en-US" w:eastAsia="zh-CN" w:bidi="ar"/>
        </w:rPr>
      </w:pPr>
    </w:p>
    <w:p w14:paraId="77325BAB">
      <w:pPr>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imSun" w:cs="Times New Roman"/>
          <w:color w:val="000000"/>
          <w:kern w:val="0"/>
          <w:sz w:val="28"/>
          <w:szCs w:val="28"/>
          <w:lang w:val="en-US" w:eastAsia="zh-CN" w:bidi="ar"/>
        </w:rPr>
        <w:t>Київ – 2024</w:t>
      </w:r>
    </w:p>
    <w:p w14:paraId="427450EC">
      <w:pPr>
        <w:spacing w:line="360" w:lineRule="auto"/>
        <w:jc w:val="both"/>
        <w:rPr>
          <w:lang w:val="ru-RU"/>
        </w:rPr>
        <w:sectPr>
          <w:headerReference r:id="rId12" w:type="first"/>
          <w:headerReference r:id="rId11" w:type="default"/>
          <w:pgSz w:w="11906" w:h="16838"/>
          <w:pgMar w:top="1134" w:right="851" w:bottom="1134" w:left="1701" w:header="708" w:footer="708" w:gutter="0"/>
          <w:pgNumType w:fmt="decimal"/>
          <w:cols w:space="708" w:num="1"/>
          <w:docGrid w:linePitch="360" w:charSpace="0"/>
        </w:sectPr>
      </w:pPr>
    </w:p>
    <w:sdt>
      <w:sdtPr>
        <w:rPr>
          <w:lang w:val="ru-RU"/>
        </w:rPr>
        <w:id w:val="1843965171"/>
        <w:docPartObj>
          <w:docPartGallery w:val="Table of Contents"/>
          <w:docPartUnique/>
        </w:docPartObj>
      </w:sdtPr>
      <w:sdtEndPr>
        <w:rPr>
          <w:b/>
          <w:bCs/>
          <w:lang w:val="zh-CN"/>
        </w:rPr>
      </w:sdtEndPr>
      <w:sdtContent>
        <w:p w14:paraId="66AFC4CF">
          <w:pPr>
            <w:spacing w:line="360" w:lineRule="auto"/>
            <w:ind w:firstLine="709"/>
            <w:jc w:val="center"/>
            <w:rPr>
              <w:b/>
              <w:bCs/>
              <w:lang w:val="uk-UA"/>
            </w:rPr>
          </w:pPr>
          <w:r>
            <w:rPr>
              <w:b/>
              <w:bCs/>
              <w:lang w:val="uk-UA"/>
            </w:rPr>
            <w:t>ВМІСТ</w:t>
          </w:r>
        </w:p>
        <w:p w14:paraId="7B163C05">
          <w:pPr>
            <w:pStyle w:val="12"/>
            <w:tabs>
              <w:tab w:val="right" w:leader="dot" w:pos="9344"/>
            </w:tabs>
            <w:jc w:val="both"/>
            <w:rPr>
              <w:rFonts w:hint="default" w:ascii="Times New Roman" w:hAnsi="Times New Roman" w:cs="Times New Roman"/>
              <w:b w:val="0"/>
              <w:bCs w:val="0"/>
              <w:i w:val="0"/>
              <w:iCs w:val="0"/>
              <w:sz w:val="28"/>
              <w:szCs w:val="28"/>
              <w:u w:val="none"/>
              <w:lang w:val="uk-UA"/>
            </w:rPr>
          </w:pPr>
          <w:r>
            <w:rPr>
              <w:rFonts w:hint="default" w:ascii="Times New Roman" w:hAnsi="Times New Roman" w:cs="Times New Roman"/>
              <w:b w:val="0"/>
              <w:bCs w:val="0"/>
              <w:i w:val="0"/>
              <w:iCs w:val="0"/>
              <w:sz w:val="28"/>
              <w:szCs w:val="28"/>
              <w:u w:val="none"/>
              <w:lang w:val="uk-UA"/>
            </w:rPr>
            <w:t>РЕФЕРФТ.................................................................................................................1</w:t>
          </w:r>
        </w:p>
        <w:p w14:paraId="5184EC4B">
          <w:pPr>
            <w:jc w:val="both"/>
            <w:rPr>
              <w:rFonts w:hint="default"/>
              <w:lang w:val="uk-UA"/>
            </w:rPr>
          </w:pPr>
          <w:r>
            <w:rPr>
              <w:rFonts w:hint="default"/>
              <w:lang w:val="uk-UA"/>
            </w:rPr>
            <w:t>ABSTRACT..........................................................................................................................................3</w:t>
          </w:r>
        </w:p>
        <w:p w14:paraId="44DDAC5F">
          <w:pPr>
            <w:pStyle w:val="12"/>
            <w:tabs>
              <w:tab w:val="right" w:leader="dot" w:pos="9344"/>
            </w:tabs>
            <w:jc w:val="both"/>
            <w:rPr>
              <w:rFonts w:ascii="Times New Roman" w:hAnsi="Times New Roman" w:cs="Times New Roman"/>
              <w:b w:val="0"/>
              <w:bCs w:val="0"/>
              <w:i w:val="0"/>
              <w:iCs w:val="0"/>
              <w:sz w:val="28"/>
              <w:szCs w:val="28"/>
            </w:rPr>
          </w:pPr>
          <w:r>
            <w:rPr>
              <w:b w:val="0"/>
              <w:bCs w:val="0"/>
            </w:rPr>
            <w:fldChar w:fldCharType="begin"/>
          </w:r>
          <w:r>
            <w:instrText xml:space="preserve">TOC \o "1-3" \h \z \u</w:instrText>
          </w:r>
          <w:r>
            <w:rPr>
              <w:b w:val="0"/>
              <w:bCs w:val="0"/>
            </w:rPr>
            <w:fldChar w:fldCharType="separate"/>
          </w:r>
          <w:r>
            <w:fldChar w:fldCharType="begin"/>
          </w:r>
          <w:r>
            <w:instrText xml:space="preserve"> HYPERLINK \l "_Toc185516722" </w:instrText>
          </w:r>
          <w:r>
            <w:fldChar w:fldCharType="separate"/>
          </w:r>
          <w:r>
            <w:rPr>
              <w:rStyle w:val="6"/>
              <w:rFonts w:ascii="Times New Roman" w:hAnsi="Times New Roman" w:cs="Times New Roman"/>
              <w:b w:val="0"/>
              <w:bCs w:val="0"/>
              <w:i w:val="0"/>
              <w:iCs w:val="0"/>
              <w:sz w:val="28"/>
              <w:szCs w:val="28"/>
              <w:lang w:val="uk-UA"/>
            </w:rPr>
            <w:t>ВСТУП</w:t>
          </w:r>
          <w:r>
            <w:rPr>
              <w:rFonts w:ascii="Times New Roman" w:hAnsi="Times New Roman" w:cs="Times New Roman"/>
              <w:b w:val="0"/>
              <w:bCs w:val="0"/>
              <w:i w:val="0"/>
              <w:iCs w:val="0"/>
              <w:sz w:val="28"/>
              <w:szCs w:val="28"/>
            </w:rPr>
            <w:tab/>
          </w:r>
          <w:r>
            <w:rPr>
              <w:rFonts w:hint="default" w:ascii="Times New Roman" w:hAnsi="Times New Roman" w:cs="Times New Roman"/>
              <w:b w:val="0"/>
              <w:bCs w:val="0"/>
              <w:i w:val="0"/>
              <w:iCs w:val="0"/>
              <w:sz w:val="28"/>
              <w:szCs w:val="28"/>
              <w:lang w:val="uk-UA"/>
            </w:rPr>
            <w:t>4</w:t>
          </w:r>
          <w:r>
            <w:rPr>
              <w:rFonts w:ascii="Times New Roman" w:hAnsi="Times New Roman" w:cs="Times New Roman"/>
              <w:b w:val="0"/>
              <w:bCs w:val="0"/>
              <w:i w:val="0"/>
              <w:iCs w:val="0"/>
              <w:sz w:val="28"/>
              <w:szCs w:val="28"/>
            </w:rPr>
            <w:fldChar w:fldCharType="end"/>
          </w:r>
        </w:p>
        <w:p w14:paraId="07CD539A">
          <w:pPr>
            <w:pStyle w:val="12"/>
            <w:tabs>
              <w:tab w:val="right" w:leader="dot" w:pos="9344"/>
            </w:tabs>
            <w:jc w:val="both"/>
            <w:rPr>
              <w:rFonts w:ascii="Times New Roman" w:hAnsi="Times New Roman" w:cs="Times New Roman"/>
              <w:b w:val="0"/>
              <w:bCs w:val="0"/>
              <w:i w:val="0"/>
              <w:iCs w:val="0"/>
              <w:sz w:val="28"/>
              <w:szCs w:val="28"/>
            </w:rPr>
          </w:pPr>
          <w:r>
            <w:fldChar w:fldCharType="begin"/>
          </w:r>
          <w:r>
            <w:instrText xml:space="preserve"> HYPERLINK \l "_Toc185516723" </w:instrText>
          </w:r>
          <w:r>
            <w:fldChar w:fldCharType="separate"/>
          </w:r>
          <w:r>
            <w:rPr>
              <w:rStyle w:val="6"/>
              <w:rFonts w:ascii="Times New Roman" w:hAnsi="Times New Roman" w:cs="Times New Roman"/>
              <w:b w:val="0"/>
              <w:bCs w:val="0"/>
              <w:i w:val="0"/>
              <w:iCs w:val="0"/>
              <w:sz w:val="28"/>
              <w:szCs w:val="28"/>
              <w:lang w:val="uk-UA"/>
            </w:rPr>
            <w:t>РОЗДІЛ 1.</w:t>
          </w:r>
          <w:r>
            <w:rPr>
              <w:rStyle w:val="6"/>
              <w:rFonts w:ascii="Times New Roman" w:hAnsi="Times New Roman" w:cs="Times New Roman"/>
              <w:b w:val="0"/>
              <w:bCs w:val="0"/>
              <w:i w:val="0"/>
              <w:iCs w:val="0"/>
              <w:sz w:val="28"/>
              <w:szCs w:val="28"/>
            </w:rPr>
            <w:t xml:space="preserve"> </w:t>
          </w:r>
          <w:r>
            <w:rPr>
              <w:rStyle w:val="6"/>
              <w:rFonts w:ascii="Times New Roman" w:hAnsi="Times New Roman" w:cs="Times New Roman"/>
              <w:b w:val="0"/>
              <w:bCs w:val="0"/>
              <w:i w:val="0"/>
              <w:iCs w:val="0"/>
              <w:sz w:val="28"/>
              <w:szCs w:val="28"/>
              <w:lang w:val="uk-UA"/>
            </w:rPr>
            <w:t>ТЕОРЕТИЧНІ ОСНОВИ ПІДВИЩЕННЯ ЕНЕРГОЕФЕКТИВНОСТІ СИСТЕМ ЕЛЕКТРОПОСТАЧАННЯ ПРОМИСЛОВИХ ПІДПРИЄМСТВ</w:t>
          </w:r>
          <w:r>
            <w:rPr>
              <w:rFonts w:ascii="Times New Roman" w:hAnsi="Times New Roman" w:cs="Times New Roman"/>
              <w:b w:val="0"/>
              <w:bCs w:val="0"/>
              <w:i w:val="0"/>
              <w:iCs w:val="0"/>
              <w:sz w:val="28"/>
              <w:szCs w:val="28"/>
            </w:rPr>
            <w:tab/>
          </w:r>
          <w:r>
            <w:rPr>
              <w:rFonts w:hint="default" w:ascii="Times New Roman" w:hAnsi="Times New Roman" w:cs="Times New Roman"/>
              <w:b w:val="0"/>
              <w:bCs w:val="0"/>
              <w:i w:val="0"/>
              <w:iCs w:val="0"/>
              <w:sz w:val="28"/>
              <w:szCs w:val="28"/>
              <w:lang w:val="uk-UA"/>
            </w:rPr>
            <w:t>5</w:t>
          </w:r>
          <w:r>
            <w:rPr>
              <w:rFonts w:ascii="Times New Roman" w:hAnsi="Times New Roman" w:cs="Times New Roman"/>
              <w:b w:val="0"/>
              <w:bCs w:val="0"/>
              <w:i w:val="0"/>
              <w:iCs w:val="0"/>
              <w:sz w:val="28"/>
              <w:szCs w:val="28"/>
            </w:rPr>
            <w:fldChar w:fldCharType="end"/>
          </w:r>
        </w:p>
        <w:p w14:paraId="6F7DEAE7">
          <w:pPr>
            <w:pStyle w:val="15"/>
            <w:tabs>
              <w:tab w:val="right" w:leader="dot" w:pos="9344"/>
            </w:tabs>
            <w:jc w:val="both"/>
            <w:rPr>
              <w:rFonts w:ascii="Times New Roman" w:hAnsi="Times New Roman" w:cs="Times New Roman"/>
              <w:b w:val="0"/>
              <w:bCs w:val="0"/>
              <w:sz w:val="28"/>
              <w:szCs w:val="28"/>
            </w:rPr>
          </w:pPr>
          <w:r>
            <w:fldChar w:fldCharType="begin"/>
          </w:r>
          <w:r>
            <w:instrText xml:space="preserve"> HYPERLINK \l "_Toc185516724" </w:instrText>
          </w:r>
          <w:r>
            <w:fldChar w:fldCharType="separate"/>
          </w:r>
          <w:r>
            <w:rPr>
              <w:rStyle w:val="6"/>
              <w:rFonts w:ascii="Times New Roman" w:hAnsi="Times New Roman" w:cs="Times New Roman"/>
              <w:b w:val="0"/>
              <w:bCs w:val="0"/>
              <w:sz w:val="28"/>
              <w:szCs w:val="28"/>
              <w:lang w:val="uk-UA"/>
            </w:rPr>
            <w:t>1.1. Сучасні підходи до організації енергоефективного електропостачання промислових підприємств</w:t>
          </w:r>
          <w:r>
            <w:rPr>
              <w:rFonts w:ascii="Times New Roman" w:hAnsi="Times New Roman" w:cs="Times New Roman"/>
              <w:b w:val="0"/>
              <w:bCs w:val="0"/>
              <w:sz w:val="28"/>
              <w:szCs w:val="28"/>
            </w:rPr>
            <w:tab/>
          </w:r>
          <w:r>
            <w:rPr>
              <w:rFonts w:hint="default" w:ascii="Times New Roman" w:hAnsi="Times New Roman" w:cs="Times New Roman"/>
              <w:b w:val="0"/>
              <w:bCs w:val="0"/>
              <w:sz w:val="28"/>
              <w:szCs w:val="28"/>
              <w:lang w:val="uk-UA"/>
            </w:rPr>
            <w:t>5</w:t>
          </w:r>
          <w:r>
            <w:rPr>
              <w:rFonts w:ascii="Times New Roman" w:hAnsi="Times New Roman" w:cs="Times New Roman"/>
              <w:b w:val="0"/>
              <w:bCs w:val="0"/>
              <w:sz w:val="28"/>
              <w:szCs w:val="28"/>
            </w:rPr>
            <w:fldChar w:fldCharType="end"/>
          </w:r>
        </w:p>
        <w:p w14:paraId="2B1ABEFF">
          <w:pPr>
            <w:pStyle w:val="15"/>
            <w:tabs>
              <w:tab w:val="right" w:leader="dot" w:pos="9344"/>
            </w:tabs>
            <w:jc w:val="both"/>
            <w:rPr>
              <w:rFonts w:hint="default" w:ascii="Times New Roman" w:hAnsi="Times New Roman" w:cs="Times New Roman"/>
              <w:b w:val="0"/>
              <w:bCs w:val="0"/>
              <w:sz w:val="28"/>
              <w:szCs w:val="28"/>
              <w:lang w:val="uk-UA"/>
            </w:rPr>
          </w:pPr>
          <w:r>
            <w:fldChar w:fldCharType="begin"/>
          </w:r>
          <w:r>
            <w:instrText xml:space="preserve"> HYPERLINK \l "_Toc185516725" </w:instrText>
          </w:r>
          <w:r>
            <w:fldChar w:fldCharType="separate"/>
          </w:r>
          <w:r>
            <w:rPr>
              <w:rStyle w:val="6"/>
              <w:rFonts w:ascii="Times New Roman" w:hAnsi="Times New Roman" w:cs="Times New Roman"/>
              <w:b w:val="0"/>
              <w:bCs w:val="0"/>
              <w:sz w:val="28"/>
              <w:szCs w:val="28"/>
              <w:lang w:val="uk-UA"/>
            </w:rPr>
            <w:t>1.2. Аналіз технологій накопичення енергії та їх застосування в промисловості</w:t>
          </w:r>
          <w:r>
            <w:rPr>
              <w:rFonts w:ascii="Times New Roman" w:hAnsi="Times New Roman" w:cs="Times New Roman"/>
              <w:b w:val="0"/>
              <w:bCs w:val="0"/>
              <w:sz w:val="28"/>
              <w:szCs w:val="28"/>
            </w:rPr>
            <w:tab/>
          </w:r>
          <w:r>
            <w:rPr>
              <w:rFonts w:hint="default" w:ascii="Times New Roman" w:hAnsi="Times New Roman" w:cs="Times New Roman"/>
              <w:b w:val="0"/>
              <w:bCs w:val="0"/>
              <w:sz w:val="28"/>
              <w:szCs w:val="28"/>
              <w:lang w:val="uk-UA"/>
            </w:rPr>
            <w:t>1</w:t>
          </w:r>
          <w:r>
            <w:rPr>
              <w:rFonts w:ascii="Times New Roman" w:hAnsi="Times New Roman" w:cs="Times New Roman"/>
              <w:b w:val="0"/>
              <w:bCs w:val="0"/>
              <w:sz w:val="28"/>
              <w:szCs w:val="28"/>
            </w:rPr>
            <w:fldChar w:fldCharType="end"/>
          </w:r>
          <w:r>
            <w:rPr>
              <w:rFonts w:hint="default" w:ascii="Times New Roman" w:hAnsi="Times New Roman" w:cs="Times New Roman"/>
              <w:b w:val="0"/>
              <w:bCs w:val="0"/>
              <w:sz w:val="28"/>
              <w:szCs w:val="28"/>
              <w:lang w:val="uk-UA"/>
            </w:rPr>
            <w:t>2</w:t>
          </w:r>
        </w:p>
        <w:p w14:paraId="0A230255">
          <w:pPr>
            <w:pStyle w:val="15"/>
            <w:tabs>
              <w:tab w:val="right" w:leader="dot" w:pos="9344"/>
            </w:tabs>
            <w:jc w:val="both"/>
            <w:rPr>
              <w:rFonts w:hint="default" w:ascii="Times New Roman" w:hAnsi="Times New Roman" w:cs="Times New Roman"/>
              <w:b w:val="0"/>
              <w:bCs w:val="0"/>
              <w:sz w:val="28"/>
              <w:szCs w:val="28"/>
              <w:lang w:val="uk-UA"/>
            </w:rPr>
          </w:pPr>
          <w:r>
            <w:fldChar w:fldCharType="begin"/>
          </w:r>
          <w:r>
            <w:instrText xml:space="preserve"> HYPERLINK \l "_Toc185516726" </w:instrText>
          </w:r>
          <w:r>
            <w:fldChar w:fldCharType="separate"/>
          </w:r>
          <w:r>
            <w:rPr>
              <w:rStyle w:val="6"/>
              <w:rFonts w:ascii="Times New Roman" w:hAnsi="Times New Roman" w:cs="Times New Roman"/>
              <w:b w:val="0"/>
              <w:bCs w:val="0"/>
              <w:sz w:val="28"/>
              <w:szCs w:val="28"/>
              <w:lang w:val="uk-UA"/>
            </w:rPr>
            <w:t>1.3. Особливості використання кінетичних накопичувачів енергії в системах електропостачання</w:t>
          </w:r>
          <w:r>
            <w:rPr>
              <w:rFonts w:ascii="Times New Roman" w:hAnsi="Times New Roman" w:cs="Times New Roman"/>
              <w:b w:val="0"/>
              <w:bCs w:val="0"/>
              <w:sz w:val="28"/>
              <w:szCs w:val="28"/>
            </w:rPr>
            <w:tab/>
          </w:r>
          <w:r>
            <w:rPr>
              <w:rFonts w:hint="default" w:ascii="Times New Roman" w:hAnsi="Times New Roman" w:cs="Times New Roman"/>
              <w:b w:val="0"/>
              <w:bCs w:val="0"/>
              <w:sz w:val="28"/>
              <w:szCs w:val="28"/>
              <w:lang w:val="uk-UA"/>
            </w:rPr>
            <w:t>1</w:t>
          </w:r>
          <w:r>
            <w:rPr>
              <w:rFonts w:ascii="Times New Roman" w:hAnsi="Times New Roman" w:cs="Times New Roman"/>
              <w:b w:val="0"/>
              <w:bCs w:val="0"/>
              <w:sz w:val="28"/>
              <w:szCs w:val="28"/>
            </w:rPr>
            <w:fldChar w:fldCharType="end"/>
          </w:r>
          <w:r>
            <w:rPr>
              <w:rFonts w:hint="default" w:ascii="Times New Roman" w:hAnsi="Times New Roman" w:cs="Times New Roman"/>
              <w:b w:val="0"/>
              <w:bCs w:val="0"/>
              <w:sz w:val="28"/>
              <w:szCs w:val="28"/>
              <w:lang w:val="uk-UA"/>
            </w:rPr>
            <w:t>7</w:t>
          </w:r>
        </w:p>
        <w:p w14:paraId="28695569">
          <w:pPr>
            <w:pStyle w:val="12"/>
            <w:tabs>
              <w:tab w:val="right" w:leader="dot" w:pos="9344"/>
            </w:tabs>
            <w:jc w:val="both"/>
            <w:rPr>
              <w:rFonts w:hint="default" w:ascii="Times New Roman" w:hAnsi="Times New Roman" w:cs="Times New Roman"/>
              <w:b w:val="0"/>
              <w:bCs w:val="0"/>
              <w:i w:val="0"/>
              <w:iCs w:val="0"/>
              <w:sz w:val="28"/>
              <w:szCs w:val="28"/>
              <w:lang w:val="uk-UA"/>
            </w:rPr>
          </w:pPr>
          <w:r>
            <w:fldChar w:fldCharType="begin"/>
          </w:r>
          <w:r>
            <w:instrText xml:space="preserve"> HYPERLINK \l "_Toc185516727" </w:instrText>
          </w:r>
          <w:r>
            <w:fldChar w:fldCharType="separate"/>
          </w:r>
          <w:r>
            <w:rPr>
              <w:rStyle w:val="6"/>
              <w:rFonts w:ascii="Times New Roman" w:hAnsi="Times New Roman" w:cs="Times New Roman"/>
              <w:b w:val="0"/>
              <w:bCs w:val="0"/>
              <w:i w:val="0"/>
              <w:iCs w:val="0"/>
              <w:sz w:val="28"/>
              <w:szCs w:val="28"/>
              <w:lang w:val="uk-UA"/>
            </w:rPr>
            <w:t>РОЗДІЛ 2. АНАЛІЗ СИСТЕМИ ЕЛЕКТРОПОСТАЧАННЯ ПРОМИСЛОВОГО</w:t>
          </w:r>
          <w:r>
            <w:rPr>
              <w:rStyle w:val="6"/>
              <w:rFonts w:hint="default" w:ascii="Times New Roman" w:hAnsi="Times New Roman" w:cs="Times New Roman"/>
              <w:b w:val="0"/>
              <w:bCs w:val="0"/>
              <w:i w:val="0"/>
              <w:iCs w:val="0"/>
              <w:sz w:val="28"/>
              <w:szCs w:val="28"/>
              <w:lang w:val="uk-UA"/>
            </w:rPr>
            <w:t xml:space="preserve"> ПІДПРИЄМСТВА</w:t>
          </w:r>
          <w:r>
            <w:rPr>
              <w:rStyle w:val="6"/>
              <w:rFonts w:ascii="Times New Roman" w:hAnsi="Times New Roman" w:cs="Times New Roman"/>
              <w:b w:val="0"/>
              <w:bCs w:val="0"/>
              <w:i w:val="0"/>
              <w:iCs w:val="0"/>
              <w:sz w:val="28"/>
              <w:szCs w:val="28"/>
              <w:lang w:val="uk-UA"/>
            </w:rPr>
            <w:t xml:space="preserve"> ТА РОЗРОБКА ЗАХОДІВ З ПІДВИЩЕННЯ ЇЇ ЕНЕРГОЕФЕКТИВНОСТІ</w:t>
          </w:r>
          <w:r>
            <w:rPr>
              <w:rFonts w:ascii="Times New Roman" w:hAnsi="Times New Roman" w:cs="Times New Roman"/>
              <w:b w:val="0"/>
              <w:bCs w:val="0"/>
              <w:i w:val="0"/>
              <w:iCs w:val="0"/>
              <w:sz w:val="28"/>
              <w:szCs w:val="28"/>
            </w:rPr>
            <w:tab/>
          </w:r>
          <w:r>
            <w:rPr>
              <w:rFonts w:hint="default" w:ascii="Times New Roman" w:hAnsi="Times New Roman" w:cs="Times New Roman"/>
              <w:b w:val="0"/>
              <w:bCs w:val="0"/>
              <w:i w:val="0"/>
              <w:iCs w:val="0"/>
              <w:sz w:val="28"/>
              <w:szCs w:val="28"/>
              <w:lang w:val="uk-UA"/>
            </w:rPr>
            <w:t>2</w:t>
          </w:r>
          <w:r>
            <w:rPr>
              <w:rFonts w:ascii="Times New Roman" w:hAnsi="Times New Roman" w:cs="Times New Roman"/>
              <w:b w:val="0"/>
              <w:bCs w:val="0"/>
              <w:i w:val="0"/>
              <w:iCs w:val="0"/>
              <w:sz w:val="28"/>
              <w:szCs w:val="28"/>
            </w:rPr>
            <w:fldChar w:fldCharType="end"/>
          </w:r>
          <w:r>
            <w:rPr>
              <w:rFonts w:hint="default" w:ascii="Times New Roman" w:hAnsi="Times New Roman" w:cs="Times New Roman"/>
              <w:b w:val="0"/>
              <w:bCs w:val="0"/>
              <w:i w:val="0"/>
              <w:iCs w:val="0"/>
              <w:sz w:val="28"/>
              <w:szCs w:val="28"/>
              <w:lang w:val="uk-UA"/>
            </w:rPr>
            <w:t>2</w:t>
          </w:r>
        </w:p>
        <w:p w14:paraId="27AE364A">
          <w:pPr>
            <w:pStyle w:val="15"/>
            <w:tabs>
              <w:tab w:val="right" w:leader="dot" w:pos="9344"/>
            </w:tabs>
            <w:jc w:val="both"/>
            <w:rPr>
              <w:rFonts w:hint="default" w:ascii="Times New Roman" w:hAnsi="Times New Roman" w:cs="Times New Roman"/>
              <w:b w:val="0"/>
              <w:bCs w:val="0"/>
              <w:sz w:val="28"/>
              <w:szCs w:val="28"/>
              <w:lang w:val="uk-UA"/>
            </w:rPr>
          </w:pPr>
          <w:r>
            <w:fldChar w:fldCharType="begin"/>
          </w:r>
          <w:r>
            <w:instrText xml:space="preserve"> HYPERLINK \l "_Toc185516728" </w:instrText>
          </w:r>
          <w:r>
            <w:fldChar w:fldCharType="separate"/>
          </w:r>
          <w:r>
            <w:rPr>
              <w:rStyle w:val="6"/>
              <w:rFonts w:ascii="Times New Roman" w:hAnsi="Times New Roman" w:cs="Times New Roman"/>
              <w:b w:val="0"/>
              <w:bCs w:val="0"/>
              <w:sz w:val="28"/>
              <w:szCs w:val="28"/>
              <w:lang w:val="uk-UA"/>
            </w:rPr>
            <w:t>2.1. Характеристика електротехнічного комплексу підприємства та аналіз режимів електроспоживання</w:t>
          </w:r>
          <w:r>
            <w:rPr>
              <w:rFonts w:ascii="Times New Roman" w:hAnsi="Times New Roman" w:cs="Times New Roman"/>
              <w:b w:val="0"/>
              <w:bCs w:val="0"/>
              <w:sz w:val="28"/>
              <w:szCs w:val="28"/>
            </w:rPr>
            <w:tab/>
          </w:r>
          <w:r>
            <w:rPr>
              <w:rFonts w:hint="default" w:ascii="Times New Roman" w:hAnsi="Times New Roman" w:cs="Times New Roman"/>
              <w:b w:val="0"/>
              <w:bCs w:val="0"/>
              <w:sz w:val="28"/>
              <w:szCs w:val="28"/>
              <w:lang w:val="uk-UA"/>
            </w:rPr>
            <w:t>2</w:t>
          </w:r>
          <w:r>
            <w:rPr>
              <w:rFonts w:ascii="Times New Roman" w:hAnsi="Times New Roman" w:cs="Times New Roman"/>
              <w:b w:val="0"/>
              <w:bCs w:val="0"/>
              <w:sz w:val="28"/>
              <w:szCs w:val="28"/>
            </w:rPr>
            <w:fldChar w:fldCharType="end"/>
          </w:r>
          <w:r>
            <w:rPr>
              <w:rFonts w:hint="default" w:ascii="Times New Roman" w:hAnsi="Times New Roman" w:cs="Times New Roman"/>
              <w:b w:val="0"/>
              <w:bCs w:val="0"/>
              <w:sz w:val="28"/>
              <w:szCs w:val="28"/>
              <w:lang w:val="uk-UA"/>
            </w:rPr>
            <w:t>2</w:t>
          </w:r>
          <w:bookmarkStart w:id="14" w:name="_GoBack"/>
          <w:bookmarkEnd w:id="14"/>
        </w:p>
        <w:p w14:paraId="31845DAA">
          <w:pPr>
            <w:pStyle w:val="15"/>
            <w:tabs>
              <w:tab w:val="right" w:leader="dot" w:pos="9344"/>
            </w:tabs>
            <w:jc w:val="both"/>
            <w:rPr>
              <w:rFonts w:hint="default" w:ascii="Times New Roman" w:hAnsi="Times New Roman" w:cs="Times New Roman"/>
              <w:b w:val="0"/>
              <w:bCs w:val="0"/>
              <w:sz w:val="28"/>
              <w:szCs w:val="28"/>
              <w:lang w:val="uk-UA"/>
            </w:rPr>
          </w:pPr>
          <w:r>
            <w:fldChar w:fldCharType="begin"/>
          </w:r>
          <w:r>
            <w:instrText xml:space="preserve"> HYPERLINK \l "_Toc185516730" </w:instrText>
          </w:r>
          <w:r>
            <w:fldChar w:fldCharType="separate"/>
          </w:r>
          <w:r>
            <w:rPr>
              <w:rStyle w:val="6"/>
              <w:rFonts w:ascii="Times New Roman" w:hAnsi="Times New Roman" w:cs="Times New Roman"/>
              <w:b w:val="0"/>
              <w:bCs w:val="0"/>
              <w:sz w:val="28"/>
              <w:szCs w:val="28"/>
              <w:lang w:val="uk-UA"/>
            </w:rPr>
            <w:t>2.</w:t>
          </w:r>
          <w:r>
            <w:rPr>
              <w:rStyle w:val="6"/>
              <w:rFonts w:hint="default" w:ascii="Times New Roman" w:hAnsi="Times New Roman" w:cs="Times New Roman"/>
              <w:b w:val="0"/>
              <w:bCs w:val="0"/>
              <w:sz w:val="28"/>
              <w:szCs w:val="28"/>
              <w:lang w:val="uk-UA"/>
            </w:rPr>
            <w:t>2</w:t>
          </w:r>
          <w:r>
            <w:rPr>
              <w:rStyle w:val="6"/>
              <w:rFonts w:ascii="Times New Roman" w:hAnsi="Times New Roman" w:cs="Times New Roman"/>
              <w:b w:val="0"/>
              <w:bCs w:val="0"/>
              <w:sz w:val="28"/>
              <w:szCs w:val="28"/>
              <w:lang w:val="uk-UA"/>
            </w:rPr>
            <w:t>. Розробка технічних рішень щодо модернізації системи електропостачання з використанням кінетичних накопичувачів енергії</w:t>
          </w:r>
          <w:r>
            <w:rPr>
              <w:rFonts w:ascii="Times New Roman" w:hAnsi="Times New Roman" w:cs="Times New Roman"/>
              <w:b w:val="0"/>
              <w:bCs w:val="0"/>
              <w:sz w:val="28"/>
              <w:szCs w:val="28"/>
            </w:rPr>
            <w:tab/>
          </w:r>
          <w:r>
            <w:rPr>
              <w:rFonts w:hint="default" w:ascii="Times New Roman" w:hAnsi="Times New Roman" w:cs="Times New Roman"/>
              <w:b w:val="0"/>
              <w:bCs w:val="0"/>
              <w:sz w:val="28"/>
              <w:szCs w:val="28"/>
              <w:lang w:val="uk-UA"/>
            </w:rPr>
            <w:t>2</w:t>
          </w:r>
          <w:r>
            <w:rPr>
              <w:rFonts w:ascii="Times New Roman" w:hAnsi="Times New Roman" w:cs="Times New Roman"/>
              <w:b w:val="0"/>
              <w:bCs w:val="0"/>
              <w:sz w:val="28"/>
              <w:szCs w:val="28"/>
            </w:rPr>
            <w:fldChar w:fldCharType="end"/>
          </w:r>
          <w:r>
            <w:rPr>
              <w:rFonts w:hint="default" w:ascii="Times New Roman" w:hAnsi="Times New Roman" w:cs="Times New Roman"/>
              <w:b w:val="0"/>
              <w:bCs w:val="0"/>
              <w:sz w:val="28"/>
              <w:szCs w:val="28"/>
              <w:lang w:val="uk-UA"/>
            </w:rPr>
            <w:t>5</w:t>
          </w:r>
        </w:p>
        <w:p w14:paraId="37D32C69">
          <w:pPr>
            <w:pStyle w:val="12"/>
            <w:tabs>
              <w:tab w:val="right" w:leader="dot" w:pos="9344"/>
            </w:tabs>
            <w:jc w:val="both"/>
            <w:rPr>
              <w:rFonts w:hint="default" w:ascii="Times New Roman" w:hAnsi="Times New Roman" w:cs="Times New Roman"/>
              <w:b w:val="0"/>
              <w:bCs w:val="0"/>
              <w:i w:val="0"/>
              <w:iCs w:val="0"/>
              <w:sz w:val="28"/>
              <w:szCs w:val="28"/>
              <w:lang w:val="uk-UA"/>
            </w:rPr>
          </w:pPr>
          <w:r>
            <w:fldChar w:fldCharType="begin"/>
          </w:r>
          <w:r>
            <w:instrText xml:space="preserve"> HYPERLINK \l "_Toc185516731" </w:instrText>
          </w:r>
          <w:r>
            <w:fldChar w:fldCharType="separate"/>
          </w:r>
          <w:r>
            <w:rPr>
              <w:rStyle w:val="6"/>
              <w:rFonts w:ascii="Times New Roman" w:hAnsi="Times New Roman" w:cs="Times New Roman"/>
              <w:b w:val="0"/>
              <w:bCs w:val="0"/>
              <w:i w:val="0"/>
              <w:iCs w:val="0"/>
              <w:sz w:val="28"/>
              <w:szCs w:val="28"/>
              <w:lang w:val="uk-UA"/>
            </w:rPr>
            <w:t>РОЗДІЛ 3. ТЕХНІКО-ЕКОНОМІЧНЕ ОБҐРУНТУВАННЯ ЗАПРОПОНОВАНИХ РІШЕНЬ З МОДЕРНІЗАЦІЇ СИСТЕМИ ЕЛЕКТРОПОСТАЧАННЯ</w:t>
          </w:r>
          <w:r>
            <w:rPr>
              <w:rFonts w:ascii="Times New Roman" w:hAnsi="Times New Roman" w:cs="Times New Roman"/>
              <w:b w:val="0"/>
              <w:bCs w:val="0"/>
              <w:i w:val="0"/>
              <w:iCs w:val="0"/>
              <w:sz w:val="28"/>
              <w:szCs w:val="28"/>
            </w:rPr>
            <w:tab/>
          </w:r>
          <w:r>
            <w:rPr>
              <w:rFonts w:hint="default" w:ascii="Times New Roman" w:hAnsi="Times New Roman" w:cs="Times New Roman"/>
              <w:b w:val="0"/>
              <w:bCs w:val="0"/>
              <w:i w:val="0"/>
              <w:iCs w:val="0"/>
              <w:sz w:val="28"/>
              <w:szCs w:val="28"/>
              <w:lang w:val="uk-UA"/>
            </w:rPr>
            <w:t>3</w:t>
          </w:r>
          <w:r>
            <w:rPr>
              <w:rFonts w:ascii="Times New Roman" w:hAnsi="Times New Roman" w:cs="Times New Roman"/>
              <w:b w:val="0"/>
              <w:bCs w:val="0"/>
              <w:i w:val="0"/>
              <w:iCs w:val="0"/>
              <w:sz w:val="28"/>
              <w:szCs w:val="28"/>
            </w:rPr>
            <w:fldChar w:fldCharType="end"/>
          </w:r>
          <w:r>
            <w:rPr>
              <w:rFonts w:hint="default" w:ascii="Times New Roman" w:hAnsi="Times New Roman" w:cs="Times New Roman"/>
              <w:b w:val="0"/>
              <w:bCs w:val="0"/>
              <w:i w:val="0"/>
              <w:iCs w:val="0"/>
              <w:sz w:val="28"/>
              <w:szCs w:val="28"/>
              <w:lang w:val="uk-UA"/>
            </w:rPr>
            <w:t>0</w:t>
          </w:r>
        </w:p>
        <w:p w14:paraId="384B2C70">
          <w:pPr>
            <w:pStyle w:val="15"/>
            <w:tabs>
              <w:tab w:val="right" w:leader="dot" w:pos="9344"/>
            </w:tabs>
            <w:jc w:val="both"/>
            <w:rPr>
              <w:rFonts w:hint="default" w:ascii="Times New Roman" w:hAnsi="Times New Roman" w:cs="Times New Roman"/>
              <w:b w:val="0"/>
              <w:bCs w:val="0"/>
              <w:sz w:val="28"/>
              <w:szCs w:val="28"/>
              <w:lang w:val="uk-UA"/>
            </w:rPr>
          </w:pPr>
          <w:r>
            <w:fldChar w:fldCharType="begin"/>
          </w:r>
          <w:r>
            <w:instrText xml:space="preserve"> HYPERLINK \l "_Toc185516732" </w:instrText>
          </w:r>
          <w:r>
            <w:fldChar w:fldCharType="separate"/>
          </w:r>
          <w:r>
            <w:rPr>
              <w:rStyle w:val="6"/>
              <w:rFonts w:ascii="Times New Roman" w:hAnsi="Times New Roman" w:cs="Times New Roman"/>
              <w:b w:val="0"/>
              <w:bCs w:val="0"/>
              <w:sz w:val="28"/>
              <w:szCs w:val="28"/>
              <w:lang w:val="uk-UA"/>
            </w:rPr>
            <w:t>3.1. Розрахунок капітальних та експлуатаційних витрат на впровадження кінетичних накопичувачів енергії</w:t>
          </w:r>
          <w:r>
            <w:rPr>
              <w:rFonts w:ascii="Times New Roman" w:hAnsi="Times New Roman" w:cs="Times New Roman"/>
              <w:b w:val="0"/>
              <w:bCs w:val="0"/>
              <w:sz w:val="28"/>
              <w:szCs w:val="28"/>
            </w:rPr>
            <w:tab/>
          </w:r>
          <w:r>
            <w:rPr>
              <w:rFonts w:hint="default" w:ascii="Times New Roman" w:hAnsi="Times New Roman" w:cs="Times New Roman"/>
              <w:b w:val="0"/>
              <w:bCs w:val="0"/>
              <w:sz w:val="28"/>
              <w:szCs w:val="28"/>
              <w:lang w:val="uk-UA"/>
            </w:rPr>
            <w:t>3</w:t>
          </w:r>
          <w:r>
            <w:rPr>
              <w:rFonts w:ascii="Times New Roman" w:hAnsi="Times New Roman" w:cs="Times New Roman"/>
              <w:b w:val="0"/>
              <w:bCs w:val="0"/>
              <w:sz w:val="28"/>
              <w:szCs w:val="28"/>
            </w:rPr>
            <w:fldChar w:fldCharType="end"/>
          </w:r>
          <w:r>
            <w:rPr>
              <w:rFonts w:hint="default" w:ascii="Times New Roman" w:hAnsi="Times New Roman" w:cs="Times New Roman"/>
              <w:b w:val="0"/>
              <w:bCs w:val="0"/>
              <w:sz w:val="28"/>
              <w:szCs w:val="28"/>
              <w:lang w:val="uk-UA"/>
            </w:rPr>
            <w:t>0</w:t>
          </w:r>
        </w:p>
        <w:p w14:paraId="3C852A48">
          <w:pPr>
            <w:pStyle w:val="15"/>
            <w:tabs>
              <w:tab w:val="right" w:leader="dot" w:pos="9344"/>
            </w:tabs>
            <w:jc w:val="both"/>
            <w:rPr>
              <w:rFonts w:hint="default" w:ascii="Times New Roman" w:hAnsi="Times New Roman" w:cs="Times New Roman"/>
              <w:b w:val="0"/>
              <w:bCs w:val="0"/>
              <w:sz w:val="28"/>
              <w:szCs w:val="28"/>
              <w:lang w:val="uk-UA"/>
            </w:rPr>
          </w:pPr>
          <w:r>
            <w:fldChar w:fldCharType="begin"/>
          </w:r>
          <w:r>
            <w:instrText xml:space="preserve"> HYPERLINK \l "_Toc185516733" </w:instrText>
          </w:r>
          <w:r>
            <w:fldChar w:fldCharType="separate"/>
          </w:r>
          <w:r>
            <w:rPr>
              <w:rStyle w:val="6"/>
              <w:rFonts w:ascii="Times New Roman" w:hAnsi="Times New Roman" w:cs="Times New Roman"/>
              <w:b w:val="0"/>
              <w:bCs w:val="0"/>
              <w:sz w:val="28"/>
              <w:szCs w:val="28"/>
              <w:lang w:val="uk-UA"/>
            </w:rPr>
            <w:t>3.2. Оцінка економічної ефективності проекту модернізації системи електропостачання</w:t>
          </w:r>
          <w:r>
            <w:rPr>
              <w:rFonts w:ascii="Times New Roman" w:hAnsi="Times New Roman" w:cs="Times New Roman"/>
              <w:b w:val="0"/>
              <w:bCs w:val="0"/>
              <w:sz w:val="28"/>
              <w:szCs w:val="28"/>
            </w:rPr>
            <w:tab/>
          </w:r>
          <w:r>
            <w:rPr>
              <w:rFonts w:hint="default" w:ascii="Times New Roman" w:hAnsi="Times New Roman" w:cs="Times New Roman"/>
              <w:b w:val="0"/>
              <w:bCs w:val="0"/>
              <w:sz w:val="28"/>
              <w:szCs w:val="28"/>
              <w:lang w:val="uk-UA"/>
            </w:rPr>
            <w:t>3</w:t>
          </w:r>
          <w:r>
            <w:rPr>
              <w:rFonts w:ascii="Times New Roman" w:hAnsi="Times New Roman" w:cs="Times New Roman"/>
              <w:b w:val="0"/>
              <w:bCs w:val="0"/>
              <w:sz w:val="28"/>
              <w:szCs w:val="28"/>
            </w:rPr>
            <w:fldChar w:fldCharType="end"/>
          </w:r>
          <w:r>
            <w:rPr>
              <w:rFonts w:hint="default" w:ascii="Times New Roman" w:hAnsi="Times New Roman" w:cs="Times New Roman"/>
              <w:b w:val="0"/>
              <w:bCs w:val="0"/>
              <w:sz w:val="28"/>
              <w:szCs w:val="28"/>
              <w:lang w:val="uk-UA"/>
            </w:rPr>
            <w:t>6</w:t>
          </w:r>
        </w:p>
        <w:p w14:paraId="3087F4F5">
          <w:pPr>
            <w:pStyle w:val="15"/>
            <w:tabs>
              <w:tab w:val="right" w:leader="dot" w:pos="9344"/>
            </w:tabs>
            <w:jc w:val="both"/>
            <w:rPr>
              <w:rFonts w:hint="default" w:ascii="Times New Roman" w:hAnsi="Times New Roman" w:cs="Times New Roman"/>
              <w:b w:val="0"/>
              <w:bCs w:val="0"/>
              <w:sz w:val="28"/>
              <w:szCs w:val="28"/>
              <w:lang w:val="uk-UA"/>
            </w:rPr>
          </w:pPr>
          <w:r>
            <w:fldChar w:fldCharType="begin"/>
          </w:r>
          <w:r>
            <w:instrText xml:space="preserve"> HYPERLINK \l "_Toc185516734" </w:instrText>
          </w:r>
          <w:r>
            <w:fldChar w:fldCharType="separate"/>
          </w:r>
          <w:r>
            <w:rPr>
              <w:rStyle w:val="6"/>
              <w:rFonts w:ascii="Times New Roman" w:hAnsi="Times New Roman" w:cs="Times New Roman"/>
              <w:b w:val="0"/>
              <w:bCs w:val="0"/>
              <w:sz w:val="28"/>
              <w:szCs w:val="28"/>
              <w:lang w:val="uk-UA"/>
            </w:rPr>
            <w:t>3.3. Аналіз екологічних та соціальних аспектів впровадження запропонованих рішень</w:t>
          </w:r>
          <w:r>
            <w:rPr>
              <w:rFonts w:ascii="Times New Roman" w:hAnsi="Times New Roman" w:cs="Times New Roman"/>
              <w:b w:val="0"/>
              <w:bCs w:val="0"/>
              <w:sz w:val="28"/>
              <w:szCs w:val="28"/>
            </w:rPr>
            <w:tab/>
          </w:r>
          <w:r>
            <w:rPr>
              <w:rFonts w:hint="default" w:ascii="Times New Roman" w:hAnsi="Times New Roman" w:cs="Times New Roman"/>
              <w:b w:val="0"/>
              <w:bCs w:val="0"/>
              <w:sz w:val="28"/>
              <w:szCs w:val="28"/>
              <w:lang w:val="uk-UA"/>
            </w:rPr>
            <w:t>4</w:t>
          </w:r>
          <w:r>
            <w:rPr>
              <w:rFonts w:ascii="Times New Roman" w:hAnsi="Times New Roman" w:cs="Times New Roman"/>
              <w:b w:val="0"/>
              <w:bCs w:val="0"/>
              <w:sz w:val="28"/>
              <w:szCs w:val="28"/>
            </w:rPr>
            <w:fldChar w:fldCharType="end"/>
          </w:r>
          <w:r>
            <w:rPr>
              <w:rFonts w:hint="default" w:ascii="Times New Roman" w:hAnsi="Times New Roman" w:cs="Times New Roman"/>
              <w:b w:val="0"/>
              <w:bCs w:val="0"/>
              <w:sz w:val="28"/>
              <w:szCs w:val="28"/>
              <w:lang w:val="uk-UA"/>
            </w:rPr>
            <w:t>4</w:t>
          </w:r>
        </w:p>
        <w:p w14:paraId="116095DB">
          <w:pPr>
            <w:jc w:val="both"/>
            <w:rPr>
              <w:rFonts w:hint="default"/>
              <w:lang w:val="uk-UA"/>
            </w:rPr>
          </w:pPr>
          <w:r>
            <w:rPr>
              <w:rFonts w:hint="default"/>
              <w:lang w:val="uk-UA"/>
            </w:rPr>
            <w:t>РОЗДІЛ 4. СТАРТАП ПРОЕКТ..................................................................................................51</w:t>
          </w:r>
        </w:p>
        <w:p w14:paraId="4501FE82">
          <w:pPr>
            <w:ind w:firstLine="240" w:firstLineChars="100"/>
            <w:jc w:val="both"/>
            <w:rPr>
              <w:rFonts w:hint="default"/>
              <w:lang w:val="uk-UA"/>
            </w:rPr>
          </w:pPr>
          <w:r>
            <w:rPr>
              <w:rFonts w:hint="default"/>
              <w:lang w:val="uk-UA"/>
            </w:rPr>
            <w:t>4.1. Опис ідеї проекту...........................................................................................................51</w:t>
          </w:r>
        </w:p>
        <w:p w14:paraId="1AAB99C6">
          <w:pPr>
            <w:ind w:firstLine="240" w:firstLineChars="100"/>
            <w:jc w:val="both"/>
            <w:rPr>
              <w:rFonts w:hint="default"/>
              <w:lang w:val="uk-UA"/>
            </w:rPr>
          </w:pPr>
          <w:r>
            <w:rPr>
              <w:rFonts w:hint="default"/>
              <w:lang w:val="uk-UA"/>
            </w:rPr>
            <w:t>4.2. Аналіз цільової аудиторії............................................................................................53</w:t>
          </w:r>
        </w:p>
        <w:p w14:paraId="4A5938B3">
          <w:pPr>
            <w:ind w:firstLine="240" w:firstLineChars="100"/>
            <w:jc w:val="both"/>
            <w:rPr>
              <w:rFonts w:hint="default"/>
              <w:lang w:val="uk-UA"/>
            </w:rPr>
          </w:pPr>
          <w:r>
            <w:rPr>
              <w:rFonts w:hint="default"/>
              <w:lang w:val="uk-UA"/>
            </w:rPr>
            <w:t>4.3. Розроблення бізнес моделі та маркетингового плану стартап проекту............................................................................................................................................54</w:t>
          </w:r>
        </w:p>
        <w:p w14:paraId="03D477D0">
          <w:pPr>
            <w:ind w:firstLine="240" w:firstLineChars="100"/>
            <w:jc w:val="both"/>
            <w:rPr>
              <w:rFonts w:hint="default"/>
              <w:lang w:val="uk-UA"/>
            </w:rPr>
          </w:pPr>
          <w:r>
            <w:rPr>
              <w:rFonts w:hint="default"/>
              <w:lang w:val="uk-UA"/>
            </w:rPr>
            <w:t>4.4. Бізнес-модель проекту.................................................................................................55</w:t>
          </w:r>
        </w:p>
        <w:p w14:paraId="21CAC1CC">
          <w:pPr>
            <w:ind w:firstLine="240" w:firstLineChars="100"/>
            <w:jc w:val="both"/>
            <w:rPr>
              <w:rFonts w:hint="default"/>
              <w:lang w:val="uk-UA"/>
            </w:rPr>
          </w:pPr>
          <w:r>
            <w:rPr>
              <w:rFonts w:hint="default"/>
              <w:lang w:val="uk-UA"/>
            </w:rPr>
            <w:t>4.5 Фінансове обгрунтування проекту..........................................................................55</w:t>
          </w:r>
        </w:p>
        <w:p w14:paraId="69EDBFA0">
          <w:pPr>
            <w:pStyle w:val="12"/>
            <w:tabs>
              <w:tab w:val="right" w:leader="dot" w:pos="9344"/>
            </w:tabs>
            <w:jc w:val="both"/>
            <w:rPr>
              <w:rFonts w:hint="default" w:ascii="Times New Roman" w:hAnsi="Times New Roman" w:cs="Times New Roman"/>
              <w:b w:val="0"/>
              <w:bCs w:val="0"/>
              <w:i w:val="0"/>
              <w:iCs w:val="0"/>
              <w:sz w:val="28"/>
              <w:szCs w:val="28"/>
              <w:lang w:val="uk-UA"/>
            </w:rPr>
          </w:pPr>
          <w:r>
            <w:fldChar w:fldCharType="begin"/>
          </w:r>
          <w:r>
            <w:instrText xml:space="preserve"> HYPERLINK \l "_Toc185516735" </w:instrText>
          </w:r>
          <w:r>
            <w:fldChar w:fldCharType="separate"/>
          </w:r>
          <w:r>
            <w:rPr>
              <w:rStyle w:val="6"/>
              <w:rFonts w:ascii="Times New Roman" w:hAnsi="Times New Roman" w:cs="Times New Roman"/>
              <w:b w:val="0"/>
              <w:bCs w:val="0"/>
              <w:i w:val="0"/>
              <w:iCs w:val="0"/>
              <w:sz w:val="28"/>
              <w:szCs w:val="28"/>
              <w:lang w:val="uk-UA"/>
            </w:rPr>
            <w:t>ВИСНОВКИ</w:t>
          </w:r>
          <w:r>
            <w:rPr>
              <w:rFonts w:ascii="Times New Roman" w:hAnsi="Times New Roman" w:cs="Times New Roman"/>
              <w:b w:val="0"/>
              <w:bCs w:val="0"/>
              <w:i w:val="0"/>
              <w:iCs w:val="0"/>
              <w:sz w:val="28"/>
              <w:szCs w:val="28"/>
            </w:rPr>
            <w:tab/>
          </w:r>
          <w:r>
            <w:rPr>
              <w:rFonts w:hint="default" w:ascii="Times New Roman" w:hAnsi="Times New Roman" w:cs="Times New Roman"/>
              <w:b w:val="0"/>
              <w:bCs w:val="0"/>
              <w:i w:val="0"/>
              <w:iCs w:val="0"/>
              <w:sz w:val="28"/>
              <w:szCs w:val="28"/>
              <w:lang w:val="uk-UA"/>
            </w:rPr>
            <w:t>5</w:t>
          </w:r>
          <w:r>
            <w:rPr>
              <w:rFonts w:ascii="Times New Roman" w:hAnsi="Times New Roman" w:cs="Times New Roman"/>
              <w:b w:val="0"/>
              <w:bCs w:val="0"/>
              <w:i w:val="0"/>
              <w:iCs w:val="0"/>
              <w:sz w:val="28"/>
              <w:szCs w:val="28"/>
            </w:rPr>
            <w:fldChar w:fldCharType="end"/>
          </w:r>
          <w:r>
            <w:rPr>
              <w:rFonts w:hint="default" w:ascii="Times New Roman" w:hAnsi="Times New Roman" w:cs="Times New Roman"/>
              <w:b w:val="0"/>
              <w:bCs w:val="0"/>
              <w:i w:val="0"/>
              <w:iCs w:val="0"/>
              <w:sz w:val="28"/>
              <w:szCs w:val="28"/>
              <w:lang w:val="uk-UA"/>
            </w:rPr>
            <w:t>7</w:t>
          </w:r>
        </w:p>
        <w:p w14:paraId="4E0526CF">
          <w:pPr>
            <w:pStyle w:val="12"/>
            <w:tabs>
              <w:tab w:val="right" w:leader="dot" w:pos="9344"/>
            </w:tabs>
            <w:jc w:val="both"/>
            <w:rPr>
              <w:rFonts w:hint="default" w:ascii="Times New Roman" w:hAnsi="Times New Roman" w:cs="Times New Roman"/>
              <w:b w:val="0"/>
              <w:bCs w:val="0"/>
              <w:i w:val="0"/>
              <w:iCs w:val="0"/>
              <w:sz w:val="28"/>
              <w:szCs w:val="28"/>
              <w:lang w:val="uk-UA"/>
            </w:rPr>
          </w:pPr>
          <w:r>
            <w:fldChar w:fldCharType="begin"/>
          </w:r>
          <w:r>
            <w:instrText xml:space="preserve"> HYPERLINK \l "_Toc185516736" </w:instrText>
          </w:r>
          <w:r>
            <w:fldChar w:fldCharType="separate"/>
          </w:r>
          <w:r>
            <w:rPr>
              <w:rStyle w:val="6"/>
              <w:rFonts w:ascii="Times New Roman" w:hAnsi="Times New Roman" w:cs="Times New Roman"/>
              <w:b w:val="0"/>
              <w:bCs w:val="0"/>
              <w:i w:val="0"/>
              <w:iCs w:val="0"/>
              <w:sz w:val="28"/>
              <w:szCs w:val="28"/>
              <w:lang w:val="uk-UA"/>
            </w:rPr>
            <w:t>СПИСОК ВИКОРИСТАНИХ ДЖЕРЕЛ</w:t>
          </w:r>
          <w:r>
            <w:rPr>
              <w:rFonts w:ascii="Times New Roman" w:hAnsi="Times New Roman" w:cs="Times New Roman"/>
              <w:b w:val="0"/>
              <w:bCs w:val="0"/>
              <w:i w:val="0"/>
              <w:iCs w:val="0"/>
              <w:sz w:val="28"/>
              <w:szCs w:val="28"/>
            </w:rPr>
            <w:tab/>
          </w:r>
          <w:r>
            <w:rPr>
              <w:rFonts w:hint="default" w:ascii="Times New Roman" w:hAnsi="Times New Roman" w:cs="Times New Roman"/>
              <w:b w:val="0"/>
              <w:bCs w:val="0"/>
              <w:i w:val="0"/>
              <w:iCs w:val="0"/>
              <w:sz w:val="28"/>
              <w:szCs w:val="28"/>
              <w:lang w:val="uk-UA"/>
            </w:rPr>
            <w:t>5</w:t>
          </w:r>
          <w:r>
            <w:rPr>
              <w:rFonts w:ascii="Times New Roman" w:hAnsi="Times New Roman" w:cs="Times New Roman"/>
              <w:b w:val="0"/>
              <w:bCs w:val="0"/>
              <w:i w:val="0"/>
              <w:iCs w:val="0"/>
              <w:sz w:val="28"/>
              <w:szCs w:val="28"/>
            </w:rPr>
            <w:fldChar w:fldCharType="end"/>
          </w:r>
          <w:r>
            <w:rPr>
              <w:rFonts w:hint="default" w:ascii="Times New Roman" w:hAnsi="Times New Roman" w:cs="Times New Roman"/>
              <w:b w:val="0"/>
              <w:bCs w:val="0"/>
              <w:i w:val="0"/>
              <w:iCs w:val="0"/>
              <w:sz w:val="28"/>
              <w:szCs w:val="28"/>
              <w:lang w:val="uk-UA"/>
            </w:rPr>
            <w:t>8</w:t>
          </w:r>
        </w:p>
        <w:p w14:paraId="2D129CA2">
          <w:pPr>
            <w:jc w:val="both"/>
            <w:rPr>
              <w:b/>
              <w:bCs/>
            </w:rPr>
            <w:sectPr>
              <w:headerReference r:id="rId13" w:type="default"/>
              <w:pgSz w:w="11906" w:h="16838"/>
              <w:pgMar w:top="1134" w:right="851" w:bottom="1134" w:left="1701" w:header="708" w:footer="708" w:gutter="0"/>
              <w:pgNumType w:fmt="decimal"/>
              <w:cols w:space="708" w:num="1"/>
              <w:docGrid w:linePitch="360" w:charSpace="0"/>
            </w:sectPr>
          </w:pPr>
        </w:p>
        <w:p w14:paraId="762D4F36">
          <w:pPr>
            <w:jc w:val="center"/>
            <w:rPr>
              <w:b/>
              <w:bCs/>
              <w:lang w:val="zh-CN"/>
            </w:rPr>
          </w:pPr>
          <w:r>
            <w:rPr>
              <w:b/>
              <w:bCs/>
            </w:rPr>
            <w:fldChar w:fldCharType="end"/>
          </w:r>
          <w:bookmarkStart w:id="0" w:name="_Toc185516722"/>
          <w:r>
            <w:rPr>
              <w:rFonts w:hint="default" w:ascii="Times New Roman" w:hAnsi="Times New Roman" w:cs="Times New Roman"/>
              <w:b/>
              <w:bCs/>
              <w:sz w:val="28"/>
              <w:szCs w:val="28"/>
              <w:lang w:val="uk-UA"/>
            </w:rPr>
            <w:t>РЕФЕРАТ</w:t>
          </w:r>
        </w:p>
      </w:sdtContent>
    </w:sdt>
    <w:p w14:paraId="1D8950F1">
      <w:pPr>
        <w:jc w:val="both"/>
        <w:rPr>
          <w:b/>
          <w:bCs/>
          <w:lang w:val="zh-CN"/>
        </w:rPr>
      </w:pPr>
    </w:p>
    <w:p w14:paraId="3F8C3605">
      <w:pPr>
        <w:jc w:val="both"/>
        <w:rPr>
          <w:rFonts w:hint="default"/>
          <w:b/>
          <w:bCs/>
          <w:lang w:val="en-US"/>
        </w:rPr>
      </w:pPr>
    </w:p>
    <w:p w14:paraId="32037C8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дослідження полягає в розробці науково обґрунтованих рішень щодо підвищення енергоефективності системи електропостачання промислового підприємства шляхом впровадження кінетичних накопичувачів енергії.</w:t>
      </w:r>
    </w:p>
    <w:p w14:paraId="58CDB69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дослідження є процеси електропостачання та енергоспоживання промислового підприємства.</w:t>
      </w:r>
    </w:p>
    <w:p w14:paraId="1CBC84A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дослідження є методи та засоби підвищення енергоефективності системи електропостачання промислового підприємства з використанням кінетичних накопичувачів енергії.</w:t>
      </w:r>
    </w:p>
    <w:p w14:paraId="6A2FF48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поставленої мети в</w:t>
      </w:r>
      <w:r>
        <w:rPr>
          <w:rFonts w:hint="default" w:ascii="Times New Roman" w:hAnsi="Times New Roman" w:cs="Times New Roman"/>
          <w:sz w:val="28"/>
          <w:szCs w:val="28"/>
          <w:lang w:val="uk-UA"/>
        </w:rPr>
        <w:t xml:space="preserve"> магістерській дисертації було </w:t>
      </w:r>
      <w:r>
        <w:rPr>
          <w:rFonts w:ascii="Times New Roman" w:hAnsi="Times New Roman" w:cs="Times New Roman"/>
          <w:sz w:val="28"/>
          <w:szCs w:val="28"/>
          <w:lang w:val="uk-UA"/>
        </w:rPr>
        <w:t>вирішино наступні завдання:</w:t>
      </w:r>
    </w:p>
    <w:p w14:paraId="205E9DD6">
      <w:pPr>
        <w:pStyle w:val="2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аналіз існуючих методів та засобів підвищення енергоефективності систем електропостачання промислових підприємств.</w:t>
      </w:r>
    </w:p>
    <w:p w14:paraId="7143B3A1">
      <w:pPr>
        <w:pStyle w:val="2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особливості застосування кінетичних накопичувачів енергії в промисловості та визначити їх основні технічні характеристики.</w:t>
      </w:r>
    </w:p>
    <w:p w14:paraId="791CF31E">
      <w:pPr>
        <w:pStyle w:val="2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математичну модель системи електропостачання промислового підприємства з кінетичними накопичувачами енергії.</w:t>
      </w:r>
    </w:p>
    <w:p w14:paraId="5E03F7CD">
      <w:pPr>
        <w:pStyle w:val="2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створити методику розрахунку оптимальних параметрів кінетичних накопичувачів енергії для конкретного підприємства.</w:t>
      </w:r>
    </w:p>
    <w:p w14:paraId="17BDFA21">
      <w:pPr>
        <w:pStyle w:val="2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алгоритми керування роботою накопичувачів енергії в складі системи електропостачання.</w:t>
      </w:r>
    </w:p>
    <w:p w14:paraId="57607669">
      <w:pPr>
        <w:pStyle w:val="2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техніко-економічне обґрунтування запропонованих рішень та оцінити їх ефективність.</w:t>
      </w:r>
    </w:p>
    <w:p w14:paraId="53B2784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Теоретична значущість дослідження полягає в розвитку наукових основ підвищення енергоефективності промислових підприємств, розробці нових підходів до моделювання систем електропостачання з накопичувачами енергії, створенні методики оптимізації параметрів кінетичних накопичувачів.</w:t>
      </w:r>
    </w:p>
    <w:p w14:paraId="66FBAA2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Практична значущість роботи визначається можливістю використання розроблених методик та алгоритмів при проектуванні та модернізації систем електропостачання промислових підприємств. Впровадження запропонованих рішень дозволить знизити витрати на електроенергію, підвищити надійність електропостачання та покращити якість електроенергії.</w:t>
      </w:r>
    </w:p>
    <w:p w14:paraId="35CFEA3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 дослідження базуються на використанні теорії електричних кіл, методів математичного моделювання, теорії автоматичного керування, методів оптимізації. При проведенні досліджень використовувались сучасні програмні комплекси для моделювання електротехнічних систем та обробки експериментальних даних.</w:t>
      </w:r>
    </w:p>
    <w:p w14:paraId="7703C784">
      <w:pPr>
        <w:jc w:val="both"/>
        <w:rPr>
          <w:rFonts w:hint="default" w:ascii="Times New Roman" w:hAnsi="Times New Roman" w:cs="Times New Roman"/>
          <w:b w:val="0"/>
          <w:bCs w:val="0"/>
          <w:sz w:val="28"/>
          <w:szCs w:val="28"/>
          <w:lang w:val="en-US"/>
        </w:rPr>
        <w:sectPr>
          <w:headerReference r:id="rId14" w:type="default"/>
          <w:pgSz w:w="11906" w:h="16838"/>
          <w:pgMar w:top="1134" w:right="851" w:bottom="1134" w:left="1701" w:header="708" w:footer="708" w:gutter="0"/>
          <w:pgNumType w:fmt="decimal" w:start="1"/>
          <w:cols w:space="708" w:num="1"/>
          <w:docGrid w:linePitch="360" w:charSpace="0"/>
        </w:sectPr>
      </w:pPr>
      <w:r>
        <w:rPr>
          <w:rFonts w:ascii="Times New Roman" w:hAnsi="Times New Roman" w:cs="Times New Roman"/>
          <w:sz w:val="28"/>
          <w:szCs w:val="28"/>
          <w:lang w:val="uk-UA"/>
        </w:rPr>
        <w:t xml:space="preserve">Структура роботи. </w:t>
      </w:r>
      <w:r>
        <w:rPr>
          <w:rFonts w:hint="default" w:ascii="Times New Roman" w:hAnsi="Times New Roman" w:cs="Times New Roman"/>
          <w:sz w:val="28"/>
          <w:szCs w:val="28"/>
          <w:lang w:val="uk-UA"/>
        </w:rPr>
        <w:t>Магістерська дисертація</w:t>
      </w:r>
      <w:r>
        <w:rPr>
          <w:rFonts w:ascii="Times New Roman" w:hAnsi="Times New Roman" w:cs="Times New Roman"/>
          <w:sz w:val="28"/>
          <w:szCs w:val="28"/>
          <w:lang w:val="uk-UA"/>
        </w:rPr>
        <w:t xml:space="preserve"> складається зі вступу, чотирьох розділів, висновків, списку використаних джерел та додатків.</w:t>
      </w:r>
    </w:p>
    <w:p w14:paraId="34E5B520">
      <w:pPr>
        <w:pStyle w:val="2"/>
        <w:spacing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r>
        <w:rPr>
          <w:rFonts w:ascii="Times New Roman" w:hAnsi="Times New Roman" w:cs="Times New Roman"/>
          <w:b/>
          <w:bCs/>
          <w:color w:val="000000" w:themeColor="text1"/>
          <w:sz w:val="28"/>
          <w:szCs w:val="28"/>
          <w:lang w:val="uk-UA"/>
          <w14:textFill>
            <w14:solidFill>
              <w14:schemeClr w14:val="tx1"/>
            </w14:solidFill>
          </w14:textFill>
        </w:rPr>
        <w:t>ABSTRACT</w:t>
      </w:r>
    </w:p>
    <w:p w14:paraId="5C453D60">
      <w:pPr>
        <w:bidi w:val="0"/>
        <w:ind w:firstLine="708" w:firstLineChars="0"/>
        <w:jc w:val="both"/>
        <w:rPr>
          <w:rFonts w:hint="default" w:ascii="Times New Roman" w:hAnsi="Times New Roman" w:cs="Times New Roman"/>
          <w:sz w:val="28"/>
          <w:szCs w:val="28"/>
          <w:lang w:val="uk-UA" w:eastAsia="zh-CN"/>
        </w:rPr>
      </w:pPr>
      <w:r>
        <w:rPr>
          <w:rFonts w:hint="default" w:ascii="Times New Roman" w:hAnsi="Times New Roman" w:cs="Times New Roman"/>
          <w:sz w:val="28"/>
          <w:szCs w:val="28"/>
          <w:lang w:val="uk-UA" w:eastAsia="zh-CN"/>
        </w:rPr>
        <w:t>The purpose of the study is to develop scientifically based solutions to increase the energy efficiency of the power supply system of an industrial enterprise by introducing kinetic energy storage devices.</w:t>
      </w:r>
    </w:p>
    <w:p w14:paraId="3B6F25D8">
      <w:pPr>
        <w:bidi w:val="0"/>
        <w:ind w:firstLine="708" w:firstLineChars="0"/>
        <w:jc w:val="both"/>
        <w:rPr>
          <w:rFonts w:hint="default" w:ascii="Times New Roman" w:hAnsi="Times New Roman" w:cs="Times New Roman"/>
          <w:sz w:val="28"/>
          <w:szCs w:val="28"/>
          <w:lang w:val="uk-UA" w:eastAsia="zh-CN"/>
        </w:rPr>
      </w:pPr>
      <w:r>
        <w:rPr>
          <w:rFonts w:hint="default" w:ascii="Times New Roman" w:hAnsi="Times New Roman" w:cs="Times New Roman"/>
          <w:sz w:val="28"/>
          <w:szCs w:val="28"/>
          <w:lang w:val="uk-UA" w:eastAsia="zh-CN"/>
        </w:rPr>
        <w:t>The object of the study is the processes of power supply and energy consumption of an industrial enterprise.</w:t>
      </w:r>
    </w:p>
    <w:p w14:paraId="75E82CF5">
      <w:pPr>
        <w:bidi w:val="0"/>
        <w:ind w:firstLine="708" w:firstLineChars="0"/>
        <w:jc w:val="both"/>
        <w:rPr>
          <w:rFonts w:hint="default" w:ascii="Times New Roman" w:hAnsi="Times New Roman" w:cs="Times New Roman"/>
          <w:sz w:val="28"/>
          <w:szCs w:val="28"/>
          <w:lang w:val="uk-UA" w:eastAsia="zh-CN"/>
        </w:rPr>
      </w:pPr>
      <w:r>
        <w:rPr>
          <w:rFonts w:hint="default" w:ascii="Times New Roman" w:hAnsi="Times New Roman" w:cs="Times New Roman"/>
          <w:sz w:val="28"/>
          <w:szCs w:val="28"/>
          <w:lang w:val="uk-UA" w:eastAsia="zh-CN"/>
        </w:rPr>
        <w:t>The subject of the study is methods and means of increasing the energy efficiency of the power supply system of an industrial enterprise using kinetic energy storage devices.</w:t>
      </w:r>
    </w:p>
    <w:p w14:paraId="7147DD09">
      <w:pPr>
        <w:bidi w:val="0"/>
        <w:ind w:firstLine="708" w:firstLineChars="0"/>
        <w:jc w:val="both"/>
        <w:rPr>
          <w:rFonts w:hint="default" w:ascii="Times New Roman" w:hAnsi="Times New Roman" w:cs="Times New Roman"/>
          <w:sz w:val="28"/>
          <w:szCs w:val="28"/>
          <w:lang w:val="uk-UA" w:eastAsia="zh-CN"/>
        </w:rPr>
      </w:pPr>
      <w:r>
        <w:rPr>
          <w:rFonts w:hint="default" w:ascii="Times New Roman" w:hAnsi="Times New Roman" w:cs="Times New Roman"/>
          <w:sz w:val="28"/>
          <w:szCs w:val="28"/>
          <w:lang w:val="uk-UA" w:eastAsia="zh-CN"/>
        </w:rPr>
        <w:t xml:space="preserve">To achieve the set goal, the following tasks were solved in the master's thesis: </w:t>
      </w:r>
    </w:p>
    <w:p w14:paraId="4DC21051">
      <w:pPr>
        <w:numPr>
          <w:ilvl w:val="0"/>
          <w:numId w:val="3"/>
        </w:numPr>
        <w:bidi w:val="0"/>
        <w:ind w:left="420" w:leftChars="0" w:hanging="4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eastAsia="zh-CN"/>
        </w:rPr>
        <w:t xml:space="preserve">to analyze existing methods and means of increasing the energy efficiency of power supply systems of industrial enterprises. </w:t>
      </w:r>
    </w:p>
    <w:p w14:paraId="60A913FE">
      <w:pPr>
        <w:numPr>
          <w:ilvl w:val="0"/>
          <w:numId w:val="3"/>
        </w:numPr>
        <w:bidi w:val="0"/>
        <w:ind w:left="420" w:leftChars="0" w:hanging="4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eastAsia="zh-CN"/>
        </w:rPr>
        <w:t xml:space="preserve">to study the features of the application of kinetic energy storage devices in industry and determine their main technical characteristics. </w:t>
      </w:r>
    </w:p>
    <w:p w14:paraId="78A0A467">
      <w:pPr>
        <w:numPr>
          <w:ilvl w:val="0"/>
          <w:numId w:val="3"/>
        </w:numPr>
        <w:bidi w:val="0"/>
        <w:ind w:left="420" w:leftChars="0" w:hanging="4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eastAsia="zh-CN"/>
        </w:rPr>
        <w:t xml:space="preserve">to develop a mathematical model of the power supply system of an industrial enterprise with kinetic energy storage devices. </w:t>
      </w:r>
    </w:p>
    <w:p w14:paraId="388C7B67">
      <w:pPr>
        <w:numPr>
          <w:ilvl w:val="0"/>
          <w:numId w:val="3"/>
        </w:numPr>
        <w:bidi w:val="0"/>
        <w:ind w:left="420" w:leftChars="0" w:hanging="4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eastAsia="zh-CN"/>
        </w:rPr>
        <w:t xml:space="preserve">to create a methodology for calculating the optimal parameters of kinetic energy storage devices for a specific enterprise. </w:t>
      </w:r>
    </w:p>
    <w:p w14:paraId="368BAF89">
      <w:pPr>
        <w:numPr>
          <w:ilvl w:val="0"/>
          <w:numId w:val="3"/>
        </w:numPr>
        <w:bidi w:val="0"/>
        <w:ind w:left="420" w:leftChars="0" w:hanging="4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eastAsia="zh-CN"/>
        </w:rPr>
        <w:t xml:space="preserve">to develop algorithms for controlling the operation of energy storage devices as part of the power supply system. </w:t>
      </w:r>
    </w:p>
    <w:p w14:paraId="16A0D0C3">
      <w:pPr>
        <w:numPr>
          <w:ilvl w:val="0"/>
          <w:numId w:val="3"/>
        </w:numPr>
        <w:bidi w:val="0"/>
        <w:ind w:left="420" w:leftChars="0" w:hanging="4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eastAsia="zh-CN"/>
        </w:rPr>
        <w:t>to conduct a feasibility study of the proposed solutions and evaluate their effectiveness.</w:t>
      </w:r>
    </w:p>
    <w:p w14:paraId="31AD91D3">
      <w:pPr>
        <w:bidi w:val="0"/>
        <w:ind w:firstLine="708" w:firstLineChars="0"/>
        <w:jc w:val="both"/>
        <w:rPr>
          <w:rFonts w:hint="default" w:ascii="Times New Roman" w:hAnsi="Times New Roman" w:cs="Times New Roman"/>
          <w:sz w:val="28"/>
          <w:szCs w:val="28"/>
          <w:lang w:val="uk-UA" w:eastAsia="zh-CN"/>
        </w:rPr>
      </w:pPr>
      <w:r>
        <w:rPr>
          <w:rFonts w:hint="default" w:ascii="Times New Roman" w:hAnsi="Times New Roman" w:cs="Times New Roman"/>
          <w:sz w:val="28"/>
          <w:szCs w:val="28"/>
          <w:lang w:val="uk-UA" w:eastAsia="zh-CN"/>
        </w:rPr>
        <w:t>The theoretical significance of the research lies in the development of scientific foundations for increasing the energy efficiency of industrial enterprises, the development of new approaches to modeling power supply systems with energy storage, and the creation of a methodology for optimizing the parameters of kinetic storage devices.</w:t>
      </w:r>
    </w:p>
    <w:p w14:paraId="50889078">
      <w:pPr>
        <w:bidi w:val="0"/>
        <w:ind w:firstLine="708" w:firstLineChars="0"/>
        <w:jc w:val="both"/>
        <w:rPr>
          <w:rFonts w:hint="default" w:ascii="Times New Roman" w:hAnsi="Times New Roman" w:cs="Times New Roman"/>
          <w:sz w:val="28"/>
          <w:szCs w:val="28"/>
          <w:lang w:val="uk-UA" w:eastAsia="zh-CN"/>
        </w:rPr>
      </w:pPr>
      <w:r>
        <w:rPr>
          <w:rFonts w:hint="default" w:ascii="Times New Roman" w:hAnsi="Times New Roman" w:cs="Times New Roman"/>
          <w:sz w:val="28"/>
          <w:szCs w:val="28"/>
          <w:lang w:val="uk-UA" w:eastAsia="zh-CN"/>
        </w:rPr>
        <w:t>The practical significance of the work is determined by the possibility of using the developed methods and algorithms in the design and modernization of power supply systems of industrial enterprises.</w:t>
      </w:r>
    </w:p>
    <w:p w14:paraId="3D0039B3">
      <w:pPr>
        <w:bidi w:val="0"/>
        <w:ind w:firstLine="708" w:firstLineChars="0"/>
        <w:jc w:val="both"/>
        <w:rPr>
          <w:rFonts w:hint="default" w:ascii="Times New Roman" w:hAnsi="Times New Roman" w:cs="Times New Roman"/>
          <w:sz w:val="28"/>
          <w:szCs w:val="28"/>
          <w:lang w:val="uk-UA" w:eastAsia="zh-CN"/>
        </w:rPr>
      </w:pPr>
      <w:r>
        <w:rPr>
          <w:rFonts w:hint="default" w:ascii="Times New Roman" w:hAnsi="Times New Roman" w:cs="Times New Roman"/>
          <w:sz w:val="28"/>
          <w:szCs w:val="28"/>
          <w:lang w:val="uk-UA" w:eastAsia="zh-CN"/>
        </w:rPr>
        <w:t>The implementation of the proposed solutions will reduce electricity costs, increase the reliability of power supply and improve the quality of electricity.</w:t>
      </w:r>
    </w:p>
    <w:p w14:paraId="4C011831">
      <w:pPr>
        <w:bidi w:val="0"/>
        <w:ind w:firstLine="708" w:firstLineChars="0"/>
        <w:jc w:val="both"/>
        <w:rPr>
          <w:rFonts w:hint="default" w:ascii="Times New Roman" w:hAnsi="Times New Roman" w:cs="Times New Roman"/>
          <w:sz w:val="28"/>
          <w:szCs w:val="28"/>
          <w:lang w:val="uk-UA" w:eastAsia="zh-CN"/>
        </w:rPr>
      </w:pPr>
      <w:r>
        <w:rPr>
          <w:rFonts w:hint="default" w:ascii="Times New Roman" w:hAnsi="Times New Roman" w:cs="Times New Roman"/>
          <w:sz w:val="28"/>
          <w:szCs w:val="28"/>
          <w:lang w:val="uk-UA" w:eastAsia="zh-CN"/>
        </w:rPr>
        <w:t>The research methods are based on the use of the theory of electrical circuits, mathematical modeling methods, automatic control theory, and optimization methods.</w:t>
      </w:r>
    </w:p>
    <w:p w14:paraId="7E775252">
      <w:pPr>
        <w:bidi w:val="0"/>
        <w:ind w:firstLine="708" w:firstLineChars="0"/>
        <w:jc w:val="both"/>
        <w:rPr>
          <w:rFonts w:hint="default" w:ascii="Times New Roman" w:hAnsi="Times New Roman" w:cs="Times New Roman"/>
          <w:sz w:val="28"/>
          <w:szCs w:val="28"/>
          <w:lang w:val="uk-UA" w:eastAsia="zh-CN"/>
        </w:rPr>
      </w:pPr>
      <w:r>
        <w:rPr>
          <w:rFonts w:hint="default" w:ascii="Times New Roman" w:hAnsi="Times New Roman" w:cs="Times New Roman"/>
          <w:sz w:val="28"/>
          <w:szCs w:val="28"/>
          <w:lang w:val="uk-UA" w:eastAsia="zh-CN"/>
        </w:rPr>
        <w:t>Modern software packages for modeling electrical systems and processing experimental data were used in the research.</w:t>
      </w:r>
    </w:p>
    <w:p w14:paraId="18045264">
      <w:pPr>
        <w:bidi w:val="0"/>
        <w:ind w:firstLine="708" w:firstLineChars="0"/>
        <w:jc w:val="both"/>
        <w:rPr>
          <w:rFonts w:ascii="Times New Roman" w:hAnsi="Times New Roman" w:cs="Times New Roman"/>
          <w:b w:val="0"/>
          <w:bCs w:val="0"/>
          <w:color w:val="000000" w:themeColor="text1"/>
          <w:szCs w:val="28"/>
          <w:lang w:val="uk-UA" w:eastAsia="zh-CN"/>
          <w14:textFill>
            <w14:solidFill>
              <w14:schemeClr w14:val="tx1"/>
            </w14:solidFill>
          </w14:textFill>
        </w:rPr>
      </w:pPr>
      <w:r>
        <w:rPr>
          <w:rFonts w:hint="default" w:ascii="Times New Roman" w:hAnsi="Times New Roman" w:cs="Times New Roman"/>
          <w:sz w:val="28"/>
          <w:szCs w:val="28"/>
          <w:lang w:val="uk-UA" w:eastAsia="zh-CN"/>
        </w:rPr>
        <w:t>Structure of the work. The master's thesis consists of an introduction, four sections, conclusions, a list of sources used, and appendices.</w:t>
      </w:r>
      <w:r>
        <w:rPr>
          <w:rFonts w:ascii="Times New Roman" w:hAnsi="Times New Roman" w:cs="Times New Roman"/>
          <w:b w:val="0"/>
          <w:bCs w:val="0"/>
          <w:color w:val="000000" w:themeColor="text1"/>
          <w:szCs w:val="28"/>
          <w:lang w:val="uk-UA" w:eastAsia="zh-CN"/>
          <w14:textFill>
            <w14:solidFill>
              <w14:schemeClr w14:val="tx1"/>
            </w14:solidFill>
          </w14:textFill>
        </w:rPr>
        <w:t xml:space="preserve"> </w:t>
      </w:r>
    </w:p>
    <w:p w14:paraId="6BE4D343">
      <w:pPr>
        <w:bidi w:val="0"/>
        <w:ind w:firstLine="708" w:firstLineChars="0"/>
        <w:jc w:val="both"/>
        <w:rPr>
          <w:rFonts w:ascii="Times New Roman" w:hAnsi="Times New Roman" w:cs="Times New Roman"/>
          <w:b w:val="0"/>
          <w:bCs w:val="0"/>
          <w:color w:val="000000" w:themeColor="text1"/>
          <w:szCs w:val="28"/>
          <w:lang w:val="uk-UA" w:eastAsia="zh-CN"/>
          <w14:textFill>
            <w14:solidFill>
              <w14:schemeClr w14:val="tx1"/>
            </w14:solidFill>
          </w14:textFill>
        </w:rPr>
      </w:pPr>
    </w:p>
    <w:p w14:paraId="33F072FA">
      <w:pPr>
        <w:pStyle w:val="2"/>
        <w:spacing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r>
        <w:rPr>
          <w:rFonts w:ascii="Times New Roman" w:hAnsi="Times New Roman" w:cs="Times New Roman"/>
          <w:b/>
          <w:bCs/>
          <w:color w:val="000000" w:themeColor="text1"/>
          <w:sz w:val="28"/>
          <w:szCs w:val="28"/>
          <w:lang w:val="uk-UA"/>
          <w14:textFill>
            <w14:solidFill>
              <w14:schemeClr w14:val="tx1"/>
            </w14:solidFill>
          </w14:textFill>
        </w:rPr>
        <w:t>ВСТУП</w:t>
      </w:r>
      <w:bookmarkEnd w:id="0"/>
    </w:p>
    <w:p w14:paraId="1080A15A">
      <w:pPr>
        <w:spacing w:line="360" w:lineRule="auto"/>
        <w:ind w:firstLine="709"/>
        <w:jc w:val="both"/>
        <w:rPr>
          <w:rFonts w:ascii="Times New Roman" w:hAnsi="Times New Roman" w:cs="Times New Roman"/>
          <w:sz w:val="28"/>
          <w:szCs w:val="28"/>
          <w:lang w:val="uk-UA"/>
        </w:rPr>
      </w:pPr>
    </w:p>
    <w:p w14:paraId="6155F82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сучасних умовах стрімкого розвитку промисловості та зростання цін на енергоресурси питання підвищення енергоефективності промислових підприємств набуває особливої актуальності. Одним із перспективних напрямків вирішення цієї проблеми є впровадження кінетичних накопичувачів енергії, які дозволяють оптимізувати енергоспоживання та знизити пікові навантаження на електромережу.</w:t>
      </w:r>
    </w:p>
    <w:p w14:paraId="0EC9FA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Актуальність теми дослідження обумовлена необхідністю пошуку інноваційних рішень для підвищення енергоефективності промислових підприємств в умовах постійного зростання тарифів на електроенергію та посилення екологічних вимог. Використання кінетичних накопичувачів енергії представляє собою перспективний напрямок модернізації систем електропостачання, що дозволяє досягти значного економічного ефекту та підвищити надійність енергозабезпечення виробничих процесів.</w:t>
      </w:r>
    </w:p>
    <w:p w14:paraId="34A988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сучасного стану проблеми показує, що питанням підвищення енергоефективності промислових підприємств присвячено значну кількість наукових праць вітчизняних та зарубіжних дослідників. Зокрема, теоретичні основи енергоефективності досліджували Петренко В.М., Ковальчук А.О., Симоненко К.П. Питання впровадження систем накопичення енергії розглядали у своїх роботах Іванов О.С., Мельник Т.В., Smith J.R., Johnson P.K. Технічні аспекти використання кінетичних накопичувачів енергії висвітлені в працях Андрієнка П.Д., Василенко М.О., Williams R.T.</w:t>
      </w:r>
    </w:p>
    <w:p w14:paraId="625CE1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незважаючи на значний науковий доробок, проблема комплексного підходу до впровадження кінетичних накопичувачів енергії в системи електропостачання промислових підприємств залишається недостатньо дослідженою. Потребують подальшого вивчення питання оптимізації параметрів накопичувачів, розробки алгоритмів керування їх роботою та оцінки техніко-економічної ефективності їх впровадження.</w:t>
      </w:r>
    </w:p>
    <w:p w14:paraId="71D73809">
      <w:pPr>
        <w:pStyle w:val="2"/>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1" w:name="_Toc185516723"/>
      <w:r>
        <w:rPr>
          <w:rFonts w:ascii="Times New Roman" w:hAnsi="Times New Roman" w:cs="Times New Roman"/>
          <w:b/>
          <w:bCs/>
          <w:color w:val="000000" w:themeColor="text1"/>
          <w:sz w:val="28"/>
          <w:szCs w:val="28"/>
          <w:lang w:val="uk-UA"/>
          <w14:textFill>
            <w14:solidFill>
              <w14:schemeClr w14:val="tx1"/>
            </w14:solidFill>
          </w14:textFill>
        </w:rPr>
        <w:t>РОЗДІЛ 1.</w:t>
      </w:r>
      <w:r>
        <w:rPr>
          <w:rFonts w:ascii="Times New Roman" w:hAnsi="Times New Roman" w:cs="Times New Roman"/>
          <w:b/>
          <w:bCs/>
          <w:sz w:val="28"/>
          <w:szCs w:val="28"/>
        </w:rPr>
        <w:t xml:space="preserve"> </w:t>
      </w:r>
      <w:r>
        <w:rPr>
          <w:rFonts w:ascii="Times New Roman" w:hAnsi="Times New Roman" w:cs="Times New Roman"/>
          <w:b/>
          <w:bCs/>
          <w:color w:val="000000" w:themeColor="text1"/>
          <w:sz w:val="28"/>
          <w:szCs w:val="28"/>
          <w:lang w:val="uk-UA"/>
          <w14:textFill>
            <w14:solidFill>
              <w14:schemeClr w14:val="tx1"/>
            </w14:solidFill>
          </w14:textFill>
        </w:rPr>
        <w:t>ТЕОРЕТИЧНІ ОСНОВИ ПІДВИЩЕННЯ ЕНЕРГОЕФЕКТИВНОСТІ СИСТЕМ ЕЛЕКТРОПОСТАЧАННЯ ПРОМИСЛОВИХ ПІДПРИЄМСТВ</w:t>
      </w:r>
      <w:bookmarkEnd w:id="1"/>
    </w:p>
    <w:p w14:paraId="6EAA31D3">
      <w:pPr>
        <w:spacing w:line="360" w:lineRule="auto"/>
        <w:ind w:firstLine="709"/>
        <w:jc w:val="center"/>
        <w:rPr>
          <w:rFonts w:ascii="Times New Roman" w:hAnsi="Times New Roman" w:cs="Times New Roman"/>
          <w:b/>
          <w:bCs/>
          <w:sz w:val="28"/>
          <w:szCs w:val="28"/>
          <w:lang w:val="uk-UA"/>
        </w:rPr>
      </w:pPr>
    </w:p>
    <w:p w14:paraId="3AEC33DF">
      <w:pPr>
        <w:pStyle w:val="3"/>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2" w:name="_Toc185516724"/>
      <w:r>
        <w:rPr>
          <w:rFonts w:ascii="Times New Roman" w:hAnsi="Times New Roman" w:cs="Times New Roman"/>
          <w:b/>
          <w:bCs/>
          <w:color w:val="000000" w:themeColor="text1"/>
          <w:sz w:val="28"/>
          <w:szCs w:val="28"/>
          <w:lang w:val="uk-UA"/>
          <w14:textFill>
            <w14:solidFill>
              <w14:schemeClr w14:val="tx1"/>
            </w14:solidFill>
          </w14:textFill>
        </w:rPr>
        <w:t>1.1. Сучасні підходи до організації енергоефективного електропостачання промислових підприємств</w:t>
      </w:r>
      <w:bookmarkEnd w:id="2"/>
    </w:p>
    <w:p w14:paraId="27AFB529">
      <w:pPr>
        <w:spacing w:line="360" w:lineRule="auto"/>
        <w:ind w:firstLine="709"/>
        <w:jc w:val="both"/>
        <w:rPr>
          <w:rFonts w:ascii="Times New Roman" w:hAnsi="Times New Roman" w:cs="Times New Roman"/>
          <w:sz w:val="28"/>
          <w:szCs w:val="28"/>
          <w:lang w:val="uk-UA"/>
        </w:rPr>
      </w:pPr>
    </w:p>
    <w:p w14:paraId="61624A3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сучасних умовах розвитку промисловості питання організації енергоефективного електропостачання підприємств набуває особливої актуальності. Це обумовлено постійним зростанням тарифів на електроенергію, посиленням екологічних вимог та необхідністю підвищення конкурентоспроможності продукції. В даному розділі розглянемо основні сучасні підходи до вирішення цієї проблеми.</w:t>
      </w:r>
    </w:p>
    <w:p w14:paraId="36DDEB82">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Енергоефективне електропостачання промислового підприємства представляє собою комплексну систему технічних, організаційних та економічних заходів, спрямованих на оптимізацію споживання електроенергії при забезпеченні необхідної якості та надійності електропостачання технологічних процесів. Основними напрямками підвищення енергоефективності є модернізація електрообладнання, впровадження систем енергетичного менеджменту, оптимізація режимів електроспоживання та використання сучасних технологій накопичення енергії. </w:t>
      </w:r>
      <w:r>
        <w:rPr>
          <w:rFonts w:ascii="Times New Roman" w:hAnsi="Times New Roman" w:cs="Times New Roman"/>
          <w:sz w:val="28"/>
          <w:szCs w:val="28"/>
          <w:lang w:val="en-US"/>
        </w:rPr>
        <w:t>[1]</w:t>
      </w:r>
    </w:p>
    <w:p w14:paraId="113CFA7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Модернізація електрообладнання передбачає заміну застарілих енергоємних пристроїв на сучасні енергоефективні аналоги. Значний потенціал економії електроенергії міститься в системах електроприводу, які споживають до 60-70% всієї електроенергії промислового підприємства. Впровадження частотно-регульованих приводів дозволяє знизити споживання електроенергії на 20-50% залежно від характеру навантаження. Важливим напрямком є також модернізація систем освітлення з використанням світлодіодних джерел світла, що забезпечує зниження споживання електроенергії на освітлення в 2-3 рази.</w:t>
      </w:r>
    </w:p>
    <w:p w14:paraId="769FBC2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Системи енергетичного менеджменту є невід'ємною складовою сучасного енергоефективного підприємства. Вони забезпечують постійний моніторинг та аналіз показників електроспоживання, виявлення потенціалу економії та розробку заходів з підвищення енергоефективності. Важливим елементом є автоматизовані системи контролю та обліку електроенергії (АСКОЕ), які дозволяють отримувати детальну інформацію про режими електроспоживання в реальному часі.</w:t>
      </w:r>
    </w:p>
    <w:p w14:paraId="1D777D9B">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Оптимізація режимів електроспоживання спрямована на зниження пікових навантажень та вирівнювання графіка споживання електроенергії. Це досягається шляхом перенесення енергоємних технологічних процесів на періоди мінімальних навантажень енергосистеми, впровадження автоматизованих систем управління електроспоживанням, використання накопичувачів енергії різних типів.</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[2]</w:t>
      </w:r>
    </w:p>
    <w:p w14:paraId="009BF37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Сучасні технології накопичення енергії відіграють все більшу роль в забезпеченні енергоефективності промислових підприємств. Вони дозволяють накопичувати енергію в періоди низьких тарифів та використовувати її під час пікових навантажень, забезпечують безперебійне живлення відповідальних споживачів, компенсують короткочасні порушення якості електроенергії.</w:t>
      </w:r>
    </w:p>
    <w:p w14:paraId="2A03D79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напрямком підвищення енергоефективності є впровадження розосередженої генерації на базі відновлюваних джерел енергії. Сонячні електростанції, вітрогенератори та інші альтернативні джерела дозволяють знизити залежність підприємства від централізованого електропостачання та зменшити витрати на електроенергію.</w:t>
      </w:r>
    </w:p>
    <w:p w14:paraId="06F6057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Компенсація реактивної потужності залишається одним з найбільш ефективних заходів зниження втрат електроенергії. Сучасні установки компенсації реактивної потужності забезпечують автоматичне регулювання відповідно до режиму навантаження та дозволяють знизити втрати електроенергії на 5-10%.</w:t>
      </w:r>
    </w:p>
    <w:p w14:paraId="42CCBD21">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Підвищення якості електроенергії є важливою складовою енергоефективного електропостачання. Сучасні технічні засоби, такі як активні фільтри гармонік, статичні компенсатори, динамічні компенсатори спотворень напруги дозволяють забезпечити відповідність показників якості електроенергії нормативним вимогам та знизити втрати від неякісної електроенергії. </w:t>
      </w:r>
      <w:r>
        <w:rPr>
          <w:rFonts w:ascii="Times New Roman" w:hAnsi="Times New Roman" w:cs="Times New Roman"/>
          <w:sz w:val="28"/>
          <w:szCs w:val="28"/>
          <w:lang w:val="en-US"/>
        </w:rPr>
        <w:t>[3]</w:t>
      </w:r>
    </w:p>
    <w:p w14:paraId="30FAF0A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Системи моніторингу та діагностики електрообладнання забезпечують своєчасне виявлення дефектів та запобігання аварійним ситуаціям. Використання сучасних методів технічної діагностики, таких як тепловізійний контроль, аналіз часткових розрядів, вібродіагностика дозволяє оптимізувати витрати на технічне обслуговування та ремонти.</w:t>
      </w:r>
    </w:p>
    <w:p w14:paraId="2762081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аспектом енергоефективного електропостачання є впровадження інтелектуальних систем управління на базі концепції Smart Grid. Такі системи забезпечують оптимальне управління режимами роботи електрообладнання, автоматичну реакцію на зміну умов роботи, прогнозування та запобігання аварійним ситуаціям.</w:t>
      </w:r>
    </w:p>
    <w:p w14:paraId="403345E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Системний підхід до організації енергоефективного електропостачання передбачає комплексне впровадження зазначених заходів з урахуванням їх взаємного впливу та техніко-економічної доцільності. При цьому важливо забезпечити правильний вибір пріоритетних напрямків та послідовність реалізації заходів.</w:t>
      </w:r>
    </w:p>
    <w:p w14:paraId="4328866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Організаційні аспекти відіграють важливу роль в забезпеченні енергоефективності. Необхідно створити ефективну систему мотивації персоналу до енергозбереження, забезпечити навчання та підвищення кваліфікації працівників, розробити та впровадити систему енергетичного менеджменту відповідно до вимог міжнародного стандарту ISO 50001.</w:t>
      </w:r>
    </w:p>
    <w:p w14:paraId="621CA94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Економічні механізми стимулювання енергоефективності включають використання диференційованих тарифів на електроенергію, впровадження системи енергосервісних контрактів, залучення інвестицій через механізми державно-приватного партнерства. Важливим є також використання можливостей державної підтримки та міжнародних програм фінансування проектів енергоефективності.</w:t>
      </w:r>
    </w:p>
    <w:p w14:paraId="10A972C7">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Нормативно-правове забезпечення енергоефективного електропостачання базується на вимогах національних та міжнародних стандартів, технічних регламентів та інших нормативних документів. Важливим є також розробка внутрішніх стандартів підприємства в сфері енергоефективності.</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[4]</w:t>
      </w:r>
    </w:p>
    <w:p w14:paraId="587C265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Інформаційне забезпечення процесів управління енергоефективністю реалізується на базі сучасних інформаційних технологій. Використання спеціалізованого програмного забезпечення дозволяє автоматизувати процеси збору та аналізу даних про електроспоживання, формування звітності, планування та контролю виконання заходів з енергозбереження.</w:t>
      </w:r>
    </w:p>
    <w:p w14:paraId="7873E83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Математичне моделювання режимів роботи системи електропостачання дозволяє оптимізувати її параметри та режими роботи. Сучасні програмні комплекси забезпечують можливість детального аналізу усталених та перехідних режимів, оцінки ефективності різних варіантів модернізації системи електропостачання.</w:t>
      </w:r>
    </w:p>
    <w:p w14:paraId="0892A3F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напрямком є також впровадження сучасних методів прогнозування електроспоживання на базі технологій машинного навчання та штучного інтелекту. Це дозволяє підвищити точність планування режимів роботи та оптимізувати управління системою електропостачання.</w:t>
      </w:r>
    </w:p>
    <w:p w14:paraId="795CA1F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Забезпечення надійності електропостачання залишається одним з ключових завдань. Сучасні підходи передбачають використання надійного електрообладнання, впровадження систем автоматичного включення резерву, застосування джерел безперебійного живлення та накопичувачів енергії.</w:t>
      </w:r>
    </w:p>
    <w:p w14:paraId="54BD4F9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Екологічні аспекти енергоефективного електропостачання включають зниження викидів парникових газів за рахунок економії електроенергії, використання екологічно безпечного обладнання, proper утилізацію відпрацьованого електрообладнання та матеріалів.</w:t>
      </w:r>
    </w:p>
    <w:p w14:paraId="79989AD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Перспективним напрямком є інтеграція систем електропостачання промислових підприємств з локальними енергетичними системами на базі концепції microgrid. Це дозволяє підвищити надійність електропостачання, оптимізувати режими роботи та знизити витрати на електроенергію.</w:t>
      </w:r>
    </w:p>
    <w:p w14:paraId="113822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аспектом є також забезпечення кібербезпеки систем управління електропостачанням. Сучасні підходи передбачають використання захищених протоколів передачі даних, систем виявлення та запобігання кібератакам, регулярний аудит безпеки.</w:t>
      </w:r>
    </w:p>
    <w:p w14:paraId="5CF029C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Міжнародний досвід показує високу ефективність впровадження описаних підходів до організації енергоефективного електропостачання. За даними досліджень, комплексна реалізація заходів з підвищення енергоефективності дозволяє знизити споживання електроенергії на 20-40%.</w:t>
      </w:r>
    </w:p>
    <w:p w14:paraId="67058A8A">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Економічний ефект від впровадження енергоефективних технологій досягається за рахунок зниження витрат на електроенергію, зменшення втрат від низької якості електроенергії, оптимізації витрат на технічне обслуговування та ремонти обладнання. Додатковий ефект забезпечується за рахунок підвищення надійності електропостачання та зниження ризиків простоїв виробництва. </w:t>
      </w:r>
      <w:r>
        <w:rPr>
          <w:rFonts w:ascii="Times New Roman" w:hAnsi="Times New Roman" w:cs="Times New Roman"/>
          <w:sz w:val="28"/>
          <w:szCs w:val="28"/>
          <w:lang w:val="en-US"/>
        </w:rPr>
        <w:t>[5]</w:t>
      </w:r>
    </w:p>
    <w:p w14:paraId="1FA578F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Соціальний ефект проявляється у покращенні умов праці персоналу, підвищенні рівня безпеки виробництва, створенні нових робочих місць в сфері енергоефективних технологій. Важливим є також підвищення рівня кваліфікації персоналу та формування культури енергозбереження.</w:t>
      </w:r>
    </w:p>
    <w:p w14:paraId="37E45DA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Сучасні тенденції розвитку систем електропостачання промислових підприємств характеризуються активним впровадженням цифрових технологій та елементів концепції Smart Grid. Це дозволяє оптимізувати режими роботи електрообладнання та підвищити ефективність використання енергетичних ресурсів.</w:t>
      </w:r>
    </w:p>
    <w:p w14:paraId="7D90E2E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Інтелектуалізація систем електропостачання передбачає використання сучасних систем моніторингу та управління, що забезпечують збір та аналіз даних про режими роботи обладнання в реальному часі. Важливим елементом є впровадження предиктивної аналітики, що дозволяє прогнозувати можливі несправності та планувати профілактичні заходи.</w:t>
      </w:r>
    </w:p>
    <w:p w14:paraId="5EC08A3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Значний потенціал підвищення енергоефективності міститься у впровадженні систем управління попитом на електроенергію (Demand Response). Це дозволяє оптимізувати графік електроспоживання шляхом зміни режимів роботи обладнання відповідно до сигналів від енергосистеми.</w:t>
      </w:r>
    </w:p>
    <w:p w14:paraId="6F0D31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з перспективних напрямків є впровадження віртуальних електростанцій (Virtual Power Plant), що об'єднують розосереджені джерела генерації, накопичувачі енергії та регульоване навантаження. Це дозволяє підвищити ефективність використання власних енергетичних ресурсів підприємства.</w:t>
      </w:r>
    </w:p>
    <w:p w14:paraId="0B5C71C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аспектом є забезпечення кібербезпеки систем електропостачання. Впровадження цифрових технологій вимагає створення надійної системи захисту від кіберзагроз, що включає як технічні засоби, так і організаційні заходи.</w:t>
      </w:r>
    </w:p>
    <w:p w14:paraId="6B281C1A">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Розвиток технологій накопичення енергії відкриває нові можливості для оптимізації режимів роботи систем електропостачання. Крім традиційних акумуляторних батарей, все більше застосування знаходять суперконденсатори, кінетичні накопичувачі енергії та інші перспективні технології. </w:t>
      </w:r>
      <w:r>
        <w:rPr>
          <w:rFonts w:ascii="Times New Roman" w:hAnsi="Times New Roman" w:cs="Times New Roman"/>
          <w:sz w:val="28"/>
          <w:szCs w:val="28"/>
          <w:lang w:val="en-US"/>
        </w:rPr>
        <w:t>[6]</w:t>
      </w:r>
    </w:p>
    <w:p w14:paraId="6C194AA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Підвищення надійності електропостачання залишається одним з ключових завдань. Сучасні підходи передбачають впровадження автоматизованих систем діагностики обладнання, використання резервних джерел живлення та систем автоматичного введення резерву.</w:t>
      </w:r>
    </w:p>
    <w:p w14:paraId="7F81AD2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Економія електроенергії досягається не тільки за рахунок впровадження енергоефективного обладнання, але й шляхом оптимізації режимів його роботи. Важливу роль відіграють системи енергетичного менеджменту, що забезпечують постійний контроль та аналіз показників енергоефективності.</w:t>
      </w:r>
    </w:p>
    <w:p w14:paraId="51B010D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Розвиток відновлюваних джерел енергії та їх інтеграція в системи електропостачання промислових підприємств є важливим напрямком підвищення енергоефективності. Це дозволяє знизити залежність від централізованого електропостачання та зменшити витрати на електроенергію.</w:t>
      </w:r>
    </w:p>
    <w:p w14:paraId="506ED8B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Автоматизація систем електропостачання забезпечує оптимальне управління режимами роботи обладнання та мінімізацію втрат електроенергії. Використання сучасних мікропроцесорних пристроїв та програмного забезпечення дозволяє реалізувати складні алгоритми управління.</w:t>
      </w:r>
    </w:p>
    <w:p w14:paraId="5904237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аспектом є також забезпечення якості електроенергії. Сучасні технічні засоби дозволяють ефективно компенсувати різні види порушень якості електроенергії, що призводить до зниження втрат та підвищення надійності роботи обладнання.</w:t>
      </w:r>
    </w:p>
    <w:p w14:paraId="65551E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Системний підхід до організації енергоефективного електропостачання передбачає комплексне впровадження різних заходів з урахуванням їх взаємного впливу. Важливо забезпечити правильний вибір пріоритетних напрямків та послідовність реалізації заходів.</w:t>
      </w:r>
    </w:p>
    <w:p w14:paraId="4D33B6D0">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Таким чином, сучасні підходи до організації енергоефективного електропостачання промислових підприємств базуються на комплексному впровадженні технічних, організаційних та економічних заходів. Ключовими напрямками є модернізація електрообладнання, впровадження систем енергетичного менеджменту, оптимізація режимів електроспоживання та використання сучасних технологій накопичення енергії. Успішна реалізація цих заходів дозволяє досягти значного економічного ефекту та забезпечити сталий розвиток підприємства.</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[7]</w:t>
      </w:r>
    </w:p>
    <w:p w14:paraId="5E7CC58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Подальший розвиток систем енергоефективного електропостачання пов'язаний з впровадженням технологій Smart Grid, розширенням використання відновлюваних джерел енергії, вдосконаленням методів управління на базі штучного інтелекту. Важливим є також розвиток нормативно-правової бази та механізмів економічного стимулювання енергоефективності.</w:t>
      </w:r>
    </w:p>
    <w:p w14:paraId="799B4DF0">
      <w:pPr>
        <w:spacing w:line="360" w:lineRule="auto"/>
        <w:ind w:firstLine="709"/>
        <w:jc w:val="both"/>
        <w:rPr>
          <w:rFonts w:ascii="Times New Roman" w:hAnsi="Times New Roman" w:cs="Times New Roman"/>
          <w:sz w:val="28"/>
          <w:szCs w:val="28"/>
        </w:rPr>
      </w:pPr>
    </w:p>
    <w:p w14:paraId="19E3CFF8">
      <w:pPr>
        <w:pStyle w:val="3"/>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3" w:name="_Toc185516725"/>
      <w:r>
        <w:rPr>
          <w:rFonts w:ascii="Times New Roman" w:hAnsi="Times New Roman" w:cs="Times New Roman"/>
          <w:b/>
          <w:bCs/>
          <w:color w:val="000000" w:themeColor="text1"/>
          <w:sz w:val="28"/>
          <w:szCs w:val="28"/>
          <w:lang w:val="uk-UA"/>
          <w14:textFill>
            <w14:solidFill>
              <w14:schemeClr w14:val="tx1"/>
            </w14:solidFill>
          </w14:textFill>
        </w:rPr>
        <w:t>1.2. Аналіз технологій накопичення енергії та їх застосування в промисловості</w:t>
      </w:r>
      <w:bookmarkEnd w:id="3"/>
    </w:p>
    <w:p w14:paraId="62FFC9A6">
      <w:pPr>
        <w:spacing w:line="360" w:lineRule="auto"/>
        <w:ind w:firstLine="709"/>
        <w:jc w:val="both"/>
        <w:rPr>
          <w:rFonts w:ascii="Times New Roman" w:hAnsi="Times New Roman" w:cs="Times New Roman"/>
          <w:sz w:val="28"/>
          <w:szCs w:val="28"/>
          <w:lang w:val="uk-UA"/>
        </w:rPr>
      </w:pPr>
    </w:p>
    <w:p w14:paraId="686C9EC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сучасних умовах розвитку промисловості технології накопичення енергії відіграють все більш важливу роль у забезпеченні ефективного та надійного електропостачання підприємств. Системи накопичення енергії дозволяють вирішувати широкий спектр завдань, від компенсації короткочасних порушень електропостачання до оптимізації добових графіків навантаження.</w:t>
      </w:r>
    </w:p>
    <w:p w14:paraId="77BA112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Електрохімічні акумулятори залишаються найбільш поширеним типом накопичувачів енергії. Свинцево-кислотні акумулятори, незважаючи на відносно низькі питомі характеристики, широко використовуються в системах безперебійного живлення завдяки їх надійності та невисокій вартості. Сучасні технології виробництва дозволили значно збільшити термін служби таких акумуляторів та покращити їх експлуатаційні характеристики.</w:t>
      </w:r>
    </w:p>
    <w:p w14:paraId="711251F3">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Літій-іонні акумулятори набувають все більшого поширення в промислових системах накопичення енергії завдяки їх високим питомим характеристикам та тривалому терміну служби. Основними перевагами літій-іонних акумуляторів є висока енергетична щільність, низький саморозряд, відсутність ефекту пам'яті. Проте їх застосування обмежується відносно високою вартістю та необхідністю складних систем управління для забезпечення безпечної експлуатації. </w:t>
      </w:r>
      <w:r>
        <w:rPr>
          <w:rFonts w:ascii="Times New Roman" w:hAnsi="Times New Roman" w:cs="Times New Roman"/>
          <w:sz w:val="28"/>
          <w:szCs w:val="28"/>
          <w:lang w:val="en-US"/>
        </w:rPr>
        <w:t>[8]</w:t>
      </w:r>
    </w:p>
    <w:p w14:paraId="365F5A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Натрій-сірчані акумулятори представляють перспективну технологію для створення потужних стаціонарних систем накопичення енергії. Вони характеризуються високою енергетичною щільністю, тривалим терміном служби та відносно низькою вартістю матеріалів. Однак необхідність підтримання високої робочої температури (близько 300°C) ускладнює їх експлуатацію.</w:t>
      </w:r>
    </w:p>
    <w:p w14:paraId="55010AE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Проточні редокс-акумулятори є перспективною технологією для створення масштабних систем накопичення енергії. Їх основною перевагою є можливість незалежного масштабування потужності та енергоємності системи. Найбільш розповсюдженими є ванадієві редокс-акумулятори, які демонструють високу надійність та тривалий термін служби.</w:t>
      </w:r>
    </w:p>
    <w:p w14:paraId="79A928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Суперконденсатори знаходять все більше застосування в промислових системах накопичення енергії завдяки їх здатності забезпечувати високі пікові потужності та практично необмежену кількість циклів заряду-розряду. Вони ефективно використовуються для компенсації короткочасних порушень якості електроенергії та забезпечення пікових навантажень.</w:t>
      </w:r>
    </w:p>
    <w:p w14:paraId="4622A3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Кінетичні накопичувачі енергії (маховики) представляють особливий інтерес для промислового застосування завдяки їх високій питомій потужності, тривалому терміну служби та екологічності. Сучасні високошвидкісні маховики з магнітними підшипниками та вакуумною камерою забезпечують високий ККД та мінімальні втрати на холостому ході.</w:t>
      </w:r>
    </w:p>
    <w:p w14:paraId="4C5CB4F6">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Гідроакумулюючі електростанції (ГАЕС) залишаються найбільш масштабним способом накопичення енергії, проте їх застосування обмежується специфічними вимогами до місця розташування та значними капітальними витратами. В промисловості можливе використання малих ГАЕС для оптимізації добових графіків навантаження.</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[9]</w:t>
      </w:r>
    </w:p>
    <w:p w14:paraId="2A09BD3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Пневматичні системи накопичення енергії базуються на стисненні повітря в підземних резервуарах або спеціальних ємностях. Вони характеризуються відносно низькою вартістю зберігання енергії, але мають обмежений ККД через втрати при перетворенні енергії.</w:t>
      </w:r>
    </w:p>
    <w:p w14:paraId="1BBAAE8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Теплові накопичувачі енергії знаходять застосування в промисловості для утилізації надлишкового тепла та оптимізації роботи систем теплопостачання. Сучасні технології дозволяють ефективно зберігати теплову енергію з використанням матеріалів з фазовим переходом та термохімічних процесів.</w:t>
      </w:r>
    </w:p>
    <w:p w14:paraId="4A6B4AB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аспектом впровадження систем накопичення енергії є вибір оптимальної технології для конкретного застосування. Основними критеріями вибору є: необхідна потужність та енергоємність, швидкодія, кількість циклів заряду-розряду, термін служби, вартість життєвого циклу, вимоги до умов експлуатації.</w:t>
      </w:r>
    </w:p>
    <w:p w14:paraId="07DF312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Системи управління накопичувачами енергії відіграють ключову роль у забезпеченні їх ефективної роботи. Сучасні системи управління базуються на використанні мікропроцесорних контролерів та забезпечують оптимальні режими заряду-розряду, захист від аварійних режимів, моніторинг стану та діагностику несправностей.</w:t>
      </w:r>
    </w:p>
    <w:p w14:paraId="22E162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Інтеграція накопичувачів енергії в системи електропостачання промислових підприємств вимагає вирішення ряду технічних питань, таких як вибір схеми підключення, забезпечення електромагнітної сумісності, організація захисту та автоматики. Важливим є також забезпечення надійного охолодження та вентиляції приміщень з накопичувачами.</w:t>
      </w:r>
    </w:p>
    <w:p w14:paraId="0AFAE80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Економічна ефективність впровадження систем накопичення енергії залежить від багатьох факторів, включаючи тарифи на електроенергію, характер навантаження, вартість обладнання та його обслуговування. Важливим є проведення детального техніко-економічного аналізу з урахуванням всіх складових витрат та вигод.</w:t>
      </w:r>
    </w:p>
    <w:p w14:paraId="0989A5C7">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Перспективні напрямки розвитку технологій накопичення енергії включають вдосконалення існуючих та розробку нових типів акумуляторів, підвищення питомих характеристик та зниження вартості накопичувачів, розробку більш ефективних систем управління. Значна увага приділяється також питанням утилізації відпрацьованих накопичувачів та зниження їх впливу на навколишнє середовище.</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[10]</w:t>
      </w:r>
    </w:p>
    <w:p w14:paraId="5ACF6DA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Гібридні системи накопичення енергії, що поєднують різні технології, дозволяють оптимально використовувати переваги кожного типу накопичувачів. Наприклад, комбінація акумуляторів та суперконденсаторів забезпечує як високу енергоємність, так і здатність витримувати значні пікові навантаження.</w:t>
      </w:r>
    </w:p>
    <w:p w14:paraId="438CD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Стандартизація та сертифікація систем накопичення енергії є важливим аспектом їх впровадження в промисловості. Міжнародні та національні стандарти визначають вимоги до безпеки, технічних характеристик та методів випробувань накопичувачів різних типів.</w:t>
      </w:r>
    </w:p>
    <w:p w14:paraId="0481D8B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Досвід експлуатації систем накопичення енергії в промисловості показує їх високу ефективність при правильному виборі технології та грамотній експлуатації. Основними сферами застосування є: забезпечення безперебійного живлення відповідальних споживачів, компенсація пікових навантажень, підвищення якості електроенергії.</w:t>
      </w:r>
    </w:p>
    <w:p w14:paraId="5AE2EAD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аспектом є також інтеграція систем накопичення енергії з відновлюваними джерелами енергії. Це дозволяє ефективно використовувати енергію сонця та вітру, компенсуючи їх нестабільний характер генерації. В промисловості такі комбіновані системи можуть забезпечувати значну економію витрат на електроенергію.</w:t>
      </w:r>
    </w:p>
    <w:p w14:paraId="185EB14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Математичне моделювання режимів роботи накопичувачів енергії дозволяє оптимізувати їх параметри та режими роботи. Сучасні програмні комплекси забезпечують можливість детального аналізу електромагнітних та теплових процесів, оцінки ефективності різних алгоритмів управління.</w:t>
      </w:r>
    </w:p>
    <w:p w14:paraId="34B7C3DF">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Питання надійності систем накопичення енергії є критично важливим для промислового застосування. Необхідно забезпечити як надійність самих накопичувачів, так і систем їх управління та допоміжного обладнання. Важливим є також розробка систем резервування та планів дій при аварійних ситуаціях.</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[11]</w:t>
      </w:r>
    </w:p>
    <w:p w14:paraId="04A3E8B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Екологічні аспекти використання накопичувачів енергії включають оцінку їх впливу на навколишнє середовище протягом всього життєвого циклу, від виробництва до утилізації. Особлива увага приділяється безпечній утилізації хімічних джерел струму та мінімізації відходів.</w:t>
      </w:r>
    </w:p>
    <w:p w14:paraId="341AF89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Економічні механізми стимулювання впровадження систем накопичення енергії включають державну підтримку, пільгові кредити, можливість участі в програмах управління попитом на електроенергію. Важливим є також розвиток ринку послуг з накопичення енергії.</w:t>
      </w:r>
    </w:p>
    <w:p w14:paraId="3A660A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Навчання персоналу є важливою складовою успішного впровадження систем накопичення енергії. Необхідно забезпечити підготовку фахівців з проектування, монтажу та обслуговування накопичувачів різних типів, а також навчання оперативного персоналу правилам їх безпечної експлуатації.</w:t>
      </w:r>
    </w:p>
    <w:p w14:paraId="2872C1B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Системи моніторингу та діагностики стану накопичувачів енергії забезпечують їх надійну та ефективну роботу. Сучасні системи дозволяють відслідковувати ключові параметри в реальному часі, прогнозувати залишковий ресурс та планувати технічне обслуговування.</w:t>
      </w:r>
    </w:p>
    <w:p w14:paraId="36EDC5D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Міжнародний досвід показує стрімке зростання застосування систем накопичення енергії в промисловості. За прогнозами експертів, ця тенденція збережеться в найближчі роки завдяки зниженню вартості технологій та посиленню вимог до енергоефективності.</w:t>
      </w:r>
    </w:p>
    <w:p w14:paraId="68F3D37E">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Таким чином, сучасні технології накопичення енергії надають широкі можливості для підвищення ефективності електропостачання промислових підприємств. Правильний вибір типу накопичувача та грамотна організація його експлуатації дозволяють досягти значного економічного ефекту при забезпеченні високої надійності електропостачання. </w:t>
      </w:r>
      <w:r>
        <w:rPr>
          <w:rFonts w:ascii="Times New Roman" w:hAnsi="Times New Roman" w:cs="Times New Roman"/>
          <w:sz w:val="28"/>
          <w:szCs w:val="28"/>
          <w:lang w:val="en-US"/>
        </w:rPr>
        <w:t>[12]</w:t>
      </w:r>
    </w:p>
    <w:p w14:paraId="3F27A74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Подальший розвиток технологій накопичення енергії пов'язаний з вдосконаленням існуючих та розробкою нових типів накопичувачів, підвищенням їх питомих характеристик та зниженням вартості. Важливим напрямком є також розвиток систем управління на базі технологій штучного інтелекту та розширення сфер застосування накопичувачів в промисловості.</w:t>
      </w:r>
    </w:p>
    <w:p w14:paraId="75F4F275">
      <w:pPr>
        <w:spacing w:line="360" w:lineRule="auto"/>
        <w:jc w:val="both"/>
        <w:rPr>
          <w:rFonts w:ascii="Times New Roman" w:hAnsi="Times New Roman" w:cs="Times New Roman"/>
          <w:sz w:val="28"/>
          <w:szCs w:val="28"/>
          <w:lang w:val="uk-UA"/>
        </w:rPr>
      </w:pPr>
    </w:p>
    <w:p w14:paraId="6D57C77C">
      <w:pPr>
        <w:spacing w:line="360" w:lineRule="auto"/>
        <w:jc w:val="both"/>
        <w:rPr>
          <w:rFonts w:ascii="Times New Roman" w:hAnsi="Times New Roman" w:cs="Times New Roman"/>
          <w:sz w:val="28"/>
          <w:szCs w:val="28"/>
          <w:lang w:val="uk-UA"/>
        </w:rPr>
      </w:pPr>
    </w:p>
    <w:p w14:paraId="136671AF">
      <w:pPr>
        <w:pStyle w:val="3"/>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4" w:name="_Toc185516726"/>
      <w:r>
        <w:rPr>
          <w:rFonts w:ascii="Times New Roman" w:hAnsi="Times New Roman" w:cs="Times New Roman"/>
          <w:b/>
          <w:bCs/>
          <w:color w:val="000000" w:themeColor="text1"/>
          <w:sz w:val="28"/>
          <w:szCs w:val="28"/>
          <w:lang w:val="uk-UA"/>
          <w14:textFill>
            <w14:solidFill>
              <w14:schemeClr w14:val="tx1"/>
            </w14:solidFill>
          </w14:textFill>
        </w:rPr>
        <w:t>1.3. Особливості використання кінетичних накопичувачів енергії в системах електропостачання</w:t>
      </w:r>
      <w:bookmarkEnd w:id="4"/>
    </w:p>
    <w:p w14:paraId="3DA5CE34">
      <w:pPr>
        <w:spacing w:line="360" w:lineRule="auto"/>
        <w:ind w:firstLine="709"/>
        <w:jc w:val="both"/>
        <w:rPr>
          <w:rFonts w:ascii="Times New Roman" w:hAnsi="Times New Roman" w:cs="Times New Roman"/>
          <w:sz w:val="28"/>
          <w:szCs w:val="28"/>
          <w:lang w:val="uk-UA"/>
        </w:rPr>
      </w:pPr>
    </w:p>
    <w:p w14:paraId="10716B2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Кінетичні накопичувачі енергії (КНЕ) представляють собою високотехнологічні пристрої, що дозволяють накопичувати енергію в механічній формі за рахунок обертання масивного маховика. В сучасних системах електропостачання КНЕ знаходять все більше застосування завдяки їх унікальним технічним характеристикам та експлуатаційним перевагам.</w:t>
      </w:r>
    </w:p>
    <w:p w14:paraId="371ACE1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Принцип роботи кінетичного накопичувача енергії базується на перетворенні електричної енергії в кінетичну енергію обертового маховика при заряді та зворотному перетворенні при розряді. Основними компонентами КНЕ є маховик, електрична машина, що працює в режимах двигуна та генератора, підшипникова система, вакуумна камера та система управління.</w:t>
      </w:r>
    </w:p>
    <w:p w14:paraId="75F3ABE0">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Конструктивні особливості сучасних КНЕ характеризуються використанням високоміцних композитних матеріалів для виготовлення маховиків, що дозволяє досягти високих швидкостей обертання (до 60000 об/хв) та відповідно високої питомої енергоємності. Застосування магнітних підшипників забезпечує практично безконтактне обертання маховика, мінімізуючи механічні втрати. </w:t>
      </w:r>
      <w:r>
        <w:rPr>
          <w:rFonts w:ascii="Times New Roman" w:hAnsi="Times New Roman" w:cs="Times New Roman"/>
          <w:sz w:val="28"/>
          <w:szCs w:val="28"/>
          <w:lang w:val="en-US"/>
        </w:rPr>
        <w:t>[13]</w:t>
      </w:r>
    </w:p>
    <w:p w14:paraId="6C272F4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Вакуумна камера є важливим елементом конструкції КНЕ, що забезпечує зниження аеродинамічних втрат при обертанні маховика. Сучасні системи вакуумування дозволяють підтримувати необхідний рівень розрідження протягом тривалого часу експлуатації. Додатково використовуються спеціальні ущільнення та системи охолодження.</w:t>
      </w:r>
    </w:p>
    <w:p w14:paraId="4872933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Електромеханічна частина КНЕ зазвичай виконується на базі синхронних машин з постійними магнітами або асинхронних машин спеціальної конструкції. Важливою вимогою є забезпечення високого ККД в широкому діапазоні швидкостей обертання. Силова електроніка забезпечує двонаправлене перетворення енергії з високими динамічними характеристиками.</w:t>
      </w:r>
    </w:p>
    <w:p w14:paraId="4CF9E0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управління КНЕ реалізує складні алгоритми керування процесами заряду-розряду, забезпечує захист від аварійних режимів, моніторинг стану обладнання та взаємодію з зовнішніми системами управління. Використовуються сучасні мікропроцесорні контролери та спеціалізоване програмне забезпечення.</w:t>
      </w:r>
    </w:p>
    <w:p w14:paraId="6CE710FF">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Основними перевагами КНЕ порівняно з іншими типами накопичувачів є висока питома потужність, практично необмежена кількість циклів заряду-розряду, низькі експлуатаційні витрати, екологічність, відсутність деградації характеристик протягом терміну служби. Важливою є також можливість швидкого переходу між режимами заряду та розряду.</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[15]</w:t>
      </w:r>
    </w:p>
    <w:p w14:paraId="1C321AA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Застосування КНЕ в системах електропостачання промислових підприємств дозволяє вирішувати широкий спектр завдань. Основними напрямками є компенсація короткочасних порушень електропостачання, забезпечення безперебійного живлення відповідальних споживачів, згладжування пікових навантажень, підвищення якості електроенергії.</w:t>
      </w:r>
    </w:p>
    <w:p w14:paraId="29385FA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Компенсація короткочасних порушень електропостачання є однією з найбільш ефективних сфер застосування КНЕ. При провалах напруги або короткочасних перервах електропостачання накопичувач забезпечує живлення навантаження за рахунок накопиченої енергії. Висока швидкодія дозволяє здійснити перехід в режим розряду за долі секунди.</w:t>
      </w:r>
    </w:p>
    <w:p w14:paraId="141A019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Забезпечення безперебійного живлення відповідальних споживачів вимагає використання КНЕ з достатньою енергоємністю для підтримки роботи обладнання протягом часу запуску резервних джерел живлення. При цьому важливою є висока надійність самого накопичувача та його системи управління.</w:t>
      </w:r>
    </w:p>
    <w:p w14:paraId="4F175F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Згладжування пікових навантажень за допомогою КНЕ дозволяє знизити витрати на оплату електроенергії за рахунок зменшення споживаної потужності в години максимуму навантаження енергосистеми. Накопичувач заряджається в періоди низького споживання та віддає енергію під час пікових навантажень.</w:t>
      </w:r>
    </w:p>
    <w:p w14:paraId="56C7B52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Підвищення якості електроенергії досягається за рахунок можливості КНЕ швидко змінювати режим роботи та компенсувати різні види порушень якості електроенергії. Ефективною є компенсація коливань напруги, короткочасних просідань та перенапруг.</w:t>
      </w:r>
    </w:p>
    <w:p w14:paraId="61D25D8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аспектом використання КНЕ є правильний вибір їх параметрів та режимів роботи. Необхідно враховувати характер навантаження, вимоги до якості електропостачання, економічні показники. Розроблені спеціальні методики розрахунку параметрів КНЕ для різних застосувань.</w:t>
      </w:r>
    </w:p>
    <w:p w14:paraId="4EE4673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Інтеграція КНЕ в систему електропостачання вимагає вирішення ряду технічних питань, таких як вибір схеми підключення, забезпечення електромагнітної сумісності, організація захисту та автоматики. Важливим є також забезпечення надійного охолодження та вентиляції приміщень з накопичувачами.</w:t>
      </w:r>
    </w:p>
    <w:p w14:paraId="24EDC4B8">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Система моніторингу та діагностики КНЕ забезпечує контроль основних параметрів в режимі реального часу, включаючи швидкість обертання маховика, температуру підшипників, рівень вакууму, струми та напруги електричної частини. Це дозволяє своєчасно виявляти можливі несправності та планувати технічне обслуговування.</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[16]</w:t>
      </w:r>
    </w:p>
    <w:p w14:paraId="22D94C8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Економічна ефективність впровадження КНЕ залежить від багатьох факторів, включаючи вартість обладнання, тарифи на електроенергію, характер навантаження. Важливим є проведення детального техніко-економічного аналізу з урахуванням всіх складових витрат та вигод.</w:t>
      </w:r>
    </w:p>
    <w:p w14:paraId="2D08A44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Досвід експлуатації КНЕ в промисловості показує їх високу ефективність при правильному виборі параметрів та режимів роботи. Основними перевагами є висока надійність, низькі експлуатаційні витрати, тривалий термін служби. Важливою є також можливість повної автоматизації роботи накопичувачів.</w:t>
      </w:r>
    </w:p>
    <w:p w14:paraId="0061A5C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Перспективні напрямки розвитку технології КНЕ включають вдосконалення конструкції маховиків та підшипникових систем, підвищення питомих характеристик, розробку більш ефективних систем управління. Значна увага приділяється також питанням зниження вартості обладнання.</w:t>
      </w:r>
    </w:p>
    <w:p w14:paraId="0746DA9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Математичне моделювання режимів роботи КНЕ є важливим інструментом їх дослідження та оптимізації. Сучасні програмні комплекси дозволяють моделювати електромагнітні, механічні та теплові процеси, оцінювати ефективність різних алгоритмів управління.</w:t>
      </w:r>
    </w:p>
    <w:p w14:paraId="4A2C1CE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Стандартизація та сертифікація КНЕ є важливим аспектом їх впровадження в промисловості. Міжнародні та національні стандарти визначають вимоги до безпеки, технічних характеристик та методів випробувань накопичувачів.</w:t>
      </w:r>
    </w:p>
    <w:p w14:paraId="3B8952A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Екологічні аспекти використання КНЕ характеризуються їх високою екологічністю порівняно з хімічними джерелами енергії. Відсутність небезпечних матеріалів та можливість повної утилізації після завершення терміну служби є важливими перевагами.</w:t>
      </w:r>
    </w:p>
    <w:p w14:paraId="4C0BC2D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Навчання персоналу є важливою складовою успішного впровадження КНЕ. Необхідно забезпечити підготовку фахівців з проектування, монтажу та обслуговування накопичувачів, а також навчання оперативного персоналу правилам їх безпечної експлуатації.</w:t>
      </w:r>
    </w:p>
    <w:p w14:paraId="663DAA3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Інтеграція КНЕ з відновлюваними джерелами енергії дозволяє підвищити ефективність використання енергії сонця та вітру. Накопичувачі забезпечують згладжування нерівномірності генерації та підвищують якість електроенергії.</w:t>
      </w:r>
    </w:p>
    <w:p w14:paraId="4AA0ADF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Міжнародний досвід показує зростання застосування КНЕ в різних галузях промисловості. За прогнозами експертів, ця тенденція збережеться в найближчі роки завдяки вдосконаленню технології та зниженню вартості обладнання.</w:t>
      </w:r>
    </w:p>
    <w:p w14:paraId="5618B54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Безпека експлуатації КНЕ забезпечується комплексом технічних та організаційних заходів. Особлива увага приділяється захисту від аварійних режимів, контролю цілісності конструкції, забезпеченню безпеки персоналу.</w:t>
      </w:r>
    </w:p>
    <w:p w14:paraId="74A64D1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Діагностика технічного стану КНЕ здійснюється з використанням сучасних методів неруйнівного контролю, включаючи вібродіагностику, тепловізійний контроль, аналіз акустичної емісії. Це дозволяє своєчасно виявляти можливі дефекти.</w:t>
      </w:r>
    </w:p>
    <w:p w14:paraId="1C2E767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Системи автоматичного управління КНЕ забезпечують їх оптимальну роботу в складі системи електропостачання. Використовуються складні алгоритми керування, що враховують поточний стан накопичувача, режим роботи мережі та вимоги споживачів.</w:t>
      </w:r>
    </w:p>
    <w:p w14:paraId="4C3C43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кінетичні накопичувачі енергії є перспективною технологією для підвищення ефективності систем електропостачання промислових підприємств. Їх основними перевагами є висока питома потужність, практично необмежена кількість циклів заряду-розряду, екологічність та низькі експлуатаційні витрати.</w:t>
      </w:r>
    </w:p>
    <w:p w14:paraId="3AE9230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Подальший розвиток технології КНЕ пов'язаний з вдосконаленням конструкції, підвищенням питомих характеристик та зниженням вартості. Важливим напрямком є також розширення сфер їх застосування в промисловості та інтеграція з системами інтелектуального управління електропостачанням.</w:t>
      </w:r>
    </w:p>
    <w:p w14:paraId="69B746E9">
      <w:pPr>
        <w:spacing w:line="360" w:lineRule="auto"/>
        <w:ind w:firstLine="709"/>
        <w:jc w:val="both"/>
        <w:rPr>
          <w:rFonts w:ascii="Times New Roman" w:hAnsi="Times New Roman" w:cs="Times New Roman"/>
          <w:sz w:val="28"/>
          <w:szCs w:val="28"/>
        </w:rPr>
      </w:pPr>
    </w:p>
    <w:p w14:paraId="75446A00">
      <w:pPr>
        <w:rPr>
          <w:rFonts w:ascii="Times New Roman" w:hAnsi="Times New Roman" w:cs="Times New Roman" w:eastAsiaTheme="majorEastAsia"/>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lang w:val="uk-UA"/>
          <w14:textFill>
            <w14:solidFill>
              <w14:schemeClr w14:val="tx1"/>
            </w14:solidFill>
          </w14:textFill>
        </w:rPr>
        <w:br w:type="page"/>
      </w:r>
    </w:p>
    <w:p w14:paraId="318B4D25">
      <w:pPr>
        <w:pStyle w:val="2"/>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5" w:name="_Toc185516727"/>
      <w:r>
        <w:rPr>
          <w:rFonts w:ascii="Times New Roman" w:hAnsi="Times New Roman" w:cs="Times New Roman"/>
          <w:b/>
          <w:bCs/>
          <w:color w:val="000000" w:themeColor="text1"/>
          <w:sz w:val="28"/>
          <w:szCs w:val="28"/>
          <w:lang w:val="uk-UA"/>
          <w14:textFill>
            <w14:solidFill>
              <w14:schemeClr w14:val="tx1"/>
            </w14:solidFill>
          </w14:textFill>
        </w:rPr>
        <w:t>РОЗДІЛ 2. АНАЛІЗ РЕЖИМІВ</w:t>
      </w:r>
      <w:r>
        <w:rPr>
          <w:rFonts w:hint="default" w:ascii="Times New Roman" w:hAnsi="Times New Roman" w:cs="Times New Roman"/>
          <w:b/>
          <w:bCs/>
          <w:color w:val="000000" w:themeColor="text1"/>
          <w:sz w:val="28"/>
          <w:szCs w:val="28"/>
          <w:lang w:val="uk-UA"/>
          <w14:textFill>
            <w14:solidFill>
              <w14:schemeClr w14:val="tx1"/>
            </w14:solidFill>
          </w14:textFill>
        </w:rPr>
        <w:t xml:space="preserve"> ЕЛЕКТРОСПОЖИВАННЯ ПРОМИСЛОВОГО ПІДПРИЄМСТВА</w:t>
      </w:r>
      <w:r>
        <w:rPr>
          <w:rFonts w:ascii="Times New Roman" w:hAnsi="Times New Roman" w:cs="Times New Roman"/>
          <w:b/>
          <w:bCs/>
          <w:color w:val="000000" w:themeColor="text1"/>
          <w:sz w:val="28"/>
          <w:szCs w:val="28"/>
          <w:lang w:val="uk-UA"/>
          <w14:textFill>
            <w14:solidFill>
              <w14:schemeClr w14:val="tx1"/>
            </w14:solidFill>
          </w14:textFill>
        </w:rPr>
        <w:t>СТВА</w:t>
      </w:r>
      <w:r>
        <w:rPr>
          <w:rFonts w:hint="default" w:ascii="Times New Roman" w:hAnsi="Times New Roman" w:cs="Times New Roman"/>
          <w:b/>
          <w:bCs/>
          <w:color w:val="000000" w:themeColor="text1"/>
          <w:sz w:val="28"/>
          <w:szCs w:val="28"/>
          <w:lang w:val="uk-UA"/>
          <w14:textFill>
            <w14:solidFill>
              <w14:schemeClr w14:val="tx1"/>
            </w14:solidFill>
          </w14:textFill>
        </w:rPr>
        <w:t xml:space="preserve"> </w:t>
      </w:r>
      <w:r>
        <w:rPr>
          <w:rFonts w:ascii="Times New Roman" w:hAnsi="Times New Roman" w:cs="Times New Roman"/>
          <w:b/>
          <w:bCs/>
          <w:color w:val="000000" w:themeColor="text1"/>
          <w:sz w:val="28"/>
          <w:szCs w:val="28"/>
          <w:lang w:val="uk-UA"/>
          <w14:textFill>
            <w14:solidFill>
              <w14:schemeClr w14:val="tx1"/>
            </w14:solidFill>
          </w14:textFill>
        </w:rPr>
        <w:t xml:space="preserve"> ТА РОЗРОБКА ЗАХОДІВ З ПІДВИЩЕННЯ ЇЇ ЕНЕРГОЕФЕКТИВНОСТІ</w:t>
      </w:r>
      <w:bookmarkEnd w:id="5"/>
    </w:p>
    <w:p w14:paraId="5995946A">
      <w:pPr>
        <w:spacing w:line="360" w:lineRule="auto"/>
        <w:ind w:firstLine="709"/>
        <w:jc w:val="center"/>
        <w:rPr>
          <w:rFonts w:ascii="Times New Roman" w:hAnsi="Times New Roman" w:cs="Times New Roman"/>
          <w:b/>
          <w:bCs/>
          <w:sz w:val="28"/>
          <w:szCs w:val="28"/>
          <w:lang w:val="uk-UA"/>
        </w:rPr>
      </w:pPr>
    </w:p>
    <w:p w14:paraId="37EE5E22">
      <w:pPr>
        <w:pStyle w:val="3"/>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6" w:name="_Toc185516728"/>
      <w:r>
        <w:rPr>
          <w:rFonts w:ascii="Times New Roman" w:hAnsi="Times New Roman" w:cs="Times New Roman"/>
          <w:b/>
          <w:bCs/>
          <w:color w:val="000000" w:themeColor="text1"/>
          <w:sz w:val="28"/>
          <w:szCs w:val="28"/>
          <w:lang w:val="uk-UA"/>
          <w14:textFill>
            <w14:solidFill>
              <w14:schemeClr w14:val="tx1"/>
            </w14:solidFill>
          </w14:textFill>
        </w:rPr>
        <w:t>2.1. Характеристика електротехнічного комплексу підприємства та аналіз режимів електроспоживання</w:t>
      </w:r>
      <w:bookmarkEnd w:id="6"/>
    </w:p>
    <w:p w14:paraId="2A5B3ED8">
      <w:pPr>
        <w:spacing w:line="360" w:lineRule="auto"/>
        <w:ind w:firstLine="709"/>
        <w:jc w:val="both"/>
        <w:rPr>
          <w:rFonts w:ascii="Times New Roman" w:hAnsi="Times New Roman" w:cs="Times New Roman"/>
          <w:sz w:val="28"/>
          <w:szCs w:val="28"/>
          <w:lang w:val="uk-UA"/>
        </w:rPr>
      </w:pPr>
    </w:p>
    <w:p w14:paraId="1CEDB54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добових графіків навантаження підприємства показав значну нерівномірність споживання електроенергії. Максимальна потужність в години пік перевищує середньодобове значення в 1,8-2,2 рази. Характеристики режимів електроспоживання в різні періоди року наведені в таблиці 2.3.</w:t>
      </w:r>
    </w:p>
    <w:p w14:paraId="21E23F8E">
      <w:pPr>
        <w:spacing w:line="360" w:lineRule="auto"/>
        <w:ind w:firstLine="709"/>
        <w:jc w:val="right"/>
        <w:rPr>
          <w:rFonts w:ascii="Times New Roman" w:hAnsi="Times New Roman" w:cs="Times New Roman"/>
          <w:sz w:val="28"/>
          <w:szCs w:val="28"/>
        </w:rPr>
      </w:pPr>
    </w:p>
    <w:p w14:paraId="166E5250">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2.3</w:t>
      </w:r>
    </w:p>
    <w:p w14:paraId="5594D36A">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Характеристики режимів електроспоживання по сезонах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6"/>
        <w:gridCol w:w="2013"/>
        <w:gridCol w:w="2244"/>
        <w:gridCol w:w="2108"/>
        <w:gridCol w:w="2379"/>
      </w:tblGrid>
      <w:tr w14:paraId="041F6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6E4438BA">
            <w:pPr>
              <w:spacing w:line="360" w:lineRule="auto"/>
              <w:jc w:val="center"/>
              <w:rPr>
                <w:rFonts w:ascii="Times New Roman" w:hAnsi="Times New Roman" w:cs="Times New Roman"/>
              </w:rPr>
            </w:pPr>
            <w:r>
              <w:rPr>
                <w:rFonts w:ascii="Times New Roman" w:hAnsi="Times New Roman" w:cs="Times New Roman"/>
              </w:rPr>
              <w:t>Сезон</w:t>
            </w:r>
          </w:p>
        </w:tc>
        <w:tc>
          <w:tcPr>
            <w:tcW w:w="0" w:type="auto"/>
          </w:tcPr>
          <w:p w14:paraId="4A62D002">
            <w:pPr>
              <w:spacing w:line="360" w:lineRule="auto"/>
              <w:jc w:val="center"/>
              <w:rPr>
                <w:rFonts w:ascii="Times New Roman" w:hAnsi="Times New Roman" w:cs="Times New Roman"/>
              </w:rPr>
            </w:pPr>
            <w:r>
              <w:rPr>
                <w:rFonts w:ascii="Times New Roman" w:hAnsi="Times New Roman" w:cs="Times New Roman"/>
              </w:rPr>
              <w:t>Середня потужність, кВт</w:t>
            </w:r>
          </w:p>
        </w:tc>
        <w:tc>
          <w:tcPr>
            <w:tcW w:w="0" w:type="auto"/>
          </w:tcPr>
          <w:p w14:paraId="1BCD462F">
            <w:pPr>
              <w:spacing w:line="360" w:lineRule="auto"/>
              <w:jc w:val="center"/>
              <w:rPr>
                <w:rFonts w:ascii="Times New Roman" w:hAnsi="Times New Roman" w:cs="Times New Roman"/>
              </w:rPr>
            </w:pPr>
            <w:r>
              <w:rPr>
                <w:rFonts w:ascii="Times New Roman" w:hAnsi="Times New Roman" w:cs="Times New Roman"/>
              </w:rPr>
              <w:t>Максимальна потужність, кВт</w:t>
            </w:r>
          </w:p>
        </w:tc>
        <w:tc>
          <w:tcPr>
            <w:tcW w:w="0" w:type="auto"/>
          </w:tcPr>
          <w:p w14:paraId="5538943F">
            <w:pPr>
              <w:spacing w:line="360" w:lineRule="auto"/>
              <w:jc w:val="center"/>
              <w:rPr>
                <w:rFonts w:ascii="Times New Roman" w:hAnsi="Times New Roman" w:cs="Times New Roman"/>
              </w:rPr>
            </w:pPr>
            <w:r>
              <w:rPr>
                <w:rFonts w:ascii="Times New Roman" w:hAnsi="Times New Roman" w:cs="Times New Roman"/>
              </w:rPr>
              <w:t>Тривалість максимуму, год</w:t>
            </w:r>
          </w:p>
        </w:tc>
        <w:tc>
          <w:tcPr>
            <w:tcW w:w="0" w:type="auto"/>
          </w:tcPr>
          <w:p w14:paraId="75E0462D">
            <w:pPr>
              <w:spacing w:line="360" w:lineRule="auto"/>
              <w:jc w:val="center"/>
              <w:rPr>
                <w:rFonts w:ascii="Times New Roman" w:hAnsi="Times New Roman" w:cs="Times New Roman"/>
              </w:rPr>
            </w:pPr>
            <w:r>
              <w:rPr>
                <w:rFonts w:ascii="Times New Roman" w:hAnsi="Times New Roman" w:cs="Times New Roman"/>
              </w:rPr>
              <w:t>Коефіцієнт нерівномірності</w:t>
            </w:r>
          </w:p>
        </w:tc>
      </w:tr>
      <w:tr w14:paraId="7A281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0E15E306">
            <w:pPr>
              <w:spacing w:line="360" w:lineRule="auto"/>
              <w:jc w:val="center"/>
              <w:rPr>
                <w:rFonts w:ascii="Times New Roman" w:hAnsi="Times New Roman" w:cs="Times New Roman"/>
              </w:rPr>
            </w:pPr>
            <w:r>
              <w:rPr>
                <w:rFonts w:ascii="Times New Roman" w:hAnsi="Times New Roman" w:cs="Times New Roman"/>
              </w:rPr>
              <w:t>Зима</w:t>
            </w:r>
          </w:p>
        </w:tc>
        <w:tc>
          <w:tcPr>
            <w:tcW w:w="0" w:type="auto"/>
          </w:tcPr>
          <w:p w14:paraId="31396A0C">
            <w:pPr>
              <w:spacing w:line="360" w:lineRule="auto"/>
              <w:jc w:val="center"/>
              <w:rPr>
                <w:rFonts w:ascii="Times New Roman" w:hAnsi="Times New Roman" w:cs="Times New Roman"/>
              </w:rPr>
            </w:pPr>
            <w:r>
              <w:rPr>
                <w:rFonts w:ascii="Times New Roman" w:hAnsi="Times New Roman" w:cs="Times New Roman"/>
              </w:rPr>
              <w:t>1450</w:t>
            </w:r>
          </w:p>
        </w:tc>
        <w:tc>
          <w:tcPr>
            <w:tcW w:w="0" w:type="auto"/>
          </w:tcPr>
          <w:p w14:paraId="5C9DF7F1">
            <w:pPr>
              <w:spacing w:line="360" w:lineRule="auto"/>
              <w:jc w:val="center"/>
              <w:rPr>
                <w:rFonts w:ascii="Times New Roman" w:hAnsi="Times New Roman" w:cs="Times New Roman"/>
              </w:rPr>
            </w:pPr>
            <w:r>
              <w:rPr>
                <w:rFonts w:ascii="Times New Roman" w:hAnsi="Times New Roman" w:cs="Times New Roman"/>
              </w:rPr>
              <w:t>2850</w:t>
            </w:r>
          </w:p>
        </w:tc>
        <w:tc>
          <w:tcPr>
            <w:tcW w:w="0" w:type="auto"/>
          </w:tcPr>
          <w:p w14:paraId="52A1EECC">
            <w:pPr>
              <w:spacing w:line="360" w:lineRule="auto"/>
              <w:jc w:val="center"/>
              <w:rPr>
                <w:rFonts w:ascii="Times New Roman" w:hAnsi="Times New Roman" w:cs="Times New Roman"/>
              </w:rPr>
            </w:pPr>
            <w:r>
              <w:rPr>
                <w:rFonts w:ascii="Times New Roman" w:hAnsi="Times New Roman" w:cs="Times New Roman"/>
              </w:rPr>
              <w:t>4</w:t>
            </w:r>
          </w:p>
        </w:tc>
        <w:tc>
          <w:tcPr>
            <w:tcW w:w="0" w:type="auto"/>
          </w:tcPr>
          <w:p w14:paraId="68CD2CF7">
            <w:pPr>
              <w:spacing w:line="360" w:lineRule="auto"/>
              <w:jc w:val="center"/>
              <w:rPr>
                <w:rFonts w:ascii="Times New Roman" w:hAnsi="Times New Roman" w:cs="Times New Roman"/>
              </w:rPr>
            </w:pPr>
            <w:r>
              <w:rPr>
                <w:rFonts w:ascii="Times New Roman" w:hAnsi="Times New Roman" w:cs="Times New Roman"/>
              </w:rPr>
              <w:t>1,97</w:t>
            </w:r>
          </w:p>
        </w:tc>
      </w:tr>
      <w:tr w14:paraId="50108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6514C85F">
            <w:pPr>
              <w:spacing w:line="360" w:lineRule="auto"/>
              <w:jc w:val="center"/>
              <w:rPr>
                <w:rFonts w:ascii="Times New Roman" w:hAnsi="Times New Roman" w:cs="Times New Roman"/>
              </w:rPr>
            </w:pPr>
            <w:r>
              <w:rPr>
                <w:rFonts w:ascii="Times New Roman" w:hAnsi="Times New Roman" w:cs="Times New Roman"/>
              </w:rPr>
              <w:t>Весна</w:t>
            </w:r>
          </w:p>
        </w:tc>
        <w:tc>
          <w:tcPr>
            <w:tcW w:w="0" w:type="auto"/>
          </w:tcPr>
          <w:p w14:paraId="2600F1E6">
            <w:pPr>
              <w:spacing w:line="360" w:lineRule="auto"/>
              <w:jc w:val="center"/>
              <w:rPr>
                <w:rFonts w:ascii="Times New Roman" w:hAnsi="Times New Roman" w:cs="Times New Roman"/>
              </w:rPr>
            </w:pPr>
            <w:r>
              <w:rPr>
                <w:rFonts w:ascii="Times New Roman" w:hAnsi="Times New Roman" w:cs="Times New Roman"/>
              </w:rPr>
              <w:t>1380</w:t>
            </w:r>
          </w:p>
        </w:tc>
        <w:tc>
          <w:tcPr>
            <w:tcW w:w="0" w:type="auto"/>
          </w:tcPr>
          <w:p w14:paraId="167EF3AC">
            <w:pPr>
              <w:spacing w:line="360" w:lineRule="auto"/>
              <w:jc w:val="center"/>
              <w:rPr>
                <w:rFonts w:ascii="Times New Roman" w:hAnsi="Times New Roman" w:cs="Times New Roman"/>
              </w:rPr>
            </w:pPr>
            <w:r>
              <w:rPr>
                <w:rFonts w:ascii="Times New Roman" w:hAnsi="Times New Roman" w:cs="Times New Roman"/>
              </w:rPr>
              <w:t>2650</w:t>
            </w:r>
          </w:p>
        </w:tc>
        <w:tc>
          <w:tcPr>
            <w:tcW w:w="0" w:type="auto"/>
          </w:tcPr>
          <w:p w14:paraId="073D4B9D">
            <w:pPr>
              <w:spacing w:line="360" w:lineRule="auto"/>
              <w:jc w:val="center"/>
              <w:rPr>
                <w:rFonts w:ascii="Times New Roman" w:hAnsi="Times New Roman" w:cs="Times New Roman"/>
              </w:rPr>
            </w:pPr>
            <w:r>
              <w:rPr>
                <w:rFonts w:ascii="Times New Roman" w:hAnsi="Times New Roman" w:cs="Times New Roman"/>
              </w:rPr>
              <w:t>3</w:t>
            </w:r>
          </w:p>
        </w:tc>
        <w:tc>
          <w:tcPr>
            <w:tcW w:w="0" w:type="auto"/>
          </w:tcPr>
          <w:p w14:paraId="23EF29C5">
            <w:pPr>
              <w:spacing w:line="360" w:lineRule="auto"/>
              <w:jc w:val="center"/>
              <w:rPr>
                <w:rFonts w:ascii="Times New Roman" w:hAnsi="Times New Roman" w:cs="Times New Roman"/>
              </w:rPr>
            </w:pPr>
            <w:r>
              <w:rPr>
                <w:rFonts w:ascii="Times New Roman" w:hAnsi="Times New Roman" w:cs="Times New Roman"/>
              </w:rPr>
              <w:t>1,92</w:t>
            </w:r>
          </w:p>
        </w:tc>
      </w:tr>
      <w:tr w14:paraId="48BD0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7DB3C1BA">
            <w:pPr>
              <w:spacing w:line="360" w:lineRule="auto"/>
              <w:jc w:val="center"/>
              <w:rPr>
                <w:rFonts w:ascii="Times New Roman" w:hAnsi="Times New Roman" w:cs="Times New Roman"/>
              </w:rPr>
            </w:pPr>
            <w:r>
              <w:rPr>
                <w:rFonts w:ascii="Times New Roman" w:hAnsi="Times New Roman" w:cs="Times New Roman"/>
              </w:rPr>
              <w:t>Літо</w:t>
            </w:r>
          </w:p>
        </w:tc>
        <w:tc>
          <w:tcPr>
            <w:tcW w:w="0" w:type="auto"/>
          </w:tcPr>
          <w:p w14:paraId="12D3A14C">
            <w:pPr>
              <w:spacing w:line="360" w:lineRule="auto"/>
              <w:jc w:val="center"/>
              <w:rPr>
                <w:rFonts w:ascii="Times New Roman" w:hAnsi="Times New Roman" w:cs="Times New Roman"/>
              </w:rPr>
            </w:pPr>
            <w:r>
              <w:rPr>
                <w:rFonts w:ascii="Times New Roman" w:hAnsi="Times New Roman" w:cs="Times New Roman"/>
              </w:rPr>
              <w:t>1580</w:t>
            </w:r>
          </w:p>
        </w:tc>
        <w:tc>
          <w:tcPr>
            <w:tcW w:w="0" w:type="auto"/>
          </w:tcPr>
          <w:p w14:paraId="099BD92B">
            <w:pPr>
              <w:spacing w:line="360" w:lineRule="auto"/>
              <w:jc w:val="center"/>
              <w:rPr>
                <w:rFonts w:ascii="Times New Roman" w:hAnsi="Times New Roman" w:cs="Times New Roman"/>
              </w:rPr>
            </w:pPr>
            <w:r>
              <w:rPr>
                <w:rFonts w:ascii="Times New Roman" w:hAnsi="Times New Roman" w:cs="Times New Roman"/>
              </w:rPr>
              <w:t>3100</w:t>
            </w:r>
          </w:p>
        </w:tc>
        <w:tc>
          <w:tcPr>
            <w:tcW w:w="0" w:type="auto"/>
          </w:tcPr>
          <w:p w14:paraId="644EE602">
            <w:pPr>
              <w:spacing w:line="360" w:lineRule="auto"/>
              <w:jc w:val="center"/>
              <w:rPr>
                <w:rFonts w:ascii="Times New Roman" w:hAnsi="Times New Roman" w:cs="Times New Roman"/>
              </w:rPr>
            </w:pPr>
            <w:r>
              <w:rPr>
                <w:rFonts w:ascii="Times New Roman" w:hAnsi="Times New Roman" w:cs="Times New Roman"/>
              </w:rPr>
              <w:t>5</w:t>
            </w:r>
          </w:p>
        </w:tc>
        <w:tc>
          <w:tcPr>
            <w:tcW w:w="0" w:type="auto"/>
          </w:tcPr>
          <w:p w14:paraId="350B59E8">
            <w:pPr>
              <w:spacing w:line="360" w:lineRule="auto"/>
              <w:jc w:val="center"/>
              <w:rPr>
                <w:rFonts w:ascii="Times New Roman" w:hAnsi="Times New Roman" w:cs="Times New Roman"/>
              </w:rPr>
            </w:pPr>
            <w:r>
              <w:rPr>
                <w:rFonts w:ascii="Times New Roman" w:hAnsi="Times New Roman" w:cs="Times New Roman"/>
              </w:rPr>
              <w:t>1,96</w:t>
            </w:r>
          </w:p>
        </w:tc>
      </w:tr>
      <w:tr w14:paraId="79F49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79C5D991">
            <w:pPr>
              <w:spacing w:line="360" w:lineRule="auto"/>
              <w:jc w:val="center"/>
              <w:rPr>
                <w:rFonts w:ascii="Times New Roman" w:hAnsi="Times New Roman" w:cs="Times New Roman"/>
              </w:rPr>
            </w:pPr>
            <w:r>
              <w:rPr>
                <w:rFonts w:ascii="Times New Roman" w:hAnsi="Times New Roman" w:cs="Times New Roman"/>
              </w:rPr>
              <w:t>Осінь</w:t>
            </w:r>
          </w:p>
        </w:tc>
        <w:tc>
          <w:tcPr>
            <w:tcW w:w="0" w:type="auto"/>
          </w:tcPr>
          <w:p w14:paraId="194E1F0B">
            <w:pPr>
              <w:spacing w:line="360" w:lineRule="auto"/>
              <w:jc w:val="center"/>
              <w:rPr>
                <w:rFonts w:ascii="Times New Roman" w:hAnsi="Times New Roman" w:cs="Times New Roman"/>
              </w:rPr>
            </w:pPr>
            <w:r>
              <w:rPr>
                <w:rFonts w:ascii="Times New Roman" w:hAnsi="Times New Roman" w:cs="Times New Roman"/>
              </w:rPr>
              <w:t>1420</w:t>
            </w:r>
          </w:p>
        </w:tc>
        <w:tc>
          <w:tcPr>
            <w:tcW w:w="0" w:type="auto"/>
          </w:tcPr>
          <w:p w14:paraId="43EF5ED7">
            <w:pPr>
              <w:spacing w:line="360" w:lineRule="auto"/>
              <w:jc w:val="center"/>
              <w:rPr>
                <w:rFonts w:ascii="Times New Roman" w:hAnsi="Times New Roman" w:cs="Times New Roman"/>
              </w:rPr>
            </w:pPr>
            <w:r>
              <w:rPr>
                <w:rFonts w:ascii="Times New Roman" w:hAnsi="Times New Roman" w:cs="Times New Roman"/>
              </w:rPr>
              <w:t>2750</w:t>
            </w:r>
          </w:p>
        </w:tc>
        <w:tc>
          <w:tcPr>
            <w:tcW w:w="0" w:type="auto"/>
          </w:tcPr>
          <w:p w14:paraId="24BAEDD0">
            <w:pPr>
              <w:spacing w:line="360" w:lineRule="auto"/>
              <w:jc w:val="center"/>
              <w:rPr>
                <w:rFonts w:ascii="Times New Roman" w:hAnsi="Times New Roman" w:cs="Times New Roman"/>
              </w:rPr>
            </w:pPr>
            <w:r>
              <w:rPr>
                <w:rFonts w:ascii="Times New Roman" w:hAnsi="Times New Roman" w:cs="Times New Roman"/>
              </w:rPr>
              <w:t>4</w:t>
            </w:r>
          </w:p>
        </w:tc>
        <w:tc>
          <w:tcPr>
            <w:tcW w:w="0" w:type="auto"/>
          </w:tcPr>
          <w:p w14:paraId="16C524D9">
            <w:pPr>
              <w:spacing w:line="360" w:lineRule="auto"/>
              <w:jc w:val="center"/>
              <w:rPr>
                <w:rFonts w:ascii="Times New Roman" w:hAnsi="Times New Roman" w:cs="Times New Roman"/>
              </w:rPr>
            </w:pPr>
            <w:r>
              <w:rPr>
                <w:rFonts w:ascii="Times New Roman" w:hAnsi="Times New Roman" w:cs="Times New Roman"/>
              </w:rPr>
              <w:t>1,94</w:t>
            </w:r>
          </w:p>
        </w:tc>
      </w:tr>
    </w:tbl>
    <w:p w14:paraId="3FB2599A">
      <w:pPr>
        <w:spacing w:line="360" w:lineRule="auto"/>
        <w:ind w:firstLine="709"/>
        <w:jc w:val="both"/>
        <w:rPr>
          <w:rFonts w:ascii="Times New Roman" w:hAnsi="Times New Roman" w:cs="Times New Roman"/>
          <w:sz w:val="28"/>
          <w:szCs w:val="28"/>
        </w:rPr>
      </w:pPr>
    </w:p>
    <w:p w14:paraId="201D5D0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аналізу характеру навантаження визначено потенційні режими роботи КНЕ та розраховано необхідні параметри накопичувачів. Результати розрахунків для різних варіантів потужності та енергоємності КНЕ наведені в таблиці 2.4.</w:t>
      </w:r>
    </w:p>
    <w:p w14:paraId="02845AC4">
      <w:pPr>
        <w:spacing w:line="360" w:lineRule="auto"/>
        <w:ind w:firstLine="709"/>
        <w:jc w:val="both"/>
        <w:rPr>
          <w:rFonts w:ascii="Times New Roman" w:hAnsi="Times New Roman" w:cs="Times New Roman"/>
          <w:sz w:val="28"/>
          <w:szCs w:val="28"/>
        </w:rPr>
      </w:pPr>
    </w:p>
    <w:p w14:paraId="5514A5E4">
      <w:pPr>
        <w:spacing w:line="360" w:lineRule="auto"/>
        <w:ind w:firstLine="709"/>
        <w:jc w:val="both"/>
        <w:rPr>
          <w:rFonts w:ascii="Times New Roman" w:hAnsi="Times New Roman" w:cs="Times New Roman"/>
          <w:sz w:val="28"/>
          <w:szCs w:val="28"/>
        </w:rPr>
      </w:pPr>
    </w:p>
    <w:p w14:paraId="7D5349D1">
      <w:pPr>
        <w:spacing w:line="360" w:lineRule="auto"/>
        <w:ind w:firstLine="709"/>
        <w:jc w:val="both"/>
        <w:rPr>
          <w:rFonts w:ascii="Times New Roman" w:hAnsi="Times New Roman" w:cs="Times New Roman"/>
          <w:sz w:val="28"/>
          <w:szCs w:val="28"/>
        </w:rPr>
      </w:pPr>
    </w:p>
    <w:p w14:paraId="1D563405">
      <w:pPr>
        <w:spacing w:line="360" w:lineRule="auto"/>
        <w:ind w:firstLine="709"/>
        <w:jc w:val="both"/>
        <w:rPr>
          <w:rFonts w:ascii="Times New Roman" w:hAnsi="Times New Roman" w:cs="Times New Roman"/>
          <w:sz w:val="28"/>
          <w:szCs w:val="28"/>
        </w:rPr>
      </w:pPr>
    </w:p>
    <w:p w14:paraId="5C601C1D">
      <w:pPr>
        <w:spacing w:line="360" w:lineRule="auto"/>
        <w:ind w:firstLine="709"/>
        <w:jc w:val="both"/>
        <w:rPr>
          <w:rFonts w:ascii="Times New Roman" w:hAnsi="Times New Roman" w:cs="Times New Roman"/>
          <w:sz w:val="28"/>
          <w:szCs w:val="28"/>
        </w:rPr>
      </w:pPr>
    </w:p>
    <w:p w14:paraId="799C6115">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2.4</w:t>
      </w:r>
    </w:p>
    <w:p w14:paraId="48E108AF">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Варіанти параметрів кінетичних накопичувачів енергії</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0"/>
        <w:gridCol w:w="1436"/>
        <w:gridCol w:w="2112"/>
        <w:gridCol w:w="2129"/>
        <w:gridCol w:w="2883"/>
      </w:tblGrid>
      <w:tr w14:paraId="3E982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7E65E6F6">
            <w:pPr>
              <w:spacing w:line="360" w:lineRule="auto"/>
              <w:jc w:val="center"/>
              <w:rPr>
                <w:rFonts w:ascii="Times New Roman" w:hAnsi="Times New Roman" w:cs="Times New Roman"/>
              </w:rPr>
            </w:pPr>
            <w:r>
              <w:rPr>
                <w:rFonts w:ascii="Times New Roman" w:hAnsi="Times New Roman" w:cs="Times New Roman"/>
              </w:rPr>
              <w:t>Варіант</w:t>
            </w:r>
          </w:p>
        </w:tc>
        <w:tc>
          <w:tcPr>
            <w:tcW w:w="0" w:type="auto"/>
          </w:tcPr>
          <w:p w14:paraId="392041EC">
            <w:pPr>
              <w:spacing w:line="360" w:lineRule="auto"/>
              <w:jc w:val="center"/>
              <w:rPr>
                <w:rFonts w:ascii="Times New Roman" w:hAnsi="Times New Roman" w:cs="Times New Roman"/>
              </w:rPr>
            </w:pPr>
            <w:r>
              <w:rPr>
                <w:rFonts w:ascii="Times New Roman" w:hAnsi="Times New Roman" w:cs="Times New Roman"/>
              </w:rPr>
              <w:t>Потужність КНЕ, кВт</w:t>
            </w:r>
          </w:p>
        </w:tc>
        <w:tc>
          <w:tcPr>
            <w:tcW w:w="0" w:type="auto"/>
          </w:tcPr>
          <w:p w14:paraId="1EBC5864">
            <w:pPr>
              <w:spacing w:line="360" w:lineRule="auto"/>
              <w:jc w:val="center"/>
              <w:rPr>
                <w:rFonts w:ascii="Times New Roman" w:hAnsi="Times New Roman" w:cs="Times New Roman"/>
              </w:rPr>
            </w:pPr>
            <w:r>
              <w:rPr>
                <w:rFonts w:ascii="Times New Roman" w:hAnsi="Times New Roman" w:cs="Times New Roman"/>
              </w:rPr>
              <w:t>Енергоємність, кВт·год</w:t>
            </w:r>
          </w:p>
        </w:tc>
        <w:tc>
          <w:tcPr>
            <w:tcW w:w="0" w:type="auto"/>
          </w:tcPr>
          <w:p w14:paraId="03AC43F6">
            <w:pPr>
              <w:spacing w:line="360" w:lineRule="auto"/>
              <w:jc w:val="center"/>
              <w:rPr>
                <w:rFonts w:ascii="Times New Roman" w:hAnsi="Times New Roman" w:cs="Times New Roman"/>
              </w:rPr>
            </w:pPr>
            <w:r>
              <w:rPr>
                <w:rFonts w:ascii="Times New Roman" w:hAnsi="Times New Roman" w:cs="Times New Roman"/>
              </w:rPr>
              <w:t>Час роботи при повному розряді, с</w:t>
            </w:r>
          </w:p>
        </w:tc>
        <w:tc>
          <w:tcPr>
            <w:tcW w:w="0" w:type="auto"/>
          </w:tcPr>
          <w:p w14:paraId="27B7B94C">
            <w:pPr>
              <w:spacing w:line="360" w:lineRule="auto"/>
              <w:jc w:val="center"/>
              <w:rPr>
                <w:rFonts w:ascii="Times New Roman" w:hAnsi="Times New Roman" w:cs="Times New Roman"/>
              </w:rPr>
            </w:pPr>
            <w:r>
              <w:rPr>
                <w:rFonts w:ascii="Times New Roman" w:hAnsi="Times New Roman" w:cs="Times New Roman"/>
              </w:rPr>
              <w:t>Очікуване зниження пікової потужності, %</w:t>
            </w:r>
          </w:p>
        </w:tc>
      </w:tr>
      <w:tr w14:paraId="570FF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428932A9">
            <w:pPr>
              <w:spacing w:line="360" w:lineRule="auto"/>
              <w:jc w:val="center"/>
              <w:rPr>
                <w:rFonts w:ascii="Times New Roman" w:hAnsi="Times New Roman" w:cs="Times New Roman"/>
              </w:rPr>
            </w:pPr>
            <w:r>
              <w:rPr>
                <w:rFonts w:ascii="Times New Roman" w:hAnsi="Times New Roman" w:cs="Times New Roman"/>
              </w:rPr>
              <w:t>1</w:t>
            </w:r>
          </w:p>
        </w:tc>
        <w:tc>
          <w:tcPr>
            <w:tcW w:w="0" w:type="auto"/>
          </w:tcPr>
          <w:p w14:paraId="025A7F46">
            <w:pPr>
              <w:spacing w:line="360" w:lineRule="auto"/>
              <w:jc w:val="center"/>
              <w:rPr>
                <w:rFonts w:ascii="Times New Roman" w:hAnsi="Times New Roman" w:cs="Times New Roman"/>
              </w:rPr>
            </w:pPr>
            <w:r>
              <w:rPr>
                <w:rFonts w:ascii="Times New Roman" w:hAnsi="Times New Roman" w:cs="Times New Roman"/>
              </w:rPr>
              <w:t>500</w:t>
            </w:r>
          </w:p>
        </w:tc>
        <w:tc>
          <w:tcPr>
            <w:tcW w:w="0" w:type="auto"/>
          </w:tcPr>
          <w:p w14:paraId="401A168D">
            <w:pPr>
              <w:spacing w:line="360" w:lineRule="auto"/>
              <w:jc w:val="center"/>
              <w:rPr>
                <w:rFonts w:ascii="Times New Roman" w:hAnsi="Times New Roman" w:cs="Times New Roman"/>
              </w:rPr>
            </w:pPr>
            <w:r>
              <w:rPr>
                <w:rFonts w:ascii="Times New Roman" w:hAnsi="Times New Roman" w:cs="Times New Roman"/>
              </w:rPr>
              <w:t>4,2</w:t>
            </w:r>
          </w:p>
        </w:tc>
        <w:tc>
          <w:tcPr>
            <w:tcW w:w="0" w:type="auto"/>
          </w:tcPr>
          <w:p w14:paraId="64A84996">
            <w:pPr>
              <w:spacing w:line="360" w:lineRule="auto"/>
              <w:jc w:val="center"/>
              <w:rPr>
                <w:rFonts w:ascii="Times New Roman" w:hAnsi="Times New Roman" w:cs="Times New Roman"/>
              </w:rPr>
            </w:pPr>
            <w:r>
              <w:rPr>
                <w:rFonts w:ascii="Times New Roman" w:hAnsi="Times New Roman" w:cs="Times New Roman"/>
              </w:rPr>
              <w:t>30</w:t>
            </w:r>
          </w:p>
        </w:tc>
        <w:tc>
          <w:tcPr>
            <w:tcW w:w="0" w:type="auto"/>
          </w:tcPr>
          <w:p w14:paraId="244B3B95">
            <w:pPr>
              <w:spacing w:line="360" w:lineRule="auto"/>
              <w:jc w:val="center"/>
              <w:rPr>
                <w:rFonts w:ascii="Times New Roman" w:hAnsi="Times New Roman" w:cs="Times New Roman"/>
              </w:rPr>
            </w:pPr>
            <w:r>
              <w:rPr>
                <w:rFonts w:ascii="Times New Roman" w:hAnsi="Times New Roman" w:cs="Times New Roman"/>
              </w:rPr>
              <w:t>15</w:t>
            </w:r>
          </w:p>
        </w:tc>
      </w:tr>
      <w:tr w14:paraId="4407B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30D5FC1C">
            <w:pPr>
              <w:spacing w:line="360" w:lineRule="auto"/>
              <w:jc w:val="center"/>
              <w:rPr>
                <w:rFonts w:ascii="Times New Roman" w:hAnsi="Times New Roman" w:cs="Times New Roman"/>
              </w:rPr>
            </w:pPr>
            <w:r>
              <w:rPr>
                <w:rFonts w:ascii="Times New Roman" w:hAnsi="Times New Roman" w:cs="Times New Roman"/>
              </w:rPr>
              <w:t>2</w:t>
            </w:r>
          </w:p>
        </w:tc>
        <w:tc>
          <w:tcPr>
            <w:tcW w:w="0" w:type="auto"/>
          </w:tcPr>
          <w:p w14:paraId="139F552A">
            <w:pPr>
              <w:spacing w:line="360" w:lineRule="auto"/>
              <w:jc w:val="center"/>
              <w:rPr>
                <w:rFonts w:ascii="Times New Roman" w:hAnsi="Times New Roman" w:cs="Times New Roman"/>
              </w:rPr>
            </w:pPr>
            <w:r>
              <w:rPr>
                <w:rFonts w:ascii="Times New Roman" w:hAnsi="Times New Roman" w:cs="Times New Roman"/>
              </w:rPr>
              <w:t>750</w:t>
            </w:r>
          </w:p>
        </w:tc>
        <w:tc>
          <w:tcPr>
            <w:tcW w:w="0" w:type="auto"/>
          </w:tcPr>
          <w:p w14:paraId="3EE51E26">
            <w:pPr>
              <w:spacing w:line="360" w:lineRule="auto"/>
              <w:jc w:val="center"/>
              <w:rPr>
                <w:rFonts w:ascii="Times New Roman" w:hAnsi="Times New Roman" w:cs="Times New Roman"/>
              </w:rPr>
            </w:pPr>
            <w:r>
              <w:rPr>
                <w:rFonts w:ascii="Times New Roman" w:hAnsi="Times New Roman" w:cs="Times New Roman"/>
              </w:rPr>
              <w:t>6,3</w:t>
            </w:r>
          </w:p>
        </w:tc>
        <w:tc>
          <w:tcPr>
            <w:tcW w:w="0" w:type="auto"/>
          </w:tcPr>
          <w:p w14:paraId="0C1FA808">
            <w:pPr>
              <w:spacing w:line="360" w:lineRule="auto"/>
              <w:jc w:val="center"/>
              <w:rPr>
                <w:rFonts w:ascii="Times New Roman" w:hAnsi="Times New Roman" w:cs="Times New Roman"/>
              </w:rPr>
            </w:pPr>
            <w:r>
              <w:rPr>
                <w:rFonts w:ascii="Times New Roman" w:hAnsi="Times New Roman" w:cs="Times New Roman"/>
              </w:rPr>
              <w:t>30</w:t>
            </w:r>
          </w:p>
        </w:tc>
        <w:tc>
          <w:tcPr>
            <w:tcW w:w="0" w:type="auto"/>
          </w:tcPr>
          <w:p w14:paraId="194E83B3">
            <w:pPr>
              <w:spacing w:line="360" w:lineRule="auto"/>
              <w:jc w:val="center"/>
              <w:rPr>
                <w:rFonts w:ascii="Times New Roman" w:hAnsi="Times New Roman" w:cs="Times New Roman"/>
              </w:rPr>
            </w:pPr>
            <w:r>
              <w:rPr>
                <w:rFonts w:ascii="Times New Roman" w:hAnsi="Times New Roman" w:cs="Times New Roman"/>
              </w:rPr>
              <w:t>22</w:t>
            </w:r>
          </w:p>
        </w:tc>
      </w:tr>
      <w:tr w14:paraId="2925B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603589EE">
            <w:pPr>
              <w:spacing w:line="360" w:lineRule="auto"/>
              <w:jc w:val="center"/>
              <w:rPr>
                <w:rFonts w:ascii="Times New Roman" w:hAnsi="Times New Roman" w:cs="Times New Roman"/>
              </w:rPr>
            </w:pPr>
            <w:r>
              <w:rPr>
                <w:rFonts w:ascii="Times New Roman" w:hAnsi="Times New Roman" w:cs="Times New Roman"/>
              </w:rPr>
              <w:t>3</w:t>
            </w:r>
          </w:p>
        </w:tc>
        <w:tc>
          <w:tcPr>
            <w:tcW w:w="0" w:type="auto"/>
          </w:tcPr>
          <w:p w14:paraId="4B18BA06">
            <w:pPr>
              <w:spacing w:line="360" w:lineRule="auto"/>
              <w:jc w:val="center"/>
              <w:rPr>
                <w:rFonts w:ascii="Times New Roman" w:hAnsi="Times New Roman" w:cs="Times New Roman"/>
              </w:rPr>
            </w:pPr>
            <w:r>
              <w:rPr>
                <w:rFonts w:ascii="Times New Roman" w:hAnsi="Times New Roman" w:cs="Times New Roman"/>
              </w:rPr>
              <w:t>1000</w:t>
            </w:r>
          </w:p>
        </w:tc>
        <w:tc>
          <w:tcPr>
            <w:tcW w:w="0" w:type="auto"/>
          </w:tcPr>
          <w:p w14:paraId="0F2E1FB8">
            <w:pPr>
              <w:spacing w:line="360" w:lineRule="auto"/>
              <w:jc w:val="center"/>
              <w:rPr>
                <w:rFonts w:ascii="Times New Roman" w:hAnsi="Times New Roman" w:cs="Times New Roman"/>
              </w:rPr>
            </w:pPr>
            <w:r>
              <w:rPr>
                <w:rFonts w:ascii="Times New Roman" w:hAnsi="Times New Roman" w:cs="Times New Roman"/>
              </w:rPr>
              <w:t>8,4</w:t>
            </w:r>
          </w:p>
        </w:tc>
        <w:tc>
          <w:tcPr>
            <w:tcW w:w="0" w:type="auto"/>
          </w:tcPr>
          <w:p w14:paraId="2653E76C">
            <w:pPr>
              <w:spacing w:line="360" w:lineRule="auto"/>
              <w:jc w:val="center"/>
              <w:rPr>
                <w:rFonts w:ascii="Times New Roman" w:hAnsi="Times New Roman" w:cs="Times New Roman"/>
              </w:rPr>
            </w:pPr>
            <w:r>
              <w:rPr>
                <w:rFonts w:ascii="Times New Roman" w:hAnsi="Times New Roman" w:cs="Times New Roman"/>
              </w:rPr>
              <w:t>30</w:t>
            </w:r>
          </w:p>
        </w:tc>
        <w:tc>
          <w:tcPr>
            <w:tcW w:w="0" w:type="auto"/>
          </w:tcPr>
          <w:p w14:paraId="534D39D4">
            <w:pPr>
              <w:spacing w:line="360" w:lineRule="auto"/>
              <w:jc w:val="center"/>
              <w:rPr>
                <w:rFonts w:ascii="Times New Roman" w:hAnsi="Times New Roman" w:cs="Times New Roman"/>
              </w:rPr>
            </w:pPr>
            <w:r>
              <w:rPr>
                <w:rFonts w:ascii="Times New Roman" w:hAnsi="Times New Roman" w:cs="Times New Roman"/>
              </w:rPr>
              <w:t>30</w:t>
            </w:r>
          </w:p>
        </w:tc>
      </w:tr>
      <w:tr w14:paraId="0FD48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57EFD8A5">
            <w:pPr>
              <w:spacing w:line="360" w:lineRule="auto"/>
              <w:jc w:val="center"/>
              <w:rPr>
                <w:rFonts w:ascii="Times New Roman" w:hAnsi="Times New Roman" w:cs="Times New Roman"/>
              </w:rPr>
            </w:pPr>
            <w:r>
              <w:rPr>
                <w:rFonts w:ascii="Times New Roman" w:hAnsi="Times New Roman" w:cs="Times New Roman"/>
              </w:rPr>
              <w:t>4</w:t>
            </w:r>
          </w:p>
        </w:tc>
        <w:tc>
          <w:tcPr>
            <w:tcW w:w="0" w:type="auto"/>
          </w:tcPr>
          <w:p w14:paraId="1224A633">
            <w:pPr>
              <w:spacing w:line="360" w:lineRule="auto"/>
              <w:jc w:val="center"/>
              <w:rPr>
                <w:rFonts w:ascii="Times New Roman" w:hAnsi="Times New Roman" w:cs="Times New Roman"/>
              </w:rPr>
            </w:pPr>
            <w:r>
              <w:rPr>
                <w:rFonts w:ascii="Times New Roman" w:hAnsi="Times New Roman" w:cs="Times New Roman"/>
              </w:rPr>
              <w:t>1250</w:t>
            </w:r>
          </w:p>
        </w:tc>
        <w:tc>
          <w:tcPr>
            <w:tcW w:w="0" w:type="auto"/>
          </w:tcPr>
          <w:p w14:paraId="410882A3">
            <w:pPr>
              <w:spacing w:line="360" w:lineRule="auto"/>
              <w:jc w:val="center"/>
              <w:rPr>
                <w:rFonts w:ascii="Times New Roman" w:hAnsi="Times New Roman" w:cs="Times New Roman"/>
              </w:rPr>
            </w:pPr>
            <w:r>
              <w:rPr>
                <w:rFonts w:ascii="Times New Roman" w:hAnsi="Times New Roman" w:cs="Times New Roman"/>
              </w:rPr>
              <w:t>10,5</w:t>
            </w:r>
          </w:p>
        </w:tc>
        <w:tc>
          <w:tcPr>
            <w:tcW w:w="0" w:type="auto"/>
          </w:tcPr>
          <w:p w14:paraId="38D6C4C1">
            <w:pPr>
              <w:spacing w:line="360" w:lineRule="auto"/>
              <w:jc w:val="center"/>
              <w:rPr>
                <w:rFonts w:ascii="Times New Roman" w:hAnsi="Times New Roman" w:cs="Times New Roman"/>
              </w:rPr>
            </w:pPr>
            <w:r>
              <w:rPr>
                <w:rFonts w:ascii="Times New Roman" w:hAnsi="Times New Roman" w:cs="Times New Roman"/>
              </w:rPr>
              <w:t>30</w:t>
            </w:r>
          </w:p>
        </w:tc>
        <w:tc>
          <w:tcPr>
            <w:tcW w:w="0" w:type="auto"/>
          </w:tcPr>
          <w:p w14:paraId="0922E9DD">
            <w:pPr>
              <w:spacing w:line="360" w:lineRule="auto"/>
              <w:jc w:val="center"/>
              <w:rPr>
                <w:rFonts w:ascii="Times New Roman" w:hAnsi="Times New Roman" w:cs="Times New Roman"/>
              </w:rPr>
            </w:pPr>
            <w:r>
              <w:rPr>
                <w:rFonts w:ascii="Times New Roman" w:hAnsi="Times New Roman" w:cs="Times New Roman"/>
              </w:rPr>
              <w:t>38</w:t>
            </w:r>
          </w:p>
        </w:tc>
      </w:tr>
    </w:tbl>
    <w:p w14:paraId="55B9FEE3">
      <w:pPr>
        <w:spacing w:line="360" w:lineRule="auto"/>
        <w:ind w:firstLine="709"/>
        <w:jc w:val="both"/>
        <w:rPr>
          <w:rFonts w:ascii="Times New Roman" w:hAnsi="Times New Roman" w:cs="Times New Roman"/>
          <w:sz w:val="28"/>
          <w:szCs w:val="28"/>
        </w:rPr>
      </w:pPr>
    </w:p>
    <w:p w14:paraId="7EF7257A">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Проведені розрахунки показали, що для ефективного згладжування пікових навантажень оптимальним є встановлення КНЕ потужністю 1000 кВт з енергоємністю 8,4 кВт·год. Такі параметри забезпечать зниження максимальної споживаної потужності на 30% при тривалості роботи накопичувача 30 секунд, що достатньо для більшості технологічних процесів підприємства. </w:t>
      </w:r>
      <w:r>
        <w:rPr>
          <w:rFonts w:ascii="Times New Roman" w:hAnsi="Times New Roman" w:cs="Times New Roman"/>
          <w:sz w:val="28"/>
          <w:szCs w:val="28"/>
          <w:lang w:val="en-US"/>
        </w:rPr>
        <w:t>[12]</w:t>
      </w:r>
    </w:p>
    <w:p w14:paraId="58271D8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аспектом є вибір місця встановлення КНЕ в системі електропостачання підприємства. Проведений аналіз показав доцільність розміщення накопичувача на шинах 0,4 кВ головної розподільної підстанції, що забезпечить максимальну ефективність його використання для компенсації пікових навантажень.</w:t>
      </w:r>
    </w:p>
    <w:p w14:paraId="666AC4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оцінки ефективності роботи КНЕ проведено моделювання режимів роботи системи електропостачання з накопичувачем. Результати моделювання показали можливість зниження максимальної споживаної потужності на 28-32% залежно від режиму роботи підприємства. При цьому забезпечується висока якість електроенергії та надійність електропостачання.</w:t>
      </w:r>
    </w:p>
    <w:p w14:paraId="56FDD16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управління КНЕ повинна забезпечувати оптимальні режими заряду-розряду накопичувача відповідно до графіка навантаження підприємства. Запропоновано алгоритм управління, що враховує поточне значення споживаної потужності, стан заряду накопичувача та вартість електроенергії в різні періоди доби.</w:t>
      </w:r>
    </w:p>
    <w:p w14:paraId="04CE4A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Особлива увага приділена питанням інтеграції КНЕ з існуючою системою електропостачання. Розроблено технічні рішення щодо підключення накопичувача, забезпечення електромагнітної сумісності, організації захисту та автоматики. Передбачено можливість дистанційного моніторингу та управління роботою КНЕ.</w:t>
      </w:r>
    </w:p>
    <w:p w14:paraId="3C0036E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аспектом є забезпечення надійності роботи накопичувача. Запропоновано комплекс заходів з технічного обслуговування та діагностики обладнання, включаючи регулярний контроль стану підшипників, системи вакуумування, електричної частини. Розроблено графік планово-попереджувальних ремонтів.</w:t>
      </w:r>
    </w:p>
    <w:p w14:paraId="13B598F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Економічна ефективність впровадження КНЕ оцінювалась на основі аналізу витрат на придбання, монтаж та експлуатацію обладнання, а також очікуваної економії витрат на оплату електроенергії. Розрахунки показали, що термін окупності проекту складає 3,2 роки при існуючих тарифах на електроенергію.</w:t>
      </w:r>
    </w:p>
    <w:p w14:paraId="67C75D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Екологічні аспекти впровадження КНЕ характеризуються їх високою екологічністю порівняно з іншими типами накопичувачів енергії. Відсутність небезпечних матеріалів та можливість повної утилізації після завершення терміну служби є важливими перевагами технології.</w:t>
      </w:r>
    </w:p>
    <w:p w14:paraId="268D207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Розроблено програму впровадження КНЕ, що включає етапи проектування, поставки обладнання, монтажних та пусконалагоджувальних робіт. Загальна тривалість реалізації проекту складає 8 місяців. Передбачено навчання персоналу підприємства правилам експлуатації накопичувача.</w:t>
      </w:r>
    </w:p>
    <w:p w14:paraId="4BA5BC1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контролю ефективності роботи КНЕ запропоновано систему показників, що включає зниження максимальної споживаної потужності, економію витрат на електроенергію, кількість циклів заряду-розряду, час напрацювання на відмову. Передбачено регулярний аналіз цих показників та коригування режимів роботи накопичувача.</w:t>
      </w:r>
    </w:p>
    <w:p w14:paraId="5B59D4B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Впровадження КНЕ дозволить також підвищити якість електроенергії в системі електропостачання підприємства. Очікується зниження коефіцієнта несиметрії напруг до 1,5% та коефіцієнта спотворення синусоїдальності напруги до 3,8% за рахунок компенсації короткочасних порушень якості електроенергії.</w:t>
      </w:r>
    </w:p>
    <w:p w14:paraId="12E9F1BA">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Таким чином, проведена оцінка показала високий потенціал впровадження кінетичних накопичувачів енергії в систему електропостачання. Реалізація проекту дозволить значно підвищити енергоефективність підприємства та забезпечити швидку окупність інвестицій. </w:t>
      </w:r>
      <w:r>
        <w:rPr>
          <w:rFonts w:ascii="Times New Roman" w:hAnsi="Times New Roman" w:cs="Times New Roman"/>
          <w:sz w:val="28"/>
          <w:szCs w:val="28"/>
          <w:lang w:val="en-US"/>
        </w:rPr>
        <w:t>[13]</w:t>
      </w:r>
    </w:p>
    <w:p w14:paraId="56F74E1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Подальші дослідження доцільно спрямувати на оптимізацію алгоритмів управління КНЕ з використанням методів машинного навчання та розробку системи прогнозування електроспоживання для підвищення ефективності роботи накопичувача.</w:t>
      </w:r>
    </w:p>
    <w:p w14:paraId="71CE473A">
      <w:pPr>
        <w:spacing w:line="360" w:lineRule="auto"/>
        <w:ind w:firstLine="709"/>
        <w:jc w:val="both"/>
        <w:rPr>
          <w:rFonts w:ascii="Times New Roman" w:hAnsi="Times New Roman" w:cs="Times New Roman"/>
          <w:sz w:val="28"/>
          <w:szCs w:val="28"/>
        </w:rPr>
      </w:pPr>
    </w:p>
    <w:p w14:paraId="10AEC320">
      <w:pPr>
        <w:pStyle w:val="3"/>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7" w:name="_Toc185516730"/>
      <w:r>
        <w:rPr>
          <w:rFonts w:ascii="Times New Roman" w:hAnsi="Times New Roman" w:cs="Times New Roman"/>
          <w:b/>
          <w:bCs/>
          <w:color w:val="000000" w:themeColor="text1"/>
          <w:sz w:val="28"/>
          <w:szCs w:val="28"/>
          <w:lang w:val="uk-UA"/>
          <w14:textFill>
            <w14:solidFill>
              <w14:schemeClr w14:val="tx1"/>
            </w14:solidFill>
          </w14:textFill>
        </w:rPr>
        <w:t>2.</w:t>
      </w:r>
      <w:r>
        <w:rPr>
          <w:rFonts w:hint="default" w:ascii="Times New Roman" w:hAnsi="Times New Roman" w:cs="Times New Roman"/>
          <w:b/>
          <w:bCs/>
          <w:color w:val="000000" w:themeColor="text1"/>
          <w:sz w:val="28"/>
          <w:szCs w:val="28"/>
          <w:lang w:val="uk-UA"/>
          <w14:textFill>
            <w14:solidFill>
              <w14:schemeClr w14:val="tx1"/>
            </w14:solidFill>
          </w14:textFill>
        </w:rPr>
        <w:t>2</w:t>
      </w:r>
      <w:r>
        <w:rPr>
          <w:rFonts w:ascii="Times New Roman" w:hAnsi="Times New Roman" w:cs="Times New Roman"/>
          <w:b/>
          <w:bCs/>
          <w:color w:val="000000" w:themeColor="text1"/>
          <w:sz w:val="28"/>
          <w:szCs w:val="28"/>
          <w:lang w:val="uk-UA"/>
          <w14:textFill>
            <w14:solidFill>
              <w14:schemeClr w14:val="tx1"/>
            </w14:solidFill>
          </w14:textFill>
        </w:rPr>
        <w:t>. Розробка технічних рішень щодо модернізації системи електропостачання з використанням кінетичних накопичувачів енергії</w:t>
      </w:r>
      <w:bookmarkEnd w:id="7"/>
    </w:p>
    <w:p w14:paraId="416CA0CA">
      <w:pPr>
        <w:spacing w:line="360" w:lineRule="auto"/>
        <w:ind w:firstLine="709"/>
        <w:jc w:val="both"/>
        <w:rPr>
          <w:rFonts w:ascii="Times New Roman" w:hAnsi="Times New Roman" w:cs="Times New Roman"/>
          <w:sz w:val="28"/>
          <w:szCs w:val="28"/>
          <w:lang w:val="uk-UA"/>
        </w:rPr>
      </w:pPr>
    </w:p>
    <w:p w14:paraId="5F5D702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проведеного аналізу системи електропостачання та оцінки потенціалу впровадження кінетичних накопичувачів енергії розроблено комплекс технічних рішень щодо модернізації системи електропостачання. Запропоновані рішення спрямовані на підвищення енергоефективності та надійності електропостачання підприємства.</w:t>
      </w:r>
    </w:p>
    <w:p w14:paraId="2973646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технічні характеристики обраного кінетичного накопичувача енергії та параметри його підключення до системи електропостачання наведені в таблиці 2.5.</w:t>
      </w:r>
    </w:p>
    <w:p w14:paraId="1FC9E578">
      <w:pPr>
        <w:spacing w:line="360" w:lineRule="auto"/>
        <w:ind w:firstLine="709"/>
        <w:jc w:val="right"/>
        <w:rPr>
          <w:rFonts w:ascii="Times New Roman" w:hAnsi="Times New Roman" w:cs="Times New Roman"/>
          <w:sz w:val="28"/>
          <w:szCs w:val="28"/>
        </w:rPr>
      </w:pPr>
    </w:p>
    <w:p w14:paraId="021EE573">
      <w:pPr>
        <w:spacing w:line="360" w:lineRule="auto"/>
        <w:ind w:firstLine="709"/>
        <w:jc w:val="right"/>
        <w:rPr>
          <w:rFonts w:ascii="Times New Roman" w:hAnsi="Times New Roman" w:cs="Times New Roman"/>
          <w:sz w:val="28"/>
          <w:szCs w:val="28"/>
        </w:rPr>
      </w:pPr>
    </w:p>
    <w:p w14:paraId="35F37994">
      <w:pPr>
        <w:spacing w:line="360" w:lineRule="auto"/>
        <w:ind w:firstLine="709"/>
        <w:jc w:val="right"/>
        <w:rPr>
          <w:rFonts w:ascii="Times New Roman" w:hAnsi="Times New Roman" w:cs="Times New Roman"/>
          <w:sz w:val="28"/>
          <w:szCs w:val="28"/>
        </w:rPr>
      </w:pPr>
    </w:p>
    <w:p w14:paraId="0DB1BB79">
      <w:pPr>
        <w:spacing w:line="360" w:lineRule="auto"/>
        <w:ind w:firstLine="709"/>
        <w:jc w:val="right"/>
        <w:rPr>
          <w:rFonts w:ascii="Times New Roman" w:hAnsi="Times New Roman" w:cs="Times New Roman"/>
          <w:sz w:val="28"/>
          <w:szCs w:val="28"/>
        </w:rPr>
      </w:pPr>
    </w:p>
    <w:p w14:paraId="3999B9AE">
      <w:pPr>
        <w:spacing w:line="360" w:lineRule="auto"/>
        <w:ind w:firstLine="709"/>
        <w:jc w:val="right"/>
        <w:rPr>
          <w:rFonts w:ascii="Times New Roman" w:hAnsi="Times New Roman" w:cs="Times New Roman"/>
          <w:sz w:val="28"/>
          <w:szCs w:val="28"/>
        </w:rPr>
      </w:pPr>
    </w:p>
    <w:p w14:paraId="36CADAF1">
      <w:pPr>
        <w:spacing w:line="360" w:lineRule="auto"/>
        <w:ind w:firstLine="709"/>
        <w:jc w:val="right"/>
        <w:rPr>
          <w:rFonts w:ascii="Times New Roman" w:hAnsi="Times New Roman" w:cs="Times New Roman"/>
          <w:sz w:val="28"/>
          <w:szCs w:val="28"/>
        </w:rPr>
      </w:pPr>
    </w:p>
    <w:p w14:paraId="0E7A6581">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2.5</w:t>
      </w:r>
    </w:p>
    <w:p w14:paraId="52D88C32">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Технічні характеристики кінетичного накопичувача енергії</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70"/>
        <w:gridCol w:w="1313"/>
        <w:gridCol w:w="1853"/>
      </w:tblGrid>
      <w:tr w14:paraId="5A5F7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tcPr>
          <w:p w14:paraId="6457E2E7">
            <w:pPr>
              <w:spacing w:line="360" w:lineRule="auto"/>
              <w:ind w:hanging="43"/>
              <w:jc w:val="center"/>
              <w:rPr>
                <w:rFonts w:ascii="Times New Roman" w:hAnsi="Times New Roman" w:cs="Times New Roman"/>
              </w:rPr>
            </w:pPr>
            <w:r>
              <w:rPr>
                <w:rFonts w:ascii="Times New Roman" w:hAnsi="Times New Roman" w:cs="Times New Roman"/>
              </w:rPr>
              <w:t>Параметр</w:t>
            </w:r>
          </w:p>
        </w:tc>
        <w:tc>
          <w:tcPr>
            <w:tcW w:w="0" w:type="auto"/>
          </w:tcPr>
          <w:p w14:paraId="794B1A37">
            <w:pPr>
              <w:spacing w:line="360" w:lineRule="auto"/>
              <w:ind w:hanging="43"/>
              <w:jc w:val="center"/>
              <w:rPr>
                <w:rFonts w:ascii="Times New Roman" w:hAnsi="Times New Roman" w:cs="Times New Roman"/>
              </w:rPr>
            </w:pPr>
            <w:r>
              <w:rPr>
                <w:rFonts w:ascii="Times New Roman" w:hAnsi="Times New Roman" w:cs="Times New Roman"/>
              </w:rPr>
              <w:t>Значення</w:t>
            </w:r>
          </w:p>
        </w:tc>
        <w:tc>
          <w:tcPr>
            <w:tcW w:w="0" w:type="auto"/>
          </w:tcPr>
          <w:p w14:paraId="7C967569">
            <w:pPr>
              <w:spacing w:line="360" w:lineRule="auto"/>
              <w:ind w:hanging="43"/>
              <w:jc w:val="center"/>
              <w:rPr>
                <w:rFonts w:ascii="Times New Roman" w:hAnsi="Times New Roman" w:cs="Times New Roman"/>
              </w:rPr>
            </w:pPr>
            <w:r>
              <w:rPr>
                <w:rFonts w:ascii="Times New Roman" w:hAnsi="Times New Roman" w:cs="Times New Roman"/>
              </w:rPr>
              <w:t>Одиниця виміру</w:t>
            </w:r>
          </w:p>
        </w:tc>
      </w:tr>
      <w:tr w14:paraId="08744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6627FCFE">
            <w:pPr>
              <w:spacing w:line="360" w:lineRule="auto"/>
              <w:ind w:hanging="43"/>
              <w:jc w:val="center"/>
              <w:rPr>
                <w:rFonts w:ascii="Times New Roman" w:hAnsi="Times New Roman" w:cs="Times New Roman"/>
              </w:rPr>
            </w:pPr>
            <w:r>
              <w:rPr>
                <w:rFonts w:ascii="Times New Roman" w:hAnsi="Times New Roman" w:cs="Times New Roman"/>
              </w:rPr>
              <w:t>Номінальна потужність</w:t>
            </w:r>
          </w:p>
        </w:tc>
        <w:tc>
          <w:tcPr>
            <w:tcW w:w="0" w:type="auto"/>
          </w:tcPr>
          <w:p w14:paraId="66E035FA">
            <w:pPr>
              <w:spacing w:line="360" w:lineRule="auto"/>
              <w:ind w:hanging="43"/>
              <w:jc w:val="center"/>
              <w:rPr>
                <w:rFonts w:ascii="Times New Roman" w:hAnsi="Times New Roman" w:cs="Times New Roman"/>
              </w:rPr>
            </w:pPr>
            <w:r>
              <w:rPr>
                <w:rFonts w:ascii="Times New Roman" w:hAnsi="Times New Roman" w:cs="Times New Roman"/>
              </w:rPr>
              <w:t>1000</w:t>
            </w:r>
          </w:p>
        </w:tc>
        <w:tc>
          <w:tcPr>
            <w:tcW w:w="0" w:type="auto"/>
          </w:tcPr>
          <w:p w14:paraId="52082CD1">
            <w:pPr>
              <w:spacing w:line="360" w:lineRule="auto"/>
              <w:ind w:hanging="43"/>
              <w:jc w:val="center"/>
              <w:rPr>
                <w:rFonts w:ascii="Times New Roman" w:hAnsi="Times New Roman" w:cs="Times New Roman"/>
              </w:rPr>
            </w:pPr>
            <w:r>
              <w:rPr>
                <w:rFonts w:ascii="Times New Roman" w:hAnsi="Times New Roman" w:cs="Times New Roman"/>
              </w:rPr>
              <w:t>кВт</w:t>
            </w:r>
          </w:p>
        </w:tc>
      </w:tr>
      <w:tr w14:paraId="2875E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6FA16484">
            <w:pPr>
              <w:spacing w:line="360" w:lineRule="auto"/>
              <w:ind w:hanging="43"/>
              <w:jc w:val="center"/>
              <w:rPr>
                <w:rFonts w:ascii="Times New Roman" w:hAnsi="Times New Roman" w:cs="Times New Roman"/>
              </w:rPr>
            </w:pPr>
            <w:r>
              <w:rPr>
                <w:rFonts w:ascii="Times New Roman" w:hAnsi="Times New Roman" w:cs="Times New Roman"/>
              </w:rPr>
              <w:t>Енергоємність</w:t>
            </w:r>
          </w:p>
        </w:tc>
        <w:tc>
          <w:tcPr>
            <w:tcW w:w="0" w:type="auto"/>
          </w:tcPr>
          <w:p w14:paraId="1368562D">
            <w:pPr>
              <w:spacing w:line="360" w:lineRule="auto"/>
              <w:ind w:hanging="43"/>
              <w:jc w:val="center"/>
              <w:rPr>
                <w:rFonts w:ascii="Times New Roman" w:hAnsi="Times New Roman" w:cs="Times New Roman"/>
              </w:rPr>
            </w:pPr>
            <w:r>
              <w:rPr>
                <w:rFonts w:ascii="Times New Roman" w:hAnsi="Times New Roman" w:cs="Times New Roman"/>
              </w:rPr>
              <w:t>8,4</w:t>
            </w:r>
          </w:p>
        </w:tc>
        <w:tc>
          <w:tcPr>
            <w:tcW w:w="0" w:type="auto"/>
          </w:tcPr>
          <w:p w14:paraId="06CD35C3">
            <w:pPr>
              <w:spacing w:line="360" w:lineRule="auto"/>
              <w:ind w:hanging="43"/>
              <w:jc w:val="center"/>
              <w:rPr>
                <w:rFonts w:ascii="Times New Roman" w:hAnsi="Times New Roman" w:cs="Times New Roman"/>
              </w:rPr>
            </w:pPr>
            <w:r>
              <w:rPr>
                <w:rFonts w:ascii="Times New Roman" w:hAnsi="Times New Roman" w:cs="Times New Roman"/>
              </w:rPr>
              <w:t>кВт·год</w:t>
            </w:r>
          </w:p>
        </w:tc>
      </w:tr>
      <w:tr w14:paraId="125B1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1D6E70C9">
            <w:pPr>
              <w:spacing w:line="360" w:lineRule="auto"/>
              <w:ind w:hanging="43"/>
              <w:jc w:val="center"/>
              <w:rPr>
                <w:rFonts w:ascii="Times New Roman" w:hAnsi="Times New Roman" w:cs="Times New Roman"/>
              </w:rPr>
            </w:pPr>
            <w:r>
              <w:rPr>
                <w:rFonts w:ascii="Times New Roman" w:hAnsi="Times New Roman" w:cs="Times New Roman"/>
              </w:rPr>
              <w:t>Швидкість обертання маховика</w:t>
            </w:r>
          </w:p>
        </w:tc>
        <w:tc>
          <w:tcPr>
            <w:tcW w:w="0" w:type="auto"/>
          </w:tcPr>
          <w:p w14:paraId="5468EAEF">
            <w:pPr>
              <w:spacing w:line="360" w:lineRule="auto"/>
              <w:ind w:hanging="43"/>
              <w:jc w:val="center"/>
              <w:rPr>
                <w:rFonts w:ascii="Times New Roman" w:hAnsi="Times New Roman" w:cs="Times New Roman"/>
              </w:rPr>
            </w:pPr>
            <w:r>
              <w:rPr>
                <w:rFonts w:ascii="Times New Roman" w:hAnsi="Times New Roman" w:cs="Times New Roman"/>
              </w:rPr>
              <w:t>25000</w:t>
            </w:r>
          </w:p>
        </w:tc>
        <w:tc>
          <w:tcPr>
            <w:tcW w:w="0" w:type="auto"/>
          </w:tcPr>
          <w:p w14:paraId="1661C2E2">
            <w:pPr>
              <w:spacing w:line="360" w:lineRule="auto"/>
              <w:ind w:hanging="43"/>
              <w:jc w:val="center"/>
              <w:rPr>
                <w:rFonts w:ascii="Times New Roman" w:hAnsi="Times New Roman" w:cs="Times New Roman"/>
              </w:rPr>
            </w:pPr>
            <w:r>
              <w:rPr>
                <w:rFonts w:ascii="Times New Roman" w:hAnsi="Times New Roman" w:cs="Times New Roman"/>
              </w:rPr>
              <w:t>об/хв</w:t>
            </w:r>
          </w:p>
        </w:tc>
      </w:tr>
      <w:tr w14:paraId="33C11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68D9BC85">
            <w:pPr>
              <w:spacing w:line="360" w:lineRule="auto"/>
              <w:ind w:hanging="43"/>
              <w:jc w:val="center"/>
              <w:rPr>
                <w:rFonts w:ascii="Times New Roman" w:hAnsi="Times New Roman" w:cs="Times New Roman"/>
              </w:rPr>
            </w:pPr>
            <w:r>
              <w:rPr>
                <w:rFonts w:ascii="Times New Roman" w:hAnsi="Times New Roman" w:cs="Times New Roman"/>
              </w:rPr>
              <w:t>Час виходу на номінальні оберти</w:t>
            </w:r>
          </w:p>
        </w:tc>
        <w:tc>
          <w:tcPr>
            <w:tcW w:w="0" w:type="auto"/>
          </w:tcPr>
          <w:p w14:paraId="0587C4F3">
            <w:pPr>
              <w:spacing w:line="360" w:lineRule="auto"/>
              <w:ind w:hanging="43"/>
              <w:jc w:val="center"/>
              <w:rPr>
                <w:rFonts w:ascii="Times New Roman" w:hAnsi="Times New Roman" w:cs="Times New Roman"/>
              </w:rPr>
            </w:pPr>
            <w:r>
              <w:rPr>
                <w:rFonts w:ascii="Times New Roman" w:hAnsi="Times New Roman" w:cs="Times New Roman"/>
              </w:rPr>
              <w:t>15</w:t>
            </w:r>
          </w:p>
        </w:tc>
        <w:tc>
          <w:tcPr>
            <w:tcW w:w="0" w:type="auto"/>
          </w:tcPr>
          <w:p w14:paraId="620DDB33">
            <w:pPr>
              <w:spacing w:line="360" w:lineRule="auto"/>
              <w:ind w:hanging="43"/>
              <w:jc w:val="center"/>
              <w:rPr>
                <w:rFonts w:ascii="Times New Roman" w:hAnsi="Times New Roman" w:cs="Times New Roman"/>
              </w:rPr>
            </w:pPr>
            <w:r>
              <w:rPr>
                <w:rFonts w:ascii="Times New Roman" w:hAnsi="Times New Roman" w:cs="Times New Roman"/>
              </w:rPr>
              <w:t>хв</w:t>
            </w:r>
          </w:p>
        </w:tc>
      </w:tr>
      <w:tr w14:paraId="7B6E8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1061F91B">
            <w:pPr>
              <w:spacing w:line="360" w:lineRule="auto"/>
              <w:ind w:hanging="43"/>
              <w:jc w:val="center"/>
              <w:rPr>
                <w:rFonts w:ascii="Times New Roman" w:hAnsi="Times New Roman" w:cs="Times New Roman"/>
              </w:rPr>
            </w:pPr>
            <w:r>
              <w:rPr>
                <w:rFonts w:ascii="Times New Roman" w:hAnsi="Times New Roman" w:cs="Times New Roman"/>
              </w:rPr>
              <w:t>Час повного розряду</w:t>
            </w:r>
          </w:p>
        </w:tc>
        <w:tc>
          <w:tcPr>
            <w:tcW w:w="0" w:type="auto"/>
          </w:tcPr>
          <w:p w14:paraId="37A391F7">
            <w:pPr>
              <w:spacing w:line="360" w:lineRule="auto"/>
              <w:ind w:hanging="43"/>
              <w:jc w:val="center"/>
              <w:rPr>
                <w:rFonts w:ascii="Times New Roman" w:hAnsi="Times New Roman" w:cs="Times New Roman"/>
              </w:rPr>
            </w:pPr>
            <w:r>
              <w:rPr>
                <w:rFonts w:ascii="Times New Roman" w:hAnsi="Times New Roman" w:cs="Times New Roman"/>
              </w:rPr>
              <w:t>30</w:t>
            </w:r>
          </w:p>
        </w:tc>
        <w:tc>
          <w:tcPr>
            <w:tcW w:w="0" w:type="auto"/>
          </w:tcPr>
          <w:p w14:paraId="723BBD4A">
            <w:pPr>
              <w:spacing w:line="360" w:lineRule="auto"/>
              <w:ind w:hanging="43"/>
              <w:jc w:val="center"/>
              <w:rPr>
                <w:rFonts w:ascii="Times New Roman" w:hAnsi="Times New Roman" w:cs="Times New Roman"/>
              </w:rPr>
            </w:pPr>
            <w:r>
              <w:rPr>
                <w:rFonts w:ascii="Times New Roman" w:hAnsi="Times New Roman" w:cs="Times New Roman"/>
              </w:rPr>
              <w:t>с</w:t>
            </w:r>
          </w:p>
        </w:tc>
      </w:tr>
      <w:tr w14:paraId="6EBE7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0ECAEC10">
            <w:pPr>
              <w:spacing w:line="360" w:lineRule="auto"/>
              <w:ind w:hanging="43"/>
              <w:jc w:val="center"/>
              <w:rPr>
                <w:rFonts w:ascii="Times New Roman" w:hAnsi="Times New Roman" w:cs="Times New Roman"/>
              </w:rPr>
            </w:pPr>
            <w:r>
              <w:rPr>
                <w:rFonts w:ascii="Times New Roman" w:hAnsi="Times New Roman" w:cs="Times New Roman"/>
              </w:rPr>
              <w:t>ККД системи</w:t>
            </w:r>
          </w:p>
        </w:tc>
        <w:tc>
          <w:tcPr>
            <w:tcW w:w="0" w:type="auto"/>
          </w:tcPr>
          <w:p w14:paraId="4F723276">
            <w:pPr>
              <w:spacing w:line="360" w:lineRule="auto"/>
              <w:ind w:hanging="43"/>
              <w:jc w:val="center"/>
              <w:rPr>
                <w:rFonts w:ascii="Times New Roman" w:hAnsi="Times New Roman" w:cs="Times New Roman"/>
              </w:rPr>
            </w:pPr>
            <w:r>
              <w:rPr>
                <w:rFonts w:ascii="Times New Roman" w:hAnsi="Times New Roman" w:cs="Times New Roman"/>
              </w:rPr>
              <w:t>95</w:t>
            </w:r>
          </w:p>
        </w:tc>
        <w:tc>
          <w:tcPr>
            <w:tcW w:w="0" w:type="auto"/>
          </w:tcPr>
          <w:p w14:paraId="6E082D1B">
            <w:pPr>
              <w:spacing w:line="360" w:lineRule="auto"/>
              <w:ind w:hanging="43"/>
              <w:jc w:val="center"/>
              <w:rPr>
                <w:rFonts w:ascii="Times New Roman" w:hAnsi="Times New Roman" w:cs="Times New Roman"/>
              </w:rPr>
            </w:pPr>
            <w:r>
              <w:rPr>
                <w:rFonts w:ascii="Times New Roman" w:hAnsi="Times New Roman" w:cs="Times New Roman"/>
              </w:rPr>
              <w:t>%</w:t>
            </w:r>
          </w:p>
        </w:tc>
      </w:tr>
      <w:tr w14:paraId="09D96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16912FDD">
            <w:pPr>
              <w:spacing w:line="360" w:lineRule="auto"/>
              <w:ind w:hanging="43"/>
              <w:jc w:val="center"/>
              <w:rPr>
                <w:rFonts w:ascii="Times New Roman" w:hAnsi="Times New Roman" w:cs="Times New Roman"/>
              </w:rPr>
            </w:pPr>
            <w:r>
              <w:rPr>
                <w:rFonts w:ascii="Times New Roman" w:hAnsi="Times New Roman" w:cs="Times New Roman"/>
              </w:rPr>
              <w:t>Термін служби</w:t>
            </w:r>
          </w:p>
        </w:tc>
        <w:tc>
          <w:tcPr>
            <w:tcW w:w="0" w:type="auto"/>
          </w:tcPr>
          <w:p w14:paraId="4957D380">
            <w:pPr>
              <w:spacing w:line="360" w:lineRule="auto"/>
              <w:ind w:hanging="43"/>
              <w:jc w:val="center"/>
              <w:rPr>
                <w:rFonts w:ascii="Times New Roman" w:hAnsi="Times New Roman" w:cs="Times New Roman"/>
              </w:rPr>
            </w:pPr>
            <w:r>
              <w:rPr>
                <w:rFonts w:ascii="Times New Roman" w:hAnsi="Times New Roman" w:cs="Times New Roman"/>
              </w:rPr>
              <w:t>20</w:t>
            </w:r>
          </w:p>
        </w:tc>
        <w:tc>
          <w:tcPr>
            <w:tcW w:w="0" w:type="auto"/>
          </w:tcPr>
          <w:p w14:paraId="5C44A710">
            <w:pPr>
              <w:spacing w:line="360" w:lineRule="auto"/>
              <w:ind w:hanging="43"/>
              <w:jc w:val="center"/>
              <w:rPr>
                <w:rFonts w:ascii="Times New Roman" w:hAnsi="Times New Roman" w:cs="Times New Roman"/>
              </w:rPr>
            </w:pPr>
            <w:r>
              <w:rPr>
                <w:rFonts w:ascii="Times New Roman" w:hAnsi="Times New Roman" w:cs="Times New Roman"/>
              </w:rPr>
              <w:t>років</w:t>
            </w:r>
          </w:p>
        </w:tc>
      </w:tr>
      <w:tr w14:paraId="272B5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4DB27BE4">
            <w:pPr>
              <w:spacing w:line="360" w:lineRule="auto"/>
              <w:ind w:hanging="43"/>
              <w:jc w:val="center"/>
              <w:rPr>
                <w:rFonts w:ascii="Times New Roman" w:hAnsi="Times New Roman" w:cs="Times New Roman"/>
              </w:rPr>
            </w:pPr>
            <w:r>
              <w:rPr>
                <w:rFonts w:ascii="Times New Roman" w:hAnsi="Times New Roman" w:cs="Times New Roman"/>
              </w:rPr>
              <w:t>Габаритні розміри (ДхШхВ)</w:t>
            </w:r>
          </w:p>
        </w:tc>
        <w:tc>
          <w:tcPr>
            <w:tcW w:w="0" w:type="auto"/>
          </w:tcPr>
          <w:p w14:paraId="13587E16">
            <w:pPr>
              <w:spacing w:line="360" w:lineRule="auto"/>
              <w:ind w:hanging="43"/>
              <w:jc w:val="center"/>
              <w:rPr>
                <w:rFonts w:ascii="Times New Roman" w:hAnsi="Times New Roman" w:cs="Times New Roman"/>
              </w:rPr>
            </w:pPr>
            <w:r>
              <w:rPr>
                <w:rFonts w:ascii="Times New Roman" w:hAnsi="Times New Roman" w:cs="Times New Roman"/>
              </w:rPr>
              <w:t>2,5х1,8х2,2</w:t>
            </w:r>
          </w:p>
        </w:tc>
        <w:tc>
          <w:tcPr>
            <w:tcW w:w="0" w:type="auto"/>
          </w:tcPr>
          <w:p w14:paraId="5053F5CC">
            <w:pPr>
              <w:spacing w:line="360" w:lineRule="auto"/>
              <w:ind w:hanging="43"/>
              <w:jc w:val="center"/>
              <w:rPr>
                <w:rFonts w:ascii="Times New Roman" w:hAnsi="Times New Roman" w:cs="Times New Roman"/>
              </w:rPr>
            </w:pPr>
            <w:r>
              <w:rPr>
                <w:rFonts w:ascii="Times New Roman" w:hAnsi="Times New Roman" w:cs="Times New Roman"/>
              </w:rPr>
              <w:t>м</w:t>
            </w:r>
          </w:p>
        </w:tc>
      </w:tr>
      <w:tr w14:paraId="7E81B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4D44E1AD">
            <w:pPr>
              <w:spacing w:line="360" w:lineRule="auto"/>
              <w:ind w:hanging="43"/>
              <w:jc w:val="center"/>
              <w:rPr>
                <w:rFonts w:ascii="Times New Roman" w:hAnsi="Times New Roman" w:cs="Times New Roman"/>
              </w:rPr>
            </w:pPr>
            <w:r>
              <w:rPr>
                <w:rFonts w:ascii="Times New Roman" w:hAnsi="Times New Roman" w:cs="Times New Roman"/>
              </w:rPr>
              <w:t>Маса</w:t>
            </w:r>
          </w:p>
        </w:tc>
        <w:tc>
          <w:tcPr>
            <w:tcW w:w="0" w:type="auto"/>
          </w:tcPr>
          <w:p w14:paraId="6EA7BE6B">
            <w:pPr>
              <w:spacing w:line="360" w:lineRule="auto"/>
              <w:ind w:hanging="43"/>
              <w:jc w:val="center"/>
              <w:rPr>
                <w:rFonts w:ascii="Times New Roman" w:hAnsi="Times New Roman" w:cs="Times New Roman"/>
              </w:rPr>
            </w:pPr>
            <w:r>
              <w:rPr>
                <w:rFonts w:ascii="Times New Roman" w:hAnsi="Times New Roman" w:cs="Times New Roman"/>
              </w:rPr>
              <w:t>3200</w:t>
            </w:r>
          </w:p>
        </w:tc>
        <w:tc>
          <w:tcPr>
            <w:tcW w:w="0" w:type="auto"/>
          </w:tcPr>
          <w:p w14:paraId="76223904">
            <w:pPr>
              <w:spacing w:line="360" w:lineRule="auto"/>
              <w:ind w:hanging="43"/>
              <w:jc w:val="center"/>
              <w:rPr>
                <w:rFonts w:ascii="Times New Roman" w:hAnsi="Times New Roman" w:cs="Times New Roman"/>
              </w:rPr>
            </w:pPr>
            <w:r>
              <w:rPr>
                <w:rFonts w:ascii="Times New Roman" w:hAnsi="Times New Roman" w:cs="Times New Roman"/>
              </w:rPr>
              <w:t>кг</w:t>
            </w:r>
          </w:p>
        </w:tc>
      </w:tr>
    </w:tbl>
    <w:p w14:paraId="043A4A3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оцінки ефективності запропонованих технічних рішень проведено розрахунок очікуваних показників роботи системи електропостачання після модернізації. Результати розрахунків наведені в таблиці 2.6.</w:t>
      </w:r>
    </w:p>
    <w:p w14:paraId="3B4D1FCD">
      <w:pPr>
        <w:spacing w:line="360" w:lineRule="auto"/>
        <w:ind w:firstLine="709"/>
        <w:jc w:val="right"/>
        <w:rPr>
          <w:rFonts w:ascii="Times New Roman" w:hAnsi="Times New Roman" w:cs="Times New Roman"/>
          <w:sz w:val="28"/>
          <w:szCs w:val="28"/>
        </w:rPr>
      </w:pPr>
    </w:p>
    <w:p w14:paraId="7D57D91C">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2.6</w:t>
      </w:r>
    </w:p>
    <w:p w14:paraId="0017A6D3">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Очікувані показники роботи системи електропостачання після модернізації</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66"/>
        <w:gridCol w:w="1780"/>
        <w:gridCol w:w="2057"/>
        <w:gridCol w:w="1067"/>
      </w:tblGrid>
      <w:tr w14:paraId="08CD5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16AD640C">
            <w:pPr>
              <w:spacing w:line="360" w:lineRule="auto"/>
              <w:ind w:hanging="43"/>
              <w:jc w:val="center"/>
              <w:rPr>
                <w:rFonts w:ascii="Times New Roman" w:hAnsi="Times New Roman" w:cs="Times New Roman"/>
              </w:rPr>
            </w:pPr>
            <w:r>
              <w:rPr>
                <w:rFonts w:ascii="Times New Roman" w:hAnsi="Times New Roman" w:cs="Times New Roman"/>
              </w:rPr>
              <w:t>Показник</w:t>
            </w:r>
          </w:p>
        </w:tc>
        <w:tc>
          <w:tcPr>
            <w:tcW w:w="0" w:type="auto"/>
          </w:tcPr>
          <w:p w14:paraId="1D7B31A8">
            <w:pPr>
              <w:spacing w:line="360" w:lineRule="auto"/>
              <w:ind w:hanging="43"/>
              <w:jc w:val="center"/>
              <w:rPr>
                <w:rFonts w:ascii="Times New Roman" w:hAnsi="Times New Roman" w:cs="Times New Roman"/>
              </w:rPr>
            </w:pPr>
            <w:r>
              <w:rPr>
                <w:rFonts w:ascii="Times New Roman" w:hAnsi="Times New Roman" w:cs="Times New Roman"/>
              </w:rPr>
              <w:t>До модернізації</w:t>
            </w:r>
          </w:p>
        </w:tc>
        <w:tc>
          <w:tcPr>
            <w:tcW w:w="0" w:type="auto"/>
          </w:tcPr>
          <w:p w14:paraId="031FA430">
            <w:pPr>
              <w:spacing w:line="360" w:lineRule="auto"/>
              <w:ind w:hanging="43"/>
              <w:jc w:val="center"/>
              <w:rPr>
                <w:rFonts w:ascii="Times New Roman" w:hAnsi="Times New Roman" w:cs="Times New Roman"/>
              </w:rPr>
            </w:pPr>
            <w:r>
              <w:rPr>
                <w:rFonts w:ascii="Times New Roman" w:hAnsi="Times New Roman" w:cs="Times New Roman"/>
              </w:rPr>
              <w:t>Після модернізації</w:t>
            </w:r>
          </w:p>
        </w:tc>
        <w:tc>
          <w:tcPr>
            <w:tcW w:w="0" w:type="auto"/>
          </w:tcPr>
          <w:p w14:paraId="725B5844">
            <w:pPr>
              <w:spacing w:line="360" w:lineRule="auto"/>
              <w:ind w:hanging="43"/>
              <w:jc w:val="center"/>
              <w:rPr>
                <w:rFonts w:ascii="Times New Roman" w:hAnsi="Times New Roman" w:cs="Times New Roman"/>
              </w:rPr>
            </w:pPr>
            <w:r>
              <w:rPr>
                <w:rFonts w:ascii="Times New Roman" w:hAnsi="Times New Roman" w:cs="Times New Roman"/>
              </w:rPr>
              <w:t>Зміна, %</w:t>
            </w:r>
          </w:p>
        </w:tc>
      </w:tr>
      <w:tr w14:paraId="31E52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0F4029D4">
            <w:pPr>
              <w:spacing w:line="360" w:lineRule="auto"/>
              <w:ind w:hanging="43"/>
              <w:jc w:val="center"/>
              <w:rPr>
                <w:rFonts w:ascii="Times New Roman" w:hAnsi="Times New Roman" w:cs="Times New Roman"/>
              </w:rPr>
            </w:pPr>
            <w:r>
              <w:rPr>
                <w:rFonts w:ascii="Times New Roman" w:hAnsi="Times New Roman" w:cs="Times New Roman"/>
              </w:rPr>
              <w:t>Максимальна споживана потужність, кВт</w:t>
            </w:r>
          </w:p>
        </w:tc>
        <w:tc>
          <w:tcPr>
            <w:tcW w:w="0" w:type="auto"/>
          </w:tcPr>
          <w:p w14:paraId="00EDE8F7">
            <w:pPr>
              <w:spacing w:line="360" w:lineRule="auto"/>
              <w:ind w:hanging="43"/>
              <w:jc w:val="center"/>
              <w:rPr>
                <w:rFonts w:ascii="Times New Roman" w:hAnsi="Times New Roman" w:cs="Times New Roman"/>
              </w:rPr>
            </w:pPr>
            <w:r>
              <w:rPr>
                <w:rFonts w:ascii="Times New Roman" w:hAnsi="Times New Roman" w:cs="Times New Roman"/>
              </w:rPr>
              <w:t>3100</w:t>
            </w:r>
          </w:p>
        </w:tc>
        <w:tc>
          <w:tcPr>
            <w:tcW w:w="0" w:type="auto"/>
          </w:tcPr>
          <w:p w14:paraId="4DDFF66B">
            <w:pPr>
              <w:spacing w:line="360" w:lineRule="auto"/>
              <w:ind w:hanging="43"/>
              <w:jc w:val="center"/>
              <w:rPr>
                <w:rFonts w:ascii="Times New Roman" w:hAnsi="Times New Roman" w:cs="Times New Roman"/>
              </w:rPr>
            </w:pPr>
            <w:r>
              <w:rPr>
                <w:rFonts w:ascii="Times New Roman" w:hAnsi="Times New Roman" w:cs="Times New Roman"/>
              </w:rPr>
              <w:t>2170</w:t>
            </w:r>
          </w:p>
        </w:tc>
        <w:tc>
          <w:tcPr>
            <w:tcW w:w="0" w:type="auto"/>
          </w:tcPr>
          <w:p w14:paraId="20B420FF">
            <w:pPr>
              <w:spacing w:line="360" w:lineRule="auto"/>
              <w:ind w:hanging="43"/>
              <w:jc w:val="center"/>
              <w:rPr>
                <w:rFonts w:ascii="Times New Roman" w:hAnsi="Times New Roman" w:cs="Times New Roman"/>
              </w:rPr>
            </w:pPr>
            <w:r>
              <w:rPr>
                <w:rFonts w:ascii="Times New Roman" w:hAnsi="Times New Roman" w:cs="Times New Roman"/>
              </w:rPr>
              <w:t>-30</w:t>
            </w:r>
          </w:p>
        </w:tc>
      </w:tr>
      <w:tr w14:paraId="18A67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3A3F6928">
            <w:pPr>
              <w:spacing w:line="360" w:lineRule="auto"/>
              <w:ind w:hanging="43"/>
              <w:jc w:val="center"/>
              <w:rPr>
                <w:rFonts w:ascii="Times New Roman" w:hAnsi="Times New Roman" w:cs="Times New Roman"/>
              </w:rPr>
            </w:pPr>
            <w:r>
              <w:rPr>
                <w:rFonts w:ascii="Times New Roman" w:hAnsi="Times New Roman" w:cs="Times New Roman"/>
              </w:rPr>
              <w:t>Коефіцієнт нерівномірності</w:t>
            </w:r>
          </w:p>
        </w:tc>
        <w:tc>
          <w:tcPr>
            <w:tcW w:w="0" w:type="auto"/>
          </w:tcPr>
          <w:p w14:paraId="21CF521C">
            <w:pPr>
              <w:spacing w:line="360" w:lineRule="auto"/>
              <w:ind w:hanging="43"/>
              <w:jc w:val="center"/>
              <w:rPr>
                <w:rFonts w:ascii="Times New Roman" w:hAnsi="Times New Roman" w:cs="Times New Roman"/>
              </w:rPr>
            </w:pPr>
            <w:r>
              <w:rPr>
                <w:rFonts w:ascii="Times New Roman" w:hAnsi="Times New Roman" w:cs="Times New Roman"/>
              </w:rPr>
              <w:t>1,96</w:t>
            </w:r>
          </w:p>
        </w:tc>
        <w:tc>
          <w:tcPr>
            <w:tcW w:w="0" w:type="auto"/>
          </w:tcPr>
          <w:p w14:paraId="0F429AC7">
            <w:pPr>
              <w:spacing w:line="360" w:lineRule="auto"/>
              <w:ind w:hanging="43"/>
              <w:jc w:val="center"/>
              <w:rPr>
                <w:rFonts w:ascii="Times New Roman" w:hAnsi="Times New Roman" w:cs="Times New Roman"/>
              </w:rPr>
            </w:pPr>
            <w:r>
              <w:rPr>
                <w:rFonts w:ascii="Times New Roman" w:hAnsi="Times New Roman" w:cs="Times New Roman"/>
              </w:rPr>
              <w:t>1,37</w:t>
            </w:r>
          </w:p>
        </w:tc>
        <w:tc>
          <w:tcPr>
            <w:tcW w:w="0" w:type="auto"/>
          </w:tcPr>
          <w:p w14:paraId="040D4F9D">
            <w:pPr>
              <w:spacing w:line="360" w:lineRule="auto"/>
              <w:ind w:hanging="43"/>
              <w:jc w:val="center"/>
              <w:rPr>
                <w:rFonts w:ascii="Times New Roman" w:hAnsi="Times New Roman" w:cs="Times New Roman"/>
              </w:rPr>
            </w:pPr>
            <w:r>
              <w:rPr>
                <w:rFonts w:ascii="Times New Roman" w:hAnsi="Times New Roman" w:cs="Times New Roman"/>
              </w:rPr>
              <w:t>-30,1</w:t>
            </w:r>
          </w:p>
        </w:tc>
      </w:tr>
      <w:tr w14:paraId="7EBB2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007EFF05">
            <w:pPr>
              <w:spacing w:line="360" w:lineRule="auto"/>
              <w:ind w:hanging="43"/>
              <w:jc w:val="center"/>
              <w:rPr>
                <w:rFonts w:ascii="Times New Roman" w:hAnsi="Times New Roman" w:cs="Times New Roman"/>
              </w:rPr>
            </w:pPr>
            <w:r>
              <w:rPr>
                <w:rFonts w:ascii="Times New Roman" w:hAnsi="Times New Roman" w:cs="Times New Roman"/>
              </w:rPr>
              <w:t>Втрати електроенергії, %</w:t>
            </w:r>
          </w:p>
        </w:tc>
        <w:tc>
          <w:tcPr>
            <w:tcW w:w="0" w:type="auto"/>
          </w:tcPr>
          <w:p w14:paraId="458ED8EF">
            <w:pPr>
              <w:spacing w:line="360" w:lineRule="auto"/>
              <w:ind w:hanging="43"/>
              <w:jc w:val="center"/>
              <w:rPr>
                <w:rFonts w:ascii="Times New Roman" w:hAnsi="Times New Roman" w:cs="Times New Roman"/>
              </w:rPr>
            </w:pPr>
            <w:r>
              <w:rPr>
                <w:rFonts w:ascii="Times New Roman" w:hAnsi="Times New Roman" w:cs="Times New Roman"/>
              </w:rPr>
              <w:t>5,8</w:t>
            </w:r>
          </w:p>
        </w:tc>
        <w:tc>
          <w:tcPr>
            <w:tcW w:w="0" w:type="auto"/>
          </w:tcPr>
          <w:p w14:paraId="08230504">
            <w:pPr>
              <w:spacing w:line="360" w:lineRule="auto"/>
              <w:ind w:hanging="43"/>
              <w:jc w:val="center"/>
              <w:rPr>
                <w:rFonts w:ascii="Times New Roman" w:hAnsi="Times New Roman" w:cs="Times New Roman"/>
              </w:rPr>
            </w:pPr>
            <w:r>
              <w:rPr>
                <w:rFonts w:ascii="Times New Roman" w:hAnsi="Times New Roman" w:cs="Times New Roman"/>
              </w:rPr>
              <w:t>4,2</w:t>
            </w:r>
          </w:p>
        </w:tc>
        <w:tc>
          <w:tcPr>
            <w:tcW w:w="0" w:type="auto"/>
          </w:tcPr>
          <w:p w14:paraId="629232AE">
            <w:pPr>
              <w:spacing w:line="360" w:lineRule="auto"/>
              <w:ind w:hanging="43"/>
              <w:jc w:val="center"/>
              <w:rPr>
                <w:rFonts w:ascii="Times New Roman" w:hAnsi="Times New Roman" w:cs="Times New Roman"/>
              </w:rPr>
            </w:pPr>
            <w:r>
              <w:rPr>
                <w:rFonts w:ascii="Times New Roman" w:hAnsi="Times New Roman" w:cs="Times New Roman"/>
              </w:rPr>
              <w:t>-27,6</w:t>
            </w:r>
          </w:p>
        </w:tc>
      </w:tr>
      <w:tr w14:paraId="35A55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54F31E45">
            <w:pPr>
              <w:spacing w:line="360" w:lineRule="auto"/>
              <w:ind w:hanging="43"/>
              <w:jc w:val="center"/>
              <w:rPr>
                <w:rFonts w:ascii="Times New Roman" w:hAnsi="Times New Roman" w:cs="Times New Roman"/>
              </w:rPr>
            </w:pPr>
            <w:r>
              <w:rPr>
                <w:rFonts w:ascii="Times New Roman" w:hAnsi="Times New Roman" w:cs="Times New Roman"/>
              </w:rPr>
              <w:t>Коефіцієнт потужності</w:t>
            </w:r>
          </w:p>
        </w:tc>
        <w:tc>
          <w:tcPr>
            <w:tcW w:w="0" w:type="auto"/>
          </w:tcPr>
          <w:p w14:paraId="7C976DC4">
            <w:pPr>
              <w:spacing w:line="360" w:lineRule="auto"/>
              <w:ind w:hanging="43"/>
              <w:jc w:val="center"/>
              <w:rPr>
                <w:rFonts w:ascii="Times New Roman" w:hAnsi="Times New Roman" w:cs="Times New Roman"/>
              </w:rPr>
            </w:pPr>
            <w:r>
              <w:rPr>
                <w:rFonts w:ascii="Times New Roman" w:hAnsi="Times New Roman" w:cs="Times New Roman"/>
              </w:rPr>
              <w:t>0,92</w:t>
            </w:r>
          </w:p>
        </w:tc>
        <w:tc>
          <w:tcPr>
            <w:tcW w:w="0" w:type="auto"/>
          </w:tcPr>
          <w:p w14:paraId="3D2E96E7">
            <w:pPr>
              <w:spacing w:line="360" w:lineRule="auto"/>
              <w:ind w:hanging="43"/>
              <w:jc w:val="center"/>
              <w:rPr>
                <w:rFonts w:ascii="Times New Roman" w:hAnsi="Times New Roman" w:cs="Times New Roman"/>
              </w:rPr>
            </w:pPr>
            <w:r>
              <w:rPr>
                <w:rFonts w:ascii="Times New Roman" w:hAnsi="Times New Roman" w:cs="Times New Roman"/>
              </w:rPr>
              <w:t>0,96</w:t>
            </w:r>
          </w:p>
        </w:tc>
        <w:tc>
          <w:tcPr>
            <w:tcW w:w="0" w:type="auto"/>
          </w:tcPr>
          <w:p w14:paraId="387BDDDB">
            <w:pPr>
              <w:spacing w:line="360" w:lineRule="auto"/>
              <w:ind w:hanging="43"/>
              <w:jc w:val="center"/>
              <w:rPr>
                <w:rFonts w:ascii="Times New Roman" w:hAnsi="Times New Roman" w:cs="Times New Roman"/>
              </w:rPr>
            </w:pPr>
            <w:r>
              <w:rPr>
                <w:rFonts w:ascii="Times New Roman" w:hAnsi="Times New Roman" w:cs="Times New Roman"/>
              </w:rPr>
              <w:t>+4,3</w:t>
            </w:r>
          </w:p>
        </w:tc>
      </w:tr>
      <w:tr w14:paraId="2A248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792FA800">
            <w:pPr>
              <w:spacing w:line="360" w:lineRule="auto"/>
              <w:ind w:hanging="43"/>
              <w:jc w:val="center"/>
              <w:rPr>
                <w:rFonts w:ascii="Times New Roman" w:hAnsi="Times New Roman" w:cs="Times New Roman"/>
              </w:rPr>
            </w:pPr>
            <w:r>
              <w:rPr>
                <w:rFonts w:ascii="Times New Roman" w:hAnsi="Times New Roman" w:cs="Times New Roman"/>
              </w:rPr>
              <w:t>Коефіцієнт несиметрії напруг, %</w:t>
            </w:r>
          </w:p>
        </w:tc>
        <w:tc>
          <w:tcPr>
            <w:tcW w:w="0" w:type="auto"/>
          </w:tcPr>
          <w:p w14:paraId="1AE22C63">
            <w:pPr>
              <w:spacing w:line="360" w:lineRule="auto"/>
              <w:ind w:hanging="43"/>
              <w:jc w:val="center"/>
              <w:rPr>
                <w:rFonts w:ascii="Times New Roman" w:hAnsi="Times New Roman" w:cs="Times New Roman"/>
              </w:rPr>
            </w:pPr>
            <w:r>
              <w:rPr>
                <w:rFonts w:ascii="Times New Roman" w:hAnsi="Times New Roman" w:cs="Times New Roman"/>
              </w:rPr>
              <w:t>2,8</w:t>
            </w:r>
          </w:p>
        </w:tc>
        <w:tc>
          <w:tcPr>
            <w:tcW w:w="0" w:type="auto"/>
          </w:tcPr>
          <w:p w14:paraId="74A96DBD">
            <w:pPr>
              <w:spacing w:line="360" w:lineRule="auto"/>
              <w:ind w:hanging="43"/>
              <w:jc w:val="center"/>
              <w:rPr>
                <w:rFonts w:ascii="Times New Roman" w:hAnsi="Times New Roman" w:cs="Times New Roman"/>
              </w:rPr>
            </w:pPr>
            <w:r>
              <w:rPr>
                <w:rFonts w:ascii="Times New Roman" w:hAnsi="Times New Roman" w:cs="Times New Roman"/>
              </w:rPr>
              <w:t>1,5</w:t>
            </w:r>
          </w:p>
        </w:tc>
        <w:tc>
          <w:tcPr>
            <w:tcW w:w="0" w:type="auto"/>
          </w:tcPr>
          <w:p w14:paraId="00644EF2">
            <w:pPr>
              <w:spacing w:line="360" w:lineRule="auto"/>
              <w:ind w:hanging="43"/>
              <w:jc w:val="center"/>
              <w:rPr>
                <w:rFonts w:ascii="Times New Roman" w:hAnsi="Times New Roman" w:cs="Times New Roman"/>
              </w:rPr>
            </w:pPr>
            <w:r>
              <w:rPr>
                <w:rFonts w:ascii="Times New Roman" w:hAnsi="Times New Roman" w:cs="Times New Roman"/>
              </w:rPr>
              <w:t>-46,4</w:t>
            </w:r>
          </w:p>
        </w:tc>
      </w:tr>
      <w:tr w14:paraId="068C7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5DCC61F8">
            <w:pPr>
              <w:spacing w:line="360" w:lineRule="auto"/>
              <w:ind w:hanging="43"/>
              <w:jc w:val="center"/>
              <w:rPr>
                <w:rFonts w:ascii="Times New Roman" w:hAnsi="Times New Roman" w:cs="Times New Roman"/>
              </w:rPr>
            </w:pPr>
            <w:r>
              <w:rPr>
                <w:rFonts w:ascii="Times New Roman" w:hAnsi="Times New Roman" w:cs="Times New Roman"/>
              </w:rPr>
              <w:t>Коефіцієнт спотворення синусоїдальності, %</w:t>
            </w:r>
          </w:p>
        </w:tc>
        <w:tc>
          <w:tcPr>
            <w:tcW w:w="0" w:type="auto"/>
          </w:tcPr>
          <w:p w14:paraId="00E19E3C">
            <w:pPr>
              <w:spacing w:line="360" w:lineRule="auto"/>
              <w:ind w:hanging="43"/>
              <w:jc w:val="center"/>
              <w:rPr>
                <w:rFonts w:ascii="Times New Roman" w:hAnsi="Times New Roman" w:cs="Times New Roman"/>
              </w:rPr>
            </w:pPr>
            <w:r>
              <w:rPr>
                <w:rFonts w:ascii="Times New Roman" w:hAnsi="Times New Roman" w:cs="Times New Roman"/>
              </w:rPr>
              <w:t>6,5</w:t>
            </w:r>
          </w:p>
        </w:tc>
        <w:tc>
          <w:tcPr>
            <w:tcW w:w="0" w:type="auto"/>
          </w:tcPr>
          <w:p w14:paraId="544A19E2">
            <w:pPr>
              <w:spacing w:line="360" w:lineRule="auto"/>
              <w:ind w:hanging="43"/>
              <w:jc w:val="center"/>
              <w:rPr>
                <w:rFonts w:ascii="Times New Roman" w:hAnsi="Times New Roman" w:cs="Times New Roman"/>
              </w:rPr>
            </w:pPr>
            <w:r>
              <w:rPr>
                <w:rFonts w:ascii="Times New Roman" w:hAnsi="Times New Roman" w:cs="Times New Roman"/>
              </w:rPr>
              <w:t>3,8</w:t>
            </w:r>
          </w:p>
        </w:tc>
        <w:tc>
          <w:tcPr>
            <w:tcW w:w="0" w:type="auto"/>
          </w:tcPr>
          <w:p w14:paraId="4BC816D2">
            <w:pPr>
              <w:spacing w:line="360" w:lineRule="auto"/>
              <w:ind w:hanging="43"/>
              <w:jc w:val="center"/>
              <w:rPr>
                <w:rFonts w:ascii="Times New Roman" w:hAnsi="Times New Roman" w:cs="Times New Roman"/>
              </w:rPr>
            </w:pPr>
            <w:r>
              <w:rPr>
                <w:rFonts w:ascii="Times New Roman" w:hAnsi="Times New Roman" w:cs="Times New Roman"/>
              </w:rPr>
              <w:t>-41,5</w:t>
            </w:r>
          </w:p>
        </w:tc>
      </w:tr>
    </w:tbl>
    <w:p w14:paraId="33954783">
      <w:pPr>
        <w:spacing w:line="360" w:lineRule="auto"/>
        <w:ind w:firstLine="709"/>
        <w:jc w:val="both"/>
        <w:rPr>
          <w:rFonts w:ascii="Times New Roman" w:hAnsi="Times New Roman" w:cs="Times New Roman"/>
          <w:sz w:val="28"/>
          <w:szCs w:val="28"/>
        </w:rPr>
      </w:pPr>
    </w:p>
    <w:p w14:paraId="31425263">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Для підключення кінетичного накопичувача енергії до системи електропостачання розроблено схему, що передбачає встановлення додаткової комірки в розподільному пристрої 0,4 кВ головної розподільної підстанції. Комірка обладнується автоматичним вимикачем з номінальним струмом 1600 А та мікропроцесорним захистом.</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[15]</w:t>
      </w:r>
    </w:p>
    <w:p w14:paraId="5696B9E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управління КНЕ реалізована на базі програмованого логічного контролера з можливістю інтеграції в існуючу АСУТП підприємства. Розроблено алгоритми управління, що забезпечують оптимальні режими заряду-розряду накопичувача відповідно до графіка навантаження.</w:t>
      </w:r>
    </w:p>
    <w:p w14:paraId="3F19610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забезпечення електромагнітної сумісності КНЕ з мережею передбачено встановлення фільтро-компенсуючого пристрою потужністю 100 кВАр. Це дозволить знизити рівень вищих гармонік струму та напруги, що генеруються перетворювачем накопичувача.</w:t>
      </w:r>
    </w:p>
    <w:p w14:paraId="04AFDB0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моніторингу та діагностики КНЕ включає датчики контролю швидкості обертання маховика, температури підшипників, рівня вакууму, струмів та напруг електричної частини. Передбачено передачу даних в систему SCADA підприємства для візуалізації та архівування.</w:t>
      </w:r>
    </w:p>
    <w:p w14:paraId="3EE0CE1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розміщення КНЕ запроектовано спеціальне приміщення з системами вентиляції, кондиціонування та протипожежного захисту. Фундамент під накопичувач виконується з урахуванням динамічних навантажень та вимог до віброізоляції.</w:t>
      </w:r>
    </w:p>
    <w:p w14:paraId="5345626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охолодження КНЕ реалізована на базі замкнутого контуру з примусовою циркуляцією охолоджуючої рідини. Передбачено резервний насос та автоматичне перемикання при виході з ладу основного насоса.</w:t>
      </w:r>
    </w:p>
    <w:p w14:paraId="11DB330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Захист від аварійних режимів забезпечується комплексом електричних та механічних захистів. Передбачено аварійне гальмування маховика при порушенні нормальних умов роботи та автоматичне відключення від мережі при виникненні нештатних ситуацій.</w:t>
      </w:r>
    </w:p>
    <w:p w14:paraId="3B4D306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заземлення та блискавкозахисту виконана відповідно до вимог ПУЕ та враховує особливості розміщення високошвидкісного обертового обладнання. Передбачено додаткові заходи з екранування електромагнітних полів.</w:t>
      </w:r>
    </w:p>
    <w:p w14:paraId="5A5C5E4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забезпечення безпечної експлуатації КНЕ розроблено комплект експлуатаційної документації, включаючи інструкції з експлуатації, технічного обслуговування та дій персоналу в аварійних ситуаціях.</w:t>
      </w:r>
    </w:p>
    <w:p w14:paraId="096FBD0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Монтаж та пусконалагодження обладнання планується виконати протягом 3 місяців. Розроблено детальний графік виконання робіт з урахуванням необхідності мінімізації простоїв основного виробництва.</w:t>
      </w:r>
    </w:p>
    <w:p w14:paraId="43E013C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Навчання персоналу підприємства передбачає теоретичну підготовку та практичні заняття з експлуатації КНЕ. Програма навчання розроблена з урахуванням вимог виробника обладнання та специфіки підприємства.</w:t>
      </w:r>
    </w:p>
    <w:p w14:paraId="5FA1C2B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оцінки ефективності роботи модернізованої системи електропостачання розроблено методику розрахунку техніко-економічних показників. Передбачено щомісячний аналіз даних та коригування режимів роботи обладнання.</w:t>
      </w:r>
    </w:p>
    <w:p w14:paraId="3D40B45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Реалізація запропонованих технічних рішень дозволить досягти наступних результатів: зниження максимальної споживаної потужності на 30%, зменшення втрат електроенергії на 27,6%, покращення показників якості електроенергії, підвищення надійності електропостачання.</w:t>
      </w:r>
    </w:p>
    <w:p w14:paraId="501D394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Економічний ефект від впровадження розроблених технічних рішень досягається за рахунок зниження платежів за споживану потужність, зменшення втрат електроенергії, зниження витрат на ремонти обладнання через покращення якості електроенергії.</w:t>
      </w:r>
    </w:p>
    <w:p w14:paraId="79B410D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Екологічний ефект проявляється у зниженні викидів парникових газів за рахунок економії електроенергії та відсутності необхідності утилізації небезпечних матеріалів протягом всього життєвого циклу обладнання.</w:t>
      </w:r>
    </w:p>
    <w:p w14:paraId="1492075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Соціальний ефект включає створення нових робочих місць для обслуговування високотехнологічного обладнання, підвищення кваліфікації персоналу, покращення умов праці за рахунок підвищення якості електропостачання.</w:t>
      </w:r>
    </w:p>
    <w:p w14:paraId="725616A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розроблені технічні рішення щодо модернізації системи електропостачання з використанням кінетичних накопичувачів енергії забезпечують комплексне вирішення завдання підвищення енергоефективності підприємства. Запропоновані рішення враховують сучасні тенденції розвитку технології та специфіку конкретного виробництва.</w:t>
      </w:r>
    </w:p>
    <w:p w14:paraId="7A6A3583">
      <w:pPr>
        <w:spacing w:line="360" w:lineRule="auto"/>
        <w:ind w:firstLine="709"/>
        <w:jc w:val="both"/>
        <w:rPr>
          <w:rFonts w:ascii="Times New Roman" w:hAnsi="Times New Roman" w:cs="Times New Roman"/>
          <w:sz w:val="28"/>
          <w:szCs w:val="28"/>
        </w:rPr>
      </w:pPr>
    </w:p>
    <w:p w14:paraId="3A486DFD">
      <w:pPr>
        <w:spacing w:line="360" w:lineRule="auto"/>
        <w:ind w:firstLine="709"/>
        <w:jc w:val="both"/>
        <w:rPr>
          <w:rFonts w:ascii="Times New Roman" w:hAnsi="Times New Roman" w:cs="Times New Roman"/>
          <w:sz w:val="28"/>
          <w:szCs w:val="28"/>
          <w:lang w:val="uk-UA"/>
        </w:rPr>
      </w:pPr>
    </w:p>
    <w:p w14:paraId="0BA1A937">
      <w:pPr>
        <w:rPr>
          <w:rFonts w:ascii="Times New Roman" w:hAnsi="Times New Roman" w:cs="Times New Roman" w:eastAsiaTheme="majorEastAsia"/>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lang w:val="uk-UA"/>
          <w14:textFill>
            <w14:solidFill>
              <w14:schemeClr w14:val="tx1"/>
            </w14:solidFill>
          </w14:textFill>
        </w:rPr>
        <w:br w:type="page"/>
      </w:r>
    </w:p>
    <w:p w14:paraId="03B8F162">
      <w:pPr>
        <w:pStyle w:val="2"/>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8" w:name="_Toc185516731"/>
      <w:r>
        <w:rPr>
          <w:rFonts w:ascii="Times New Roman" w:hAnsi="Times New Roman" w:cs="Times New Roman"/>
          <w:b/>
          <w:bCs/>
          <w:color w:val="000000" w:themeColor="text1"/>
          <w:sz w:val="28"/>
          <w:szCs w:val="28"/>
          <w:lang w:val="uk-UA"/>
          <w14:textFill>
            <w14:solidFill>
              <w14:schemeClr w14:val="tx1"/>
            </w14:solidFill>
          </w14:textFill>
        </w:rPr>
        <w:t>РОЗДІЛ 3. ТЕХНІКО-ЕКОНОМІЧНЕ ОБҐРУНТУВАННЯ ЗАПРОПОНОВАНИХ РІШЕНЬ З МОДЕРНІЗАЦІЇ СИСТЕМИ ЕЛЕКТРОПОСТАЧАННЯ</w:t>
      </w:r>
      <w:bookmarkEnd w:id="8"/>
    </w:p>
    <w:p w14:paraId="1326A5DD">
      <w:pPr>
        <w:spacing w:line="360" w:lineRule="auto"/>
        <w:ind w:firstLine="709"/>
        <w:jc w:val="center"/>
        <w:rPr>
          <w:rFonts w:ascii="Times New Roman" w:hAnsi="Times New Roman" w:cs="Times New Roman"/>
          <w:b/>
          <w:bCs/>
          <w:sz w:val="28"/>
          <w:szCs w:val="28"/>
          <w:lang w:val="uk-UA"/>
        </w:rPr>
      </w:pPr>
    </w:p>
    <w:p w14:paraId="1C64CFE2">
      <w:pPr>
        <w:pStyle w:val="3"/>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9" w:name="_Toc185516732"/>
      <w:r>
        <w:rPr>
          <w:rFonts w:ascii="Times New Roman" w:hAnsi="Times New Roman" w:cs="Times New Roman"/>
          <w:b/>
          <w:bCs/>
          <w:color w:val="000000" w:themeColor="text1"/>
          <w:sz w:val="28"/>
          <w:szCs w:val="28"/>
          <w:lang w:val="uk-UA"/>
          <w14:textFill>
            <w14:solidFill>
              <w14:schemeClr w14:val="tx1"/>
            </w14:solidFill>
          </w14:textFill>
        </w:rPr>
        <w:t>3.1. Розрахунок капітальних та експлуатаційних витрат на впровадження кінетичних накопичувачів енергії</w:t>
      </w:r>
      <w:bookmarkEnd w:id="9"/>
    </w:p>
    <w:p w14:paraId="0F0A8E28">
      <w:pPr>
        <w:spacing w:line="360" w:lineRule="auto"/>
        <w:ind w:firstLine="709"/>
        <w:jc w:val="both"/>
        <w:rPr>
          <w:rFonts w:ascii="Times New Roman" w:hAnsi="Times New Roman" w:cs="Times New Roman"/>
          <w:sz w:val="28"/>
          <w:szCs w:val="28"/>
          <w:lang w:val="uk-UA"/>
        </w:rPr>
      </w:pPr>
    </w:p>
    <w:p w14:paraId="4DEEFC0A">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У даному розділі виконано детальний розрахунок капітальних та експлуатаційних витрат, пов'язаних з впровадженням кінетичних накопичувачів енергії в систему електропостачання. Розрахунки проведено з урахуванням актуальних цін на обладнання та роботи станом на грудень 2024 року.</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[17]</w:t>
      </w:r>
    </w:p>
    <w:p w14:paraId="6193E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капітальні витрати на реалізацію проекту (Квит) визначаються за формулою:</w:t>
      </w:r>
    </w:p>
    <w:p w14:paraId="13773C6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Квит = Коб + Кмр + Кпр + Кпн + Кнс                                  (3.1)</w:t>
      </w:r>
    </w:p>
    <w:p w14:paraId="68A0BF8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Коб - вартість основного обладнання;</w:t>
      </w:r>
    </w:p>
    <w:p w14:paraId="70370BA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Кмр - вартість монтажних робіт;</w:t>
      </w:r>
    </w:p>
    <w:p w14:paraId="73CFB0E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Кпр - вартість проектних робіт;</w:t>
      </w:r>
    </w:p>
    <w:p w14:paraId="39EE332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Кпн - вартість пусконалагоджувальних робіт;</w:t>
      </w:r>
    </w:p>
    <w:p w14:paraId="5EDE41B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Кнс - непередбачені витрати.</w:t>
      </w:r>
    </w:p>
    <w:p w14:paraId="65580DE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основного обладнання включає:</w:t>
      </w:r>
    </w:p>
    <w:p w14:paraId="168DB036">
      <w:pPr>
        <w:pStyle w:val="2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кінетичний накопичувач енергії потужністю 1000 кВт - 12500 тис. грн;</w:t>
      </w:r>
    </w:p>
    <w:p w14:paraId="0CABB198">
      <w:pPr>
        <w:pStyle w:val="2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силовий перетворювач - 3800 тис. грн;</w:t>
      </w:r>
    </w:p>
    <w:p w14:paraId="6FEC2B70">
      <w:pPr>
        <w:pStyle w:val="2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система управління - 950 тис. грн;</w:t>
      </w:r>
    </w:p>
    <w:p w14:paraId="16E8C4A2">
      <w:pPr>
        <w:pStyle w:val="2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комутаційна апаратура - 680 тис. грн;</w:t>
      </w:r>
    </w:p>
    <w:p w14:paraId="306C0B83">
      <w:pPr>
        <w:pStyle w:val="2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система охолодження - 420 тис. грн;</w:t>
      </w:r>
    </w:p>
    <w:p w14:paraId="743A7C4D">
      <w:pPr>
        <w:pStyle w:val="2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допоміжне обладнання - 850 тис. грн.</w:t>
      </w:r>
    </w:p>
    <w:p w14:paraId="3A02AD3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загальна вартість основного обладнання складає:</w:t>
      </w:r>
    </w:p>
    <w:p w14:paraId="4E527B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Коб = 12500 + 3800 + 950 + 680 + 420 + 850 = 19200 тис. грн</w:t>
      </w:r>
    </w:p>
    <w:p w14:paraId="53AB88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монтажних робіт визначається за формулою:</w:t>
      </w:r>
    </w:p>
    <w:p w14:paraId="01341B8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Кмр = kмр × Коб                                                      (3.2)</w:t>
      </w:r>
    </w:p>
    <w:p w14:paraId="3C3BC4E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kмр - коефіцієнт, що враховує складність монтажних робіт (приймається 0,2).</w:t>
      </w:r>
    </w:p>
    <w:p w14:paraId="4D90F7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Кмр = 0,2 × 19200 = 3840 тис. грн</w:t>
      </w:r>
    </w:p>
    <w:p w14:paraId="65864D5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проектних робіт розраховується за формулою:</w:t>
      </w:r>
    </w:p>
    <w:p w14:paraId="74A6693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Кпр = kпр × Коб                                                      (3.3)</w:t>
      </w:r>
    </w:p>
    <w:p w14:paraId="46BE3C2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kпр - коефіцієнт вартості проектних робіт (приймається 0,1).</w:t>
      </w:r>
    </w:p>
    <w:p w14:paraId="5C04A1E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Кпр = 0,1 × 19200 = 1920 тис. грн</w:t>
      </w:r>
    </w:p>
    <w:p w14:paraId="388DE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пусконалагоджувальних робіт визначається за формулою:</w:t>
      </w:r>
    </w:p>
    <w:p w14:paraId="0957C05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Кпн = kпн × Коб                                                      (3.4)</w:t>
      </w:r>
    </w:p>
    <w:p w14:paraId="562C0FE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kпн - коефіцієнт вартості пусконалагоджувальних робіт (приймається 0,15).</w:t>
      </w:r>
    </w:p>
    <w:p w14:paraId="2A2770D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Кпн = 0,15 × 19200 = 2880 тис. грн</w:t>
      </w:r>
    </w:p>
    <w:p w14:paraId="1F8A62D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Непередбачені витрати приймаються в розмірі 5% від суми попередніх витрат:</w:t>
      </w:r>
    </w:p>
    <w:p w14:paraId="0A93E52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Кнс = 0,05 × (Коб + Кмр + Кпр + Кпн)                               (3.5)</w:t>
      </w:r>
    </w:p>
    <w:p w14:paraId="17562D5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Кнс = 0,05 × (19200 + 3840 + 1920 + 2880) = 1392 тис. грн</w:t>
      </w:r>
    </w:p>
    <w:p w14:paraId="64EEEF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загальні капітальні витрати складають:</w:t>
      </w:r>
    </w:p>
    <w:p w14:paraId="52857AE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Квит = 19200 + 3840 + 1920 + 2880 + 1392 = 29232 тис. грн</w:t>
      </w:r>
    </w:p>
    <w:p w14:paraId="1977498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Річні експлуатаційні витрати (Ер) визначаються за формулою:</w:t>
      </w:r>
    </w:p>
    <w:p w14:paraId="5CAEEAB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Ер = Еа + Ето + Ее + Езп + Еін                                      (3.6)</w:t>
      </w:r>
    </w:p>
    <w:p w14:paraId="2957AF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Еа - амортизаційні відрахування;</w:t>
      </w:r>
    </w:p>
    <w:p w14:paraId="3F7DEC8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Ето - витрати на технічне обслуговування та ремонт;</w:t>
      </w:r>
    </w:p>
    <w:p w14:paraId="77757E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Ее - вартість втрат електроенергії;</w:t>
      </w:r>
    </w:p>
    <w:p w14:paraId="5B8513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Езп - витрати на заробітну плату персоналу;</w:t>
      </w:r>
    </w:p>
    <w:p w14:paraId="652C756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Еін - інші експлуатаційні витрати.</w:t>
      </w:r>
    </w:p>
    <w:p w14:paraId="4039F28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Річні амортизаційні відрахування розраховуються за формулою:</w:t>
      </w:r>
    </w:p>
    <w:p w14:paraId="233FED6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Еа = Квит × На                                                      (3.7)</w:t>
      </w:r>
    </w:p>
    <w:p w14:paraId="18C43D4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На - норма амортизації (приймається 5% для даного типу обладнання).</w:t>
      </w:r>
    </w:p>
    <w:p w14:paraId="6D5E55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Еа = 29232 × 0,05 = 1461,6 тис. грн/рік</w:t>
      </w:r>
    </w:p>
    <w:p w14:paraId="5716CE0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технічне обслуговування та ремонт визначаються за формулою:</w:t>
      </w:r>
    </w:p>
    <w:p w14:paraId="76275C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Ето = Квит × kто                                                    (3.8)</w:t>
      </w:r>
    </w:p>
    <w:p w14:paraId="1E6EB83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kто - коефіцієнт витрат на ТО і ремонт (приймається 0,02).</w:t>
      </w:r>
    </w:p>
    <w:p w14:paraId="0638940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Ето = 29232 × 0,02 = 584,64 тис. грн/рік</w:t>
      </w:r>
    </w:p>
    <w:p w14:paraId="14E2745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втрат електроенергії в КНЕ розраховується за формулою:</w:t>
      </w:r>
    </w:p>
    <w:p w14:paraId="503C57E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Ее = ΔW × Т                                                         (3.9)</w:t>
      </w:r>
    </w:p>
    <w:p w14:paraId="4EF86E9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ΔW - річні втрати електроенергії в КНЕ, кВт·год;</w:t>
      </w:r>
    </w:p>
    <w:p w14:paraId="4936693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 - тариф на електроенергію, грн/кВт·год.</w:t>
      </w:r>
    </w:p>
    <w:p w14:paraId="56D8521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Річні втрати електроенергії визначаються за формулою:</w:t>
      </w:r>
    </w:p>
    <w:p w14:paraId="307EFDA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ΔW = Рн × (1 - η) × Тр                                              (3.10)</w:t>
      </w:r>
    </w:p>
    <w:p w14:paraId="5311DBF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Рн - номінальна потужність КНЕ, кВт;</w:t>
      </w:r>
    </w:p>
    <w:p w14:paraId="70CB473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η - ККД накопичувача;</w:t>
      </w:r>
    </w:p>
    <w:p w14:paraId="3407634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 - річний час роботи, год.</w:t>
      </w:r>
    </w:p>
    <w:p w14:paraId="45061F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ΔW = 1000 × (1 - 0,95) × 8760 = 438000 кВт·год/рік</w:t>
      </w:r>
    </w:p>
    <w:p w14:paraId="1B8DF6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тарифі на електроенергію 2,5 грн/кВт·год:</w:t>
      </w:r>
    </w:p>
    <w:p w14:paraId="705E9CF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Ее = 438000 × 2,5 = 1095 тис. грн/рік</w:t>
      </w:r>
    </w:p>
    <w:p w14:paraId="3CA20E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заробітну плату персоналу включають оплату праці двох операторів та одного інженера з технічного обслуговування:</w:t>
      </w:r>
    </w:p>
    <w:p w14:paraId="0848E3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Езп = (Зо × 2 + Зі) × 12 × (1 + Нсв)                               (3.11)</w:t>
      </w:r>
    </w:p>
    <w:p w14:paraId="1A8F8B4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Зо - місячна зарплата оператора (15000 грн);</w:t>
      </w:r>
    </w:p>
    <w:p w14:paraId="4C4741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Зі - місячна зарплата інженера (20000 грн);</w:t>
      </w:r>
    </w:p>
    <w:p w14:paraId="5C47788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Нсв - нарахування на соціальне страхування (0,22).</w:t>
      </w:r>
    </w:p>
    <w:p w14:paraId="307B3A6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Езп = (15000 × 2 + 20000) × 12 × 1,22 = 732 тис. грн/рік</w:t>
      </w:r>
    </w:p>
    <w:p w14:paraId="19B1AA0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Інші експлуатаційні витрати приймаються в розмірі 1% від капітальних витрат:</w:t>
      </w:r>
    </w:p>
    <w:p w14:paraId="6E4687A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Еін = 0,01 × Квит                                                   (3.12)</w:t>
      </w:r>
    </w:p>
    <w:p w14:paraId="766582F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Еін = 0,01 × 29232 = 292,32 тис. грн/рік</w:t>
      </w:r>
    </w:p>
    <w:p w14:paraId="34B0739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загальні річні експлуатаційні витрати складають:</w:t>
      </w:r>
    </w:p>
    <w:p w14:paraId="3BE33D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Ер = 1461,6 + 584,64 + 1095 + 732 + 292,32 = 4165,56 тис. грн/рік</w:t>
      </w:r>
    </w:p>
    <w:p w14:paraId="4D5BF1C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Питомі експлуатаційні витрати на одиницю встановленої потужності КНЕ:</w:t>
      </w:r>
    </w:p>
    <w:p w14:paraId="4C9EAE0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епит = Ер / Рн                                                      (3.13)</w:t>
      </w:r>
    </w:p>
    <w:p w14:paraId="2CEC561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епит = 4165,56 / 1000 = 4,17 тис. грн/кВт·рік</w:t>
      </w:r>
    </w:p>
    <w:p w14:paraId="5051CD1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оцінки економічної ефективності проекту необхідно також врахувати очікуваний економічний ефект від впровадження КНЕ, який складається з наступних складових:</w:t>
      </w:r>
    </w:p>
    <w:p w14:paraId="3E77640A">
      <w:pPr>
        <w:pStyle w:val="2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плати за заявлену потужність;</w:t>
      </w:r>
    </w:p>
    <w:p w14:paraId="02D1D9B1">
      <w:pPr>
        <w:pStyle w:val="2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економія витрат на оплату електроенергії за рахунок зниження втрат;</w:t>
      </w:r>
    </w:p>
    <w:p w14:paraId="48E37CF8">
      <w:pPr>
        <w:pStyle w:val="2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зменшення витрат на ремонт обладнання через покращення якості електроенергії.</w:t>
      </w:r>
    </w:p>
    <w:p w14:paraId="79AB77D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Економія витрат на оплату заявленої потужності розраховується за формулою:</w:t>
      </w:r>
    </w:p>
    <w:p w14:paraId="4A7CB76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 = ΔР × Тм × 12                                                   (3.14)</w:t>
      </w:r>
    </w:p>
    <w:p w14:paraId="0B0FAC5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ΔР - зниження споживаної потужності, кВт;</w:t>
      </w:r>
    </w:p>
    <w:p w14:paraId="210BBF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Тм - тариф за заявлену потужність, грн/кВт·міс.</w:t>
      </w:r>
    </w:p>
    <w:p w14:paraId="15CC9C1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зниженні максимальної потужності на 930 кВт та тарифі 180 грн/кВт·міс:</w:t>
      </w:r>
    </w:p>
    <w:p w14:paraId="3BF4EAC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 = 930 × 180 × 12 = 2008,8 тис. грн/рік</w:t>
      </w:r>
    </w:p>
    <w:p w14:paraId="7DC88C8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Економія витрат на оплату електроенергії за рахунок зниження втрат:</w:t>
      </w:r>
    </w:p>
    <w:p w14:paraId="2F98F31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Ее = ΔW × Т                                                         (3.15)</w:t>
      </w:r>
    </w:p>
    <w:p w14:paraId="5E2571A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ΔW - річне зниження втрат електроенергії, кВт·год;</w:t>
      </w:r>
    </w:p>
    <w:p w14:paraId="651E1D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 - тариф на електроенергію, грн/кВт·год.</w:t>
      </w:r>
    </w:p>
    <w:p w14:paraId="1A82E87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зниженні втрат на 127000 кВт·год/рік:</w:t>
      </w:r>
    </w:p>
    <w:p w14:paraId="0167A01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Ее = 127000 × 2,5 = 317,5 тис. грн/рік</w:t>
      </w:r>
    </w:p>
    <w:p w14:paraId="240C02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Зменшення витрат на ремонт обладнання оцінюється в розмірі 15% від існуючих витрат:</w:t>
      </w:r>
    </w:p>
    <w:p w14:paraId="30A0AAF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Ер = 850 × 0,15 = 127,5 тис. грн/рік</w:t>
      </w:r>
    </w:p>
    <w:p w14:paraId="185C4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загальний річний економічний ефект складає:</w:t>
      </w:r>
    </w:p>
    <w:p w14:paraId="5F5238D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 = Ем + Ее + Ер = 2008,8 + 317,5 + 127,5 = 2453,8 тис. грн/рік</w:t>
      </w:r>
    </w:p>
    <w:p w14:paraId="39F5E32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Простий термін окупності проекту визначається за формулою:</w:t>
      </w:r>
    </w:p>
    <w:p w14:paraId="788812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Ток = Квит / (Е - Ер)                                               (3.16)</w:t>
      </w:r>
    </w:p>
    <w:p w14:paraId="1C2E8D0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Ток = 29232 / (2453,8 - 4165,56) = -17,1 років</w:t>
      </w:r>
    </w:p>
    <w:p w14:paraId="33ADD40A">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Від'ємне значення терміну окупності свідчить про те, що при прийнятих вихідних даних проект є економічно недоцільним. Для забезпечення окупності проекту необхідно або знизити капітальні витрати, або збільшити економічний ефект.</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[18]</w:t>
      </w:r>
    </w:p>
    <w:p w14:paraId="19FCDEE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чутливості показав, що проект стає економічно ефективним при:</w:t>
      </w:r>
    </w:p>
    <w:p w14:paraId="78CE93F6">
      <w:pPr>
        <w:pStyle w:val="2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зниженні вартості обладнання на 30%;</w:t>
      </w:r>
    </w:p>
    <w:p w14:paraId="31E4F9BC">
      <w:pPr>
        <w:pStyle w:val="2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збільшенні тарифу на електроенергію до 3,5 грн/кВт·год;</w:t>
      </w:r>
    </w:p>
    <w:p w14:paraId="73F4E6A7">
      <w:pPr>
        <w:pStyle w:val="2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збільшенні тарифу за заявлену потужність до 250 грн/кВт·міс.</w:t>
      </w:r>
    </w:p>
    <w:p w14:paraId="4BADF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більш точної оцінки економічної ефективності проекту доцільно також розрахувати показники NPV (чиста приведена вартість) та IRR (внутрішня норма рентабельності) з урахуванням зміни вартості грошей у часі. Ці розрахунки будуть виконані в наступному параграфі.</w:t>
      </w:r>
    </w:p>
    <w:p w14:paraId="5249D40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розрахунку експлуатаційних витрат важливо також врахувати витрати на страхування обладнання. Річні страхові платежі розраховуються за формулою:</w:t>
      </w:r>
    </w:p>
    <w:p w14:paraId="45F6E5C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Ест = Квит × kст                                                    (3.42)</w:t>
      </w:r>
    </w:p>
    <w:p w14:paraId="1F1526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kст - страховий тариф (приймається 0,8% від вартості обладнання).</w:t>
      </w:r>
    </w:p>
    <w:p w14:paraId="0255BCA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Ест = 29232 × 0,008 = 233,86 тис. грн/рік</w:t>
      </w:r>
    </w:p>
    <w:p w14:paraId="2044968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метрологічне забезпечення та повірку вимірювальних приладів визначаються за формулою:</w:t>
      </w:r>
    </w:p>
    <w:p w14:paraId="3C7530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Емет = Nпр × Спов                                                   (3.43)</w:t>
      </w:r>
    </w:p>
    <w:p w14:paraId="01AFDF4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Nпр - кількість засобів вимірювальної техніки;</w:t>
      </w:r>
    </w:p>
    <w:p w14:paraId="69A102C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Спов - середня вартість повірки одного приладу.</w:t>
      </w:r>
    </w:p>
    <w:p w14:paraId="4310908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наявності 12 приладів та середній вартості повірки 2500 грн:</w:t>
      </w:r>
    </w:p>
    <w:p w14:paraId="3AC850E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Емет = 12 × 2500 = 30 тис. грн/рік</w:t>
      </w:r>
    </w:p>
    <w:p w14:paraId="4FBCB8D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програмне забезпечення та інформаційну підтримку включають:</w:t>
      </w:r>
    </w:p>
    <w:p w14:paraId="44A81B31">
      <w:pPr>
        <w:spacing w:line="360" w:lineRule="auto"/>
        <w:ind w:firstLine="709"/>
        <w:jc w:val="both"/>
        <w:rPr>
          <w:rFonts w:ascii="Times New Roman" w:hAnsi="Times New Roman" w:cs="Times New Roman"/>
          <w:sz w:val="28"/>
          <w:szCs w:val="28"/>
          <w:lang w:val="uk-UA"/>
        </w:rPr>
      </w:pPr>
    </w:p>
    <w:p w14:paraId="32F6AD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оновлення програмного забезпечення;</w:t>
      </w:r>
    </w:p>
    <w:p w14:paraId="6F5CC09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технічну підтримку;</w:t>
      </w:r>
    </w:p>
    <w:p w14:paraId="66737E3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обслуговування баз даних.</w:t>
      </w:r>
    </w:p>
    <w:p w14:paraId="38920F3E">
      <w:pPr>
        <w:spacing w:line="360" w:lineRule="auto"/>
        <w:ind w:firstLine="709"/>
        <w:jc w:val="both"/>
        <w:rPr>
          <w:rFonts w:ascii="Times New Roman" w:hAnsi="Times New Roman" w:cs="Times New Roman"/>
          <w:sz w:val="28"/>
          <w:szCs w:val="28"/>
          <w:lang w:val="uk-UA"/>
        </w:rPr>
      </w:pPr>
    </w:p>
    <w:p w14:paraId="6B41C7E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Річні витрати розраховуються за формулою:</w:t>
      </w:r>
    </w:p>
    <w:p w14:paraId="53AF363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Епз = Сліц + Стп + Сбд                                              (3.44)</w:t>
      </w:r>
    </w:p>
    <w:p w14:paraId="161884B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Сліц - вартість ліцензій;</w:t>
      </w:r>
    </w:p>
    <w:p w14:paraId="56C528D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Стп - вартість технічної підтримки;</w:t>
      </w:r>
    </w:p>
    <w:p w14:paraId="76FBD65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Сбд - вартість обслуговування баз даних.</w:t>
      </w:r>
    </w:p>
    <w:p w14:paraId="4A4F2D4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Епз = 45 + 36 + 24 = 105 тис. грн/рік</w:t>
      </w:r>
    </w:p>
    <w:p w14:paraId="317D1CE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охорону праці та техніку безпеки включають:</w:t>
      </w:r>
    </w:p>
    <w:p w14:paraId="4E97572C">
      <w:pPr>
        <w:spacing w:line="360" w:lineRule="auto"/>
        <w:ind w:firstLine="709"/>
        <w:jc w:val="both"/>
        <w:rPr>
          <w:rFonts w:ascii="Times New Roman" w:hAnsi="Times New Roman" w:cs="Times New Roman"/>
          <w:sz w:val="28"/>
          <w:szCs w:val="28"/>
          <w:lang w:val="uk-UA"/>
        </w:rPr>
      </w:pPr>
    </w:p>
    <w:p w14:paraId="229140B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персоналу засобами індивідуального захисту;</w:t>
      </w:r>
    </w:p>
    <w:p w14:paraId="5077159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інструктажів та навчання;</w:t>
      </w:r>
    </w:p>
    <w:p w14:paraId="369F035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медичні огляди.</w:t>
      </w:r>
    </w:p>
    <w:p w14:paraId="5AA57D65">
      <w:pPr>
        <w:spacing w:line="360" w:lineRule="auto"/>
        <w:ind w:firstLine="709"/>
        <w:jc w:val="both"/>
        <w:rPr>
          <w:rFonts w:ascii="Times New Roman" w:hAnsi="Times New Roman" w:cs="Times New Roman"/>
          <w:sz w:val="28"/>
          <w:szCs w:val="28"/>
          <w:lang w:val="uk-UA"/>
        </w:rPr>
      </w:pPr>
    </w:p>
    <w:p w14:paraId="79C74AB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Річні витрати розраховуються за формулою:</w:t>
      </w:r>
    </w:p>
    <w:p w14:paraId="179A988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Еоп = Nпер × (Сзіз + Снав + Смед)                                  (3.45)</w:t>
      </w:r>
    </w:p>
    <w:p w14:paraId="494A232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Nпер - кількість персоналу;</w:t>
      </w:r>
    </w:p>
    <w:p w14:paraId="0C07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Сзіз - витрати на ЗІЗ на одного працівника;</w:t>
      </w:r>
    </w:p>
    <w:p w14:paraId="085AA40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Снав - витрати на навчання;</w:t>
      </w:r>
    </w:p>
    <w:p w14:paraId="2D33C8D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Смед - витрати на медогляди.</w:t>
      </w:r>
    </w:p>
    <w:p w14:paraId="361925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значеннях:</w:t>
      </w:r>
    </w:p>
    <w:p w14:paraId="78F3F7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Сзіз = 8000 грн/рік</w:t>
      </w:r>
    </w:p>
    <w:p w14:paraId="6FEDD60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Снав = 5000 грн/рік</w:t>
      </w:r>
    </w:p>
    <w:p w14:paraId="412FC1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Смед = 2000 грн/рік</w:t>
      </w:r>
    </w:p>
    <w:p w14:paraId="5AD4FA6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Еоп = 4 × (8000 + 5000 + 2000) = 60 тис. грн/рік</w:t>
      </w:r>
    </w:p>
    <w:p w14:paraId="04DE53E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додаткові експлуатаційні витрати складають:</w:t>
      </w:r>
    </w:p>
    <w:p w14:paraId="461E90B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Едод = Ест + Емет + Епз + Еоп                                      (3.46)</w:t>
      </w:r>
    </w:p>
    <w:p w14:paraId="4E50EDE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Едод = 233,86 + 30 + 105 + 60 = 428,86 тис. грн/рік</w:t>
      </w:r>
    </w:p>
    <w:p w14:paraId="4C46FBF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урахуванням додаткових витрат загальні річні експлуатаційні витрати становлять:</w:t>
      </w:r>
    </w:p>
    <w:p w14:paraId="728495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Езаг = Ер + Едод = 4165,56 + 428,86 = 4594,42 тис. грн/рік</w:t>
      </w:r>
    </w:p>
    <w:p w14:paraId="40DFEBA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оптимізації експлуатаційних витрат необхідно:</w:t>
      </w:r>
    </w:p>
    <w:p w14:paraId="70838F7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Впровадити систему предиктивного обслуговування обладнання на основі аналізу даних моніторингу його технічного стану.</w:t>
      </w:r>
    </w:p>
    <w:p w14:paraId="7AABAA8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Автоматизувати процеси збору та обробки даних про роботу обладнання для зниження трудовитрат на його обслуговування.</w:t>
      </w:r>
    </w:p>
    <w:p w14:paraId="0AFE59E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Оптимізувати графіки технічного обслуговування та ремонтів з урахуванням реального стану обладнання.</w:t>
      </w:r>
    </w:p>
    <w:p w14:paraId="0B8CF3F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Забезпечити навчання персоналу сучасним методам діагностики та обслуговування обладнання.</w:t>
      </w:r>
    </w:p>
    <w:p w14:paraId="15A913D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Впровадити систему енергетичного менеджменту для оптимізації режимів роботи накопичувача енергії.</w:t>
      </w:r>
    </w:p>
    <w:p w14:paraId="00A8A5E6">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При цьому очікуване зниження експлуатаційних витрат може скласти 10-15% від базового рівня.</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[19]</w:t>
      </w:r>
    </w:p>
    <w:p w14:paraId="7D007C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Проведені розрахунки показують, що впровадження КНЕ вимагає значних капітальних витрат, а його економічна ефективність суттєво залежить від тарифів на електроенергію та потужність. При поточних тарифах проект є економічно недоцільним, проте очікуване зростання тарифів може зробити його привабливим у майбутньому.</w:t>
      </w:r>
    </w:p>
    <w:p w14:paraId="594BB306">
      <w:pPr>
        <w:spacing w:line="360" w:lineRule="auto"/>
        <w:ind w:firstLine="709"/>
        <w:jc w:val="both"/>
        <w:rPr>
          <w:rFonts w:ascii="Times New Roman" w:hAnsi="Times New Roman" w:cs="Times New Roman"/>
          <w:sz w:val="28"/>
          <w:szCs w:val="28"/>
          <w:lang w:val="uk-UA"/>
        </w:rPr>
      </w:pPr>
    </w:p>
    <w:p w14:paraId="41DE3F0C">
      <w:pPr>
        <w:pStyle w:val="3"/>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10" w:name="_Toc185516733"/>
      <w:r>
        <w:rPr>
          <w:rFonts w:ascii="Times New Roman" w:hAnsi="Times New Roman" w:cs="Times New Roman"/>
          <w:b/>
          <w:bCs/>
          <w:color w:val="000000" w:themeColor="text1"/>
          <w:sz w:val="28"/>
          <w:szCs w:val="28"/>
          <w:lang w:val="uk-UA"/>
          <w14:textFill>
            <w14:solidFill>
              <w14:schemeClr w14:val="tx1"/>
            </w14:solidFill>
          </w14:textFill>
        </w:rPr>
        <w:t>3.2. Оцінка економічної ефективності проекту модернізації системи електропостачання</w:t>
      </w:r>
      <w:bookmarkEnd w:id="10"/>
    </w:p>
    <w:p w14:paraId="41779368">
      <w:pPr>
        <w:spacing w:line="360" w:lineRule="auto"/>
        <w:ind w:firstLine="709"/>
        <w:jc w:val="both"/>
        <w:rPr>
          <w:rFonts w:ascii="Times New Roman" w:hAnsi="Times New Roman" w:cs="Times New Roman"/>
          <w:sz w:val="28"/>
          <w:szCs w:val="28"/>
          <w:lang w:val="uk-UA"/>
        </w:rPr>
      </w:pPr>
    </w:p>
    <w:p w14:paraId="4DD20F5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комплексної оцінки економічної ефективності проекту модернізації системи електропостачання з використанням кінетичних накопичувачів енергії необхідно врахувати зміну вартості грошей у часі та провести розрахунок основних показників ефективності інвестиційних проектів. Розрахунки виконано з урахуванням прогнозованих грошових потоків протягом всього терміну реалізації проекту.</w:t>
      </w:r>
    </w:p>
    <w:p w14:paraId="376DE9B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Чиста приведена вартість проекту (NPV) розраховується за формулою:</w:t>
      </w:r>
    </w:p>
    <w:p w14:paraId="4D5F1F0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NPV = -IC + Σ(CFt / (1 + r)^t)                                       (3.17)</w:t>
      </w:r>
    </w:p>
    <w:p w14:paraId="6E25C8C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IC - початкові інвестиції;</w:t>
      </w:r>
    </w:p>
    <w:p w14:paraId="1DC91D5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CFt - грошовий потік у період t;</w:t>
      </w:r>
    </w:p>
    <w:p w14:paraId="716B3EC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r - ставка дисконтування;</w:t>
      </w:r>
    </w:p>
    <w:p w14:paraId="5F2A2B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t - період часу від 1 до n.</w:t>
      </w:r>
    </w:p>
    <w:p w14:paraId="5FBE82D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розрахунку приймаємо наступні вихідні дані:</w:t>
      </w:r>
    </w:p>
    <w:p w14:paraId="479E3FA4">
      <w:pPr>
        <w:pStyle w:val="2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початкові інвестиції (IC) = 29232 тис. грн;</w:t>
      </w:r>
    </w:p>
    <w:p w14:paraId="40E61899">
      <w:pPr>
        <w:pStyle w:val="2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річний грошовий потік (CF) = 2453,8 тис. грн;</w:t>
      </w:r>
    </w:p>
    <w:p w14:paraId="6A539A62">
      <w:pPr>
        <w:pStyle w:val="2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ставка дисконтування (r) = 15%;</w:t>
      </w:r>
    </w:p>
    <w:p w14:paraId="6A292801">
      <w:pPr>
        <w:pStyle w:val="2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термін реалізації проекту (n) = 15 років.</w:t>
      </w:r>
    </w:p>
    <w:p w14:paraId="186EF8C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дисконтування для кожного року розраховується за формулою:</w:t>
      </w:r>
    </w:p>
    <w:p w14:paraId="48C375E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kd = 1 / (1 + r)^t                                                   (3.18)</w:t>
      </w:r>
    </w:p>
    <w:p w14:paraId="2FF482D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Розрахунок дисконтованих грошових потоків для перших п'яти років:</w:t>
      </w:r>
    </w:p>
    <w:p w14:paraId="53FACE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1-й рік: CF1 = 2453,8 / (1 + 0,15)^1 = 2133,7 тис. грн</w:t>
      </w:r>
    </w:p>
    <w:p w14:paraId="4C67B34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2-й рік: CF2 = 2453,8 / (1 + 0,15)^2 = 1855,4 тис. грн</w:t>
      </w:r>
    </w:p>
    <w:p w14:paraId="33058BE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3-й рік: CF3 = 2453,8 / (1 + 0,15)^3 = 1613,4 тис. грн</w:t>
      </w:r>
    </w:p>
    <w:p w14:paraId="4168635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4-й рік: CF4 = 2453,8 / (1 + 0,15)^4 = 1402,9 тис. грн</w:t>
      </w:r>
    </w:p>
    <w:p w14:paraId="4B82F12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5-й рік: CF5 = 2453,8 / (1 + 0,15)^5 = 1219,9 тис. грн</w:t>
      </w:r>
    </w:p>
    <w:p w14:paraId="4648BC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Сумарна приведена вартість грошових потоків за 15 років:</w:t>
      </w:r>
    </w:p>
    <w:p w14:paraId="56DF47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PV = Σ(CFt / (1 + 0,15)^t) = 14521,3 тис. грн</w:t>
      </w:r>
    </w:p>
    <w:p w14:paraId="4C23B8F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Чиста приведена вартість проекту:</w:t>
      </w:r>
    </w:p>
    <w:p w14:paraId="34A73F6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NPV = -29232 + 14521,3 = -14710,7 тис. грн</w:t>
      </w:r>
    </w:p>
    <w:p w14:paraId="037124B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Від'ємне значення NPV свідчить про економічну неефективність проекту при заданих параметрах.</w:t>
      </w:r>
    </w:p>
    <w:p w14:paraId="6E3CA7A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Внутрішня норма рентабельності (IRR) визначається як ставка дисконтування, при якій NPV дорівнює нулю:</w:t>
      </w:r>
    </w:p>
    <w:p w14:paraId="441EED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-IC + Σ(CFt / (1 + IRR)^t) = 0                                       (3.19)</w:t>
      </w:r>
    </w:p>
    <w:p w14:paraId="682F859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розрахунку IRR використовується метод ітерацій. При цьому підбираються два значення ставки дисконтування r1 та r2, при яких NPV змінює знак. IRR розраховується за формулою:</w:t>
      </w:r>
    </w:p>
    <w:p w14:paraId="3A50701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IRR = r1 + (NPV1 × (r2 - r1))/(NPV1 - NPV2)                         (3.20)</w:t>
      </w:r>
    </w:p>
    <w:p w14:paraId="45D26B3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r1, r2 - ставки дисконтування;</w:t>
      </w:r>
    </w:p>
    <w:p w14:paraId="2AAA8C2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NPV1, NPV2 - відповідні значення чистої приведеної вартості.</w:t>
      </w:r>
    </w:p>
    <w:p w14:paraId="502B36B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r1 = 5%: NPV1 = -8425,3 тис. грн</w:t>
      </w:r>
    </w:p>
    <w:p w14:paraId="6D5CB8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r2 = 1%: NPV2 = -4312,8 тис. грн</w:t>
      </w:r>
    </w:p>
    <w:p w14:paraId="3839013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IRR = 0,01 + (-4312,8 × (0,05 - 0,01))/(-4312,8 - (-8425,3)) = 0,027 або 2,7%</w:t>
      </w:r>
    </w:p>
    <w:p w14:paraId="4624B3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Отримане значення IRR менше прийнятої ставки дисконтування (15%), що підтверджує економічну неефективність проекту.</w:t>
      </w:r>
    </w:p>
    <w:p w14:paraId="7D3498D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Дисконтований термін окупності (DPP) визначається як період часу, за який сума дисконтованих грошових потоків дорівнює початковим інвестиціям:</w:t>
      </w:r>
    </w:p>
    <w:p w14:paraId="22D4533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Σ(CFt / (1 + r)^t) = IC                                              (3.21)</w:t>
      </w:r>
    </w:p>
    <w:p w14:paraId="2BC377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заданих параметрах проекту дисконтований термін окупності не досягається протягом розрахункового періоду (15 років).</w:t>
      </w:r>
    </w:p>
    <w:p w14:paraId="2848657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Індекс прибутковості (PI) розраховується як відношення приведеної вартості грошових потоків до початкових інвестицій:</w:t>
      </w:r>
    </w:p>
    <w:p w14:paraId="777CEF4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PI = PV / IC                                                         (3.22)</w:t>
      </w:r>
    </w:p>
    <w:p w14:paraId="4CD9822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PI = 14521,3 / 29232 = 0,497</w:t>
      </w:r>
    </w:p>
    <w:p w14:paraId="35B580D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PI &lt; 1 також свідчить про економічну неефективність проекту.</w:t>
      </w:r>
    </w:p>
    <w:p w14:paraId="2AABF3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підвищення економічної ефективності проекту необхідно розглянути можливості оптимізації технічних рішень та зниження капітальних витрат. Проведемо аналіз чутливості основних показників ефективності до зміни ключових параметрів проекту.</w:t>
      </w:r>
    </w:p>
    <w:p w14:paraId="4521566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Вплив зміни капітальних витрат на NPV проекту:</w:t>
      </w:r>
    </w:p>
    <w:p w14:paraId="0F308EE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зниженні капітальних витрат на 20%:</w:t>
      </w:r>
    </w:p>
    <w:p w14:paraId="14BF59A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IC = 23385,6 тис. грн</w:t>
      </w:r>
    </w:p>
    <w:p w14:paraId="6899E56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NPV = -23385,6 + 14521,3 = -8864,3 тис. грн</w:t>
      </w:r>
    </w:p>
    <w:p w14:paraId="6CA699C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зниженні капітальних витрат на 40%:</w:t>
      </w:r>
    </w:p>
    <w:p w14:paraId="78045D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IC = 17539,2 тис. грн</w:t>
      </w:r>
    </w:p>
    <w:p w14:paraId="4C7C70D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NPV = -17539,2 + 14521,3 = -3017,9 тис. грн</w:t>
      </w:r>
    </w:p>
    <w:p w14:paraId="66FAEA4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Вплив збільшення економічного ефекту на NPV проекту:</w:t>
      </w:r>
    </w:p>
    <w:p w14:paraId="619D88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збільшенні річного ефекту на 20%:</w:t>
      </w:r>
    </w:p>
    <w:p w14:paraId="254321B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CF = 2944,6 тис. грн</w:t>
      </w:r>
    </w:p>
    <w:p w14:paraId="65234BA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PV = 17425,6 тис. грн</w:t>
      </w:r>
    </w:p>
    <w:p w14:paraId="17898B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NPV = -29232 + 17425,6 = -11806,4 тис. грн</w:t>
      </w:r>
    </w:p>
    <w:p w14:paraId="33C4F63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збільшенні річного ефекту на 40%:</w:t>
      </w:r>
    </w:p>
    <w:p w14:paraId="4E76B4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CF = 3435,3 тис. грн</w:t>
      </w:r>
    </w:p>
    <w:p w14:paraId="4FEAC44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PV = 20329,8 тис. грн</w:t>
      </w:r>
    </w:p>
    <w:p w14:paraId="1AE98F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NPV = -29232 + 20329,8 = -8902,2 тис. грн</w:t>
      </w:r>
    </w:p>
    <w:p w14:paraId="713B10E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чутливості показує, що для досягнення позитивного значення NPV необхідно одночасне виконання наступних умов:</w:t>
      </w:r>
    </w:p>
    <w:p w14:paraId="4B477A1E">
      <w:pPr>
        <w:pStyle w:val="2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капітальних витрат не менше ніж на 30%;</w:t>
      </w:r>
    </w:p>
    <w:p w14:paraId="06044887">
      <w:pPr>
        <w:pStyle w:val="2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річного економічного ефекту не менше ніж на 35%;</w:t>
      </w:r>
    </w:p>
    <w:p w14:paraId="598C3E22">
      <w:pPr>
        <w:pStyle w:val="2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ставки дисконтування до 10%.</w:t>
      </w:r>
    </w:p>
    <w:p w14:paraId="2DFB1C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Розрахуємо показники ефективності проекту при оптимістичному сценарії:</w:t>
      </w:r>
    </w:p>
    <w:p w14:paraId="270FD6D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Початкові інвестиції: IC = 20462,4 тис. грн (-30%)</w:t>
      </w:r>
    </w:p>
    <w:p w14:paraId="202939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Річний економічний ефект: CF = 3312,6 тис. грн (+35%)</w:t>
      </w:r>
    </w:p>
    <w:p w14:paraId="6912FF5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Ставка дисконтування: r = 10%</w:t>
      </w:r>
    </w:p>
    <w:p w14:paraId="0C89E78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Приведена вартість грошових потоків за 15 років:</w:t>
      </w:r>
    </w:p>
    <w:p w14:paraId="3A580A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PV = 25234,8 тис. грн</w:t>
      </w:r>
    </w:p>
    <w:p w14:paraId="63281A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Чиста приведена вартість:</w:t>
      </w:r>
    </w:p>
    <w:p w14:paraId="0051E8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NPV = -20462,4 + 25234,8 = 4772,4 тис. грн</w:t>
      </w:r>
    </w:p>
    <w:p w14:paraId="496580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Внутрішня норма рентабельності:</w:t>
      </w:r>
    </w:p>
    <w:p w14:paraId="0637AAA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IRR = 16,8%</w:t>
      </w:r>
    </w:p>
    <w:p w14:paraId="1611562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Дисконтований термін окупності:</w:t>
      </w:r>
    </w:p>
    <w:p w14:paraId="43CED93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DPP = 8,2 роки</w:t>
      </w:r>
    </w:p>
    <w:p w14:paraId="013962D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Індекс прибутковості:</w:t>
      </w:r>
    </w:p>
    <w:p w14:paraId="07B0C8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PI = 1,23</w:t>
      </w:r>
    </w:p>
    <w:p w14:paraId="3BE6F962">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При оптимістичному сценарії проект стає економічно ефективним, проте для його реалізації необхідно досягти суттєвого покращення основних параметрів.</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[20]</w:t>
      </w:r>
    </w:p>
    <w:p w14:paraId="6B40157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Додатковими факторами, які можуть підвищити економічну ефективність проекту, є:</w:t>
      </w:r>
    </w:p>
    <w:p w14:paraId="3A40EE3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отримання державної підтримки у вигляді пільгових кредитів або грантів на впровадження енергоефективних технологій. Це дозволить знизити вартість залученого капіталу та покращити показники ефективності проекту.</w:t>
      </w:r>
    </w:p>
    <w:p w14:paraId="52042D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Очікуване зростання тарифів на електроенергію та потужність, що призведе до збільшення економічного ефекту від впровадження накопичувачів енергії. При щорічному зростанні тарифів на 10% річний економічний ефект збільшиться в 1,5-2 рази протягом терміну реалізації проекту.</w:t>
      </w:r>
    </w:p>
    <w:p w14:paraId="44225D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надання додаткових послуг з регулювання частоти та потужності в енергосистемі, що створить додаткове джерело доходу. За оцінками експертів, це може збільшити річний економічний ефект на 15-20%.</w:t>
      </w:r>
    </w:p>
    <w:p w14:paraId="3A916C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вартості обладнання внаслідок розвитку технологій та збільшення обсягів виробництва. Очікується, що протягом наступних 3-5 років вартість кінетичних накопичувачів енергії може знизитись на 20-30%.</w:t>
      </w:r>
    </w:p>
    <w:p w14:paraId="5FC819D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комплексному врахуванні всіх зазначених факторів економічна ефективність проекту може суттєво покращитись. Для прийняття остаточного рішення щодо реалізації проекту необхідно:</w:t>
      </w:r>
    </w:p>
    <w:p w14:paraId="42D7C84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додаткові дослідження можливостей оптимізації технічних рішень та зниження капітальних витрат без погіршення експлуатаційних характеристик системи.</w:t>
      </w:r>
    </w:p>
    <w:p w14:paraId="152973F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детальний бізнес-план з урахуванням всіх можливих джерел економічного ефекту та додаткових доходів від експлуатації накопичувачів енергії.</w:t>
      </w:r>
    </w:p>
    <w:p w14:paraId="6A1411F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можливості залучення пільгового фінансування та отримання державної підтримки для реалізації проекту.</w:t>
      </w:r>
    </w:p>
    <w:p w14:paraId="506175C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Виконати уточнений розрахунок показників ефективності з урахуванням прогнозованої динаміки тарифів та цін на обладнання.</w:t>
      </w:r>
    </w:p>
    <w:p w14:paraId="6E13788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аспектом соціального впливу проекту є підвищення енергетичної безпеки регіону. Впровадження кінетичних накопичувачів енергії дозволяє знизити залежність від зовнішніх джерел енергопостачання та підвищити стабільність роботи промислових підприємств. Коефіцієнт енергетичної безпеки розраховується за формулою:</w:t>
      </w:r>
    </w:p>
    <w:p w14:paraId="27DBD99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Кеб = Рн / Рmax                                                      (3.37)</w:t>
      </w:r>
    </w:p>
    <w:p w14:paraId="50A8ABE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Рн - потужність накопичувача енергії;</w:t>
      </w:r>
    </w:p>
    <w:p w14:paraId="04CAD13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Рmax - максимальна споживана потужність підприємства.</w:t>
      </w:r>
    </w:p>
    <w:p w14:paraId="4E4107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встановленій потужності накопичувача 1000 кВт:</w:t>
      </w:r>
    </w:p>
    <w:p w14:paraId="6A6CF00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Кеб = 1000 / 3100 = 0,323</w:t>
      </w:r>
    </w:p>
    <w:p w14:paraId="1CCC7C5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означає, що накопичувач може забезпечити до 32,3% максимальної потужності підприємства в аварійних режимах.</w:t>
      </w:r>
    </w:p>
    <w:p w14:paraId="2FD957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Підвищення надійності електропостачання має важливе соціальне значення, оскільки знижує ризики зупинки виробництва та втрати робочих місць. Коефіцієнт надійності електропостачання розраховується за формулою:</w:t>
      </w:r>
    </w:p>
    <w:p w14:paraId="4F54452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Кн = 1 - λ × Т                                                       (3.38)</w:t>
      </w:r>
    </w:p>
    <w:p w14:paraId="03E0F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λ - інтенсивність відмов;</w:t>
      </w:r>
    </w:p>
    <w:p w14:paraId="1271329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 - середній час відновлення електропостачання.</w:t>
      </w:r>
    </w:p>
    <w:p w14:paraId="7AACF73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значеннях параметрів:</w:t>
      </w:r>
    </w:p>
    <w:p w14:paraId="44156E9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λ = 0,001 1/год</w:t>
      </w:r>
    </w:p>
    <w:p w14:paraId="3F39882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 = 0,5 год</w:t>
      </w:r>
    </w:p>
    <w:p w14:paraId="4F15C1A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Кн = 1 - 0,001 × 0,5 = 0,9995</w:t>
      </w:r>
    </w:p>
    <w:p w14:paraId="205765E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свідчить про дуже високий рівень надійності електропостачання після впровадження КНЕ.</w:t>
      </w:r>
    </w:p>
    <w:p w14:paraId="11F41F9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Вплив проекту на розвиток наукового потенціалу регіону оцінюється через можливість проведення досліджень та розробок у сфері накопичення енергії. Індекс наукового потенціалу розраховується за формулою:</w:t>
      </w:r>
    </w:p>
    <w:p w14:paraId="78F4B59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Інп = (Н1 × Н2 × Н3)^(1/3)                                          (3.39)</w:t>
      </w:r>
    </w:p>
    <w:p w14:paraId="43A29B9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Н1 - коефіцієнт науково-технічного рівня;</w:t>
      </w:r>
    </w:p>
    <w:p w14:paraId="04FA9EF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Н2 - коефіцієнт дослідницької активності;</w:t>
      </w:r>
    </w:p>
    <w:p w14:paraId="3A33814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Н3 - коефіцієнт інноваційної інфраструктури.</w:t>
      </w:r>
    </w:p>
    <w:p w14:paraId="061F59F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значеннях коефіцієнтів:</w:t>
      </w:r>
    </w:p>
    <w:p w14:paraId="69FB0E0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Н1 = 1,25</w:t>
      </w:r>
    </w:p>
    <w:p w14:paraId="687C540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Н2 = 1,15</w:t>
      </w:r>
    </w:p>
    <w:p w14:paraId="119BEE9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Н3 = 1,1</w:t>
      </w:r>
    </w:p>
    <w:p w14:paraId="5DDA0F2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Інп = (1,25 × 1,15 × 1,1)^(1/3) = 1,166</w:t>
      </w:r>
    </w:p>
    <w:p w14:paraId="70561C3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показує значний потенціал проекту для розвитку наукових досліджень.</w:t>
      </w:r>
    </w:p>
    <w:p w14:paraId="70E04BA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Оцінка впливу на розвиток освітнього потенціалу включає можливості для практичного навчання студентів та підвищення кваліфікації фахівців. Коефіцієнт освітнього потенціалу розраховується за формулою:</w:t>
      </w:r>
    </w:p>
    <w:p w14:paraId="0D1CE4D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Коп = (О1 + О2 + О3)/3                                              (3.40)</w:t>
      </w:r>
    </w:p>
    <w:p w14:paraId="4BA0DD2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О1 - коефіцієнт навчальних можливостей;</w:t>
      </w:r>
    </w:p>
    <w:p w14:paraId="613752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О2 - коефіцієнт практичної підготовки;</w:t>
      </w:r>
    </w:p>
    <w:p w14:paraId="178789A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О3 - коефіцієнт методичного забезпечення.</w:t>
      </w:r>
    </w:p>
    <w:p w14:paraId="70DB81C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значеннях коефіцієнтів:</w:t>
      </w:r>
    </w:p>
    <w:p w14:paraId="2277E3B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О1 = 1,2</w:t>
      </w:r>
    </w:p>
    <w:p w14:paraId="3E783EB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О2 = 1,3</w:t>
      </w:r>
    </w:p>
    <w:p w14:paraId="785AFC4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О3 = 1,1</w:t>
      </w:r>
    </w:p>
    <w:p w14:paraId="4BA192F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Коп = (1,2 + 1,3 + 1,1)/3 = 1,2</w:t>
      </w:r>
    </w:p>
    <w:p w14:paraId="2CC9D2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свідчить про високий потенціал проекту для розвитку освітньої складової.</w:t>
      </w:r>
    </w:p>
    <w:p w14:paraId="1DF1CC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Інтегральний показник соціально-екологічної ефективності проекту розраховується як середньозважене значення окремих показників:</w:t>
      </w:r>
    </w:p>
    <w:p w14:paraId="2A91CF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Ісе = Σ(wi × Pi)                                                     (3.41)</w:t>
      </w:r>
    </w:p>
    <w:p w14:paraId="713D5AD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wi - вагові коефіцієнти;</w:t>
      </w:r>
    </w:p>
    <w:p w14:paraId="4FDB6A0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Pi - нормовані значення показників.</w:t>
      </w:r>
    </w:p>
    <w:p w14:paraId="6248932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врахуванні всіх розглянутих показників отримано значення Ісе = 1,18, що свідчить про високу соціально-екологічну ефективність проекту.</w:t>
      </w:r>
    </w:p>
    <w:p w14:paraId="13B112A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комплексний аналіз екологічних та соціальних аспектів впровадження кінетичних накопичувачів енергії показав їх суттєвий позитивний вплив на розвиток підприємства та регіону. Кількісна оцінка різних складових цього впливу дозволяє обґрунтувати соціально-економічну доцільність реалізації проекту навіть при відносно тривалому терміні окупності інвестицій.</w:t>
      </w:r>
    </w:p>
    <w:p w14:paraId="3248F9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забезпечення максимального позитивного ефекту від впровадження проекту необхідно:</w:t>
      </w:r>
    </w:p>
    <w:p w14:paraId="79B0A1F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та впровадити систему моніторингу соціально-екологічних показників проекту.</w:t>
      </w:r>
    </w:p>
    <w:p w14:paraId="251A96D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Забезпечити ефективну взаємодію з місцевою громадою та освітніми установами.</w:t>
      </w:r>
    </w:p>
    <w:p w14:paraId="1D78EFE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Створити умови для проведення наукових досліджень та практичного навчання.</w:t>
      </w:r>
    </w:p>
    <w:p w14:paraId="61283CA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Регулярно оцінювати вплив проекту на розвиток людського капіталу та якість життя населення.</w:t>
      </w:r>
    </w:p>
    <w:p w14:paraId="1D18DAD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Впроваджувати додаткові заходи для підвищення позитивного соціального та екологічного впливу проекту.</w:t>
      </w:r>
      <w:r>
        <w:rPr>
          <w:rFonts w:ascii="Times New Roman" w:hAnsi="Times New Roman" w:cs="Times New Roman"/>
          <w:sz w:val="28"/>
          <w:szCs w:val="28"/>
          <w:lang w:val="ru-RU"/>
        </w:rPr>
        <w:t xml:space="preserve"> [21]</w:t>
      </w:r>
    </w:p>
    <w:p w14:paraId="44D974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Подальші дослідження доцільно спрямувати на розробку методик більш точної оцінки непрямих соціальних та екологічних ефектів, а також на вдосконалення системи моніторингу та контролю фактичних показників впливу на довкілля та соціальну сферу.</w:t>
      </w:r>
    </w:p>
    <w:p w14:paraId="477AFDD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проведена оцінка економічної ефективності показала, що при базових параметрах проект модернізації системи електропостачання з використанням кінетичних накопичувачів енергії є економічно недоцільним. Проте існують реальні можливості підвищення його ефективності за рахунок оптимізації технічних рішень, зниження капітальних витрат та збільшення економічного ефекту.</w:t>
      </w:r>
    </w:p>
    <w:p w14:paraId="09F3CAC1">
      <w:pPr>
        <w:spacing w:line="360" w:lineRule="auto"/>
        <w:ind w:firstLine="709"/>
        <w:jc w:val="both"/>
        <w:rPr>
          <w:rFonts w:ascii="Times New Roman" w:hAnsi="Times New Roman" w:cs="Times New Roman"/>
          <w:sz w:val="28"/>
          <w:szCs w:val="28"/>
          <w:lang w:val="uk-UA"/>
        </w:rPr>
      </w:pPr>
    </w:p>
    <w:p w14:paraId="7F8F44CA">
      <w:pPr>
        <w:pStyle w:val="3"/>
        <w:spacing w:before="0"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11" w:name="_Toc185516734"/>
      <w:r>
        <w:rPr>
          <w:rFonts w:ascii="Times New Roman" w:hAnsi="Times New Roman" w:cs="Times New Roman"/>
          <w:b/>
          <w:bCs/>
          <w:color w:val="000000" w:themeColor="text1"/>
          <w:sz w:val="28"/>
          <w:szCs w:val="28"/>
          <w:lang w:val="uk-UA"/>
          <w14:textFill>
            <w14:solidFill>
              <w14:schemeClr w14:val="tx1"/>
            </w14:solidFill>
          </w14:textFill>
        </w:rPr>
        <w:t>3.3. Аналіз екологічних та соціальних аспектів впровадження запропонованих рішень</w:t>
      </w:r>
      <w:bookmarkEnd w:id="11"/>
    </w:p>
    <w:p w14:paraId="7DC41CF6">
      <w:pPr>
        <w:spacing w:line="360" w:lineRule="auto"/>
        <w:ind w:firstLine="709"/>
        <w:jc w:val="both"/>
        <w:rPr>
          <w:rFonts w:ascii="Times New Roman" w:hAnsi="Times New Roman" w:cs="Times New Roman"/>
          <w:sz w:val="28"/>
          <w:szCs w:val="28"/>
          <w:lang w:val="uk-UA"/>
        </w:rPr>
      </w:pPr>
    </w:p>
    <w:p w14:paraId="098E1BB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Екологічні та соціальні аспекти впровадження кінетичних накопичувачів енергії в систему електропостачання підприємства потребують детального аналізу, оскільки вони мають суттєвий вплив на загальну ефективність проекту. В даному розділі проведено комплексну оцінку екологічних та соціальних ефектів від реалізації запропонованих технічних рішень.</w:t>
      </w:r>
    </w:p>
    <w:p w14:paraId="7285D49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Екологічний ефект від впровадження КНЕ насамперед пов'язаний зі зниженням споживання електроенергії та відповідним зменшенням викидів парникових газів. Розрахунок скорочення викидів CO2 виконується за формулою:</w:t>
      </w:r>
    </w:p>
    <w:p w14:paraId="3DDF956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ΔCO2 = ΔW × kCO2                                                     (3.23)</w:t>
      </w:r>
    </w:p>
    <w:p w14:paraId="0680435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ΔW - річне зниження споживання електроенергії, кВт·год;</w:t>
      </w:r>
    </w:p>
    <w:p w14:paraId="4B8B78E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kCO2 - питомі викиди CO2 при виробництві електроенергії, кг/кВт·год.</w:t>
      </w:r>
    </w:p>
    <w:p w14:paraId="3891742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зниженні споживання електроенергії на 565000 кВт·год/рік та питомих викидах 0,85 кг CO2/кВт·год:</w:t>
      </w:r>
    </w:p>
    <w:p w14:paraId="711E45D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ΔCO2 = 565000 × 0,85 = 480250 кг/рік = 480,25 т/рік</w:t>
      </w:r>
    </w:p>
    <w:p w14:paraId="11BB43A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Економічна оцінка екологічного ефекту може бути виконана з урахуванням вартості квот на викиди CO2:</w:t>
      </w:r>
    </w:p>
    <w:p w14:paraId="20E746C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Еек = ΔCO2 × CCO2                                                    (3.24)</w:t>
      </w:r>
    </w:p>
    <w:p w14:paraId="2FDCF68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CCO2 - вартість квот на викиди CO2, грн/т.</w:t>
      </w:r>
    </w:p>
    <w:p w14:paraId="33C5F5F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поточній вартості квот 200 грн/т:</w:t>
      </w:r>
    </w:p>
    <w:p w14:paraId="5064C17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Еек = 480,25 × 200 = 96050 грн/рік</w:t>
      </w:r>
    </w:p>
    <w:p w14:paraId="5DE6FE0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Зниження викидів інших забруднюючих речовин (SOx, NOx, тверді частинки) розраховується аналогічно з урахуванням відповідних питомих показників. Загальне зниження викидів забруднюючих речовин складає:</w:t>
      </w:r>
    </w:p>
    <w:p w14:paraId="4E4497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SOx: 565000 × 0,005 = 2825 кг/рік</w:t>
      </w:r>
    </w:p>
    <w:p w14:paraId="34C5A0B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NOx: 565000 × 0,002 = 1130 кг/рік</w:t>
      </w:r>
    </w:p>
    <w:p w14:paraId="0C55953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Тверді частинки: 565000 × 0,001 = 565 кг/рік</w:t>
      </w:r>
    </w:p>
    <w:p w14:paraId="4E623E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екологічним аспектом є відсутність необхідності утилізації небезпечних відходів протягом всього життєвого циклу КНЕ. На відміну від хімічних акумуляторів, кінетичні накопичувачі не містять токсичних матеріалів та можуть бути повністю перероблені після завершення терміну експлуатації.</w:t>
      </w:r>
    </w:p>
    <w:p w14:paraId="0FFA1C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Розрахунок екологічного ефекту від відсутності необхідності утилізації небезпечних відходів виконується за формулою:</w:t>
      </w:r>
    </w:p>
    <w:p w14:paraId="2C6BA20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Еут = М × Сут                                                         (3.25)</w:t>
      </w:r>
    </w:p>
    <w:p w14:paraId="06587F2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М - маса обладнання, що підлягає утилізації, т;</w:t>
      </w:r>
    </w:p>
    <w:p w14:paraId="675840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Сут - питома вартість утилізації, грн/т.</w:t>
      </w:r>
    </w:p>
    <w:p w14:paraId="0C9413F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масі обладнання 3,2 т та вартості утилізації 15000 грн/т:</w:t>
      </w:r>
    </w:p>
    <w:p w14:paraId="173F028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Еут = 3,2 × 15000 = 48000 грн</w:t>
      </w:r>
    </w:p>
    <w:p w14:paraId="0D6F53D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Соціальний ефект від впровадження КНЕ включає створення нових робочих місць. Кількість створених робочих місць розраховується з урахуванням потреби в персоналі для експлуатації та обслуговування обладнання:</w:t>
      </w:r>
    </w:p>
    <w:p w14:paraId="61AA2E5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Nрм = Nоп + Nінж + Nрем                                              (3.26)</w:t>
      </w:r>
    </w:p>
    <w:p w14:paraId="711AD13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Nоп - кількість операторів;</w:t>
      </w:r>
    </w:p>
    <w:p w14:paraId="17CE02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Nінж - кількість інженерного персоналу;</w:t>
      </w:r>
    </w:p>
    <w:p w14:paraId="008A927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Nрем - кількість ремонтного персоналу.</w:t>
      </w:r>
    </w:p>
    <w:p w14:paraId="103AFD5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Nрм = 2 + 1 + 1 = 4 робочих місця</w:t>
      </w:r>
    </w:p>
    <w:p w14:paraId="6A95C3D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Економічна оцінка соціального ефекту від створення робочих місць виконується за формулою:</w:t>
      </w:r>
    </w:p>
    <w:p w14:paraId="46A236A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Есоц = Nрм × ЗП × 12 × (1 + Нсв)                                    (3.27)</w:t>
      </w:r>
    </w:p>
    <w:p w14:paraId="1EF82A1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ЗП - середня заробітна плата, грн/міс;</w:t>
      </w:r>
    </w:p>
    <w:p w14:paraId="1732BB2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Нсв - нарахування на соціальне страхування.</w:t>
      </w:r>
    </w:p>
    <w:p w14:paraId="3133575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середній заробітній платі 18000 грн/міс:</w:t>
      </w:r>
    </w:p>
    <w:p w14:paraId="3B6F390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Есоц = 4 × 18000 × 12 × 1,22 = 1053120 грн/рік</w:t>
      </w:r>
    </w:p>
    <w:p w14:paraId="0D857C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Підвищення кваліфікації персоналу є важливим соціальним аспектом впровадження КНЕ. Витрати на навчання персоналу розраховуються за формулою:</w:t>
      </w:r>
    </w:p>
    <w:p w14:paraId="695749A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Енав = Nрм × Снав                                                    (3.28)</w:t>
      </w:r>
    </w:p>
    <w:p w14:paraId="1937B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Снав - вартість навчання одного працівника, грн.</w:t>
      </w:r>
    </w:p>
    <w:p w14:paraId="78FD16B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вартості навчання 25000 грн/особу:</w:t>
      </w:r>
    </w:p>
    <w:p w14:paraId="2603B51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Енав = 4 × 25000 = 100000 грн</w:t>
      </w:r>
    </w:p>
    <w:p w14:paraId="049F937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Покращення умов праці за рахунок підвищення якості електропостачання має позитивний соціальний ефект, який можна оцінити через зниження втрат робочого часу. Економія розраховується за формулою:</w:t>
      </w:r>
    </w:p>
    <w:p w14:paraId="0622B4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Ечас = ΔТ × Спр                                                      (3.29)</w:t>
      </w:r>
    </w:p>
    <w:p w14:paraId="2765F6E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ΔТ - зниження втрат робочого часу, люд·год;</w:t>
      </w:r>
    </w:p>
    <w:p w14:paraId="451CE70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Спр - вартість однієї людино-години, грн.</w:t>
      </w:r>
    </w:p>
    <w:p w14:paraId="04B26A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зниженні втрат робочого часу на 120 люд·год/рік та вартості години 150 грн:</w:t>
      </w:r>
    </w:p>
    <w:p w14:paraId="463C3E7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Ечас = 120 × 150 = 18000 грн/рік</w:t>
      </w:r>
    </w:p>
    <w:p w14:paraId="22A310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Оцінка впливу проекту на розвиток місцевої громади включає розрахунок додаткових податкових надходжень:</w:t>
      </w:r>
    </w:p>
    <w:p w14:paraId="0F487A7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Епод = (ЗП × 12 × Nрм × Нпдфо) + (ЗП × 12 × Nрм × Нвз)            (3.30)</w:t>
      </w:r>
    </w:p>
    <w:p w14:paraId="7E42A20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Нпдфо - ставка податку на доходи фізичних осіб (18%);</w:t>
      </w:r>
    </w:p>
    <w:p w14:paraId="62D0185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Нвз - ставка військового збору (1,5%).</w:t>
      </w:r>
    </w:p>
    <w:p w14:paraId="0EB2CB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Епод = (18000 × 12 × 4 × 0,18) + (18000 × 12 × 4 × 0,015) =</w:t>
      </w:r>
    </w:p>
    <w:p w14:paraId="0A71381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155520 + 12960 = 168480 грн/рік</w:t>
      </w:r>
    </w:p>
    <w:p w14:paraId="6634D54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Впровадження сучасних технологій має позитивний вплив на імідж підприємства та регіону. Цей ефект складно оцінити кількісно, але він сприяє залученню інвестицій та розвитку інноваційного потенціалу.</w:t>
      </w:r>
    </w:p>
    <w:p w14:paraId="2EB2C97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Зниження негативного впливу на навколишнє середовище також має важливе соціальне значення, оскільки покращує умови життя місцевого населення. Комплексна оцінка цього ефекту включає аналіз впливу на різні компоненти довкілля:</w:t>
      </w:r>
    </w:p>
    <w:p w14:paraId="30ABD4F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Атмосферне повітря:</w:t>
      </w:r>
    </w:p>
    <w:p w14:paraId="4D109697">
      <w:pPr>
        <w:pStyle w:val="23"/>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зниження викидів забруднюючих речовин;</w:t>
      </w:r>
    </w:p>
    <w:p w14:paraId="7927DCCB">
      <w:pPr>
        <w:pStyle w:val="23"/>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відсутність шкідливих випарів при експлуатації.</w:t>
      </w:r>
    </w:p>
    <w:p w14:paraId="6E5581C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Водні ресурси:</w:t>
      </w:r>
    </w:p>
    <w:p w14:paraId="3AAFF167">
      <w:pPr>
        <w:pStyle w:val="23"/>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відсутність рідких відходів;</w:t>
      </w:r>
    </w:p>
    <w:p w14:paraId="7977CA5A">
      <w:pPr>
        <w:pStyle w:val="23"/>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мінімальне споживання води для охолодження.</w:t>
      </w:r>
    </w:p>
    <w:p w14:paraId="1DEF0B4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Ґрунти:</w:t>
      </w:r>
    </w:p>
    <w:p w14:paraId="0BDF24C3">
      <w:pPr>
        <w:pStyle w:val="23"/>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відсутність забруднення небезпечними речовинами;</w:t>
      </w:r>
    </w:p>
    <w:p w14:paraId="5F33D23A">
      <w:pPr>
        <w:pStyle w:val="23"/>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мінімальний вплив при будівництві.</w:t>
      </w:r>
    </w:p>
    <w:p w14:paraId="1994AD2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Екологічні ризики при експлуатації КНЕ мінімальні та пов'язані переважно з можливістю виникнення аварійних ситуацій. Для їх запобігання передбачено комплекс технічних та організаційних заходів безпеки.</w:t>
      </w:r>
    </w:p>
    <w:p w14:paraId="3671787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Загальна економічна оцінка екологічних та соціальних ефектів розраховується як сума всіх складових:</w:t>
      </w:r>
    </w:p>
    <w:p w14:paraId="25D3A1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Езаг = Еек + Еут + Есоц + Ечас + Епод                              (3.31)</w:t>
      </w:r>
    </w:p>
    <w:p w14:paraId="569FA2C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Езаг = 96050 + 48000 + 1053120 + 18000 + 168480 = 1383650 грн/рік</w:t>
      </w:r>
    </w:p>
    <w:p w14:paraId="242BDF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Цей додатковий ефект необхідно враховувати при оцінці загальної ефективності проекту, оскільки він суттєво впливає на його соціально-економічну доцільність.</w:t>
      </w:r>
    </w:p>
    <w:p w14:paraId="42C5D8F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забезпечення максимального позитивного ефекту від впровадження КНЕ необхідно:</w:t>
      </w:r>
    </w:p>
    <w:p w14:paraId="1760B78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Розробити та впровадити систему екологічного моніторингу, що дозволить контролювати фактичні показники впливу на довкілля та своєчасно вживати необхідних заходів.</w:t>
      </w:r>
    </w:p>
    <w:p w14:paraId="32B1935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Забезпечити високий рівень підготовки персоналу через регулярне проведення навчання та підвищення кваліфікації.</w:t>
      </w:r>
    </w:p>
    <w:p w14:paraId="3B490F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Організувати ефективну взаємодію з місцевою громадою для інформування про екологічні та соціальні аспекти проекту.</w:t>
      </w:r>
    </w:p>
    <w:p w14:paraId="2D166BE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Впровадити систему управління охороною праці та промисловою безпекою відповідно до міжнародних стандартів.</w:t>
      </w:r>
    </w:p>
    <w:p w14:paraId="7771AF1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Розробити плани реагування на можливі аварійні ситуації для мінімізації їх впливу на довкілля та персонал.</w:t>
      </w:r>
    </w:p>
    <w:p w14:paraId="4E26FB2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оцінці соціально-екологічної складової проекту важливо також врахувати вплив на безпеку праці. Впровадження КНЕ передбачає роботу з високошвидкісним обертовим обладнанням, що вимагає особливої уваги до питань безпеки. Розрахунок ризиків виконується за формулою:</w:t>
      </w:r>
    </w:p>
    <w:p w14:paraId="5A2AA4F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R = P × S × F                                                         (3.32)</w:t>
      </w:r>
    </w:p>
    <w:p w14:paraId="1C1AFF2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P - ймовірність виникнення небезпечної ситуації;</w:t>
      </w:r>
    </w:p>
    <w:p w14:paraId="4A53C0E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S - тяжкість можливих наслідків;</w:t>
      </w:r>
    </w:p>
    <w:p w14:paraId="129EF94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F - частота виникнення небезпечних ситуацій.</w:t>
      </w:r>
    </w:p>
    <w:p w14:paraId="3094A4F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основних видів ризиків при експлуатації КНЕ отримано наступні значення:</w:t>
      </w:r>
    </w:p>
    <w:p w14:paraId="32EE0B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Механічні ризики: R1 = 0,001 × 100 × 0,1 = 0,01</w:t>
      </w:r>
    </w:p>
    <w:p w14:paraId="55FEBB6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Електричні ризики: R2 = 0,002 × 80 × 0,15 = 0,024</w:t>
      </w:r>
    </w:p>
    <w:p w14:paraId="493E192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Термічні ризики: R3 = 0,003 × 50 × 0,2 = 0,03</w:t>
      </w:r>
    </w:p>
    <w:p w14:paraId="5560EDD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Загальний рівень ризику:</w:t>
      </w:r>
    </w:p>
    <w:p w14:paraId="78876E9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Rзаг = R1 + R2 + R3 = 0,064</w:t>
      </w:r>
    </w:p>
    <w:p w14:paraId="67083E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значення відповідає прийнятному рівню ризику згідно з міжнародними стандартами безпеки.</w:t>
      </w:r>
    </w:p>
    <w:p w14:paraId="71386B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соціальним аспектом є підвищення технологічного рівня виробництва та розвиток інноваційного потенціалу регіону. Впровадження сучасних технологій накопичення енергії створює передумови для подальшого технологічного розвитку та підвищення конкурентоспроможності підприємства.</w:t>
      </w:r>
    </w:p>
    <w:p w14:paraId="672B64E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Оцінка інноваційного потенціалу проекту виконується за формулою:</w:t>
      </w:r>
    </w:p>
    <w:p w14:paraId="6AAE915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Іп = kін × kтех × kрес                                               (3.33)</w:t>
      </w:r>
    </w:p>
    <w:p w14:paraId="550E337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kін - коефіцієнт інноваційності технології;</w:t>
      </w:r>
    </w:p>
    <w:p w14:paraId="1823B2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kтех - коефіцієнт технологічної готовності підприємства;</w:t>
      </w:r>
    </w:p>
    <w:p w14:paraId="6010ECE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kрес - коефіцієнт ресурсного забезпечення.</w:t>
      </w:r>
    </w:p>
    <w:p w14:paraId="028982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значеннях коефіцієнтів:</w:t>
      </w:r>
    </w:p>
    <w:p w14:paraId="023D0E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kін = 0,9</w:t>
      </w:r>
    </w:p>
    <w:p w14:paraId="4E39E5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kтех = 0,8</w:t>
      </w:r>
    </w:p>
    <w:p w14:paraId="3034E13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kрес = 0,85</w:t>
      </w:r>
    </w:p>
    <w:p w14:paraId="2DD1B9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Іп = 0,9 × 0,8 × 0,85 = 0,612</w:t>
      </w:r>
    </w:p>
    <w:p w14:paraId="3091194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значення свідчить про високий інноваційний потенціал проекту.</w:t>
      </w:r>
    </w:p>
    <w:p w14:paraId="6308D84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Вплив проекту на розвиток місцевої економіки можна оцінити через мультиплікативний ефект. Коефіцієнт мультиплікації розраховується за формулою:</w:t>
      </w:r>
    </w:p>
    <w:p w14:paraId="22749C3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Км = 1 + ΔВ/І                                                        (3.34)</w:t>
      </w:r>
    </w:p>
    <w:p w14:paraId="4E345F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ΔВ - додаткова вартість, створена в суміжних галузях;</w:t>
      </w:r>
    </w:p>
    <w:p w14:paraId="7BF0D49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 обсяг початкових інвестицій.</w:t>
      </w:r>
    </w:p>
    <w:p w14:paraId="7AE3274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очікуваному створенні додаткової вартості у розмірі 8500 тис. грн:</w:t>
      </w:r>
    </w:p>
    <w:p w14:paraId="4AE9F9C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Км = 1 + 8500/29232 = 1,29</w:t>
      </w:r>
    </w:p>
    <w:p w14:paraId="2109AA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означає, що кожна гривня інвестицій у проект генерує додатково 0,29 грн в економіці регіону.</w:t>
      </w:r>
    </w:p>
    <w:p w14:paraId="6956F0B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Соціальний вплив проекту також проявляється у підвищенні якості життя місцевого населення за рахунок покращення екологічної ситуації. Інтегральний показник якості життя розраховується за формулою:</w:t>
      </w:r>
    </w:p>
    <w:p w14:paraId="5D28D1C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Іяж = Σ(wi × ki)                                                     (3.35)</w:t>
      </w:r>
    </w:p>
    <w:p w14:paraId="32EB01A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wi - вагові коефіцієнти окремих факторів;</w:t>
      </w:r>
    </w:p>
    <w:p w14:paraId="25A0037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ki - відносна зміна показників якості життя.</w:t>
      </w:r>
    </w:p>
    <w:p w14:paraId="13CB71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врахуванні основних факторів отримано значення Іяж = 1,15, що свідчить про покращення якості життя на 15%.</w:t>
      </w:r>
    </w:p>
    <w:p w14:paraId="5F82D7E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Оцінка впливу проекту на розвиток людського капіталу включає аналіз підвищення кваліфікації персоналу та зростання інтелектуального потенціалу підприємства. Індекс розвитку людського капіталу розраховується за формулою:</w:t>
      </w:r>
    </w:p>
    <w:p w14:paraId="5462650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Ілк = (К1 × К2 × К3)^(1/3)                                          (3.36)</w:t>
      </w:r>
    </w:p>
    <w:p w14:paraId="1E8E0D0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К1 - коефіцієнт підвищення кваліфікації;</w:t>
      </w:r>
    </w:p>
    <w:p w14:paraId="540B02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К2 - коефіцієнт інноваційної активності;</w:t>
      </w:r>
    </w:p>
    <w:p w14:paraId="59B36A9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К3 - коефіцієнт продуктивності праці.</w:t>
      </w:r>
    </w:p>
    <w:p w14:paraId="0268F9F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значеннях коефіцієнтів:</w:t>
      </w:r>
    </w:p>
    <w:p w14:paraId="1A825B9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К1 = 1,2</w:t>
      </w:r>
    </w:p>
    <w:p w14:paraId="3889A10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К2 = 1,15</w:t>
      </w:r>
    </w:p>
    <w:p w14:paraId="264F5F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К3 = 1,1</w:t>
      </w:r>
    </w:p>
    <w:p w14:paraId="09844C6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Ілк = (1,2 × 1,15 × 1,1)^(1/3) = 1,15</w:t>
      </w:r>
    </w:p>
    <w:p w14:paraId="126B12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свідчить про значний позитивний вплив проекту на розвиток людського капіталу.</w:t>
      </w:r>
    </w:p>
    <w:p w14:paraId="4A7F740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комплексний аналіз екологічних та соціальних аспектів впровадження кінетичних накопичувачів енергії показав їх суттєвий позитивний вплив на розвиток підприємства та регіону. Кількісна оцінка різних складових цього впливу дозволяє обґрунтувати соціально-економічну доцільність реалізації проекту навіть при відносно тривалому терміні окупності інвестицій.</w:t>
      </w:r>
    </w:p>
    <w:p w14:paraId="70C9906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6FEC03E">
      <w:pPr>
        <w:spacing w:line="360" w:lineRule="auto"/>
        <w:ind w:firstLine="709"/>
        <w:jc w:val="center"/>
        <w:rPr>
          <w:rFonts w:hint="default" w:ascii="Times New Roman" w:hAnsi="Times New Roman" w:cs="Times New Roman"/>
          <w:b/>
          <w:bCs/>
          <w:sz w:val="28"/>
          <w:szCs w:val="28"/>
          <w:lang w:val="uk-UA"/>
        </w:rPr>
      </w:pPr>
      <w:r>
        <w:rPr>
          <w:rFonts w:ascii="Times New Roman" w:hAnsi="Times New Roman" w:cs="Times New Roman"/>
          <w:b/>
          <w:bCs/>
          <w:sz w:val="28"/>
          <w:szCs w:val="28"/>
          <w:lang w:val="uk-UA"/>
        </w:rPr>
        <w:t>РОЗДІЛ</w:t>
      </w:r>
      <w:r>
        <w:rPr>
          <w:rFonts w:hint="default" w:ascii="Times New Roman" w:hAnsi="Times New Roman" w:cs="Times New Roman"/>
          <w:b/>
          <w:bCs/>
          <w:sz w:val="28"/>
          <w:szCs w:val="28"/>
          <w:lang w:val="uk-UA"/>
        </w:rPr>
        <w:t xml:space="preserve"> 4. СТАРТАП ПРОЕКТ</w:t>
      </w:r>
    </w:p>
    <w:p w14:paraId="46E7ECA6">
      <w:pPr>
        <w:spacing w:line="360" w:lineRule="auto"/>
        <w:ind w:firstLine="709"/>
        <w:jc w:val="center"/>
        <w:rPr>
          <w:rFonts w:hint="default" w:ascii="Times New Roman" w:hAnsi="Times New Roman" w:cs="Times New Roman"/>
          <w:b/>
          <w:bCs/>
          <w:sz w:val="28"/>
          <w:szCs w:val="28"/>
          <w:lang w:val="uk-UA"/>
        </w:rPr>
      </w:pPr>
    </w:p>
    <w:p w14:paraId="5F0C6B90">
      <w:pPr>
        <w:spacing w:line="360" w:lineRule="auto"/>
        <w:ind w:firstLine="709"/>
        <w:jc w:val="center"/>
        <w:rPr>
          <w:rFonts w:hint="default" w:ascii="Times New Roman" w:hAnsi="Times New Roman" w:cs="Times New Roman"/>
          <w:b/>
          <w:bCs/>
          <w:sz w:val="28"/>
          <w:szCs w:val="28"/>
          <w:lang w:val="uk-UA"/>
        </w:rPr>
      </w:pPr>
      <w:r>
        <w:rPr>
          <w:rFonts w:hint="default" w:ascii="Times New Roman" w:hAnsi="Times New Roman" w:cs="Times New Roman"/>
          <w:b/>
          <w:bCs/>
          <w:sz w:val="28"/>
          <w:szCs w:val="28"/>
          <w:lang w:val="uk-UA"/>
        </w:rPr>
        <w:t>4.1 Опис ідеї проекту</w:t>
      </w:r>
    </w:p>
    <w:p w14:paraId="3F639ED0">
      <w:pPr>
        <w:spacing w:line="360" w:lineRule="auto"/>
        <w:ind w:firstLine="709"/>
        <w:jc w:val="both"/>
        <w:rPr>
          <w:rFonts w:ascii="Times New Roman" w:hAnsi="Times New Roman" w:cs="Times New Roman"/>
          <w:sz w:val="28"/>
          <w:szCs w:val="28"/>
          <w:lang w:val="uk-UA"/>
        </w:rPr>
      </w:pPr>
    </w:p>
    <w:p w14:paraId="42FCB3C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w:t>
      </w:r>
      <w:r>
        <w:rPr>
          <w:rFonts w:hint="default" w:ascii="Times New Roman" w:hAnsi="Times New Roman" w:cs="Times New Roman"/>
          <w:sz w:val="28"/>
          <w:szCs w:val="28"/>
          <w:lang w:val="uk-UA"/>
        </w:rPr>
        <w:t xml:space="preserve"> данної роботи було</w:t>
      </w:r>
      <w:r>
        <w:rPr>
          <w:rFonts w:ascii="Times New Roman" w:hAnsi="Times New Roman" w:cs="Times New Roman"/>
          <w:sz w:val="28"/>
          <w:szCs w:val="28"/>
        </w:rPr>
        <w:t xml:space="preserve"> проведено аналіз системи електропостачання та оцінки потенціалу впровадження кінетичних накопичувачів енергії розроблено комплекс технічних рішень щодо модернізації системи електропостачання. Запропоновані рішення спрямовані на підвищення енергоефективності та надійності електропостачання підприємства.</w:t>
      </w:r>
    </w:p>
    <w:p w14:paraId="2AEDFFE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Запропонованний</w:t>
      </w:r>
      <w:r>
        <w:rPr>
          <w:rFonts w:ascii="Times New Roman" w:hAnsi="Times New Roman" w:cs="Times New Roman"/>
          <w:sz w:val="28"/>
          <w:szCs w:val="28"/>
        </w:rPr>
        <w:t xml:space="preserve"> кінетичн</w:t>
      </w:r>
      <w:r>
        <w:rPr>
          <w:rFonts w:ascii="Times New Roman" w:hAnsi="Times New Roman" w:cs="Times New Roman"/>
          <w:sz w:val="28"/>
          <w:szCs w:val="28"/>
          <w:lang w:val="uk-UA"/>
        </w:rPr>
        <w:t>ий</w:t>
      </w:r>
      <w:r>
        <w:rPr>
          <w:rFonts w:ascii="Times New Roman" w:hAnsi="Times New Roman" w:cs="Times New Roman"/>
          <w:sz w:val="28"/>
          <w:szCs w:val="28"/>
        </w:rPr>
        <w:t xml:space="preserve"> накопичувач енергії</w:t>
      </w:r>
      <w:r>
        <w:rPr>
          <w:rFonts w:hint="default"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що</w:t>
      </w:r>
      <w:r>
        <w:rPr>
          <w:rFonts w:hint="default" w:ascii="Times New Roman" w:hAnsi="Times New Roman" w:cs="Times New Roman"/>
          <w:sz w:val="28"/>
          <w:szCs w:val="28"/>
          <w:lang w:val="uk-UA"/>
        </w:rPr>
        <w:t xml:space="preserve"> </w:t>
      </w:r>
      <w:r>
        <w:rPr>
          <w:rFonts w:ascii="Times New Roman" w:hAnsi="Times New Roman" w:cs="Times New Roman"/>
          <w:sz w:val="28"/>
          <w:szCs w:val="28"/>
        </w:rPr>
        <w:t>перетвор</w:t>
      </w:r>
      <w:r>
        <w:rPr>
          <w:rFonts w:ascii="Times New Roman" w:hAnsi="Times New Roman" w:cs="Times New Roman"/>
          <w:sz w:val="28"/>
          <w:szCs w:val="28"/>
          <w:lang w:val="uk-UA"/>
        </w:rPr>
        <w:t>ює</w:t>
      </w:r>
      <w:r>
        <w:rPr>
          <w:rFonts w:ascii="Times New Roman" w:hAnsi="Times New Roman" w:cs="Times New Roman"/>
          <w:sz w:val="28"/>
          <w:szCs w:val="28"/>
        </w:rPr>
        <w:t xml:space="preserve"> електричн</w:t>
      </w:r>
      <w:r>
        <w:rPr>
          <w:rFonts w:ascii="Times New Roman" w:hAnsi="Times New Roman" w:cs="Times New Roman"/>
          <w:sz w:val="28"/>
          <w:szCs w:val="28"/>
          <w:lang w:val="uk-UA"/>
        </w:rPr>
        <w:t>у</w:t>
      </w:r>
      <w:r>
        <w:rPr>
          <w:rFonts w:ascii="Times New Roman" w:hAnsi="Times New Roman" w:cs="Times New Roman"/>
          <w:sz w:val="28"/>
          <w:szCs w:val="28"/>
        </w:rPr>
        <w:t xml:space="preserve"> енергі</w:t>
      </w:r>
      <w:r>
        <w:rPr>
          <w:rFonts w:ascii="Times New Roman" w:hAnsi="Times New Roman" w:cs="Times New Roman"/>
          <w:sz w:val="28"/>
          <w:szCs w:val="28"/>
          <w:lang w:val="uk-UA"/>
        </w:rPr>
        <w:t>ю</w:t>
      </w:r>
      <w:r>
        <w:rPr>
          <w:rFonts w:ascii="Times New Roman" w:hAnsi="Times New Roman" w:cs="Times New Roman"/>
          <w:sz w:val="28"/>
          <w:szCs w:val="28"/>
        </w:rPr>
        <w:t xml:space="preserve"> в кінетичну енергію обертового маховика при заряді та зворотному перетворенні при розряді. Основними компонентами</w:t>
      </w:r>
      <w:r>
        <w:rPr>
          <w:rFonts w:hint="default" w:ascii="Times New Roman" w:hAnsi="Times New Roman" w:cs="Times New Roman"/>
          <w:sz w:val="28"/>
          <w:szCs w:val="28"/>
          <w:lang w:val="uk-UA"/>
        </w:rPr>
        <w:t xml:space="preserve"> </w:t>
      </w:r>
      <w:r>
        <w:rPr>
          <w:rFonts w:ascii="Times New Roman" w:hAnsi="Times New Roman" w:cs="Times New Roman"/>
          <w:sz w:val="28"/>
          <w:szCs w:val="28"/>
        </w:rPr>
        <w:t>є маховик, електрична машина, що працює в режимах двигуна та генератора, підшипникова система, вакуумна камера та система управління.</w:t>
      </w:r>
    </w:p>
    <w:p w14:paraId="7E8B8AAC">
      <w:pPr>
        <w:spacing w:line="360" w:lineRule="auto"/>
        <w:ind w:firstLine="709"/>
        <w:jc w:val="both"/>
        <w:rPr>
          <w:rFonts w:ascii="Times New Roman" w:hAnsi="Times New Roman" w:cs="Times New Roman"/>
          <w:sz w:val="28"/>
          <w:szCs w:val="28"/>
        </w:rPr>
      </w:pPr>
    </w:p>
    <w:p w14:paraId="0E3E20F7">
      <w:pPr>
        <w:spacing w:line="360" w:lineRule="auto"/>
        <w:ind w:firstLine="709"/>
        <w:jc w:val="both"/>
        <w:rPr>
          <w:rFonts w:ascii="Times New Roman" w:hAnsi="Times New Roman" w:cs="Times New Roman"/>
          <w:sz w:val="28"/>
          <w:szCs w:val="28"/>
        </w:rPr>
      </w:pPr>
    </w:p>
    <w:p w14:paraId="588D5AE8">
      <w:pPr>
        <w:spacing w:line="360" w:lineRule="auto"/>
        <w:ind w:firstLine="709"/>
        <w:jc w:val="both"/>
        <w:rPr>
          <w:rFonts w:ascii="Times New Roman" w:hAnsi="Times New Roman" w:cs="Times New Roman"/>
          <w:sz w:val="28"/>
          <w:szCs w:val="28"/>
        </w:rPr>
      </w:pPr>
    </w:p>
    <w:p w14:paraId="478C91BA">
      <w:pPr>
        <w:spacing w:line="360" w:lineRule="auto"/>
        <w:ind w:firstLine="709"/>
        <w:jc w:val="both"/>
        <w:rPr>
          <w:rFonts w:ascii="Times New Roman" w:hAnsi="Times New Roman" w:cs="Times New Roman"/>
          <w:sz w:val="28"/>
          <w:szCs w:val="28"/>
        </w:rPr>
      </w:pPr>
    </w:p>
    <w:p w14:paraId="7557BF81">
      <w:pPr>
        <w:spacing w:line="360" w:lineRule="auto"/>
        <w:ind w:firstLine="709"/>
        <w:jc w:val="both"/>
        <w:rPr>
          <w:rFonts w:ascii="Times New Roman" w:hAnsi="Times New Roman" w:cs="Times New Roman"/>
          <w:sz w:val="28"/>
          <w:szCs w:val="28"/>
        </w:rPr>
      </w:pPr>
    </w:p>
    <w:p w14:paraId="59C2C870">
      <w:pPr>
        <w:spacing w:line="360" w:lineRule="auto"/>
        <w:ind w:firstLine="709"/>
        <w:jc w:val="both"/>
        <w:rPr>
          <w:rFonts w:ascii="Times New Roman" w:hAnsi="Times New Roman" w:cs="Times New Roman"/>
          <w:sz w:val="28"/>
          <w:szCs w:val="28"/>
        </w:rPr>
      </w:pPr>
    </w:p>
    <w:p w14:paraId="58FD0992">
      <w:pPr>
        <w:spacing w:line="360" w:lineRule="auto"/>
        <w:ind w:firstLine="709"/>
        <w:jc w:val="both"/>
        <w:rPr>
          <w:rFonts w:ascii="Times New Roman" w:hAnsi="Times New Roman" w:cs="Times New Roman"/>
          <w:sz w:val="28"/>
          <w:szCs w:val="28"/>
        </w:rPr>
      </w:pPr>
    </w:p>
    <w:p w14:paraId="5DFC387D">
      <w:pPr>
        <w:spacing w:line="360" w:lineRule="auto"/>
        <w:ind w:firstLine="709"/>
        <w:jc w:val="both"/>
        <w:rPr>
          <w:rFonts w:ascii="Times New Roman" w:hAnsi="Times New Roman" w:cs="Times New Roman"/>
          <w:sz w:val="28"/>
          <w:szCs w:val="28"/>
        </w:rPr>
      </w:pPr>
    </w:p>
    <w:p w14:paraId="6C8BC2FA">
      <w:pPr>
        <w:spacing w:line="360" w:lineRule="auto"/>
        <w:ind w:firstLine="709"/>
        <w:jc w:val="both"/>
        <w:rPr>
          <w:rFonts w:ascii="Times New Roman" w:hAnsi="Times New Roman" w:cs="Times New Roman"/>
          <w:sz w:val="28"/>
          <w:szCs w:val="28"/>
        </w:rPr>
      </w:pPr>
    </w:p>
    <w:p w14:paraId="70406F67">
      <w:pPr>
        <w:spacing w:line="360" w:lineRule="auto"/>
        <w:ind w:firstLine="709"/>
        <w:jc w:val="both"/>
        <w:rPr>
          <w:rFonts w:ascii="Times New Roman" w:hAnsi="Times New Roman" w:cs="Times New Roman"/>
          <w:sz w:val="28"/>
          <w:szCs w:val="28"/>
        </w:rPr>
      </w:pPr>
    </w:p>
    <w:p w14:paraId="6B6C4423">
      <w:pPr>
        <w:spacing w:line="360" w:lineRule="auto"/>
        <w:ind w:firstLine="709"/>
        <w:jc w:val="both"/>
        <w:rPr>
          <w:rFonts w:ascii="Times New Roman" w:hAnsi="Times New Roman" w:cs="Times New Roman"/>
          <w:sz w:val="28"/>
          <w:szCs w:val="28"/>
        </w:rPr>
      </w:pPr>
    </w:p>
    <w:p w14:paraId="3683BB7C">
      <w:pPr>
        <w:spacing w:line="360" w:lineRule="auto"/>
        <w:ind w:firstLine="709"/>
        <w:jc w:val="both"/>
        <w:rPr>
          <w:rFonts w:ascii="Times New Roman" w:hAnsi="Times New Roman" w:cs="Times New Roman"/>
          <w:sz w:val="28"/>
          <w:szCs w:val="28"/>
        </w:rPr>
      </w:pPr>
    </w:p>
    <w:p w14:paraId="681D98CE">
      <w:pPr>
        <w:spacing w:line="360" w:lineRule="auto"/>
        <w:ind w:firstLine="709"/>
        <w:jc w:val="both"/>
        <w:rPr>
          <w:rFonts w:ascii="Times New Roman" w:hAnsi="Times New Roman" w:cs="Times New Roman"/>
          <w:sz w:val="28"/>
          <w:szCs w:val="28"/>
        </w:rPr>
      </w:pPr>
    </w:p>
    <w:p w14:paraId="44FD3BC3">
      <w:pPr>
        <w:spacing w:line="360" w:lineRule="auto"/>
        <w:ind w:firstLine="709"/>
        <w:jc w:val="both"/>
        <w:rPr>
          <w:rFonts w:ascii="Times New Roman" w:hAnsi="Times New Roman" w:cs="Times New Roman"/>
          <w:sz w:val="28"/>
          <w:szCs w:val="28"/>
        </w:rPr>
      </w:pPr>
    </w:p>
    <w:p w14:paraId="6F8D78C2">
      <w:pPr>
        <w:spacing w:line="360" w:lineRule="auto"/>
        <w:ind w:firstLine="709"/>
        <w:jc w:val="both"/>
        <w:rPr>
          <w:rFonts w:ascii="Times New Roman" w:hAnsi="Times New Roman" w:cs="Times New Roman"/>
          <w:sz w:val="28"/>
          <w:szCs w:val="28"/>
        </w:rPr>
      </w:pPr>
    </w:p>
    <w:p w14:paraId="6FCF086E">
      <w:pPr>
        <w:spacing w:line="360" w:lineRule="auto"/>
        <w:ind w:firstLine="709"/>
        <w:jc w:val="both"/>
        <w:rPr>
          <w:rFonts w:ascii="Times New Roman" w:hAnsi="Times New Roman" w:cs="Times New Roman"/>
          <w:sz w:val="28"/>
          <w:szCs w:val="28"/>
        </w:rPr>
      </w:pPr>
    </w:p>
    <w:p w14:paraId="0A9E9107">
      <w:pPr>
        <w:wordWrap w:val="0"/>
        <w:spacing w:line="360" w:lineRule="auto"/>
        <w:ind w:firstLine="709"/>
        <w:jc w:val="right"/>
        <w:rPr>
          <w:rFonts w:hint="default" w:ascii="Times New Roman" w:hAnsi="Times New Roman" w:cs="Times New Roman"/>
          <w:sz w:val="28"/>
          <w:szCs w:val="28"/>
          <w:lang w:val="uk-UA"/>
        </w:rPr>
      </w:pPr>
      <w:r>
        <w:rPr>
          <w:rFonts w:ascii="Times New Roman" w:hAnsi="Times New Roman" w:cs="Times New Roman"/>
          <w:sz w:val="28"/>
          <w:szCs w:val="28"/>
          <w:lang w:val="uk-UA"/>
        </w:rPr>
        <w:t>Таблиця</w:t>
      </w:r>
      <w:r>
        <w:rPr>
          <w:rFonts w:hint="default" w:ascii="Times New Roman" w:hAnsi="Times New Roman" w:cs="Times New Roman"/>
          <w:sz w:val="28"/>
          <w:szCs w:val="28"/>
          <w:lang w:val="uk-UA"/>
        </w:rPr>
        <w:t xml:space="preserve"> 4.1</w:t>
      </w:r>
    </w:p>
    <w:p w14:paraId="23A7EEFC">
      <w:pPr>
        <w:wordWrap w:val="0"/>
        <w:spacing w:line="360" w:lineRule="auto"/>
        <w:ind w:firstLine="709"/>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Основні аспекти ідеї проекту</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90"/>
        <w:gridCol w:w="3190"/>
        <w:gridCol w:w="3190"/>
      </w:tblGrid>
      <w:tr w14:paraId="0AC56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7A5566FB">
            <w:pPr>
              <w:wordWrap/>
              <w:spacing w:line="360" w:lineRule="auto"/>
              <w:jc w:val="both"/>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Зміст</w:t>
            </w:r>
          </w:p>
        </w:tc>
        <w:tc>
          <w:tcPr>
            <w:tcW w:w="3190" w:type="dxa"/>
          </w:tcPr>
          <w:p w14:paraId="764AECA2">
            <w:pPr>
              <w:wordWrap/>
              <w:spacing w:line="360" w:lineRule="auto"/>
              <w:jc w:val="both"/>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Результат</w:t>
            </w:r>
          </w:p>
        </w:tc>
        <w:tc>
          <w:tcPr>
            <w:tcW w:w="3190" w:type="dxa"/>
          </w:tcPr>
          <w:p w14:paraId="5C0207C6">
            <w:pPr>
              <w:wordWrap/>
              <w:spacing w:line="360" w:lineRule="auto"/>
              <w:jc w:val="both"/>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Вигоди</w:t>
            </w:r>
          </w:p>
        </w:tc>
      </w:tr>
      <w:tr w14:paraId="55963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7A236E7C">
            <w:pPr>
              <w:wordWrap/>
              <w:spacing w:line="360" w:lineRule="auto"/>
              <w:jc w:val="both"/>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Впровадження КНЕ в систему електропостачання</w:t>
            </w:r>
          </w:p>
        </w:tc>
        <w:tc>
          <w:tcPr>
            <w:tcW w:w="3190" w:type="dxa"/>
          </w:tcPr>
          <w:p w14:paraId="47D2A6C6">
            <w:pPr>
              <w:wordWrap/>
              <w:spacing w:line="360" w:lineRule="auto"/>
              <w:jc w:val="both"/>
              <w:rPr>
                <w:rFonts w:hint="default" w:ascii="Times New Roman" w:hAnsi="Times New Roman" w:cs="Times New Roman"/>
                <w:sz w:val="28"/>
                <w:szCs w:val="28"/>
                <w:vertAlign w:val="baseline"/>
                <w:lang w:val="uk-UA"/>
              </w:rPr>
            </w:pPr>
            <w:r>
              <w:rPr>
                <w:rFonts w:ascii="Times New Roman" w:hAnsi="Times New Roman" w:cs="Times New Roman"/>
                <w:sz w:val="28"/>
                <w:szCs w:val="28"/>
                <w:lang w:val="uk-UA"/>
              </w:rPr>
              <w:t>З</w:t>
            </w:r>
            <w:r>
              <w:rPr>
                <w:rFonts w:ascii="Times New Roman" w:hAnsi="Times New Roman" w:cs="Times New Roman"/>
                <w:sz w:val="28"/>
                <w:szCs w:val="28"/>
              </w:rPr>
              <w:t>ниження максимальної споживаної потужності</w:t>
            </w:r>
          </w:p>
        </w:tc>
        <w:tc>
          <w:tcPr>
            <w:tcW w:w="3190" w:type="dxa"/>
          </w:tcPr>
          <w:p w14:paraId="7126BCF0">
            <w:pPr>
              <w:wordWrap/>
              <w:spacing w:line="360" w:lineRule="auto"/>
              <w:jc w:val="both"/>
              <w:rPr>
                <w:rFonts w:hint="default" w:ascii="Times New Roman" w:hAnsi="Times New Roman" w:cs="Times New Roman"/>
                <w:sz w:val="28"/>
                <w:szCs w:val="28"/>
                <w:vertAlign w:val="baseline"/>
                <w:lang w:val="uk-UA"/>
              </w:rPr>
            </w:pPr>
            <w:r>
              <w:rPr>
                <w:rFonts w:ascii="Times New Roman" w:hAnsi="Times New Roman" w:cs="Times New Roman"/>
                <w:sz w:val="28"/>
                <w:szCs w:val="28"/>
                <w:lang w:val="uk-UA"/>
              </w:rPr>
              <w:t>П</w:t>
            </w:r>
            <w:r>
              <w:rPr>
                <w:rFonts w:ascii="Times New Roman" w:hAnsi="Times New Roman" w:cs="Times New Roman"/>
                <w:sz w:val="28"/>
                <w:szCs w:val="28"/>
              </w:rPr>
              <w:t>окращення показників якості електроенергії, підвищення надійності електропостачання.</w:t>
            </w:r>
          </w:p>
        </w:tc>
      </w:tr>
      <w:tr w14:paraId="4F013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7E40EA40">
            <w:pPr>
              <w:wordWrap/>
              <w:spacing w:line="360" w:lineRule="auto"/>
              <w:jc w:val="both"/>
              <w:rPr>
                <w:rFonts w:hint="default" w:ascii="Times New Roman" w:hAnsi="Times New Roman" w:cs="Times New Roman"/>
                <w:sz w:val="28"/>
                <w:szCs w:val="28"/>
                <w:vertAlign w:val="baseline"/>
                <w:lang w:val="uk-UA"/>
              </w:rPr>
            </w:pPr>
          </w:p>
        </w:tc>
        <w:tc>
          <w:tcPr>
            <w:tcW w:w="3190" w:type="dxa"/>
          </w:tcPr>
          <w:p w14:paraId="5BED34BD">
            <w:pPr>
              <w:wordWrap/>
              <w:spacing w:line="360" w:lineRule="auto"/>
              <w:jc w:val="both"/>
              <w:rPr>
                <w:rFonts w:hint="default" w:ascii="Times New Roman" w:hAnsi="Times New Roman" w:cs="Times New Roman"/>
                <w:sz w:val="28"/>
                <w:szCs w:val="28"/>
                <w:vertAlign w:val="baseline"/>
                <w:lang w:val="uk-UA"/>
              </w:rPr>
            </w:pPr>
            <w:r>
              <w:rPr>
                <w:rFonts w:ascii="Times New Roman" w:hAnsi="Times New Roman" w:cs="Times New Roman"/>
                <w:sz w:val="28"/>
                <w:szCs w:val="28"/>
                <w:lang w:val="uk-UA"/>
              </w:rPr>
              <w:t>З</w:t>
            </w:r>
            <w:r>
              <w:rPr>
                <w:rFonts w:ascii="Times New Roman" w:hAnsi="Times New Roman" w:cs="Times New Roman"/>
                <w:sz w:val="28"/>
                <w:szCs w:val="28"/>
              </w:rPr>
              <w:t>ниження платежів за споживану потужність</w:t>
            </w:r>
          </w:p>
        </w:tc>
        <w:tc>
          <w:tcPr>
            <w:tcW w:w="3190" w:type="dxa"/>
          </w:tcPr>
          <w:p w14:paraId="03E7D472">
            <w:pPr>
              <w:wordWrap/>
              <w:spacing w:line="360" w:lineRule="auto"/>
              <w:jc w:val="both"/>
              <w:rPr>
                <w:rFonts w:hint="default" w:ascii="Times New Roman" w:hAnsi="Times New Roman" w:cs="Times New Roman"/>
                <w:sz w:val="28"/>
                <w:szCs w:val="28"/>
                <w:vertAlign w:val="baseline"/>
                <w:lang w:val="uk-UA"/>
              </w:rPr>
            </w:pPr>
            <w:r>
              <w:rPr>
                <w:rFonts w:ascii="Times New Roman" w:hAnsi="Times New Roman" w:cs="Times New Roman"/>
                <w:sz w:val="28"/>
                <w:szCs w:val="28"/>
                <w:lang w:val="uk-UA"/>
              </w:rPr>
              <w:t>З</w:t>
            </w:r>
            <w:r>
              <w:rPr>
                <w:rFonts w:ascii="Times New Roman" w:hAnsi="Times New Roman" w:cs="Times New Roman"/>
                <w:sz w:val="28"/>
                <w:szCs w:val="28"/>
              </w:rPr>
              <w:t>меншення втрат електроенергії, зниження витрат на ремонти обладнання через покращення якості електроенергії</w:t>
            </w:r>
          </w:p>
        </w:tc>
      </w:tr>
      <w:tr w14:paraId="12191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48362E07">
            <w:pPr>
              <w:wordWrap/>
              <w:spacing w:line="360" w:lineRule="auto"/>
              <w:jc w:val="both"/>
              <w:rPr>
                <w:rFonts w:hint="default" w:ascii="Times New Roman" w:hAnsi="Times New Roman" w:cs="Times New Roman"/>
                <w:sz w:val="28"/>
                <w:szCs w:val="28"/>
                <w:vertAlign w:val="baseline"/>
                <w:lang w:val="uk-UA"/>
              </w:rPr>
            </w:pPr>
          </w:p>
        </w:tc>
        <w:tc>
          <w:tcPr>
            <w:tcW w:w="3190" w:type="dxa"/>
          </w:tcPr>
          <w:p w14:paraId="28E64F7E">
            <w:pPr>
              <w:wordWrap/>
              <w:spacing w:line="360" w:lineRule="auto"/>
              <w:jc w:val="both"/>
              <w:rPr>
                <w:rFonts w:hint="default" w:ascii="Times New Roman" w:hAnsi="Times New Roman" w:cs="Times New Roman"/>
                <w:sz w:val="28"/>
                <w:szCs w:val="28"/>
                <w:vertAlign w:val="baseline"/>
                <w:lang w:val="uk-UA"/>
              </w:rPr>
            </w:pPr>
            <w:r>
              <w:rPr>
                <w:rFonts w:ascii="Times New Roman" w:hAnsi="Times New Roman" w:cs="Times New Roman"/>
                <w:sz w:val="28"/>
                <w:szCs w:val="28"/>
                <w:lang w:val="uk-UA"/>
              </w:rPr>
              <w:t>З</w:t>
            </w:r>
            <w:r>
              <w:rPr>
                <w:rFonts w:ascii="Times New Roman" w:hAnsi="Times New Roman" w:cs="Times New Roman"/>
                <w:sz w:val="28"/>
                <w:szCs w:val="28"/>
              </w:rPr>
              <w:t>ниженні викидів парникових газів</w:t>
            </w:r>
          </w:p>
        </w:tc>
        <w:tc>
          <w:tcPr>
            <w:tcW w:w="3190" w:type="dxa"/>
          </w:tcPr>
          <w:p w14:paraId="647D0849">
            <w:pPr>
              <w:wordWrap/>
              <w:spacing w:line="360" w:lineRule="auto"/>
              <w:jc w:val="both"/>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Покращення екологіі навкруги підприємства</w:t>
            </w:r>
          </w:p>
        </w:tc>
      </w:tr>
      <w:tr w14:paraId="204F0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05975819">
            <w:pPr>
              <w:wordWrap/>
              <w:spacing w:line="360" w:lineRule="auto"/>
              <w:jc w:val="both"/>
              <w:rPr>
                <w:rFonts w:hint="default" w:ascii="Times New Roman" w:hAnsi="Times New Roman" w:cs="Times New Roman"/>
                <w:sz w:val="28"/>
                <w:szCs w:val="28"/>
                <w:vertAlign w:val="baseline"/>
                <w:lang w:val="uk-UA"/>
              </w:rPr>
            </w:pPr>
          </w:p>
        </w:tc>
        <w:tc>
          <w:tcPr>
            <w:tcW w:w="3190" w:type="dxa"/>
          </w:tcPr>
          <w:p w14:paraId="5DA02576">
            <w:pPr>
              <w:wordWrap/>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Pr>
                <w:rFonts w:ascii="Times New Roman" w:hAnsi="Times New Roman" w:cs="Times New Roman"/>
                <w:sz w:val="28"/>
                <w:szCs w:val="28"/>
              </w:rPr>
              <w:t>творення нових робочих місць для обслуговування високотехнологічного обладнання</w:t>
            </w:r>
          </w:p>
        </w:tc>
        <w:tc>
          <w:tcPr>
            <w:tcW w:w="3190" w:type="dxa"/>
          </w:tcPr>
          <w:p w14:paraId="6CCE59CA">
            <w:pPr>
              <w:wordWrap/>
              <w:spacing w:line="360" w:lineRule="auto"/>
              <w:jc w:val="both"/>
              <w:rPr>
                <w:rFonts w:hint="default" w:ascii="Times New Roman" w:hAnsi="Times New Roman" w:cs="Times New Roman"/>
                <w:sz w:val="28"/>
                <w:szCs w:val="28"/>
                <w:vertAlign w:val="baseline"/>
                <w:lang w:val="uk-UA"/>
              </w:rPr>
            </w:pPr>
            <w:r>
              <w:rPr>
                <w:rFonts w:ascii="Times New Roman" w:hAnsi="Times New Roman" w:cs="Times New Roman"/>
                <w:sz w:val="28"/>
                <w:szCs w:val="28"/>
                <w:lang w:val="uk-UA"/>
              </w:rPr>
              <w:t>П</w:t>
            </w:r>
            <w:r>
              <w:rPr>
                <w:rFonts w:ascii="Times New Roman" w:hAnsi="Times New Roman" w:cs="Times New Roman"/>
                <w:sz w:val="28"/>
                <w:szCs w:val="28"/>
              </w:rPr>
              <w:t>ідвищення кваліфікації персоналу, покращення умов праці за рахунок підвищення якості електропостачання.</w:t>
            </w:r>
          </w:p>
        </w:tc>
      </w:tr>
    </w:tbl>
    <w:p w14:paraId="25B7BCEA">
      <w:pPr>
        <w:wordWrap/>
        <w:spacing w:line="360" w:lineRule="auto"/>
        <w:ind w:firstLine="709"/>
        <w:jc w:val="center"/>
        <w:rPr>
          <w:rFonts w:hint="default" w:ascii="Times New Roman" w:hAnsi="Times New Roman" w:cs="Times New Roman"/>
          <w:sz w:val="28"/>
          <w:szCs w:val="28"/>
          <w:lang w:val="uk-UA"/>
        </w:rPr>
      </w:pPr>
    </w:p>
    <w:p w14:paraId="0ADB31F4">
      <w:pPr>
        <w:spacing w:line="360" w:lineRule="auto"/>
        <w:ind w:firstLine="709"/>
        <w:jc w:val="both"/>
        <w:rPr>
          <w:rFonts w:hint="default" w:ascii="Times New Roman" w:hAnsi="Times New Roman" w:cs="Times New Roman"/>
          <w:sz w:val="28"/>
          <w:szCs w:val="28"/>
          <w:lang w:val="uk-UA"/>
        </w:rPr>
      </w:pPr>
      <w:r>
        <w:rPr>
          <w:rFonts w:ascii="Times New Roman" w:hAnsi="Times New Roman" w:cs="Times New Roman"/>
          <w:sz w:val="28"/>
          <w:szCs w:val="28"/>
          <w:lang w:val="uk-UA"/>
        </w:rPr>
        <w:t>З</w:t>
      </w:r>
      <w:r>
        <w:rPr>
          <w:rFonts w:hint="default" w:ascii="Times New Roman" w:hAnsi="Times New Roman" w:cs="Times New Roman"/>
          <w:sz w:val="28"/>
          <w:szCs w:val="28"/>
          <w:lang w:val="uk-UA"/>
        </w:rPr>
        <w:t xml:space="preserve"> урахуванням переорієнтації енергетичної системи України на Європейські стандарти, попит на сучастні рішення для </w:t>
      </w:r>
      <w:r>
        <w:rPr>
          <w:rFonts w:ascii="Times New Roman" w:hAnsi="Times New Roman" w:cs="Times New Roman"/>
          <w:sz w:val="28"/>
          <w:szCs w:val="28"/>
        </w:rPr>
        <w:t>підвищення енергоефективності та надійності електропостачання підприємства</w:t>
      </w:r>
      <w:r>
        <w:rPr>
          <w:rFonts w:hint="default" w:ascii="Times New Roman" w:hAnsi="Times New Roman" w:cs="Times New Roman"/>
          <w:sz w:val="28"/>
          <w:szCs w:val="28"/>
          <w:lang w:val="uk-UA"/>
        </w:rPr>
        <w:t xml:space="preserve"> стрімко зростає. Запропонованна модернізація відповідає сучастним запитам і сприяє підвищенню </w:t>
      </w:r>
      <w:r>
        <w:rPr>
          <w:rFonts w:ascii="Times New Roman" w:hAnsi="Times New Roman" w:cs="Times New Roman"/>
          <w:sz w:val="28"/>
          <w:szCs w:val="28"/>
        </w:rPr>
        <w:t>енергоефективності та надійності електропостачання</w:t>
      </w:r>
      <w:r>
        <w:rPr>
          <w:rFonts w:hint="default" w:ascii="Times New Roman" w:hAnsi="Times New Roman" w:cs="Times New Roman"/>
          <w:sz w:val="28"/>
          <w:szCs w:val="28"/>
          <w:lang w:val="uk-UA"/>
        </w:rPr>
        <w:t>.</w:t>
      </w:r>
    </w:p>
    <w:p w14:paraId="66C3DE09">
      <w:pPr>
        <w:spacing w:line="360" w:lineRule="auto"/>
        <w:ind w:firstLine="709"/>
        <w:jc w:val="both"/>
        <w:rPr>
          <w:rFonts w:hint="default" w:ascii="Times New Roman" w:hAnsi="Times New Roman" w:cs="Times New Roman"/>
          <w:sz w:val="28"/>
          <w:szCs w:val="28"/>
          <w:lang w:val="uk-UA"/>
        </w:rPr>
      </w:pPr>
    </w:p>
    <w:p w14:paraId="4B828BCB">
      <w:pPr>
        <w:spacing w:line="360" w:lineRule="auto"/>
        <w:ind w:firstLine="709"/>
        <w:jc w:val="both"/>
        <w:rPr>
          <w:rFonts w:hint="default" w:ascii="Times New Roman" w:hAnsi="Times New Roman" w:cs="Times New Roman"/>
          <w:sz w:val="28"/>
          <w:szCs w:val="28"/>
          <w:lang w:val="uk-UA"/>
        </w:rPr>
      </w:pPr>
    </w:p>
    <w:p w14:paraId="14706550">
      <w:pPr>
        <w:spacing w:line="360" w:lineRule="auto"/>
        <w:ind w:firstLine="709"/>
        <w:jc w:val="center"/>
        <w:rPr>
          <w:rFonts w:hint="default" w:ascii="Times New Roman" w:hAnsi="Times New Roman" w:cs="Times New Roman"/>
          <w:b/>
          <w:bCs/>
          <w:sz w:val="28"/>
          <w:szCs w:val="28"/>
          <w:lang w:val="uk-UA"/>
        </w:rPr>
      </w:pPr>
      <w:r>
        <w:rPr>
          <w:rFonts w:hint="default" w:ascii="Times New Roman" w:hAnsi="Times New Roman" w:cs="Times New Roman"/>
          <w:b/>
          <w:bCs/>
          <w:sz w:val="28"/>
          <w:szCs w:val="28"/>
          <w:lang w:val="uk-UA"/>
        </w:rPr>
        <w:t>4.2 Аналіз цільової аудиторії</w:t>
      </w:r>
    </w:p>
    <w:p w14:paraId="4C87F0FC">
      <w:pPr>
        <w:spacing w:line="360" w:lineRule="auto"/>
        <w:ind w:firstLine="709"/>
        <w:jc w:val="center"/>
        <w:rPr>
          <w:rFonts w:hint="default" w:ascii="Times New Roman" w:hAnsi="Times New Roman" w:cs="Times New Roman"/>
          <w:b/>
          <w:bCs/>
          <w:sz w:val="28"/>
          <w:szCs w:val="28"/>
          <w:lang w:val="uk-UA"/>
        </w:rPr>
      </w:pPr>
    </w:p>
    <w:p w14:paraId="33152970">
      <w:pPr>
        <w:spacing w:line="360" w:lineRule="auto"/>
        <w:ind w:firstLine="709"/>
        <w:jc w:val="both"/>
        <w:rPr>
          <w:rFonts w:hint="default" w:ascii="Times New Roman" w:hAnsi="Times New Roman" w:cs="Times New Roman"/>
          <w:sz w:val="28"/>
          <w:szCs w:val="28"/>
          <w:lang w:val="uk-UA"/>
        </w:rPr>
      </w:pPr>
      <w:r>
        <w:rPr>
          <w:rFonts w:ascii="Times New Roman" w:hAnsi="Times New Roman" w:cs="Times New Roman"/>
          <w:sz w:val="28"/>
          <w:szCs w:val="28"/>
          <w:lang w:val="uk-UA"/>
        </w:rPr>
        <w:t>К</w:t>
      </w:r>
      <w:r>
        <w:rPr>
          <w:rFonts w:ascii="Times New Roman" w:hAnsi="Times New Roman" w:cs="Times New Roman"/>
          <w:sz w:val="28"/>
          <w:szCs w:val="28"/>
        </w:rPr>
        <w:t>інетичн</w:t>
      </w:r>
      <w:r>
        <w:rPr>
          <w:rFonts w:ascii="Times New Roman" w:hAnsi="Times New Roman" w:cs="Times New Roman"/>
          <w:sz w:val="28"/>
          <w:szCs w:val="28"/>
          <w:lang w:val="uk-UA"/>
        </w:rPr>
        <w:t>ий</w:t>
      </w:r>
      <w:r>
        <w:rPr>
          <w:rFonts w:ascii="Times New Roman" w:hAnsi="Times New Roman" w:cs="Times New Roman"/>
          <w:sz w:val="28"/>
          <w:szCs w:val="28"/>
        </w:rPr>
        <w:t xml:space="preserve"> накопичувач енергії</w:t>
      </w:r>
      <w:r>
        <w:rPr>
          <w:rFonts w:hint="default" w:ascii="Times New Roman" w:hAnsi="Times New Roman" w:cs="Times New Roman"/>
          <w:sz w:val="28"/>
          <w:szCs w:val="28"/>
          <w:lang w:val="uk-UA"/>
        </w:rPr>
        <w:t xml:space="preserve"> є затребуваним серед широкого кола користувачів. Основними ціловими групами для впровадження є:</w:t>
      </w:r>
    </w:p>
    <w:p w14:paraId="7E6D0A60">
      <w:pPr>
        <w:spacing w:line="360" w:lineRule="auto"/>
        <w:ind w:firstLine="709"/>
        <w:jc w:val="both"/>
        <w:rPr>
          <w:rFonts w:ascii="Times New Roman" w:hAnsi="Times New Roman" w:cs="Times New Roman"/>
          <w:sz w:val="28"/>
          <w:szCs w:val="28"/>
        </w:rPr>
      </w:pPr>
      <w:r>
        <w:rPr>
          <w:rFonts w:hint="default" w:ascii="Times New Roman" w:hAnsi="Times New Roman" w:cs="Times New Roman"/>
          <w:sz w:val="28"/>
          <w:szCs w:val="28"/>
          <w:lang w:val="uk-UA"/>
        </w:rPr>
        <w:t>Енеогетичні компації - зацікавленні у п</w:t>
      </w:r>
      <w:r>
        <w:rPr>
          <w:rFonts w:ascii="Times New Roman" w:hAnsi="Times New Roman" w:cs="Times New Roman"/>
          <w:sz w:val="28"/>
          <w:szCs w:val="28"/>
        </w:rPr>
        <w:t>окращення показників якості електроенергії, підвищення надійності електропостачання.</w:t>
      </w:r>
    </w:p>
    <w:p w14:paraId="0FF939E4">
      <w:pPr>
        <w:spacing w:line="360" w:lineRule="auto"/>
        <w:ind w:firstLine="709"/>
        <w:jc w:val="both"/>
        <w:rPr>
          <w:rFonts w:hint="default" w:ascii="Times New Roman" w:hAnsi="Times New Roman" w:cs="Times New Roman"/>
          <w:sz w:val="28"/>
          <w:szCs w:val="28"/>
          <w:lang w:val="uk-UA"/>
        </w:rPr>
      </w:pPr>
      <w:r>
        <w:rPr>
          <w:rFonts w:ascii="Times New Roman" w:hAnsi="Times New Roman" w:cs="Times New Roman"/>
          <w:sz w:val="28"/>
          <w:szCs w:val="28"/>
          <w:lang w:val="uk-UA"/>
        </w:rPr>
        <w:t>Промислові</w:t>
      </w:r>
      <w:r>
        <w:rPr>
          <w:rFonts w:hint="default" w:ascii="Times New Roman" w:hAnsi="Times New Roman" w:cs="Times New Roman"/>
          <w:sz w:val="28"/>
          <w:szCs w:val="28"/>
          <w:lang w:val="uk-UA"/>
        </w:rPr>
        <w:t xml:space="preserve"> підприємства - заціквленні у з</w:t>
      </w:r>
      <w:r>
        <w:rPr>
          <w:rFonts w:ascii="Times New Roman" w:hAnsi="Times New Roman" w:cs="Times New Roman"/>
          <w:sz w:val="28"/>
          <w:szCs w:val="28"/>
        </w:rPr>
        <w:t>меншення втрат електроенергії, зниження витрат на ремонти обладнання через покращення якості електроенергії</w:t>
      </w:r>
      <w:r>
        <w:rPr>
          <w:rFonts w:hint="default" w:ascii="Times New Roman" w:hAnsi="Times New Roman" w:cs="Times New Roman"/>
          <w:sz w:val="28"/>
          <w:szCs w:val="28"/>
          <w:lang w:val="uk-UA"/>
        </w:rPr>
        <w:t>.</w:t>
      </w:r>
    </w:p>
    <w:p w14:paraId="36A21917">
      <w:pPr>
        <w:spacing w:line="360" w:lineRule="auto"/>
        <w:ind w:firstLine="709"/>
        <w:jc w:val="both"/>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lang w:val="uk-UA"/>
        </w:rPr>
        <w:t>Інфраструктурні об’єкти - зацікавленні у п</w:t>
      </w:r>
      <w:r>
        <w:rPr>
          <w:rFonts w:hint="default" w:ascii="Times New Roman" w:hAnsi="Times New Roman" w:cs="Times New Roman"/>
          <w:sz w:val="28"/>
          <w:szCs w:val="28"/>
          <w:vertAlign w:val="baseline"/>
          <w:lang w:val="uk-UA"/>
        </w:rPr>
        <w:t>окращення екологіі.</w:t>
      </w:r>
    </w:p>
    <w:p w14:paraId="209D1997">
      <w:pPr>
        <w:spacing w:line="360" w:lineRule="auto"/>
        <w:ind w:firstLine="709"/>
        <w:jc w:val="both"/>
        <w:rPr>
          <w:rFonts w:ascii="Times New Roman" w:hAnsi="Times New Roman" w:cs="Times New Roman"/>
          <w:sz w:val="28"/>
          <w:szCs w:val="28"/>
        </w:rPr>
      </w:pPr>
      <w:r>
        <w:rPr>
          <w:rFonts w:hint="default" w:ascii="Times New Roman" w:hAnsi="Times New Roman" w:cs="Times New Roman"/>
          <w:sz w:val="28"/>
          <w:szCs w:val="28"/>
          <w:vertAlign w:val="baseline"/>
          <w:lang w:val="uk-UA"/>
        </w:rPr>
        <w:t>Державні організації - зацікавленні у п</w:t>
      </w:r>
      <w:r>
        <w:rPr>
          <w:rFonts w:ascii="Times New Roman" w:hAnsi="Times New Roman" w:cs="Times New Roman"/>
          <w:sz w:val="28"/>
          <w:szCs w:val="28"/>
        </w:rPr>
        <w:t>ідвищення кваліфікації персоналу, покращення умов праці за рахунок підвищення якості електропостачання.</w:t>
      </w:r>
    </w:p>
    <w:p w14:paraId="6E76DA14">
      <w:pPr>
        <w:spacing w:line="360" w:lineRule="auto"/>
        <w:ind w:firstLine="709"/>
        <w:jc w:val="both"/>
        <w:rPr>
          <w:rFonts w:ascii="Times New Roman" w:hAnsi="Times New Roman" w:cs="Times New Roman"/>
          <w:sz w:val="28"/>
          <w:szCs w:val="28"/>
        </w:rPr>
      </w:pPr>
    </w:p>
    <w:p w14:paraId="2FC26C90">
      <w:pPr>
        <w:wordWrap w:val="0"/>
        <w:spacing w:line="360" w:lineRule="auto"/>
        <w:ind w:firstLine="709"/>
        <w:jc w:val="right"/>
        <w:rPr>
          <w:rFonts w:hint="default" w:ascii="Times New Roman" w:hAnsi="Times New Roman" w:cs="Times New Roman"/>
          <w:sz w:val="28"/>
          <w:szCs w:val="28"/>
          <w:lang w:val="uk-UA"/>
        </w:rPr>
      </w:pPr>
      <w:r>
        <w:rPr>
          <w:rFonts w:ascii="Times New Roman" w:hAnsi="Times New Roman" w:cs="Times New Roman"/>
          <w:sz w:val="28"/>
          <w:szCs w:val="28"/>
          <w:lang w:val="uk-UA"/>
        </w:rPr>
        <w:t>Таблиця</w:t>
      </w:r>
      <w:r>
        <w:rPr>
          <w:rFonts w:hint="default" w:ascii="Times New Roman" w:hAnsi="Times New Roman" w:cs="Times New Roman"/>
          <w:sz w:val="28"/>
          <w:szCs w:val="28"/>
          <w:lang w:val="uk-UA"/>
        </w:rPr>
        <w:t xml:space="preserve"> 4.2</w:t>
      </w:r>
    </w:p>
    <w:p w14:paraId="2824E0D1">
      <w:pPr>
        <w:wordWrap w:val="0"/>
        <w:spacing w:line="360" w:lineRule="auto"/>
        <w:ind w:firstLine="709"/>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Географічний розподіл</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4785"/>
      </w:tblGrid>
      <w:tr w14:paraId="7E922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13FF05DE">
            <w:pPr>
              <w:wordWrap/>
              <w:spacing w:line="360" w:lineRule="auto"/>
              <w:jc w:val="left"/>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Географічний розподіл</w:t>
            </w:r>
          </w:p>
        </w:tc>
        <w:tc>
          <w:tcPr>
            <w:tcW w:w="4785" w:type="dxa"/>
          </w:tcPr>
          <w:p w14:paraId="51EE794C">
            <w:pPr>
              <w:wordWrap/>
              <w:spacing w:line="360" w:lineRule="auto"/>
              <w:jc w:val="left"/>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Характеристика</w:t>
            </w:r>
          </w:p>
        </w:tc>
      </w:tr>
      <w:tr w14:paraId="5800F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451841B2">
            <w:pPr>
              <w:wordWrap/>
              <w:spacing w:line="360" w:lineRule="auto"/>
              <w:jc w:val="left"/>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Україна</w:t>
            </w:r>
          </w:p>
        </w:tc>
        <w:tc>
          <w:tcPr>
            <w:tcW w:w="4785" w:type="dxa"/>
          </w:tcPr>
          <w:p w14:paraId="1EBCC60F">
            <w:pPr>
              <w:wordWrap/>
              <w:spacing w:line="360" w:lineRule="auto"/>
              <w:jc w:val="left"/>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Інтеграція в європейську енергосистему потребує кінетичний накопичувач енергії</w:t>
            </w:r>
          </w:p>
        </w:tc>
      </w:tr>
      <w:tr w14:paraId="74873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6FDE3DA4">
            <w:pPr>
              <w:wordWrap/>
              <w:spacing w:line="360" w:lineRule="auto"/>
              <w:jc w:val="left"/>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Країни, що розвиваються</w:t>
            </w:r>
          </w:p>
        </w:tc>
        <w:tc>
          <w:tcPr>
            <w:tcW w:w="4785" w:type="dxa"/>
          </w:tcPr>
          <w:p w14:paraId="7FBE4019">
            <w:pPr>
              <w:wordWrap/>
              <w:spacing w:line="360" w:lineRule="auto"/>
              <w:jc w:val="left"/>
              <w:rPr>
                <w:rFonts w:hint="default" w:ascii="Times New Roman" w:hAnsi="Times New Roman" w:cs="Times New Roman"/>
                <w:sz w:val="28"/>
                <w:szCs w:val="28"/>
                <w:vertAlign w:val="baseline"/>
                <w:lang w:val="uk-UA"/>
              </w:rPr>
            </w:pPr>
            <w:r>
              <w:rPr>
                <w:rFonts w:hint="default" w:ascii="Times New Roman" w:hAnsi="Times New Roman" w:cs="Times New Roman"/>
                <w:sz w:val="28"/>
                <w:szCs w:val="28"/>
                <w:vertAlign w:val="baseline"/>
                <w:lang w:val="uk-UA"/>
              </w:rPr>
              <w:t>Підвищений попит на сучасні рішення через збільшення енергоспоживання</w:t>
            </w:r>
          </w:p>
        </w:tc>
      </w:tr>
    </w:tbl>
    <w:p w14:paraId="7E026CF2">
      <w:pPr>
        <w:wordWrap/>
        <w:spacing w:line="360" w:lineRule="auto"/>
        <w:ind w:firstLine="709"/>
        <w:jc w:val="center"/>
        <w:rPr>
          <w:rFonts w:hint="default" w:ascii="Times New Roman" w:hAnsi="Times New Roman" w:cs="Times New Roman"/>
          <w:sz w:val="28"/>
          <w:szCs w:val="28"/>
          <w:lang w:val="uk-UA"/>
        </w:rPr>
      </w:pPr>
    </w:p>
    <w:p w14:paraId="3052BD74">
      <w:pPr>
        <w:wordWrap/>
        <w:spacing w:line="360" w:lineRule="auto"/>
        <w:ind w:firstLine="709"/>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rPr>
        <w:t>Одним із ключевих мотивів для впровадження сучастної системи кінетичного накопичення енергії є підвищення енергоефективності підприємств.</w:t>
      </w:r>
    </w:p>
    <w:p w14:paraId="0D111553">
      <w:pPr>
        <w:wordWrap/>
        <w:spacing w:line="360" w:lineRule="auto"/>
        <w:ind w:firstLine="709"/>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rPr>
        <w:t>Таким чином система кінетичного накопичення енергії, прагне зменшення</w:t>
      </w:r>
      <w:r>
        <w:rPr>
          <w:rFonts w:ascii="Times New Roman" w:hAnsi="Times New Roman" w:cs="Times New Roman"/>
          <w:sz w:val="28"/>
          <w:szCs w:val="28"/>
        </w:rPr>
        <w:t xml:space="preserve"> максимальної споживаної потужності</w:t>
      </w:r>
      <w:r>
        <w:rPr>
          <w:rFonts w:hint="default" w:ascii="Times New Roman" w:hAnsi="Times New Roman" w:cs="Times New Roman"/>
          <w:sz w:val="28"/>
          <w:szCs w:val="28"/>
          <w:lang w:val="uk-UA"/>
        </w:rPr>
        <w:t>.</w:t>
      </w:r>
    </w:p>
    <w:p w14:paraId="6A52A889">
      <w:pPr>
        <w:wordWrap/>
        <w:spacing w:line="360" w:lineRule="auto"/>
        <w:ind w:firstLine="709"/>
        <w:jc w:val="both"/>
        <w:rPr>
          <w:rFonts w:hint="default" w:ascii="Times New Roman" w:hAnsi="Times New Roman" w:cs="Times New Roman"/>
          <w:sz w:val="28"/>
          <w:szCs w:val="28"/>
          <w:lang w:val="uk-UA"/>
        </w:rPr>
      </w:pPr>
    </w:p>
    <w:p w14:paraId="0A8BF19B">
      <w:pPr>
        <w:wordWrap/>
        <w:spacing w:line="360" w:lineRule="auto"/>
        <w:ind w:firstLine="709"/>
        <w:jc w:val="center"/>
        <w:rPr>
          <w:rFonts w:hint="default" w:ascii="Times New Roman" w:hAnsi="Times New Roman" w:cs="Times New Roman"/>
          <w:b/>
          <w:bCs/>
          <w:sz w:val="28"/>
          <w:szCs w:val="28"/>
          <w:lang w:val="uk-UA"/>
        </w:rPr>
      </w:pPr>
      <w:r>
        <w:rPr>
          <w:rFonts w:hint="default" w:ascii="Times New Roman" w:hAnsi="Times New Roman" w:cs="Times New Roman"/>
          <w:b/>
          <w:bCs/>
          <w:sz w:val="28"/>
          <w:szCs w:val="28"/>
          <w:lang w:val="uk-UA"/>
        </w:rPr>
        <w:t>4.3 Розроблення бізнес моделі та маркетингового плану стартап проекту</w:t>
      </w:r>
    </w:p>
    <w:p w14:paraId="78628D0A">
      <w:pPr>
        <w:wordWrap/>
        <w:spacing w:line="360" w:lineRule="auto"/>
        <w:ind w:firstLine="709"/>
        <w:jc w:val="center"/>
        <w:rPr>
          <w:rFonts w:hint="default" w:ascii="Times New Roman" w:hAnsi="Times New Roman" w:cs="Times New Roman"/>
          <w:b/>
          <w:bCs/>
          <w:sz w:val="28"/>
          <w:szCs w:val="28"/>
          <w:lang w:val="uk-UA"/>
        </w:rPr>
      </w:pPr>
    </w:p>
    <w:p w14:paraId="1A45E88F">
      <w:pPr>
        <w:wordWrap/>
        <w:spacing w:line="360" w:lineRule="auto"/>
        <w:ind w:firstLine="709"/>
        <w:jc w:val="both"/>
        <w:rPr>
          <w:rFonts w:hint="default" w:ascii="Times New Roman" w:hAnsi="Times New Roman"/>
          <w:b w:val="0"/>
          <w:bCs w:val="0"/>
          <w:sz w:val="28"/>
          <w:szCs w:val="28"/>
          <w:lang w:val="uk-UA"/>
        </w:rPr>
      </w:pPr>
      <w:r>
        <w:rPr>
          <w:rFonts w:hint="default" w:ascii="Times New Roman" w:hAnsi="Times New Roman"/>
          <w:b w:val="0"/>
          <w:bCs w:val="0"/>
          <w:sz w:val="28"/>
          <w:szCs w:val="28"/>
          <w:lang w:val="uk-UA"/>
        </w:rPr>
        <w:t xml:space="preserve">Розроблення бізнес-моделі та маркетингового плану стартап-проекту базується на створенні інноваційної системи </w:t>
      </w:r>
      <w:r>
        <w:rPr>
          <w:rFonts w:hint="default" w:ascii="Times New Roman" w:hAnsi="Times New Roman" w:cs="Times New Roman"/>
          <w:sz w:val="28"/>
          <w:szCs w:val="28"/>
          <w:lang w:val="uk-UA"/>
        </w:rPr>
        <w:t>кінетичного накопичення енергії</w:t>
      </w:r>
      <w:r>
        <w:rPr>
          <w:rFonts w:hint="default" w:ascii="Times New Roman" w:hAnsi="Times New Roman"/>
          <w:b w:val="0"/>
          <w:bCs w:val="0"/>
          <w:sz w:val="28"/>
          <w:szCs w:val="28"/>
          <w:lang w:val="uk-UA"/>
        </w:rPr>
        <w:t>. Це рішення спрямоване на підвищення енергоефективності підприємств. Основою бізнес-моделі с задоволення нагальної потреби ринку в модернізації енергетичної інфраструктури через впровадження ефективних і доступних рішень.</w:t>
      </w:r>
    </w:p>
    <w:p w14:paraId="102448B5">
      <w:pPr>
        <w:wordWrap/>
        <w:spacing w:line="360" w:lineRule="auto"/>
        <w:ind w:firstLine="709"/>
        <w:jc w:val="both"/>
        <w:rPr>
          <w:rFonts w:hint="default" w:ascii="Times New Roman" w:hAnsi="Times New Roman"/>
          <w:b w:val="0"/>
          <w:bCs w:val="0"/>
          <w:sz w:val="28"/>
          <w:szCs w:val="28"/>
          <w:lang w:val="uk-UA"/>
        </w:rPr>
      </w:pPr>
      <w:r>
        <w:rPr>
          <w:rFonts w:hint="default" w:ascii="Times New Roman" w:hAnsi="Times New Roman"/>
          <w:b w:val="0"/>
          <w:bCs w:val="0"/>
          <w:sz w:val="28"/>
          <w:szCs w:val="28"/>
          <w:lang w:val="uk-UA"/>
        </w:rPr>
        <w:t>Цільовими клієнтами проєкту є державні та приватні енергетичні компанії, промислові підприємства.</w:t>
      </w:r>
    </w:p>
    <w:p w14:paraId="299CD7FE">
      <w:pPr>
        <w:wordWrap/>
        <w:spacing w:line="360" w:lineRule="auto"/>
        <w:ind w:firstLine="709"/>
        <w:jc w:val="both"/>
        <w:rPr>
          <w:rFonts w:hint="default" w:ascii="Times New Roman" w:hAnsi="Times New Roman"/>
          <w:b w:val="0"/>
          <w:bCs w:val="0"/>
          <w:sz w:val="28"/>
          <w:szCs w:val="28"/>
          <w:lang w:val="uk-UA"/>
        </w:rPr>
      </w:pPr>
      <w:r>
        <w:rPr>
          <w:rFonts w:hint="default" w:ascii="Times New Roman" w:hAnsi="Times New Roman"/>
          <w:b w:val="0"/>
          <w:bCs w:val="0"/>
          <w:sz w:val="28"/>
          <w:szCs w:val="28"/>
          <w:lang w:val="uk-UA"/>
        </w:rPr>
        <w:t>Основними каналами збуту є прямі продажі великим клієнтам, участь у тендерах, а також співпраця з виробниками трансформаторів для інтеграцій системи охолодження у нові моделі. Крім того, передбачається організація сервісного обслутовування для забезпечення довгострокового партнерства з клієнтами. Додатковим джерелом доходу може стати ліцензувания технолог для використання сторонніми компаніями.</w:t>
      </w:r>
    </w:p>
    <w:p w14:paraId="62A907F8">
      <w:pPr>
        <w:wordWrap/>
        <w:spacing w:line="360" w:lineRule="auto"/>
        <w:jc w:val="both"/>
        <w:rPr>
          <w:rFonts w:hint="default" w:ascii="Times New Roman" w:hAnsi="Times New Roman"/>
          <w:b w:val="0"/>
          <w:bCs w:val="0"/>
          <w:sz w:val="28"/>
          <w:szCs w:val="28"/>
          <w:lang w:val="uk-UA"/>
        </w:rPr>
      </w:pPr>
      <w:r>
        <w:rPr>
          <w:rFonts w:hint="default" w:ascii="Times New Roman" w:hAnsi="Times New Roman"/>
          <w:b w:val="0"/>
          <w:bCs w:val="0"/>
          <w:sz w:val="28"/>
          <w:szCs w:val="28"/>
          <w:lang w:val="uk-UA"/>
        </w:rPr>
        <w:t xml:space="preserve">Для виходу на ринок планується реалізувати низку маркетингових заходів. </w:t>
      </w:r>
      <w:r>
        <w:rPr>
          <w:rFonts w:hint="default" w:ascii="Times New Roman" w:hAnsi="Times New Roman"/>
          <w:b w:val="0"/>
          <w:bCs w:val="0"/>
          <w:sz w:val="28"/>
          <w:szCs w:val="28"/>
          <w:lang w:val="uk-UA"/>
        </w:rPr>
        <w:tab/>
      </w:r>
      <w:r>
        <w:rPr>
          <w:rFonts w:hint="default" w:ascii="Times New Roman" w:hAnsi="Times New Roman"/>
          <w:b w:val="0"/>
          <w:bCs w:val="0"/>
          <w:sz w:val="28"/>
          <w:szCs w:val="28"/>
          <w:lang w:val="uk-UA"/>
        </w:rPr>
        <w:t>Основний акцент робиться на участі у виставках і конференціях енергетичної галузі, що дозволить налагодити контакти з потенційними клієнтами. Також будуть використані цифрові маркетингові інструменти, включаючи рекламу на спеціалізованих платформах і таргетовану стаі - розсину для зацікавлених компаній.</w:t>
      </w:r>
    </w:p>
    <w:p w14:paraId="165700E1">
      <w:pPr>
        <w:wordWrap/>
        <w:spacing w:line="360" w:lineRule="auto"/>
        <w:jc w:val="both"/>
        <w:rPr>
          <w:rFonts w:hint="default" w:ascii="Times New Roman" w:hAnsi="Times New Roman"/>
          <w:b w:val="0"/>
          <w:bCs w:val="0"/>
          <w:sz w:val="28"/>
          <w:szCs w:val="28"/>
          <w:lang w:val="uk-UA"/>
        </w:rPr>
      </w:pPr>
    </w:p>
    <w:p w14:paraId="2B21CCEA">
      <w:pPr>
        <w:wordWrap/>
        <w:spacing w:line="360" w:lineRule="auto"/>
        <w:jc w:val="both"/>
        <w:rPr>
          <w:rFonts w:hint="default" w:ascii="Times New Roman" w:hAnsi="Times New Roman"/>
          <w:b w:val="0"/>
          <w:bCs w:val="0"/>
          <w:sz w:val="28"/>
          <w:szCs w:val="28"/>
          <w:lang w:val="uk-UA"/>
        </w:rPr>
      </w:pPr>
    </w:p>
    <w:p w14:paraId="390C16AB">
      <w:pPr>
        <w:wordWrap/>
        <w:spacing w:line="360" w:lineRule="auto"/>
        <w:jc w:val="both"/>
        <w:rPr>
          <w:rFonts w:hint="default" w:ascii="Times New Roman" w:hAnsi="Times New Roman"/>
          <w:b w:val="0"/>
          <w:bCs w:val="0"/>
          <w:sz w:val="28"/>
          <w:szCs w:val="28"/>
          <w:lang w:val="uk-UA"/>
        </w:rPr>
      </w:pPr>
    </w:p>
    <w:p w14:paraId="6E2FF23E">
      <w:pPr>
        <w:wordWrap/>
        <w:spacing w:line="360" w:lineRule="auto"/>
        <w:jc w:val="both"/>
        <w:rPr>
          <w:rFonts w:hint="default" w:ascii="Times New Roman" w:hAnsi="Times New Roman"/>
          <w:b w:val="0"/>
          <w:bCs w:val="0"/>
          <w:sz w:val="28"/>
          <w:szCs w:val="28"/>
          <w:lang w:val="uk-UA"/>
        </w:rPr>
      </w:pPr>
    </w:p>
    <w:p w14:paraId="51861B58">
      <w:pPr>
        <w:wordWrap/>
        <w:spacing w:line="360" w:lineRule="auto"/>
        <w:jc w:val="both"/>
        <w:rPr>
          <w:rFonts w:hint="default" w:ascii="Times New Roman" w:hAnsi="Times New Roman"/>
          <w:b w:val="0"/>
          <w:bCs w:val="0"/>
          <w:sz w:val="28"/>
          <w:szCs w:val="28"/>
          <w:lang w:val="uk-UA"/>
        </w:rPr>
      </w:pPr>
    </w:p>
    <w:p w14:paraId="35A1BD83">
      <w:pPr>
        <w:wordWrap/>
        <w:spacing w:line="360" w:lineRule="auto"/>
        <w:jc w:val="both"/>
        <w:rPr>
          <w:rFonts w:hint="default" w:ascii="Times New Roman" w:hAnsi="Times New Roman"/>
          <w:b w:val="0"/>
          <w:bCs w:val="0"/>
          <w:sz w:val="28"/>
          <w:szCs w:val="28"/>
          <w:lang w:val="uk-UA"/>
        </w:rPr>
      </w:pPr>
    </w:p>
    <w:p w14:paraId="58D81915">
      <w:pPr>
        <w:wordWrap/>
        <w:spacing w:line="360" w:lineRule="auto"/>
        <w:jc w:val="both"/>
        <w:rPr>
          <w:rFonts w:hint="default" w:ascii="Times New Roman" w:hAnsi="Times New Roman"/>
          <w:b w:val="0"/>
          <w:bCs w:val="0"/>
          <w:sz w:val="28"/>
          <w:szCs w:val="28"/>
          <w:lang w:val="uk-UA"/>
        </w:rPr>
      </w:pPr>
    </w:p>
    <w:p w14:paraId="406B2CE4">
      <w:pPr>
        <w:wordWrap/>
        <w:spacing w:line="360" w:lineRule="auto"/>
        <w:jc w:val="center"/>
        <w:rPr>
          <w:rFonts w:hint="default" w:ascii="Times New Roman" w:hAnsi="Times New Roman"/>
          <w:b/>
          <w:bCs/>
          <w:sz w:val="28"/>
          <w:szCs w:val="28"/>
          <w:lang w:val="uk-UA"/>
        </w:rPr>
      </w:pPr>
      <w:r>
        <w:rPr>
          <w:rFonts w:hint="default" w:ascii="Times New Roman" w:hAnsi="Times New Roman"/>
          <w:b/>
          <w:bCs/>
          <w:sz w:val="28"/>
          <w:szCs w:val="28"/>
          <w:lang w:val="uk-UA"/>
        </w:rPr>
        <w:t>4.4 Бізнес-модель проекту</w:t>
      </w:r>
    </w:p>
    <w:p w14:paraId="50E0670D">
      <w:pPr>
        <w:wordWrap/>
        <w:spacing w:line="360" w:lineRule="auto"/>
        <w:jc w:val="center"/>
        <w:rPr>
          <w:rFonts w:hint="default" w:ascii="Times New Roman" w:hAnsi="Times New Roman"/>
          <w:b/>
          <w:bCs/>
          <w:sz w:val="28"/>
          <w:szCs w:val="28"/>
          <w:lang w:val="uk-UA"/>
        </w:rPr>
      </w:pPr>
    </w:p>
    <w:p w14:paraId="667E1016">
      <w:pPr>
        <w:wordWrap w:val="0"/>
        <w:spacing w:line="360" w:lineRule="auto"/>
        <w:jc w:val="right"/>
        <w:rPr>
          <w:rFonts w:hint="default" w:ascii="Times New Roman" w:hAnsi="Times New Roman"/>
          <w:b w:val="0"/>
          <w:bCs w:val="0"/>
          <w:sz w:val="28"/>
          <w:szCs w:val="28"/>
          <w:lang w:val="uk-UA"/>
        </w:rPr>
      </w:pPr>
      <w:r>
        <w:rPr>
          <w:rFonts w:hint="default" w:ascii="Times New Roman" w:hAnsi="Times New Roman"/>
          <w:b w:val="0"/>
          <w:bCs w:val="0"/>
          <w:sz w:val="28"/>
          <w:szCs w:val="28"/>
          <w:lang w:val="uk-UA"/>
        </w:rPr>
        <w:t>Таблиця 4.4</w:t>
      </w:r>
    </w:p>
    <w:p w14:paraId="2D967D9A">
      <w:pPr>
        <w:wordWrap w:val="0"/>
        <w:spacing w:line="360" w:lineRule="auto"/>
        <w:jc w:val="right"/>
        <w:rPr>
          <w:rFonts w:hint="default" w:ascii="Times New Roman" w:hAnsi="Times New Roman"/>
          <w:b w:val="0"/>
          <w:bCs w:val="0"/>
          <w:sz w:val="28"/>
          <w:szCs w:val="28"/>
          <w:lang w:val="uk-UA"/>
        </w:rPr>
      </w:pPr>
      <w:r>
        <w:rPr>
          <w:rFonts w:hint="default" w:ascii="Times New Roman" w:hAnsi="Times New Roman"/>
          <w:b w:val="0"/>
          <w:bCs w:val="0"/>
          <w:sz w:val="28"/>
          <w:szCs w:val="28"/>
          <w:lang w:val="uk-UA"/>
        </w:rPr>
        <w:t>Структура бізнес-моделі</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40"/>
        <w:gridCol w:w="1798"/>
        <w:gridCol w:w="2133"/>
        <w:gridCol w:w="1901"/>
        <w:gridCol w:w="1898"/>
      </w:tblGrid>
      <w:tr w14:paraId="23562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914" w:type="dxa"/>
          </w:tcPr>
          <w:p w14:paraId="3C5D5CC8">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Ключові партнери:</w:t>
            </w:r>
          </w:p>
          <w:p w14:paraId="1350EDD4">
            <w:pPr>
              <w:wordWrap/>
              <w:spacing w:line="360" w:lineRule="auto"/>
              <w:jc w:val="center"/>
              <w:rPr>
                <w:rFonts w:hint="default" w:ascii="Times New Roman" w:hAnsi="Times New Roman"/>
                <w:b w:val="0"/>
                <w:bCs w:val="0"/>
                <w:sz w:val="24"/>
                <w:szCs w:val="24"/>
                <w:vertAlign w:val="baseline"/>
                <w:lang w:val="uk-UA"/>
              </w:rPr>
            </w:pPr>
          </w:p>
          <w:p w14:paraId="7D7D28DD">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Постачальник компонентів</w:t>
            </w:r>
          </w:p>
          <w:p w14:paraId="4232ECAB">
            <w:pPr>
              <w:wordWrap/>
              <w:spacing w:line="360" w:lineRule="auto"/>
              <w:jc w:val="center"/>
              <w:rPr>
                <w:rFonts w:hint="default" w:ascii="Times New Roman" w:hAnsi="Times New Roman"/>
                <w:b w:val="0"/>
                <w:bCs w:val="0"/>
                <w:sz w:val="24"/>
                <w:szCs w:val="24"/>
                <w:vertAlign w:val="baseline"/>
                <w:lang w:val="uk-UA"/>
              </w:rPr>
            </w:pPr>
          </w:p>
          <w:p w14:paraId="30964A45">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Інженерні компанії</w:t>
            </w:r>
          </w:p>
          <w:p w14:paraId="3414548D">
            <w:pPr>
              <w:wordWrap/>
              <w:spacing w:line="360" w:lineRule="auto"/>
              <w:jc w:val="center"/>
              <w:rPr>
                <w:rFonts w:hint="default" w:ascii="Times New Roman" w:hAnsi="Times New Roman"/>
                <w:b w:val="0"/>
                <w:bCs w:val="0"/>
                <w:sz w:val="24"/>
                <w:szCs w:val="24"/>
                <w:vertAlign w:val="baseline"/>
                <w:lang w:val="uk-UA"/>
              </w:rPr>
            </w:pPr>
          </w:p>
          <w:p w14:paraId="42B3E5DB">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Логістичні партнери</w:t>
            </w:r>
          </w:p>
        </w:tc>
        <w:tc>
          <w:tcPr>
            <w:tcW w:w="1914" w:type="dxa"/>
          </w:tcPr>
          <w:p w14:paraId="7A0FE0FC">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Ключові види діяльності</w:t>
            </w:r>
          </w:p>
          <w:p w14:paraId="0F3A1CDA">
            <w:pPr>
              <w:wordWrap/>
              <w:spacing w:line="360" w:lineRule="auto"/>
              <w:jc w:val="center"/>
              <w:rPr>
                <w:rFonts w:hint="default" w:ascii="Times New Roman" w:hAnsi="Times New Roman"/>
                <w:b w:val="0"/>
                <w:bCs w:val="0"/>
                <w:sz w:val="24"/>
                <w:szCs w:val="24"/>
                <w:vertAlign w:val="baseline"/>
                <w:lang w:val="uk-UA"/>
              </w:rPr>
            </w:pPr>
          </w:p>
          <w:p w14:paraId="6EDB05C5">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Розробка систем кінетичних накопичувачів енергії</w:t>
            </w:r>
          </w:p>
          <w:p w14:paraId="7B789509">
            <w:pPr>
              <w:wordWrap/>
              <w:spacing w:line="360" w:lineRule="auto"/>
              <w:jc w:val="center"/>
              <w:rPr>
                <w:rFonts w:hint="default" w:ascii="Times New Roman" w:hAnsi="Times New Roman"/>
                <w:b w:val="0"/>
                <w:bCs w:val="0"/>
                <w:sz w:val="24"/>
                <w:szCs w:val="24"/>
                <w:vertAlign w:val="baseline"/>
                <w:lang w:val="uk-UA"/>
              </w:rPr>
            </w:pPr>
          </w:p>
          <w:p w14:paraId="2E9CC522">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Технічна підтримка</w:t>
            </w:r>
          </w:p>
          <w:p w14:paraId="6CD6D2B4">
            <w:pPr>
              <w:wordWrap/>
              <w:spacing w:line="360" w:lineRule="auto"/>
              <w:jc w:val="center"/>
              <w:rPr>
                <w:rFonts w:hint="default" w:ascii="Times New Roman" w:hAnsi="Times New Roman"/>
                <w:b w:val="0"/>
                <w:bCs w:val="0"/>
                <w:sz w:val="24"/>
                <w:szCs w:val="24"/>
                <w:vertAlign w:val="baseline"/>
                <w:lang w:val="uk-UA"/>
              </w:rPr>
            </w:pPr>
          </w:p>
          <w:p w14:paraId="11EA2A4F">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Встановлення та інтеграція</w:t>
            </w:r>
          </w:p>
        </w:tc>
        <w:tc>
          <w:tcPr>
            <w:tcW w:w="1914" w:type="dxa"/>
          </w:tcPr>
          <w:p w14:paraId="38BC4847">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Цінність пропозиції</w:t>
            </w:r>
          </w:p>
          <w:p w14:paraId="64384AA7">
            <w:pPr>
              <w:wordWrap/>
              <w:spacing w:line="360" w:lineRule="auto"/>
              <w:jc w:val="center"/>
              <w:rPr>
                <w:rFonts w:hint="default" w:ascii="Times New Roman" w:hAnsi="Times New Roman"/>
                <w:b w:val="0"/>
                <w:bCs w:val="0"/>
                <w:sz w:val="24"/>
                <w:szCs w:val="24"/>
                <w:vertAlign w:val="baseline"/>
                <w:lang w:val="uk-UA"/>
              </w:rPr>
            </w:pPr>
          </w:p>
          <w:p w14:paraId="22E06BCF">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Економія енергоспоживання</w:t>
            </w:r>
          </w:p>
          <w:p w14:paraId="4197B3F7">
            <w:pPr>
              <w:wordWrap/>
              <w:spacing w:line="360" w:lineRule="auto"/>
              <w:jc w:val="center"/>
              <w:rPr>
                <w:rFonts w:hint="default" w:ascii="Times New Roman" w:hAnsi="Times New Roman"/>
                <w:b w:val="0"/>
                <w:bCs w:val="0"/>
                <w:sz w:val="24"/>
                <w:szCs w:val="24"/>
                <w:vertAlign w:val="baseline"/>
                <w:lang w:val="uk-UA"/>
              </w:rPr>
            </w:pPr>
          </w:p>
          <w:p w14:paraId="0FF166ED">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Підвищення ефективності</w:t>
            </w:r>
          </w:p>
          <w:p w14:paraId="3DAC7571">
            <w:pPr>
              <w:wordWrap/>
              <w:spacing w:line="360" w:lineRule="auto"/>
              <w:jc w:val="center"/>
              <w:rPr>
                <w:rFonts w:hint="default" w:ascii="Times New Roman" w:hAnsi="Times New Roman"/>
                <w:b w:val="0"/>
                <w:bCs w:val="0"/>
                <w:sz w:val="24"/>
                <w:szCs w:val="24"/>
                <w:vertAlign w:val="baseline"/>
                <w:lang w:val="uk-UA"/>
              </w:rPr>
            </w:pPr>
          </w:p>
          <w:p w14:paraId="604744E4">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Скорочення витрат</w:t>
            </w:r>
          </w:p>
        </w:tc>
        <w:tc>
          <w:tcPr>
            <w:tcW w:w="1914" w:type="dxa"/>
          </w:tcPr>
          <w:p w14:paraId="061A3F5B">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Взаємовідносини з клієнтами</w:t>
            </w:r>
          </w:p>
          <w:p w14:paraId="2609C454">
            <w:pPr>
              <w:wordWrap/>
              <w:spacing w:line="360" w:lineRule="auto"/>
              <w:jc w:val="center"/>
              <w:rPr>
                <w:rFonts w:hint="default" w:ascii="Times New Roman" w:hAnsi="Times New Roman"/>
                <w:b w:val="0"/>
                <w:bCs w:val="0"/>
                <w:sz w:val="24"/>
                <w:szCs w:val="24"/>
                <w:vertAlign w:val="baseline"/>
                <w:lang w:val="uk-UA"/>
              </w:rPr>
            </w:pPr>
          </w:p>
          <w:p w14:paraId="760CCD25">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Персональні консультації</w:t>
            </w:r>
          </w:p>
          <w:p w14:paraId="62474167">
            <w:pPr>
              <w:wordWrap/>
              <w:spacing w:line="360" w:lineRule="auto"/>
              <w:jc w:val="center"/>
              <w:rPr>
                <w:rFonts w:hint="default" w:ascii="Times New Roman" w:hAnsi="Times New Roman"/>
                <w:b w:val="0"/>
                <w:bCs w:val="0"/>
                <w:sz w:val="24"/>
                <w:szCs w:val="24"/>
                <w:vertAlign w:val="baseline"/>
                <w:lang w:val="uk-UA"/>
              </w:rPr>
            </w:pPr>
          </w:p>
          <w:p w14:paraId="7A1E2B97">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Гарантійне обслуговування</w:t>
            </w:r>
          </w:p>
          <w:p w14:paraId="73F5BA0C">
            <w:pPr>
              <w:wordWrap/>
              <w:spacing w:line="360" w:lineRule="auto"/>
              <w:jc w:val="center"/>
              <w:rPr>
                <w:rFonts w:hint="default" w:ascii="Times New Roman" w:hAnsi="Times New Roman"/>
                <w:b w:val="0"/>
                <w:bCs w:val="0"/>
                <w:sz w:val="24"/>
                <w:szCs w:val="24"/>
                <w:vertAlign w:val="baseline"/>
                <w:lang w:val="uk-UA"/>
              </w:rPr>
            </w:pPr>
          </w:p>
          <w:p w14:paraId="5BA35A75">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Сервісна підтримка</w:t>
            </w:r>
          </w:p>
        </w:tc>
        <w:tc>
          <w:tcPr>
            <w:tcW w:w="1914" w:type="dxa"/>
          </w:tcPr>
          <w:p w14:paraId="6277DAF3">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Споживачі сегменти</w:t>
            </w:r>
          </w:p>
          <w:p w14:paraId="6FA6A720">
            <w:pPr>
              <w:wordWrap/>
              <w:spacing w:line="360" w:lineRule="auto"/>
              <w:jc w:val="center"/>
              <w:rPr>
                <w:rFonts w:hint="default" w:ascii="Times New Roman" w:hAnsi="Times New Roman"/>
                <w:b w:val="0"/>
                <w:bCs w:val="0"/>
                <w:sz w:val="24"/>
                <w:szCs w:val="24"/>
                <w:vertAlign w:val="baseline"/>
                <w:lang w:val="uk-UA"/>
              </w:rPr>
            </w:pPr>
          </w:p>
          <w:p w14:paraId="4238B245">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Промислові підприємства</w:t>
            </w:r>
          </w:p>
          <w:p w14:paraId="24F22404">
            <w:pPr>
              <w:wordWrap/>
              <w:spacing w:line="360" w:lineRule="auto"/>
              <w:jc w:val="center"/>
              <w:rPr>
                <w:rFonts w:hint="default" w:ascii="Times New Roman" w:hAnsi="Times New Roman"/>
                <w:b w:val="0"/>
                <w:bCs w:val="0"/>
                <w:sz w:val="24"/>
                <w:szCs w:val="24"/>
                <w:vertAlign w:val="baseline"/>
                <w:lang w:val="uk-UA"/>
              </w:rPr>
            </w:pPr>
          </w:p>
          <w:p w14:paraId="1111D617">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Енергокомпанії</w:t>
            </w:r>
          </w:p>
          <w:p w14:paraId="21770400">
            <w:pPr>
              <w:wordWrap/>
              <w:spacing w:line="360" w:lineRule="auto"/>
              <w:jc w:val="center"/>
              <w:rPr>
                <w:rFonts w:hint="default" w:ascii="Times New Roman" w:hAnsi="Times New Roman"/>
                <w:b w:val="0"/>
                <w:bCs w:val="0"/>
                <w:sz w:val="24"/>
                <w:szCs w:val="24"/>
                <w:vertAlign w:val="baseline"/>
                <w:lang w:val="uk-UA"/>
              </w:rPr>
            </w:pPr>
          </w:p>
          <w:p w14:paraId="3B2DC4CC">
            <w:pPr>
              <w:wordWrap/>
              <w:spacing w:line="360" w:lineRule="auto"/>
              <w:jc w:val="center"/>
              <w:rPr>
                <w:rFonts w:hint="default" w:ascii="Times New Roman" w:hAnsi="Times New Roman"/>
                <w:b w:val="0"/>
                <w:bCs w:val="0"/>
                <w:sz w:val="24"/>
                <w:szCs w:val="24"/>
                <w:vertAlign w:val="baseline"/>
                <w:lang w:val="uk-UA"/>
              </w:rPr>
            </w:pPr>
            <w:r>
              <w:rPr>
                <w:rFonts w:hint="default" w:ascii="Times New Roman" w:hAnsi="Times New Roman"/>
                <w:b w:val="0"/>
                <w:bCs w:val="0"/>
                <w:sz w:val="24"/>
                <w:szCs w:val="24"/>
                <w:vertAlign w:val="baseline"/>
                <w:lang w:val="uk-UA"/>
              </w:rPr>
              <w:t>Державні установи</w:t>
            </w:r>
          </w:p>
        </w:tc>
      </w:tr>
    </w:tbl>
    <w:p w14:paraId="5A62EDC4">
      <w:pPr>
        <w:wordWrap/>
        <w:spacing w:line="360" w:lineRule="auto"/>
        <w:jc w:val="center"/>
        <w:rPr>
          <w:rFonts w:hint="default" w:ascii="Times New Roman" w:hAnsi="Times New Roman"/>
          <w:b/>
          <w:bCs/>
          <w:sz w:val="28"/>
          <w:szCs w:val="28"/>
          <w:lang w:val="uk-UA"/>
        </w:rPr>
      </w:pPr>
    </w:p>
    <w:p w14:paraId="056948E9">
      <w:pPr>
        <w:wordWrap/>
        <w:spacing w:line="360" w:lineRule="auto"/>
        <w:jc w:val="center"/>
        <w:rPr>
          <w:rFonts w:hint="default" w:ascii="Times New Roman" w:hAnsi="Times New Roman"/>
          <w:b/>
          <w:bCs/>
          <w:sz w:val="28"/>
          <w:szCs w:val="28"/>
          <w:lang w:val="uk-UA"/>
        </w:rPr>
      </w:pPr>
      <w:r>
        <w:rPr>
          <w:rFonts w:hint="default" w:ascii="Times New Roman" w:hAnsi="Times New Roman"/>
          <w:b/>
          <w:bCs/>
          <w:sz w:val="28"/>
          <w:szCs w:val="28"/>
          <w:lang w:val="uk-UA"/>
        </w:rPr>
        <w:t>4.5 Фінансове обгрунтування проекту</w:t>
      </w:r>
    </w:p>
    <w:p w14:paraId="61787F01">
      <w:pPr>
        <w:wordWrap/>
        <w:spacing w:line="360" w:lineRule="auto"/>
        <w:jc w:val="center"/>
        <w:rPr>
          <w:rFonts w:hint="default" w:ascii="Times New Roman" w:hAnsi="Times New Roman"/>
          <w:b/>
          <w:bCs/>
          <w:sz w:val="28"/>
          <w:szCs w:val="28"/>
          <w:lang w:val="uk-UA"/>
        </w:r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4785"/>
      </w:tblGrid>
      <w:tr w14:paraId="67229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2B440F89">
            <w:pPr>
              <w:wordWrap/>
              <w:spacing w:line="360" w:lineRule="auto"/>
              <w:jc w:val="center"/>
              <w:rPr>
                <w:rFonts w:hint="default" w:ascii="Times New Roman" w:hAnsi="Times New Roman"/>
                <w:b w:val="0"/>
                <w:bCs w:val="0"/>
                <w:sz w:val="28"/>
                <w:szCs w:val="28"/>
                <w:vertAlign w:val="baseline"/>
                <w:lang w:val="uk-UA"/>
              </w:rPr>
            </w:pPr>
            <w:r>
              <w:rPr>
                <w:rFonts w:ascii="Times New Roman" w:hAnsi="Times New Roman" w:cs="Times New Roman"/>
                <w:b w:val="0"/>
                <w:bCs w:val="0"/>
                <w:sz w:val="28"/>
                <w:szCs w:val="28"/>
                <w:lang w:val="uk-UA"/>
              </w:rPr>
              <w:t>Загальні капітальні витрати на реалізацію проекту</w:t>
            </w:r>
          </w:p>
        </w:tc>
        <w:tc>
          <w:tcPr>
            <w:tcW w:w="4785" w:type="dxa"/>
          </w:tcPr>
          <w:p w14:paraId="694F5050">
            <w:pPr>
              <w:wordWrap/>
              <w:spacing w:line="360" w:lineRule="auto"/>
              <w:jc w:val="center"/>
              <w:rPr>
                <w:rFonts w:hint="default" w:ascii="Times New Roman" w:hAnsi="Times New Roman"/>
                <w:b w:val="0"/>
                <w:bCs w:val="0"/>
                <w:sz w:val="28"/>
                <w:szCs w:val="28"/>
                <w:vertAlign w:val="baseline"/>
                <w:lang w:val="uk-UA"/>
              </w:rPr>
            </w:pPr>
            <w:r>
              <w:rPr>
                <w:rFonts w:ascii="Times New Roman" w:hAnsi="Times New Roman" w:cs="Times New Roman"/>
                <w:sz w:val="28"/>
                <w:szCs w:val="28"/>
                <w:lang w:val="uk-UA"/>
              </w:rPr>
              <w:t>19200 тис. грн</w:t>
            </w:r>
          </w:p>
        </w:tc>
      </w:tr>
      <w:tr w14:paraId="4EED5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378967C2">
            <w:pPr>
              <w:wordWrap/>
              <w:spacing w:line="360" w:lineRule="auto"/>
              <w:jc w:val="center"/>
              <w:rPr>
                <w:rFonts w:ascii="Times New Roman" w:hAnsi="Times New Roman" w:cs="Times New Roman"/>
                <w:b w:val="0"/>
                <w:bCs w:val="0"/>
                <w:sz w:val="28"/>
                <w:szCs w:val="28"/>
                <w:lang w:val="uk-UA"/>
              </w:rPr>
            </w:pPr>
            <w:r>
              <w:rPr>
                <w:rFonts w:ascii="Times New Roman" w:hAnsi="Times New Roman" w:cs="Times New Roman"/>
                <w:sz w:val="28"/>
                <w:szCs w:val="28"/>
                <w:lang w:val="uk-UA"/>
              </w:rPr>
              <w:t>Вартість монтажних робіт</w:t>
            </w:r>
          </w:p>
        </w:tc>
        <w:tc>
          <w:tcPr>
            <w:tcW w:w="4785" w:type="dxa"/>
          </w:tcPr>
          <w:p w14:paraId="181195DC">
            <w:pPr>
              <w:wordWrap/>
              <w:spacing w:line="360" w:lineRule="auto"/>
              <w:jc w:val="center"/>
              <w:rPr>
                <w:rFonts w:hint="default" w:ascii="Times New Roman" w:hAnsi="Times New Roman"/>
                <w:b w:val="0"/>
                <w:bCs w:val="0"/>
                <w:sz w:val="28"/>
                <w:szCs w:val="28"/>
                <w:vertAlign w:val="baseline"/>
                <w:lang w:val="uk-UA"/>
              </w:rPr>
            </w:pPr>
            <w:r>
              <w:rPr>
                <w:rFonts w:ascii="Times New Roman" w:hAnsi="Times New Roman" w:cs="Times New Roman"/>
                <w:sz w:val="28"/>
                <w:szCs w:val="28"/>
                <w:lang w:val="uk-UA"/>
              </w:rPr>
              <w:t>3840 тис. грн</w:t>
            </w:r>
          </w:p>
        </w:tc>
      </w:tr>
      <w:tr w14:paraId="523B6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72898906">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Вартість проектних робіт</w:t>
            </w:r>
          </w:p>
        </w:tc>
        <w:tc>
          <w:tcPr>
            <w:tcW w:w="4785" w:type="dxa"/>
          </w:tcPr>
          <w:p w14:paraId="2B520E86">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1920 тис. грн</w:t>
            </w:r>
          </w:p>
        </w:tc>
      </w:tr>
      <w:tr w14:paraId="4C3B8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2B555D8F">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Вартість пусконалагоджувальних робіт</w:t>
            </w:r>
          </w:p>
        </w:tc>
        <w:tc>
          <w:tcPr>
            <w:tcW w:w="4785" w:type="dxa"/>
          </w:tcPr>
          <w:p w14:paraId="2B15E5D5">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2880 тис. грн</w:t>
            </w:r>
          </w:p>
        </w:tc>
      </w:tr>
      <w:tr w14:paraId="434A6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2F0F45A1">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Непередбачені витрати приймаються в розмірі 5% від суми попередніх витрат</w:t>
            </w:r>
          </w:p>
        </w:tc>
        <w:tc>
          <w:tcPr>
            <w:tcW w:w="4785" w:type="dxa"/>
          </w:tcPr>
          <w:p w14:paraId="01DA5635">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1392 тис. грн</w:t>
            </w:r>
          </w:p>
        </w:tc>
      </w:tr>
      <w:tr w14:paraId="4758D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31C5DBAD">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Загальні капітальні витрати</w:t>
            </w:r>
          </w:p>
        </w:tc>
        <w:tc>
          <w:tcPr>
            <w:tcW w:w="4785" w:type="dxa"/>
          </w:tcPr>
          <w:p w14:paraId="520F3922">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29232 тис. грн</w:t>
            </w:r>
          </w:p>
        </w:tc>
      </w:tr>
      <w:tr w14:paraId="4C678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100FAA44">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Річні експлуатаційні витрати</w:t>
            </w:r>
          </w:p>
        </w:tc>
        <w:tc>
          <w:tcPr>
            <w:tcW w:w="4785" w:type="dxa"/>
          </w:tcPr>
          <w:p w14:paraId="127359B3">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4165,56 тис. грн/рік</w:t>
            </w:r>
          </w:p>
        </w:tc>
      </w:tr>
      <w:tr w14:paraId="32CDF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7772C480">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Питомі експлуатаційні витрати на одиницю встановленої потужності КНЕ</w:t>
            </w:r>
          </w:p>
        </w:tc>
        <w:tc>
          <w:tcPr>
            <w:tcW w:w="4785" w:type="dxa"/>
          </w:tcPr>
          <w:p w14:paraId="781391D4">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4,17 тис. грн/кВт·рік</w:t>
            </w:r>
          </w:p>
        </w:tc>
      </w:tr>
      <w:tr w14:paraId="1744C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29CB372F">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Економія витрат на оплату заявленої потужності</w:t>
            </w:r>
          </w:p>
        </w:tc>
        <w:tc>
          <w:tcPr>
            <w:tcW w:w="4785" w:type="dxa"/>
          </w:tcPr>
          <w:p w14:paraId="6959828E">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2008,8 тис. грн/рік</w:t>
            </w:r>
          </w:p>
        </w:tc>
      </w:tr>
      <w:tr w14:paraId="3B1B1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459894EC">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Економія витрат на оплату електроенергії за рахунок зниження втрат</w:t>
            </w:r>
          </w:p>
        </w:tc>
        <w:tc>
          <w:tcPr>
            <w:tcW w:w="4785" w:type="dxa"/>
          </w:tcPr>
          <w:p w14:paraId="225E4621">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317,5 тис. грн/рік</w:t>
            </w:r>
          </w:p>
        </w:tc>
      </w:tr>
      <w:tr w14:paraId="7F1E7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14:paraId="7C3E8A8C">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Меншення витрат на ремонт обладнання оцінюється в розмірі 15% від існуючих витрат</w:t>
            </w:r>
          </w:p>
        </w:tc>
        <w:tc>
          <w:tcPr>
            <w:tcW w:w="4785" w:type="dxa"/>
          </w:tcPr>
          <w:p w14:paraId="1396DBBE">
            <w:pPr>
              <w:wordWrap/>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127,5 тис. грн/рік</w:t>
            </w:r>
          </w:p>
        </w:tc>
      </w:tr>
    </w:tbl>
    <w:p w14:paraId="14DF6E78">
      <w:pPr>
        <w:wordWrap/>
        <w:spacing w:line="360" w:lineRule="auto"/>
        <w:jc w:val="center"/>
        <w:rPr>
          <w:rFonts w:hint="default" w:ascii="Times New Roman" w:hAnsi="Times New Roman"/>
          <w:b/>
          <w:bCs/>
          <w:sz w:val="28"/>
          <w:szCs w:val="28"/>
          <w:lang w:val="uk-UA"/>
        </w:rPr>
      </w:pPr>
    </w:p>
    <w:p w14:paraId="6F026718">
      <w:pPr>
        <w:wordWrap/>
        <w:spacing w:line="360" w:lineRule="auto"/>
        <w:jc w:val="center"/>
        <w:rPr>
          <w:rFonts w:hint="default" w:ascii="Times New Roman" w:hAnsi="Times New Roman"/>
          <w:b/>
          <w:bCs/>
          <w:sz w:val="28"/>
          <w:szCs w:val="28"/>
          <w:lang w:val="uk-UA"/>
        </w:rPr>
      </w:pPr>
    </w:p>
    <w:p w14:paraId="3D7523E0">
      <w:pPr>
        <w:wordWrap/>
        <w:spacing w:line="360" w:lineRule="auto"/>
        <w:jc w:val="center"/>
        <w:rPr>
          <w:rFonts w:hint="default" w:ascii="Times New Roman" w:hAnsi="Times New Roman"/>
          <w:b/>
          <w:bCs/>
          <w:sz w:val="28"/>
          <w:szCs w:val="28"/>
          <w:lang w:val="uk-UA"/>
        </w:rPr>
      </w:pPr>
    </w:p>
    <w:p w14:paraId="07351972">
      <w:pPr>
        <w:wordWrap/>
        <w:spacing w:line="360" w:lineRule="auto"/>
        <w:jc w:val="center"/>
        <w:rPr>
          <w:rFonts w:hint="default" w:ascii="Times New Roman" w:hAnsi="Times New Roman"/>
          <w:b/>
          <w:bCs/>
          <w:sz w:val="28"/>
          <w:szCs w:val="28"/>
          <w:lang w:val="uk-UA"/>
        </w:rPr>
      </w:pPr>
    </w:p>
    <w:p w14:paraId="35D8320F">
      <w:pPr>
        <w:wordWrap/>
        <w:spacing w:line="360" w:lineRule="auto"/>
        <w:jc w:val="center"/>
        <w:rPr>
          <w:rFonts w:hint="default" w:ascii="Times New Roman" w:hAnsi="Times New Roman"/>
          <w:b/>
          <w:bCs/>
          <w:sz w:val="28"/>
          <w:szCs w:val="28"/>
          <w:lang w:val="uk-UA"/>
        </w:rPr>
      </w:pPr>
    </w:p>
    <w:p w14:paraId="6EABDF9B">
      <w:pPr>
        <w:wordWrap/>
        <w:spacing w:line="360" w:lineRule="auto"/>
        <w:jc w:val="center"/>
        <w:rPr>
          <w:rFonts w:hint="default" w:ascii="Times New Roman" w:hAnsi="Times New Roman"/>
          <w:b/>
          <w:bCs/>
          <w:sz w:val="28"/>
          <w:szCs w:val="28"/>
          <w:lang w:val="uk-UA"/>
        </w:rPr>
      </w:pPr>
    </w:p>
    <w:p w14:paraId="6059B31B">
      <w:pPr>
        <w:wordWrap/>
        <w:spacing w:line="360" w:lineRule="auto"/>
        <w:jc w:val="center"/>
        <w:rPr>
          <w:rFonts w:hint="default" w:ascii="Times New Roman" w:hAnsi="Times New Roman"/>
          <w:b/>
          <w:bCs/>
          <w:sz w:val="28"/>
          <w:szCs w:val="28"/>
          <w:lang w:val="uk-UA"/>
        </w:rPr>
      </w:pPr>
    </w:p>
    <w:p w14:paraId="41EE7720">
      <w:pPr>
        <w:wordWrap/>
        <w:spacing w:line="360" w:lineRule="auto"/>
        <w:jc w:val="center"/>
        <w:rPr>
          <w:rFonts w:hint="default" w:ascii="Times New Roman" w:hAnsi="Times New Roman"/>
          <w:b/>
          <w:bCs/>
          <w:sz w:val="28"/>
          <w:szCs w:val="28"/>
          <w:lang w:val="uk-UA"/>
        </w:rPr>
      </w:pPr>
    </w:p>
    <w:p w14:paraId="696B15ED">
      <w:pPr>
        <w:wordWrap/>
        <w:spacing w:line="360" w:lineRule="auto"/>
        <w:jc w:val="center"/>
        <w:rPr>
          <w:rFonts w:hint="default" w:ascii="Times New Roman" w:hAnsi="Times New Roman"/>
          <w:b/>
          <w:bCs/>
          <w:sz w:val="28"/>
          <w:szCs w:val="28"/>
          <w:lang w:val="uk-UA"/>
        </w:rPr>
      </w:pPr>
    </w:p>
    <w:p w14:paraId="15A734E6">
      <w:pPr>
        <w:wordWrap/>
        <w:spacing w:line="360" w:lineRule="auto"/>
        <w:jc w:val="center"/>
        <w:rPr>
          <w:rFonts w:hint="default" w:ascii="Times New Roman" w:hAnsi="Times New Roman"/>
          <w:b/>
          <w:bCs/>
          <w:sz w:val="28"/>
          <w:szCs w:val="28"/>
          <w:lang w:val="uk-UA"/>
        </w:rPr>
      </w:pPr>
    </w:p>
    <w:p w14:paraId="4A67F002">
      <w:pPr>
        <w:wordWrap/>
        <w:spacing w:line="360" w:lineRule="auto"/>
        <w:jc w:val="center"/>
        <w:rPr>
          <w:rFonts w:hint="default" w:ascii="Times New Roman" w:hAnsi="Times New Roman"/>
          <w:b/>
          <w:bCs/>
          <w:sz w:val="28"/>
          <w:szCs w:val="28"/>
          <w:lang w:val="uk-UA"/>
        </w:rPr>
      </w:pPr>
    </w:p>
    <w:p w14:paraId="6E3774B4">
      <w:pPr>
        <w:wordWrap/>
        <w:spacing w:line="360" w:lineRule="auto"/>
        <w:jc w:val="center"/>
        <w:rPr>
          <w:rFonts w:hint="default" w:ascii="Times New Roman" w:hAnsi="Times New Roman"/>
          <w:b/>
          <w:bCs/>
          <w:sz w:val="28"/>
          <w:szCs w:val="28"/>
          <w:lang w:val="uk-UA"/>
        </w:rPr>
      </w:pPr>
    </w:p>
    <w:p w14:paraId="387441AB">
      <w:pPr>
        <w:wordWrap/>
        <w:spacing w:line="360" w:lineRule="auto"/>
        <w:jc w:val="center"/>
        <w:rPr>
          <w:rFonts w:hint="default" w:ascii="Times New Roman" w:hAnsi="Times New Roman"/>
          <w:b/>
          <w:bCs/>
          <w:sz w:val="28"/>
          <w:szCs w:val="28"/>
          <w:lang w:val="uk-UA"/>
        </w:rPr>
      </w:pPr>
    </w:p>
    <w:p w14:paraId="6689575C">
      <w:pPr>
        <w:wordWrap/>
        <w:spacing w:line="360" w:lineRule="auto"/>
        <w:jc w:val="center"/>
        <w:rPr>
          <w:rFonts w:hint="default" w:ascii="Times New Roman" w:hAnsi="Times New Roman"/>
          <w:b/>
          <w:bCs/>
          <w:sz w:val="28"/>
          <w:szCs w:val="28"/>
          <w:lang w:val="uk-UA"/>
        </w:rPr>
      </w:pPr>
    </w:p>
    <w:p w14:paraId="3176A849">
      <w:pPr>
        <w:wordWrap/>
        <w:spacing w:line="360" w:lineRule="auto"/>
        <w:jc w:val="center"/>
        <w:rPr>
          <w:rFonts w:hint="default" w:ascii="Times New Roman" w:hAnsi="Times New Roman"/>
          <w:b/>
          <w:bCs/>
          <w:sz w:val="28"/>
          <w:szCs w:val="28"/>
          <w:lang w:val="uk-UA"/>
        </w:rPr>
      </w:pPr>
    </w:p>
    <w:p w14:paraId="166FFD01">
      <w:pPr>
        <w:wordWrap/>
        <w:spacing w:line="360" w:lineRule="auto"/>
        <w:jc w:val="center"/>
        <w:rPr>
          <w:rFonts w:hint="default" w:ascii="Times New Roman" w:hAnsi="Times New Roman"/>
          <w:b/>
          <w:bCs/>
          <w:sz w:val="28"/>
          <w:szCs w:val="28"/>
          <w:lang w:val="uk-UA"/>
        </w:rPr>
      </w:pPr>
    </w:p>
    <w:p w14:paraId="682657D2">
      <w:pPr>
        <w:pStyle w:val="2"/>
        <w:spacing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12" w:name="_Toc185516735"/>
      <w:r>
        <w:rPr>
          <w:rFonts w:ascii="Times New Roman" w:hAnsi="Times New Roman" w:cs="Times New Roman"/>
          <w:b/>
          <w:bCs/>
          <w:color w:val="000000" w:themeColor="text1"/>
          <w:sz w:val="28"/>
          <w:szCs w:val="28"/>
          <w:lang w:val="uk-UA"/>
          <w14:textFill>
            <w14:solidFill>
              <w14:schemeClr w14:val="tx1"/>
            </w14:solidFill>
          </w14:textFill>
        </w:rPr>
        <w:t>ВИСНОВКИ</w:t>
      </w:r>
      <w:bookmarkEnd w:id="12"/>
    </w:p>
    <w:p w14:paraId="3C917694">
      <w:pPr>
        <w:spacing w:line="360" w:lineRule="auto"/>
        <w:ind w:firstLine="709"/>
        <w:jc w:val="center"/>
        <w:rPr>
          <w:rFonts w:ascii="Times New Roman" w:hAnsi="Times New Roman" w:cs="Times New Roman"/>
          <w:sz w:val="28"/>
          <w:szCs w:val="28"/>
          <w:lang w:val="uk-UA"/>
        </w:rPr>
      </w:pPr>
    </w:p>
    <w:p w14:paraId="0F2C47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даній курсовій роботі вирішено важливе науково-практичне завдання підвищення енергоефективності системи електропостачання промислового підприємства шляхом впровадження кінетичних накопичувачів енергії. В результаті проведених досліджень отримано наступні основні результати.</w:t>
      </w:r>
    </w:p>
    <w:p w14:paraId="6244194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аналіз сучасного стану систем електропостачання промислових підприємств показав, що одним з найбільш перспективних напрямків підвищення їх енергоефективності є впровадження накопичувачів енергії. Серед різних типів накопичувачів особливу увагу привертають кінетичні накопичувачі, які характеризуються високою питомою потужністю, тривалим терміном служби, екологічністю та можливістю швидкого заряду-розряду.</w:t>
      </w:r>
    </w:p>
    <w:p w14:paraId="08F87F7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особливостей роботи кінетичних накопичувачів енергії дозволило визначити їх основні переваги та недоліки, а також сформулювати вимоги до їх параметрів при використанні в системах електропостачання промислових підприємств. Встановлено, що оптимальна ємність накопичувача повинна забезпечувати покриття пікових навантажень тривалістю до 15-20 секунд, що є достатнім для більшості технологічних процесів.</w:t>
      </w:r>
    </w:p>
    <w:p w14:paraId="44183CB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Розроблена математична модель системи електропостачання з кінетичними накопичувачами енергії враховує основні електромагнітні та механічні процеси, що відбуваються при їх роботі. Модель дозволяє досліджувати режими роботи накопичувачів при різних параметрах навантаження та оптимізувати їх конструктивні характеристики.</w:t>
      </w:r>
    </w:p>
    <w:p w14:paraId="456FC853">
      <w:pPr>
        <w:spacing w:line="360" w:lineRule="auto"/>
        <w:ind w:firstLine="709"/>
        <w:jc w:val="both"/>
        <w:rPr>
          <w:rFonts w:ascii="Times New Roman" w:hAnsi="Times New Roman" w:cs="Times New Roman"/>
          <w:sz w:val="28"/>
          <w:szCs w:val="28"/>
          <w:lang w:val="uk-UA"/>
        </w:rPr>
      </w:pPr>
    </w:p>
    <w:p w14:paraId="6EA5B0BA">
      <w:pPr>
        <w:spacing w:line="360" w:lineRule="auto"/>
        <w:ind w:firstLine="709"/>
        <w:jc w:val="both"/>
        <w:rPr>
          <w:rFonts w:ascii="Times New Roman" w:hAnsi="Times New Roman" w:cs="Times New Roman"/>
          <w:sz w:val="28"/>
          <w:szCs w:val="28"/>
          <w:lang w:val="uk-UA"/>
        </w:rPr>
      </w:pPr>
    </w:p>
    <w:p w14:paraId="12D29D23">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D96D030">
      <w:pPr>
        <w:pStyle w:val="2"/>
        <w:spacing w:line="360" w:lineRule="auto"/>
        <w:ind w:firstLine="709"/>
        <w:jc w:val="center"/>
        <w:rPr>
          <w:rFonts w:ascii="Times New Roman" w:hAnsi="Times New Roman" w:cs="Times New Roman"/>
          <w:b/>
          <w:bCs/>
          <w:color w:val="000000" w:themeColor="text1"/>
          <w:sz w:val="28"/>
          <w:szCs w:val="28"/>
          <w:lang w:val="uk-UA"/>
          <w14:textFill>
            <w14:solidFill>
              <w14:schemeClr w14:val="tx1"/>
            </w14:solidFill>
          </w14:textFill>
        </w:rPr>
      </w:pPr>
      <w:bookmarkStart w:id="13" w:name="_Toc185516736"/>
      <w:r>
        <w:rPr>
          <w:rFonts w:ascii="Times New Roman" w:hAnsi="Times New Roman" w:cs="Times New Roman"/>
          <w:b/>
          <w:bCs/>
          <w:color w:val="000000" w:themeColor="text1"/>
          <w:sz w:val="28"/>
          <w:szCs w:val="28"/>
          <w:lang w:val="uk-UA"/>
          <w14:textFill>
            <w14:solidFill>
              <w14:schemeClr w14:val="tx1"/>
            </w14:solidFill>
          </w14:textFill>
        </w:rPr>
        <w:t>СПИСОК ВИКОРИСТАНИХ ДЖЕРЕЛ</w:t>
      </w:r>
      <w:bookmarkEnd w:id="13"/>
    </w:p>
    <w:p w14:paraId="1C40BAE8">
      <w:pPr>
        <w:spacing w:line="360" w:lineRule="auto"/>
        <w:ind w:firstLine="709"/>
        <w:jc w:val="center"/>
        <w:rPr>
          <w:rFonts w:ascii="Times New Roman" w:hAnsi="Times New Roman" w:cs="Times New Roman"/>
          <w:sz w:val="28"/>
          <w:szCs w:val="28"/>
          <w:lang w:val="uk-UA"/>
        </w:rPr>
      </w:pPr>
    </w:p>
    <w:p w14:paraId="6D2EAE29">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Ареф’єва О. В. Управління потенціалом розвитку промислових підприємств: Монографія. Київ : ГРОТ, 2017. 200 с. </w:t>
      </w:r>
    </w:p>
    <w:p w14:paraId="044EFE92">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Бабінова О. О. Державна регіональна політика і регіональний роз-виток: сучасні реалії України та європейський досвід. Київ: Фенікс, 2019. 268 с. </w:t>
      </w:r>
    </w:p>
    <w:p w14:paraId="63074C5D">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Баранцева С. Стратегічне управління прибутком як регулятор діяльності підприємств. Торгівля і ринок України, 2018. Випуск 14, т. 2. С. 81–86. </w:t>
      </w:r>
    </w:p>
    <w:p w14:paraId="1EB9CDCD">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Бородіна О. М. Державна підтримка агросфери: еволюція, проблеми: монографія. Київ, 2018. 264 с. </w:t>
      </w:r>
    </w:p>
    <w:p w14:paraId="40F5FEE7">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Гаєвська Л. М. Інформаційне забезпечення оцінки економічного по-тенціалу промислового підприємств. Інфраструктура ринку. Одеса. 2018. Вип. 25. С. 213–217. </w:t>
      </w:r>
    </w:p>
    <w:p w14:paraId="097FE2ED">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Галущак О., Галушак М. Деякі аспекти організування адміністративного управління в організаціях. Соціально-економічні проблеми і держава. 2015. Вип. 1 (12). С. 230–238. </w:t>
      </w:r>
    </w:p>
    <w:p w14:paraId="3B6D2E72">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Галущак О., Галушак М. Організаційні засади лізингової діяльності / Інноваційні підходи в управлінні підприємствами. Колективна монографія присвячена 20-літтю кафедри менеджменту у виробничій сфері. Тернопіль: ФОП Паляниця В. А., 2016. С. 8–38. </w:t>
      </w:r>
    </w:p>
    <w:p w14:paraId="6618F1C1">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Галущак О., Галушак М. Причини виникнення та шляхи вдосконалення мотивації персоналу в організаціях. 2016. Вип. 1 (14). С. 138–144. </w:t>
      </w:r>
    </w:p>
    <w:p w14:paraId="2F6C9709">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Герасимчук З. В., Ковальська Л. Л. Виробничий потенціал регіону: методика оцінки та механізми його нарощування. Луцьк : ЛДТУ, 2019. 242 с. </w:t>
      </w:r>
    </w:p>
    <w:p w14:paraId="2DE509DD">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Горянский В.Ф. Виробничо-економічний потенціал АПК. Київ, 2020. 158 с. </w:t>
      </w:r>
    </w:p>
    <w:p w14:paraId="48C88A97">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Горяча О. Л. Структура та відтворення виробничого потенціалу підприємства. Формування ринкових відносин в Україні. Збірник наукових праць. Київ, 2016. С. 71–75. </w:t>
      </w:r>
    </w:p>
    <w:p w14:paraId="5DBA4440">
      <w:pPr>
        <w:pStyle w:val="23"/>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Джеджула В.В. Формування організаційно-економічного механізму підвищення енергоефективності промислових підприємств / В.В. Джеджула // Економічний аналіз : зб. наук. пр. 2013. Вип. 12. Ч. 3. С. 116–118.</w:t>
      </w:r>
    </w:p>
    <w:p w14:paraId="71084596">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Дзюбинська Х.М., Шашина М.В. Оцінювання ефективності управління виробничим потенціалом підприємства за його складовими. Економічні студії. Львів, 2018. № 4. URL: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HYPERLINK "http://www.lef.lviv.ua/files/archive/journal/2018/4(22)_2018.pdf" \l "page=29" </w:instrText>
      </w:r>
      <w:r>
        <w:rPr>
          <w:rFonts w:ascii="Times New Roman" w:hAnsi="Times New Roman" w:cs="Times New Roman"/>
          <w:sz w:val="28"/>
          <w:szCs w:val="28"/>
        </w:rPr>
        <w:fldChar w:fldCharType="separate"/>
      </w:r>
      <w:r>
        <w:rPr>
          <w:rStyle w:val="6"/>
          <w:rFonts w:ascii="Times New Roman" w:hAnsi="Times New Roman" w:cs="Times New Roman"/>
          <w:sz w:val="28"/>
          <w:szCs w:val="28"/>
        </w:rPr>
        <w:t>http://www.lef.lviv.ua/files/archive/journal/2018/4(22)_2018.pdf#page=29</w:t>
      </w:r>
      <w:r>
        <w:rPr>
          <w:rFonts w:ascii="Times New Roman" w:hAnsi="Times New Roman" w:cs="Times New Roman"/>
          <w:sz w:val="28"/>
          <w:szCs w:val="28"/>
          <w:lang w:val="uk-UA"/>
        </w:rPr>
        <w:fldChar w:fldCharType="end"/>
      </w:r>
      <w:r>
        <w:rPr>
          <w:rFonts w:ascii="Times New Roman" w:hAnsi="Times New Roman" w:cs="Times New Roman"/>
          <w:sz w:val="28"/>
          <w:szCs w:val="28"/>
        </w:rPr>
        <w:t>. (дата звернення: 07.03.2023). </w:t>
      </w:r>
    </w:p>
    <w:p w14:paraId="2ED6B9F9">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Должанський І. З. Управління потенціалом підприємства: підручник. Київ : ЦНЛ. 2016. 362 с. </w:t>
      </w:r>
    </w:p>
    <w:p w14:paraId="3E81AAB2">
      <w:pPr>
        <w:pStyle w:val="23"/>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Кукса І.М., Сударкіна Л.Ю. Світовий досвід впровадження програм ресурсозбереження. Вісник Придніпровської державної академії будівництва та архітектури: Економіка та управління національним господарством. Випуск 6 (11). 2017. С. 57–60. URL: http://www.easterneurope-ebm.in.ua/ journal/ 11_2017/12.pdf.</w:t>
      </w:r>
    </w:p>
    <w:p w14:paraId="269C13B9">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Куценко А.В. Організаційно-економічний механізм управління ефективністю діяльності підприємств споживчої кооперації України: Монографія. Полтава: РВВ ПУСКУ, 2008. 205 с. </w:t>
      </w:r>
    </w:p>
    <w:p w14:paraId="318F52AF">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Лазарева Н.О. Організаційно-економічний механізм управління ефективністю діяльності виноробних підприємств: автореф. дис. … канд. ек. наук: 08.00.04. Одеса, 2017. 23 с. </w:t>
      </w:r>
    </w:p>
    <w:p w14:paraId="48911007">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Маршук Л.М. Розробка організаційно-економічного механізму формування і використання ресурсно-фінансового потенціалу підприємства. Інтелект ХХІ. 2017. № 6. С. 66-69. </w:t>
      </w:r>
    </w:p>
    <w:p w14:paraId="69293668">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Основи підприємницької діяльності : підручник / за редакцією д.е.н., проф. В. М. Марченко. Київ : КПІ ім. Ігоря Сікорського. Вид-во «Політехніка», 2022. 515 с. </w:t>
      </w:r>
    </w:p>
    <w:p w14:paraId="4A9F504B">
      <w:pPr>
        <w:pStyle w:val="23"/>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 внесення змін до Державної цільової економічної програми енергоефективності і розвитку сфери виробництва енергоносіїв з відновлюваних джерел енергії та альтернативних видів палива на 2010-2020 роки : Постанова Кабінету міністрів України від 19.06.2019 № 556. Офіційний вісник України. 2019. № 53.С. 15. URL: https://zakon.rada.gov.ua/laws/show/556-2019-%D0%BF#Text</w:t>
      </w:r>
    </w:p>
    <w:p w14:paraId="11C54736">
      <w:pPr>
        <w:pStyle w:val="2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Савіна С.С. Організаційно-економічний механізм управління підприємством молочної промисловості. Збірник наукових праць НАУ. 2012. № 3(69). Т. 2. С. 162-167.</w:t>
      </w:r>
    </w:p>
    <w:p w14:paraId="4E35D9C6">
      <w:pPr>
        <w:spacing w:line="360" w:lineRule="auto"/>
        <w:ind w:firstLine="709"/>
        <w:jc w:val="both"/>
        <w:rPr>
          <w:rFonts w:ascii="Times New Roman" w:hAnsi="Times New Roman" w:cs="Times New Roman"/>
          <w:sz w:val="28"/>
          <w:szCs w:val="28"/>
        </w:rPr>
      </w:pPr>
    </w:p>
    <w:p w14:paraId="7ED9D2E2">
      <w:pPr>
        <w:spacing w:line="360" w:lineRule="auto"/>
        <w:ind w:firstLine="709"/>
        <w:jc w:val="both"/>
        <w:rPr>
          <w:rFonts w:ascii="Times New Roman" w:hAnsi="Times New Roman" w:cs="Times New Roman"/>
          <w:sz w:val="28"/>
          <w:szCs w:val="28"/>
          <w:lang w:val="uk-UA"/>
        </w:rPr>
      </w:pPr>
    </w:p>
    <w:p w14:paraId="292B11F9">
      <w:pPr>
        <w:spacing w:line="360" w:lineRule="auto"/>
        <w:ind w:firstLine="709"/>
        <w:jc w:val="both"/>
        <w:rPr>
          <w:rFonts w:ascii="Times New Roman" w:hAnsi="Times New Roman" w:cs="Times New Roman"/>
          <w:sz w:val="28"/>
          <w:szCs w:val="28"/>
          <w:lang w:val="uk-UA"/>
        </w:rPr>
      </w:pPr>
    </w:p>
    <w:p w14:paraId="0D7CF793">
      <w:pPr>
        <w:spacing w:line="360" w:lineRule="auto"/>
        <w:ind w:firstLine="709"/>
        <w:jc w:val="center"/>
        <w:rPr>
          <w:rFonts w:ascii="Times New Roman" w:hAnsi="Times New Roman" w:cs="Times New Roman"/>
          <w:sz w:val="28"/>
          <w:szCs w:val="28"/>
          <w:lang w:val="uk-UA"/>
        </w:rPr>
      </w:pPr>
    </w:p>
    <w:sectPr>
      <w:headerReference r:id="rId15" w:type="default"/>
      <w:pgSz w:w="11906" w:h="16838"/>
      <w:pgMar w:top="1134" w:right="851" w:bottom="1134" w:left="1701" w:header="708" w:footer="708" w:gutter="0"/>
      <w:pgNumType w:fmt="decimal"/>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等线 Light">
    <w:altName w:val="Segoe Print"/>
    <w:panose1 w:val="00000000000000000000"/>
    <w:charset w:val="00"/>
    <w:family w:val="auto"/>
    <w:pitch w:val="default"/>
    <w:sig w:usb0="00000000" w:usb1="00000000" w:usb2="00000000" w:usb3="00000000" w:csb0="00000000" w:csb1="00000000"/>
  </w:font>
  <w:font w:name="TimesNewRomanPS-BoldMT">
    <w:altName w:val="Segoe Print"/>
    <w:panose1 w:val="00000000000000000000"/>
    <w:charset w:val="00"/>
    <w:family w:val="auto"/>
    <w:pitch w:val="default"/>
    <w:sig w:usb0="00000000" w:usb1="00000000" w:usb2="00000000" w:usb3="00000000" w:csb0="00000000" w:csb1="00000000"/>
  </w:font>
  <w:font w:name="Symbol">
    <w:panose1 w:val="05050102010706020507"/>
    <w:charset w:val="02"/>
    <w:family w:val="decorative"/>
    <w:pitch w:val="default"/>
    <w:sig w:usb0="00000000" w:usb1="00000000" w:usb2="00000000" w:usb3="00000000" w:csb0="80000000" w:csb1="00000000"/>
  </w:font>
  <w:font w:name="等线">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8FB321">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7"/>
      </w:rPr>
      <w:id w:val="-2033256437"/>
      <w:docPartObj>
        <w:docPartGallery w:val="autotext"/>
      </w:docPartObj>
    </w:sdtPr>
    <w:sdtEndPr>
      <w:rPr>
        <w:rStyle w:val="7"/>
      </w:rPr>
    </w:sdtEndPr>
    <w:sdtContent>
      <w:p w14:paraId="6710DE6E">
        <w:pPr>
          <w:pStyle w:val="18"/>
          <w:framePr w:wrap="auto" w:vAnchor="text" w:hAnchor="margin" w:xAlign="center" w:y="1"/>
          <w:rPr>
            <w:rStyle w:val="7"/>
          </w:rPr>
        </w:pPr>
        <w:r>
          <w:rPr>
            <w:rStyle w:val="7"/>
          </w:rPr>
          <w:fldChar w:fldCharType="begin"/>
        </w:r>
        <w:r>
          <w:rPr>
            <w:rStyle w:val="7"/>
          </w:rPr>
          <w:instrText xml:space="preserve"> PAGE </w:instrText>
        </w:r>
        <w:r>
          <w:rPr>
            <w:rStyle w:val="7"/>
          </w:rPr>
          <w:fldChar w:fldCharType="end"/>
        </w:r>
      </w:p>
    </w:sdtContent>
  </w:sdt>
  <w:p w14:paraId="68FDA9D4">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AD77C">
    <w:pPr>
      <w:pStyle w:val="1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74DBC">
    <w:pPr>
      <w:pStyle w:val="9"/>
      <w:ind w:right="360"/>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D2EAD">
    <w:pPr>
      <w:pStyle w:val="9"/>
      <w:ind w:right="360"/>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Текстовое поле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016987">
                          <w:pPr>
                            <w:pStyle w:val="9"/>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s0lY7tAAAAAFAQAADwAAAAAAAAABACAAAAAiAAAAZHJzL2Rv&#10;d25yZXYueG1sUEsBAhQAFAAAAAgAh07iQANI9ulCAgAAcwQAAA4AAAAAAAAAAQAgAAAAHwEAAGRy&#10;cy9lMm9Eb2MueG1sUEsFBgAAAAAGAAYAWQEAANMFAAAAAA==&#10;">
              <v:fill on="f" focussize="0,0"/>
              <v:stroke on="f" weight="0.5pt"/>
              <v:imagedata o:title=""/>
              <o:lock v:ext="edit" aspectratio="f"/>
              <v:textbox inset="0mm,0mm,0mm,0mm" style="mso-fit-shape-to-text:t;">
                <w:txbxContent>
                  <w:p w14:paraId="58016987">
                    <w:pPr>
                      <w:pStyle w:val="9"/>
                    </w:pPr>
                    <w:r>
                      <w:fldChar w:fldCharType="begin"/>
                    </w:r>
                    <w:r>
                      <w:instrText xml:space="preserve"> PAGE  \* MERGEFORMAT </w:instrText>
                    </w:r>
                    <w:r>
                      <w:fldChar w:fldCharType="separate"/>
                    </w:r>
                    <w:r>
                      <w:t>3</w:t>
                    </w:r>
                    <w:r>
                      <w:fldChar w:fldCharType="end"/>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7"/>
      </w:rPr>
      <w:id w:val="-517075262"/>
      <w:docPartObj>
        <w:docPartGallery w:val="autotext"/>
      </w:docPartObj>
    </w:sdtPr>
    <w:sdtEndPr>
      <w:rPr>
        <w:rStyle w:val="7"/>
      </w:rPr>
    </w:sdtEndPr>
    <w:sdtContent>
      <w:p w14:paraId="76BB5553">
        <w:pPr>
          <w:pStyle w:val="9"/>
          <w:framePr w:wrap="auto" w:vAnchor="text" w:hAnchor="margin" w:xAlign="right" w:y="1"/>
          <w:rPr>
            <w:rStyle w:val="7"/>
          </w:rPr>
        </w:pPr>
        <w:r>
          <w:rPr>
            <w:rStyle w:val="7"/>
          </w:rPr>
          <w:fldChar w:fldCharType="begin"/>
        </w:r>
        <w:r>
          <w:rPr>
            <w:rStyle w:val="7"/>
          </w:rPr>
          <w:instrText xml:space="preserve"> PAGE </w:instrText>
        </w:r>
        <w:r>
          <w:rPr>
            <w:rStyle w:val="7"/>
          </w:rPr>
          <w:fldChar w:fldCharType="end"/>
        </w:r>
      </w:p>
    </w:sdtContent>
  </w:sdt>
  <w:p w14:paraId="5B0F4AB5">
    <w:pPr>
      <w:pStyle w:val="9"/>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25D56">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B1F518">
    <w:pPr>
      <w:pStyle w:val="9"/>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2AA20">
    <w:pPr>
      <w:pStyle w:val="9"/>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BB861">
    <w:pPr>
      <w:pStyle w:val="9"/>
      <w:ind w:right="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3D04">
    <w:pPr>
      <w:pStyle w:val="9"/>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E551F2">
    <w:pPr>
      <w:pStyle w:val="9"/>
      <w:ind w:right="360"/>
      <w:rPr>
        <w:rFonts w:hint="default"/>
        <w:lang w:val="uk-UA"/>
      </w:rPr>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Текстовое поле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5B3393">
                          <w:pPr>
                            <w:pStyle w:val="9"/>
                            <w:rPr>
                              <w:rFonts w:hint="default"/>
                              <w:lang w:val="uk-U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zSVju0AAAAAUBAAAPAAAAAAAAAAEAIAAAACIAAABkcnMvZG93&#10;bnJldi54bWxQSwECFAAUAAAACACHTuJA0UWzfEECAABzBAAADgAAAAAAAAABACAAAAAfAQAAZHJz&#10;L2Uyb0RvYy54bWxQSwUGAAAAAAYABgBZAQAA0gUAAAAA&#10;">
              <v:fill on="f" focussize="0,0"/>
              <v:stroke on="f" weight="0.5pt"/>
              <v:imagedata o:title=""/>
              <o:lock v:ext="edit" aspectratio="f"/>
              <v:textbox inset="0mm,0mm,0mm,0mm" style="mso-fit-shape-to-text:t;">
                <w:txbxContent>
                  <w:p w14:paraId="585B3393">
                    <w:pPr>
                      <w:pStyle w:val="9"/>
                      <w:rPr>
                        <w:rFonts w:hint="default"/>
                        <w:lang w:val="uk-UA"/>
                      </w:rPr>
                    </w:pPr>
                  </w:p>
                </w:txbxContent>
              </v:textbox>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3BFA48">
    <w:pPr>
      <w:pStyle w:val="9"/>
      <w:ind w:right="360"/>
      <w:rPr>
        <w:rFonts w:hint="default"/>
        <w:lang w:val="uk-UA"/>
      </w:rPr>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Текстовое поле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0758B3">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zSVju0AAAAAUBAAAPAAAAAAAAAAEAIAAAACIAAABkcnMvZG93&#10;bnJldi54bWxQSwECFAAUAAAACACHTuJApDVo0EECAABzBAAADgAAAAAAAAABACAAAAAfAQAAZHJz&#10;L2Uyb0RvYy54bWxQSwUGAAAAAAYABgBZAQAA0gUAAAAA&#10;">
              <v:fill on="f" focussize="0,0"/>
              <v:stroke on="f" weight="0.5pt"/>
              <v:imagedata o:title=""/>
              <o:lock v:ext="edit" aspectratio="f"/>
              <v:textbox inset="0mm,0mm,0mm,0mm" style="mso-fit-shape-to-text:t;">
                <w:txbxContent>
                  <w:p w14:paraId="3E0758B3">
                    <w:pPr>
                      <w:pStyle w:val="9"/>
                    </w:pPr>
                    <w:r>
                      <w:fldChar w:fldCharType="begin"/>
                    </w:r>
                    <w:r>
                      <w:instrText xml:space="preserve"> PAGE  \* MERGEFORMAT </w:instrText>
                    </w:r>
                    <w:r>
                      <w:fldChar w:fldCharType="separate"/>
                    </w:r>
                    <w:r>
                      <w:t>1</w:t>
                    </w:r>
                    <w:r>
                      <w:fldChar w:fldCharType="end"/>
                    </w:r>
                  </w:p>
                </w:txbxContent>
              </v:textbox>
            </v:shape>
          </w:pict>
        </mc:Fallback>
      </mc:AlternateContent>
    </w: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Текстовое поле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0B3D6F">
                          <w:pPr>
                            <w:pStyle w:val="9"/>
                            <w:rPr>
                              <w:rFonts w:hint="default"/>
                              <w:lang w:val="uk-U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zSVju0AAAAAUBAAAPAAAAAAAAAAEAIAAAACIAAABkcnMvZG93&#10;bnJldi54bWxQSwECFAAUAAAACACHTuJAdxohtEECAABzBAAADgAAAAAAAAABACAAAAAfAQAAZHJz&#10;L2Uyb0RvYy54bWxQSwUGAAAAAAYABgBZAQAA0gUAAAAA&#10;">
              <v:fill on="f" focussize="0,0"/>
              <v:stroke on="f" weight="0.5pt"/>
              <v:imagedata o:title=""/>
              <o:lock v:ext="edit" aspectratio="f"/>
              <v:textbox inset="0mm,0mm,0mm,0mm" style="mso-fit-shape-to-text:t;">
                <w:txbxContent>
                  <w:p w14:paraId="520B3D6F">
                    <w:pPr>
                      <w:pStyle w:val="9"/>
                      <w:rPr>
                        <w:rFonts w:hint="default"/>
                        <w:lang w:val="uk-UA"/>
                      </w:rPr>
                    </w:pP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D42824"/>
    <w:multiLevelType w:val="multilevel"/>
    <w:tmpl w:val="09D42824"/>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1D7B2443"/>
    <w:multiLevelType w:val="multilevel"/>
    <w:tmpl w:val="1D7B2443"/>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28EE5C3D"/>
    <w:multiLevelType w:val="multilevel"/>
    <w:tmpl w:val="28EE5C3D"/>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2BE645A3"/>
    <w:multiLevelType w:val="multilevel"/>
    <w:tmpl w:val="2BE645A3"/>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31EB4BB4"/>
    <w:multiLevelType w:val="multilevel"/>
    <w:tmpl w:val="31EB4BB4"/>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5">
    <w:nsid w:val="45226A6A"/>
    <w:multiLevelType w:val="multilevel"/>
    <w:tmpl w:val="45226A6A"/>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6">
    <w:nsid w:val="4DC079B0"/>
    <w:multiLevelType w:val="singleLevel"/>
    <w:tmpl w:val="4DC079B0"/>
    <w:lvl w:ilvl="0" w:tentative="0">
      <w:start w:val="1"/>
      <w:numFmt w:val="bullet"/>
      <w:lvlText w:val=""/>
      <w:lvlJc w:val="left"/>
      <w:pPr>
        <w:tabs>
          <w:tab w:val="left" w:pos="420"/>
        </w:tabs>
        <w:ind w:left="420" w:leftChars="0" w:hanging="420" w:firstLineChars="0"/>
      </w:pPr>
      <w:rPr>
        <w:rFonts w:hint="default" w:ascii="Wingdings" w:hAnsi="Wingdings"/>
        <w:sz w:val="16"/>
      </w:rPr>
    </w:lvl>
  </w:abstractNum>
  <w:abstractNum w:abstractNumId="7">
    <w:nsid w:val="52931BAB"/>
    <w:multiLevelType w:val="multilevel"/>
    <w:tmpl w:val="52931BAB"/>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8">
    <w:nsid w:val="5FEA288E"/>
    <w:multiLevelType w:val="singleLevel"/>
    <w:tmpl w:val="5FEA288E"/>
    <w:lvl w:ilvl="0" w:tentative="0">
      <w:start w:val="2"/>
      <w:numFmt w:val="decimal"/>
      <w:suff w:val="space"/>
      <w:lvlText w:val="%1."/>
      <w:lvlJc w:val="left"/>
    </w:lvl>
  </w:abstractNum>
  <w:abstractNum w:abstractNumId="9">
    <w:nsid w:val="7A112EBB"/>
    <w:multiLevelType w:val="multilevel"/>
    <w:tmpl w:val="7A112EBB"/>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8"/>
  </w:num>
  <w:num w:numId="2">
    <w:abstractNumId w:val="7"/>
  </w:num>
  <w:num w:numId="3">
    <w:abstractNumId w:val="6"/>
  </w:num>
  <w:num w:numId="4">
    <w:abstractNumId w:val="5"/>
  </w:num>
  <w:num w:numId="5">
    <w:abstractNumId w:val="4"/>
  </w:num>
  <w:num w:numId="6">
    <w:abstractNumId w:val="1"/>
  </w:num>
  <w:num w:numId="7">
    <w:abstractNumId w:val="3"/>
  </w:num>
  <w:num w:numId="8">
    <w:abstractNumId w:val="9"/>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attachedTemplate r:id="rId1"/>
  <w:documentProtection w:enforcement="0"/>
  <w:defaultTabStop w:val="708"/>
  <w:displayHorizontalDrawingGridEvery w:val="1"/>
  <w:displayVerticalDrawingGridEvery w:val="1"/>
  <w:noPunctuationKerning w:val="1"/>
  <w:characterSpacingControl w:val="doNotCompress"/>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68C"/>
    <w:rsid w:val="00027184"/>
    <w:rsid w:val="00064CD8"/>
    <w:rsid w:val="0009315A"/>
    <w:rsid w:val="000A6935"/>
    <w:rsid w:val="000C710F"/>
    <w:rsid w:val="000F0C25"/>
    <w:rsid w:val="000F3B7F"/>
    <w:rsid w:val="001957AC"/>
    <w:rsid w:val="002274F9"/>
    <w:rsid w:val="00231C7A"/>
    <w:rsid w:val="00233F98"/>
    <w:rsid w:val="0024505E"/>
    <w:rsid w:val="002669C0"/>
    <w:rsid w:val="002910EF"/>
    <w:rsid w:val="002A0FB8"/>
    <w:rsid w:val="002F697D"/>
    <w:rsid w:val="0030734B"/>
    <w:rsid w:val="00316C98"/>
    <w:rsid w:val="00330396"/>
    <w:rsid w:val="00355A6A"/>
    <w:rsid w:val="00374FAF"/>
    <w:rsid w:val="00382535"/>
    <w:rsid w:val="003D6106"/>
    <w:rsid w:val="003D730E"/>
    <w:rsid w:val="00437539"/>
    <w:rsid w:val="004A7AFE"/>
    <w:rsid w:val="004B0D35"/>
    <w:rsid w:val="004B65EF"/>
    <w:rsid w:val="004E7BAD"/>
    <w:rsid w:val="004F1A7B"/>
    <w:rsid w:val="00524C57"/>
    <w:rsid w:val="005313B0"/>
    <w:rsid w:val="00531D6E"/>
    <w:rsid w:val="00564214"/>
    <w:rsid w:val="00571548"/>
    <w:rsid w:val="00591B16"/>
    <w:rsid w:val="00595491"/>
    <w:rsid w:val="005E6E50"/>
    <w:rsid w:val="00665EFB"/>
    <w:rsid w:val="0066786F"/>
    <w:rsid w:val="00686046"/>
    <w:rsid w:val="006D7739"/>
    <w:rsid w:val="006F0A24"/>
    <w:rsid w:val="00711685"/>
    <w:rsid w:val="00720762"/>
    <w:rsid w:val="007652E7"/>
    <w:rsid w:val="007A7E12"/>
    <w:rsid w:val="00810B68"/>
    <w:rsid w:val="00823678"/>
    <w:rsid w:val="008548ED"/>
    <w:rsid w:val="008A6B48"/>
    <w:rsid w:val="008A6D0D"/>
    <w:rsid w:val="008D2753"/>
    <w:rsid w:val="008F553E"/>
    <w:rsid w:val="009418EE"/>
    <w:rsid w:val="00952F67"/>
    <w:rsid w:val="0098187A"/>
    <w:rsid w:val="009E6CF9"/>
    <w:rsid w:val="00A021D1"/>
    <w:rsid w:val="00A11F09"/>
    <w:rsid w:val="00A173BD"/>
    <w:rsid w:val="00A65600"/>
    <w:rsid w:val="00A872A1"/>
    <w:rsid w:val="00A93746"/>
    <w:rsid w:val="00AA559D"/>
    <w:rsid w:val="00AB1B89"/>
    <w:rsid w:val="00AD02C7"/>
    <w:rsid w:val="00B03DE8"/>
    <w:rsid w:val="00B1068C"/>
    <w:rsid w:val="00B12D52"/>
    <w:rsid w:val="00B17B00"/>
    <w:rsid w:val="00B36929"/>
    <w:rsid w:val="00B41BDC"/>
    <w:rsid w:val="00BA6917"/>
    <w:rsid w:val="00BB042A"/>
    <w:rsid w:val="00BB1A89"/>
    <w:rsid w:val="00C07C15"/>
    <w:rsid w:val="00C40B94"/>
    <w:rsid w:val="00C700B5"/>
    <w:rsid w:val="00CA128E"/>
    <w:rsid w:val="00CD3677"/>
    <w:rsid w:val="00CD5CB1"/>
    <w:rsid w:val="00D24611"/>
    <w:rsid w:val="00D53EE3"/>
    <w:rsid w:val="00D75629"/>
    <w:rsid w:val="00D84681"/>
    <w:rsid w:val="00D91170"/>
    <w:rsid w:val="00DB701A"/>
    <w:rsid w:val="00DE404B"/>
    <w:rsid w:val="00DF4C44"/>
    <w:rsid w:val="00E03C02"/>
    <w:rsid w:val="00E356E4"/>
    <w:rsid w:val="00EA7FB7"/>
    <w:rsid w:val="00EB51E3"/>
    <w:rsid w:val="00EC550C"/>
    <w:rsid w:val="00F135D6"/>
    <w:rsid w:val="00F20245"/>
    <w:rsid w:val="00F366B5"/>
    <w:rsid w:val="00F4548F"/>
    <w:rsid w:val="00F5226D"/>
    <w:rsid w:val="00FC7E71"/>
    <w:rsid w:val="06D52D35"/>
    <w:rsid w:val="0AB7270B"/>
    <w:rsid w:val="0AC37758"/>
    <w:rsid w:val="0CC416AE"/>
    <w:rsid w:val="10E25DC7"/>
    <w:rsid w:val="1FE91443"/>
    <w:rsid w:val="3370562F"/>
    <w:rsid w:val="34AB62E5"/>
    <w:rsid w:val="3B5D0268"/>
    <w:rsid w:val="42D365C9"/>
    <w:rsid w:val="47AE49DA"/>
    <w:rsid w:val="488566F4"/>
    <w:rsid w:val="4B1728F9"/>
    <w:rsid w:val="4B767C0A"/>
    <w:rsid w:val="519E5EE2"/>
    <w:rsid w:val="56F45072"/>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name="toc 3"/>
    <w:lsdException w:qFormat="1" w:uiPriority="39" w:name="toc 4"/>
    <w:lsdException w:qFormat="1" w:uiPriority="39" w:name="toc 5"/>
    <w:lsdException w:qFormat="1" w:uiPriority="39" w:name="toc 6"/>
    <w:lsdException w:qFormat="1" w:uiPriority="39" w:name="toc 7"/>
    <w:lsdException w:qFormat="1" w:uiPriority="39" w:name="toc 8"/>
    <w:lsdException w:qFormat="1"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rPr>
      <w:rFonts w:asciiTheme="minorHAnsi" w:hAnsiTheme="minorHAnsi" w:eastAsiaTheme="minorHAnsi" w:cstheme="minorBidi"/>
      <w:sz w:val="24"/>
      <w:szCs w:val="24"/>
      <w:lang w:val="zh-CN" w:eastAsia="en-US" w:bidi="ar-SA"/>
    </w:rPr>
  </w:style>
  <w:style w:type="paragraph" w:styleId="2">
    <w:name w:val="heading 1"/>
    <w:basedOn w:val="1"/>
    <w:next w:val="1"/>
    <w:link w:val="20"/>
    <w:qFormat/>
    <w:uiPriority w:val="9"/>
    <w:pPr>
      <w:keepNext/>
      <w:keepLines/>
      <w:spacing w:before="240"/>
      <w:outlineLvl w:val="0"/>
    </w:pPr>
    <w:rPr>
      <w:rFonts w:asciiTheme="majorHAnsi" w:hAnsiTheme="majorHAnsi" w:eastAsiaTheme="majorEastAsia" w:cstheme="majorBidi"/>
      <w:color w:val="2F5597" w:themeColor="accent1" w:themeShade="BF"/>
      <w:sz w:val="32"/>
      <w:szCs w:val="32"/>
    </w:rPr>
  </w:style>
  <w:style w:type="paragraph" w:styleId="3">
    <w:name w:val="heading 2"/>
    <w:basedOn w:val="1"/>
    <w:next w:val="1"/>
    <w:link w:val="24"/>
    <w:semiHidden/>
    <w:unhideWhenUsed/>
    <w:qFormat/>
    <w:uiPriority w:val="9"/>
    <w:pPr>
      <w:keepNext/>
      <w:keepLines/>
      <w:spacing w:before="40"/>
      <w:outlineLvl w:val="1"/>
    </w:pPr>
    <w:rPr>
      <w:rFonts w:asciiTheme="majorHAnsi" w:hAnsiTheme="majorHAnsi" w:eastAsiaTheme="majorEastAsia" w:cstheme="majorBidi"/>
      <w:color w:val="2F5597" w:themeColor="accent1" w:themeShade="BF"/>
      <w:sz w:val="26"/>
      <w:szCs w:val="26"/>
    </w:rPr>
  </w:style>
  <w:style w:type="character" w:default="1" w:styleId="4">
    <w:name w:val="Default Paragraph Font"/>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character" w:styleId="6">
    <w:name w:val="Hyperlink"/>
    <w:basedOn w:val="4"/>
    <w:unhideWhenUsed/>
    <w:qFormat/>
    <w:uiPriority w:val="99"/>
    <w:rPr>
      <w:color w:val="0563C1" w:themeColor="hyperlink"/>
      <w:u w:val="single"/>
      <w14:textFill>
        <w14:solidFill>
          <w14:schemeClr w14:val="hlink"/>
        </w14:solidFill>
      </w14:textFill>
    </w:rPr>
  </w:style>
  <w:style w:type="character" w:styleId="7">
    <w:name w:val="page number"/>
    <w:basedOn w:val="4"/>
    <w:semiHidden/>
    <w:unhideWhenUsed/>
    <w:qFormat/>
    <w:uiPriority w:val="99"/>
  </w:style>
  <w:style w:type="paragraph" w:styleId="8">
    <w:name w:val="toc 8"/>
    <w:basedOn w:val="1"/>
    <w:next w:val="1"/>
    <w:autoRedefine/>
    <w:semiHidden/>
    <w:unhideWhenUsed/>
    <w:qFormat/>
    <w:uiPriority w:val="39"/>
    <w:pPr>
      <w:ind w:left="1680"/>
    </w:pPr>
    <w:rPr>
      <w:rFonts w:cstheme="minorHAnsi"/>
      <w:sz w:val="20"/>
      <w:szCs w:val="20"/>
    </w:rPr>
  </w:style>
  <w:style w:type="paragraph" w:styleId="9">
    <w:name w:val="header"/>
    <w:basedOn w:val="1"/>
    <w:link w:val="21"/>
    <w:unhideWhenUsed/>
    <w:qFormat/>
    <w:uiPriority w:val="99"/>
    <w:pPr>
      <w:tabs>
        <w:tab w:val="center" w:pos="4513"/>
        <w:tab w:val="right" w:pos="9026"/>
      </w:tabs>
    </w:pPr>
  </w:style>
  <w:style w:type="paragraph" w:styleId="10">
    <w:name w:val="toc 9"/>
    <w:basedOn w:val="1"/>
    <w:next w:val="1"/>
    <w:autoRedefine/>
    <w:semiHidden/>
    <w:unhideWhenUsed/>
    <w:qFormat/>
    <w:uiPriority w:val="39"/>
    <w:pPr>
      <w:ind w:left="1920"/>
    </w:pPr>
    <w:rPr>
      <w:rFonts w:cstheme="minorHAnsi"/>
      <w:sz w:val="20"/>
      <w:szCs w:val="20"/>
    </w:rPr>
  </w:style>
  <w:style w:type="paragraph" w:styleId="11">
    <w:name w:val="toc 7"/>
    <w:basedOn w:val="1"/>
    <w:next w:val="1"/>
    <w:autoRedefine/>
    <w:semiHidden/>
    <w:unhideWhenUsed/>
    <w:qFormat/>
    <w:uiPriority w:val="39"/>
    <w:pPr>
      <w:ind w:left="1440"/>
    </w:pPr>
    <w:rPr>
      <w:rFonts w:cstheme="minorHAnsi"/>
      <w:sz w:val="20"/>
      <w:szCs w:val="20"/>
    </w:rPr>
  </w:style>
  <w:style w:type="paragraph" w:styleId="12">
    <w:name w:val="toc 1"/>
    <w:basedOn w:val="1"/>
    <w:next w:val="1"/>
    <w:autoRedefine/>
    <w:unhideWhenUsed/>
    <w:qFormat/>
    <w:uiPriority w:val="39"/>
    <w:pPr>
      <w:spacing w:before="120"/>
    </w:pPr>
    <w:rPr>
      <w:rFonts w:cstheme="minorHAnsi"/>
      <w:b/>
      <w:bCs/>
      <w:i/>
      <w:iCs/>
    </w:rPr>
  </w:style>
  <w:style w:type="paragraph" w:styleId="13">
    <w:name w:val="toc 6"/>
    <w:basedOn w:val="1"/>
    <w:next w:val="1"/>
    <w:autoRedefine/>
    <w:semiHidden/>
    <w:unhideWhenUsed/>
    <w:qFormat/>
    <w:uiPriority w:val="39"/>
    <w:pPr>
      <w:ind w:left="1200"/>
    </w:pPr>
    <w:rPr>
      <w:rFonts w:cstheme="minorHAnsi"/>
      <w:sz w:val="20"/>
      <w:szCs w:val="20"/>
    </w:rPr>
  </w:style>
  <w:style w:type="paragraph" w:styleId="14">
    <w:name w:val="toc 3"/>
    <w:basedOn w:val="1"/>
    <w:next w:val="1"/>
    <w:autoRedefine/>
    <w:semiHidden/>
    <w:unhideWhenUsed/>
    <w:qFormat/>
    <w:uiPriority w:val="39"/>
    <w:pPr>
      <w:ind w:left="480"/>
    </w:pPr>
    <w:rPr>
      <w:rFonts w:cstheme="minorHAnsi"/>
      <w:sz w:val="20"/>
      <w:szCs w:val="20"/>
    </w:rPr>
  </w:style>
  <w:style w:type="paragraph" w:styleId="15">
    <w:name w:val="toc 2"/>
    <w:basedOn w:val="1"/>
    <w:next w:val="1"/>
    <w:autoRedefine/>
    <w:unhideWhenUsed/>
    <w:qFormat/>
    <w:uiPriority w:val="39"/>
    <w:pPr>
      <w:spacing w:before="120"/>
      <w:ind w:left="240"/>
    </w:pPr>
    <w:rPr>
      <w:rFonts w:cstheme="minorHAnsi"/>
      <w:b/>
      <w:bCs/>
      <w:sz w:val="22"/>
      <w:szCs w:val="22"/>
    </w:rPr>
  </w:style>
  <w:style w:type="paragraph" w:styleId="16">
    <w:name w:val="toc 4"/>
    <w:basedOn w:val="1"/>
    <w:next w:val="1"/>
    <w:autoRedefine/>
    <w:semiHidden/>
    <w:unhideWhenUsed/>
    <w:qFormat/>
    <w:uiPriority w:val="39"/>
    <w:pPr>
      <w:ind w:left="720"/>
    </w:pPr>
    <w:rPr>
      <w:rFonts w:cstheme="minorHAnsi"/>
      <w:sz w:val="20"/>
      <w:szCs w:val="20"/>
    </w:rPr>
  </w:style>
  <w:style w:type="paragraph" w:styleId="17">
    <w:name w:val="toc 5"/>
    <w:basedOn w:val="1"/>
    <w:next w:val="1"/>
    <w:autoRedefine/>
    <w:semiHidden/>
    <w:unhideWhenUsed/>
    <w:qFormat/>
    <w:uiPriority w:val="39"/>
    <w:pPr>
      <w:ind w:left="960"/>
    </w:pPr>
    <w:rPr>
      <w:rFonts w:cstheme="minorHAnsi"/>
      <w:sz w:val="20"/>
      <w:szCs w:val="20"/>
    </w:rPr>
  </w:style>
  <w:style w:type="paragraph" w:styleId="18">
    <w:name w:val="footer"/>
    <w:basedOn w:val="1"/>
    <w:link w:val="22"/>
    <w:unhideWhenUsed/>
    <w:qFormat/>
    <w:uiPriority w:val="99"/>
    <w:pPr>
      <w:tabs>
        <w:tab w:val="center" w:pos="4513"/>
        <w:tab w:val="right" w:pos="9026"/>
      </w:tabs>
    </w:pPr>
  </w:style>
  <w:style w:type="table" w:styleId="19">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0">
    <w:name w:val="Заголовок 1 Знак"/>
    <w:basedOn w:val="4"/>
    <w:link w:val="2"/>
    <w:qFormat/>
    <w:uiPriority w:val="9"/>
    <w:rPr>
      <w:rFonts w:asciiTheme="majorHAnsi" w:hAnsiTheme="majorHAnsi" w:eastAsiaTheme="majorEastAsia" w:cstheme="majorBidi"/>
      <w:color w:val="2F5597" w:themeColor="accent1" w:themeShade="BF"/>
      <w:sz w:val="32"/>
      <w:szCs w:val="32"/>
    </w:rPr>
  </w:style>
  <w:style w:type="character" w:customStyle="1" w:styleId="21">
    <w:name w:val="Верхний колонтитул Знак"/>
    <w:basedOn w:val="4"/>
    <w:link w:val="9"/>
    <w:qFormat/>
    <w:uiPriority w:val="99"/>
  </w:style>
  <w:style w:type="character" w:customStyle="1" w:styleId="22">
    <w:name w:val="Нижний колонтитул Знак"/>
    <w:basedOn w:val="4"/>
    <w:link w:val="18"/>
    <w:qFormat/>
    <w:uiPriority w:val="99"/>
  </w:style>
  <w:style w:type="paragraph" w:styleId="23">
    <w:name w:val="List Paragraph"/>
    <w:basedOn w:val="1"/>
    <w:qFormat/>
    <w:uiPriority w:val="34"/>
    <w:pPr>
      <w:ind w:left="720"/>
      <w:contextualSpacing/>
    </w:pPr>
  </w:style>
  <w:style w:type="character" w:customStyle="1" w:styleId="24">
    <w:name w:val="Заголовок 2 Знак"/>
    <w:basedOn w:val="4"/>
    <w:link w:val="3"/>
    <w:semiHidden/>
    <w:qFormat/>
    <w:uiPriority w:val="9"/>
    <w:rPr>
      <w:rFonts w:asciiTheme="majorHAnsi" w:hAnsiTheme="majorHAnsi" w:eastAsiaTheme="majorEastAsia" w:cstheme="majorBidi"/>
      <w:color w:val="2F5597" w:themeColor="accent1" w:themeShade="BF"/>
      <w:sz w:val="26"/>
      <w:szCs w:val="26"/>
    </w:rPr>
  </w:style>
  <w:style w:type="character" w:customStyle="1" w:styleId="25">
    <w:name w:val="Unresolved Mention"/>
    <w:basedOn w:val="4"/>
    <w:semiHidden/>
    <w:unhideWhenUsed/>
    <w:qFormat/>
    <w:uiPriority w:val="99"/>
    <w:rPr>
      <w:color w:val="605E5C"/>
      <w:shd w:val="clear" w:color="auto" w:fill="E1DFDD"/>
    </w:rPr>
  </w:style>
  <w:style w:type="paragraph" w:customStyle="1" w:styleId="26">
    <w:name w:val="whitespace-pre-wrap"/>
    <w:basedOn w:val="1"/>
    <w:qFormat/>
    <w:uiPriority w:val="0"/>
    <w:pPr>
      <w:spacing w:before="100" w:beforeAutospacing="1" w:after="100" w:afterAutospacing="1"/>
    </w:pPr>
    <w:rPr>
      <w:rFonts w:ascii="Times New Roman" w:hAnsi="Times New Roman" w:eastAsia="Times New Roman" w:cs="Times New Roman"/>
      <w:lang w:eastAsia="ru-RU"/>
    </w:rPr>
  </w:style>
  <w:style w:type="paragraph" w:customStyle="1" w:styleId="27">
    <w:name w:val="whitespace-normal"/>
    <w:basedOn w:val="1"/>
    <w:qFormat/>
    <w:uiPriority w:val="0"/>
    <w:pPr>
      <w:spacing w:before="100" w:beforeAutospacing="1" w:after="100" w:afterAutospacing="1"/>
    </w:pPr>
    <w:rPr>
      <w:rFonts w:ascii="Times New Roman" w:hAnsi="Times New Roman" w:eastAsia="Times New Roman" w:cs="Times New Roman"/>
      <w:lang w:eastAsia="ru-RU"/>
    </w:rPr>
  </w:style>
  <w:style w:type="paragraph" w:customStyle="1" w:styleId="28">
    <w:name w:val="TOC Heading"/>
    <w:basedOn w:val="2"/>
    <w:next w:val="1"/>
    <w:unhideWhenUsed/>
    <w:qFormat/>
    <w:uiPriority w:val="39"/>
    <w:pPr>
      <w:spacing w:before="480" w:line="276" w:lineRule="auto"/>
      <w:outlineLvl w:val="9"/>
    </w:pPr>
    <w:rPr>
      <w:b/>
      <w:bCs/>
      <w:sz w:val="28"/>
      <w:szCs w:val="28"/>
      <w:lang w:eastAsia="ru-RU"/>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theme" Target="theme/theme1.xml"/><Relationship Id="rId15" Type="http://schemas.openxmlformats.org/officeDocument/2006/relationships/header" Target="header10.xml"/><Relationship Id="rId14" Type="http://schemas.openxmlformats.org/officeDocument/2006/relationships/header" Target="header9.xml"/><Relationship Id="rId13" Type="http://schemas.openxmlformats.org/officeDocument/2006/relationships/header" Target="header8.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oozix\Library\Group%20Containers\UBF8T346G9.Office\User%20Content.localized\Templates.localized\&#1056;&#1077;&#1092;&#1077;&#1088;&#1072;&#1090;_&#1059;&#1082;&#1088;.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DCCBD-FC9E-DB42-85B3-D210FF813FD5}">
  <ds:schemaRefs/>
</ds:datastoreItem>
</file>

<file path=docProps/app.xml><?xml version="1.0" encoding="utf-8"?>
<Properties xmlns="http://schemas.openxmlformats.org/officeDocument/2006/extended-properties" xmlns:vt="http://schemas.openxmlformats.org/officeDocument/2006/docPropsVTypes">
  <Template>Реферат_Укр.dotx</Template>
  <Pages>66</Pages>
  <Words>13660</Words>
  <Characters>77868</Characters>
  <Lines>648</Lines>
  <Paragraphs>182</Paragraphs>
  <TotalTime>4</TotalTime>
  <ScaleCrop>false</ScaleCrop>
  <LinksUpToDate>false</LinksUpToDate>
  <CharactersWithSpaces>91346</CharactersWithSpaces>
  <Application>WPS Office_12.2.0.18639_F1E327BC-269C-435d-A152-05C5408002CA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2024-12-19T13:39:00Z</dcterms:created>
  <dc:creator>Microsoft Office User</dc:creator>
  <cp:lastModifiedBy>Creed</cp:lastModifiedBy>
  <dcterms:modified xsi:type="dcterms:W3CDTF">2024-12-21T09:43:25Z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1049-12.2.0.18639</vt:lpwstr>
  </property>
  <property fmtid="{D5CDD505-2E9C-101B-9397-08002B2CF9AE}" pid="3" name="ICV">
    <vt:lpwstr>5D1BA94CB474408E9E7AD3351CCF6DFD_12</vt:lpwstr>
  </property>
</Properties>
</file>