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78C7" w:rsidRDefault="004378C7" w:rsidP="004378C7">
      <w:pPr>
        <w:spacing w:after="0" w:line="240" w:lineRule="auto"/>
        <w:ind w:firstLine="709"/>
        <w:jc w:val="center"/>
        <w:rPr>
          <w:rFonts w:ascii="Times New Roman" w:hAnsi="Times New Roman" w:cs="Times New Roman"/>
          <w:b/>
          <w:sz w:val="28"/>
          <w:szCs w:val="28"/>
          <w:lang w:val="en-GB"/>
        </w:rPr>
      </w:pPr>
      <w:r w:rsidRPr="004378C7">
        <w:rPr>
          <w:rFonts w:ascii="Times New Roman" w:hAnsi="Times New Roman" w:cs="Times New Roman"/>
          <w:b/>
          <w:sz w:val="28"/>
          <w:szCs w:val="28"/>
          <w:lang w:val="en-GB"/>
        </w:rPr>
        <w:t>TERMINOLOG</w:t>
      </w:r>
      <w:r w:rsidR="00BA1CAB">
        <w:rPr>
          <w:rFonts w:ascii="Times New Roman" w:hAnsi="Times New Roman" w:cs="Times New Roman"/>
          <w:b/>
          <w:sz w:val="28"/>
          <w:szCs w:val="28"/>
          <w:lang w:val="en-US"/>
        </w:rPr>
        <w:t>Y</w:t>
      </w:r>
      <w:r w:rsidRPr="004378C7">
        <w:rPr>
          <w:rFonts w:ascii="Times New Roman" w:hAnsi="Times New Roman" w:cs="Times New Roman"/>
          <w:b/>
          <w:sz w:val="28"/>
          <w:szCs w:val="28"/>
          <w:lang w:val="en-GB"/>
        </w:rPr>
        <w:t xml:space="preserve"> OVERVIEW FOR VIRTUAL EXCHANGE</w:t>
      </w:r>
    </w:p>
    <w:p w:rsidR="004378C7" w:rsidRDefault="004378C7" w:rsidP="004378C7">
      <w:pPr>
        <w:spacing w:after="0" w:line="240" w:lineRule="auto"/>
        <w:ind w:firstLine="709"/>
        <w:jc w:val="center"/>
        <w:rPr>
          <w:rFonts w:ascii="Times New Roman" w:hAnsi="Times New Roman" w:cs="Times New Roman"/>
          <w:b/>
          <w:i/>
          <w:sz w:val="24"/>
          <w:szCs w:val="24"/>
          <w:lang w:val="en-GB"/>
        </w:rPr>
      </w:pPr>
      <w:r>
        <w:rPr>
          <w:rFonts w:ascii="Times New Roman" w:hAnsi="Times New Roman" w:cs="Times New Roman"/>
          <w:b/>
          <w:i/>
          <w:sz w:val="24"/>
          <w:szCs w:val="24"/>
          <w:lang w:val="en-GB"/>
        </w:rPr>
        <w:t>Maryna Kolisnyk</w:t>
      </w:r>
    </w:p>
    <w:p w:rsidR="004378C7" w:rsidRPr="004378C7" w:rsidRDefault="004378C7" w:rsidP="004378C7">
      <w:pPr>
        <w:spacing w:after="0" w:line="240" w:lineRule="auto"/>
        <w:ind w:firstLine="709"/>
        <w:jc w:val="center"/>
        <w:rPr>
          <w:rFonts w:ascii="Times New Roman" w:hAnsi="Times New Roman" w:cs="Times New Roman"/>
          <w:i/>
          <w:sz w:val="24"/>
          <w:szCs w:val="24"/>
          <w:lang w:val="en-US"/>
        </w:rPr>
      </w:pPr>
      <w:r w:rsidRPr="004378C7">
        <w:rPr>
          <w:rFonts w:ascii="Times New Roman" w:hAnsi="Times New Roman" w:cs="Times New Roman"/>
          <w:i/>
          <w:sz w:val="24"/>
          <w:szCs w:val="24"/>
          <w:lang w:val="en-GB"/>
        </w:rPr>
        <w:t>Ph</w:t>
      </w:r>
      <w:r>
        <w:rPr>
          <w:rFonts w:ascii="Times New Roman" w:hAnsi="Times New Roman" w:cs="Times New Roman"/>
          <w:i/>
          <w:sz w:val="24"/>
          <w:szCs w:val="24"/>
          <w:lang w:val="en-GB"/>
        </w:rPr>
        <w:t>D</w:t>
      </w:r>
      <w:r w:rsidRPr="004378C7">
        <w:rPr>
          <w:rFonts w:ascii="Times New Roman" w:hAnsi="Times New Roman" w:cs="Times New Roman"/>
          <w:i/>
          <w:sz w:val="24"/>
          <w:szCs w:val="24"/>
          <w:lang w:val="en-GB"/>
        </w:rPr>
        <w:t xml:space="preserve"> in Linguistics, </w:t>
      </w:r>
      <w:r>
        <w:rPr>
          <w:rFonts w:ascii="Times New Roman" w:hAnsi="Times New Roman" w:cs="Times New Roman"/>
          <w:i/>
          <w:sz w:val="24"/>
          <w:szCs w:val="24"/>
          <w:lang w:val="en-GB"/>
        </w:rPr>
        <w:t>A</w:t>
      </w:r>
      <w:r w:rsidRPr="004378C7">
        <w:rPr>
          <w:rFonts w:ascii="Times New Roman" w:hAnsi="Times New Roman" w:cs="Times New Roman"/>
          <w:i/>
          <w:sz w:val="24"/>
          <w:szCs w:val="24"/>
          <w:lang w:val="en-GB"/>
        </w:rPr>
        <w:t xml:space="preserve">ssociate </w:t>
      </w:r>
      <w:r>
        <w:rPr>
          <w:rFonts w:ascii="Times New Roman" w:hAnsi="Times New Roman" w:cs="Times New Roman"/>
          <w:i/>
          <w:sz w:val="24"/>
          <w:szCs w:val="24"/>
          <w:lang w:val="en-GB"/>
        </w:rPr>
        <w:t>P</w:t>
      </w:r>
      <w:r w:rsidRPr="004378C7">
        <w:rPr>
          <w:rFonts w:ascii="Times New Roman" w:hAnsi="Times New Roman" w:cs="Times New Roman"/>
          <w:i/>
          <w:sz w:val="24"/>
          <w:szCs w:val="24"/>
          <w:lang w:val="en-GB"/>
        </w:rPr>
        <w:t xml:space="preserve">rofessor at the Department of English for Humanities of </w:t>
      </w:r>
      <w:proofErr w:type="spellStart"/>
      <w:r w:rsidRPr="004378C7">
        <w:rPr>
          <w:rFonts w:ascii="Times New Roman" w:hAnsi="Times New Roman" w:cs="Times New Roman"/>
          <w:i/>
          <w:sz w:val="24"/>
          <w:szCs w:val="24"/>
        </w:rPr>
        <w:t>Igor</w:t>
      </w:r>
      <w:proofErr w:type="spellEnd"/>
      <w:r w:rsidRPr="004378C7">
        <w:rPr>
          <w:rFonts w:ascii="Times New Roman" w:hAnsi="Times New Roman" w:cs="Times New Roman"/>
          <w:i/>
          <w:sz w:val="24"/>
          <w:szCs w:val="24"/>
        </w:rPr>
        <w:t xml:space="preserve"> </w:t>
      </w:r>
      <w:proofErr w:type="spellStart"/>
      <w:r w:rsidRPr="004378C7">
        <w:rPr>
          <w:rFonts w:ascii="Times New Roman" w:hAnsi="Times New Roman" w:cs="Times New Roman"/>
          <w:i/>
          <w:sz w:val="24"/>
          <w:szCs w:val="24"/>
        </w:rPr>
        <w:t>Sikorsky</w:t>
      </w:r>
      <w:proofErr w:type="spellEnd"/>
      <w:r w:rsidRPr="004378C7">
        <w:rPr>
          <w:rFonts w:ascii="Times New Roman" w:hAnsi="Times New Roman" w:cs="Times New Roman"/>
          <w:i/>
          <w:sz w:val="24"/>
          <w:szCs w:val="24"/>
        </w:rPr>
        <w:t xml:space="preserve"> </w:t>
      </w:r>
      <w:proofErr w:type="spellStart"/>
      <w:r w:rsidRPr="004378C7">
        <w:rPr>
          <w:rFonts w:ascii="Times New Roman" w:hAnsi="Times New Roman" w:cs="Times New Roman"/>
          <w:i/>
          <w:sz w:val="24"/>
          <w:szCs w:val="24"/>
        </w:rPr>
        <w:t>Kyiv</w:t>
      </w:r>
      <w:proofErr w:type="spellEnd"/>
      <w:r w:rsidRPr="004378C7">
        <w:rPr>
          <w:rFonts w:ascii="Times New Roman" w:hAnsi="Times New Roman" w:cs="Times New Roman"/>
          <w:i/>
          <w:sz w:val="24"/>
          <w:szCs w:val="24"/>
        </w:rPr>
        <w:t xml:space="preserve"> </w:t>
      </w:r>
      <w:proofErr w:type="spellStart"/>
      <w:r w:rsidRPr="004378C7">
        <w:rPr>
          <w:rFonts w:ascii="Times New Roman" w:hAnsi="Times New Roman" w:cs="Times New Roman"/>
          <w:i/>
          <w:sz w:val="24"/>
          <w:szCs w:val="24"/>
        </w:rPr>
        <w:t>Polytechnic</w:t>
      </w:r>
      <w:proofErr w:type="spellEnd"/>
      <w:r w:rsidRPr="004378C7">
        <w:rPr>
          <w:rFonts w:ascii="Times New Roman" w:hAnsi="Times New Roman" w:cs="Times New Roman"/>
          <w:i/>
          <w:sz w:val="24"/>
          <w:szCs w:val="24"/>
        </w:rPr>
        <w:t xml:space="preserve"> </w:t>
      </w:r>
      <w:proofErr w:type="spellStart"/>
      <w:r w:rsidRPr="004378C7">
        <w:rPr>
          <w:rFonts w:ascii="Times New Roman" w:hAnsi="Times New Roman" w:cs="Times New Roman"/>
          <w:i/>
          <w:sz w:val="24"/>
          <w:szCs w:val="24"/>
        </w:rPr>
        <w:t>Institute</w:t>
      </w:r>
      <w:proofErr w:type="spellEnd"/>
      <w:r w:rsidRPr="004378C7">
        <w:rPr>
          <w:rFonts w:ascii="Times New Roman" w:hAnsi="Times New Roman" w:cs="Times New Roman"/>
          <w:i/>
          <w:sz w:val="24"/>
          <w:szCs w:val="24"/>
          <w:lang w:val="en-US"/>
        </w:rPr>
        <w:t>, Kyiv, Ukraine</w:t>
      </w:r>
    </w:p>
    <w:p w:rsidR="004378C7" w:rsidRPr="004378C7" w:rsidRDefault="004378C7" w:rsidP="004378C7">
      <w:pPr>
        <w:spacing w:after="0" w:line="240" w:lineRule="auto"/>
        <w:ind w:firstLine="709"/>
        <w:jc w:val="center"/>
        <w:rPr>
          <w:rFonts w:ascii="Times New Roman" w:hAnsi="Times New Roman" w:cs="Times New Roman"/>
          <w:b/>
          <w:i/>
          <w:sz w:val="24"/>
          <w:szCs w:val="24"/>
          <w:lang w:val="en-US"/>
        </w:rPr>
      </w:pPr>
    </w:p>
    <w:p w:rsidR="00A75AD9" w:rsidRPr="004378C7" w:rsidRDefault="00A75AD9" w:rsidP="004378C7">
      <w:pPr>
        <w:spacing w:after="0" w:line="240" w:lineRule="auto"/>
        <w:ind w:firstLine="709"/>
        <w:jc w:val="both"/>
        <w:rPr>
          <w:rFonts w:ascii="Times New Roman" w:hAnsi="Times New Roman" w:cs="Times New Roman"/>
          <w:sz w:val="28"/>
          <w:szCs w:val="28"/>
          <w:lang w:val="en-GB"/>
        </w:rPr>
      </w:pPr>
      <w:r w:rsidRPr="004378C7">
        <w:rPr>
          <w:rFonts w:ascii="Times New Roman" w:hAnsi="Times New Roman" w:cs="Times New Roman"/>
          <w:sz w:val="28"/>
          <w:szCs w:val="28"/>
          <w:lang w:val="en-GB"/>
        </w:rPr>
        <w:t xml:space="preserve">Nowadays globalization is no longer a fancy world. It has already brought the increased interconnectedness and interdependence of economies, societies, and cultures across the globe, which have been facilitated by advancements in technology, transportation, communication, and trade. Globalization has enabled easier movement of people, goods, services, and ideas across national borders and has had significant impacts on the world, including increased economic growth, job opportunities, and access to goods and services. However, globalization has also brought about challenges, such as social and economic inequality, cultural clashes, and environmental degradation. Currently, globalization is characterized by both acceleration and fragmentation, with certain regions and groups benefiting more than others. </w:t>
      </w:r>
      <w:r w:rsidRPr="004378C7">
        <w:rPr>
          <w:rFonts w:ascii="Times New Roman" w:hAnsi="Times New Roman" w:cs="Times New Roman"/>
          <w:sz w:val="28"/>
          <w:szCs w:val="28"/>
          <w:lang w:val="en-GB"/>
        </w:rPr>
        <w:t xml:space="preserve">Thus, it seems to be logical that universities all over the world are becoming increasingly concerned with preparing graduates to be active and responsible global citizens in a world that is inherently digital, globalized, and multicultural. </w:t>
      </w:r>
      <w:r w:rsidR="004C25D0" w:rsidRPr="004378C7">
        <w:rPr>
          <w:rFonts w:ascii="Times New Roman" w:hAnsi="Times New Roman" w:cs="Times New Roman"/>
          <w:sz w:val="28"/>
          <w:szCs w:val="28"/>
          <w:lang w:val="en-GB"/>
        </w:rPr>
        <w:t xml:space="preserve">(O’Dowd, 2017). </w:t>
      </w:r>
      <w:r w:rsidRPr="004378C7">
        <w:rPr>
          <w:rFonts w:ascii="Times New Roman" w:hAnsi="Times New Roman" w:cs="Times New Roman"/>
          <w:sz w:val="28"/>
          <w:szCs w:val="28"/>
          <w:lang w:val="en-GB"/>
        </w:rPr>
        <w:t xml:space="preserve">At the same time such challenges as pandemics, war conflicts </w:t>
      </w:r>
      <w:r w:rsidR="004C25D0" w:rsidRPr="004378C7">
        <w:rPr>
          <w:rFonts w:ascii="Times New Roman" w:hAnsi="Times New Roman" w:cs="Times New Roman"/>
          <w:sz w:val="28"/>
          <w:szCs w:val="28"/>
          <w:lang w:val="en-GB"/>
        </w:rPr>
        <w:t>intrude with the process of internalization and study abroad programs.</w:t>
      </w:r>
      <w:r w:rsidRPr="004378C7">
        <w:rPr>
          <w:rFonts w:ascii="Times New Roman" w:hAnsi="Times New Roman" w:cs="Times New Roman"/>
          <w:sz w:val="28"/>
          <w:szCs w:val="28"/>
          <w:lang w:val="en-GB"/>
        </w:rPr>
        <w:t xml:space="preserve">  </w:t>
      </w:r>
      <w:r w:rsidR="004C25D0" w:rsidRPr="004378C7">
        <w:rPr>
          <w:rFonts w:ascii="Times New Roman" w:hAnsi="Times New Roman" w:cs="Times New Roman"/>
          <w:sz w:val="28"/>
          <w:szCs w:val="28"/>
          <w:lang w:val="en-GB"/>
        </w:rPr>
        <w:t>Therefore, higher education institutions are turning to "internationalization at home" (</w:t>
      </w:r>
      <w:proofErr w:type="spellStart"/>
      <w:r w:rsidR="004C25D0" w:rsidRPr="004378C7">
        <w:rPr>
          <w:rFonts w:ascii="Times New Roman" w:hAnsi="Times New Roman" w:cs="Times New Roman"/>
          <w:sz w:val="28"/>
          <w:szCs w:val="28"/>
          <w:lang w:val="en-GB"/>
        </w:rPr>
        <w:t>IaH</w:t>
      </w:r>
      <w:proofErr w:type="spellEnd"/>
      <w:r w:rsidR="004C25D0" w:rsidRPr="004378C7">
        <w:rPr>
          <w:rFonts w:ascii="Times New Roman" w:hAnsi="Times New Roman" w:cs="Times New Roman"/>
          <w:sz w:val="28"/>
          <w:szCs w:val="28"/>
          <w:lang w:val="en-GB"/>
        </w:rPr>
        <w:t>) as a way to integrate international and intercultural dimensions into the formal and informal curriculum for all students (</w:t>
      </w:r>
      <w:proofErr w:type="spellStart"/>
      <w:r w:rsidR="004C25D0" w:rsidRPr="004378C7">
        <w:rPr>
          <w:rFonts w:ascii="Times New Roman" w:hAnsi="Times New Roman" w:cs="Times New Roman"/>
          <w:sz w:val="28"/>
          <w:szCs w:val="28"/>
          <w:lang w:val="en-GB"/>
        </w:rPr>
        <w:t>Beelen</w:t>
      </w:r>
      <w:proofErr w:type="spellEnd"/>
      <w:r w:rsidR="004C25D0" w:rsidRPr="004378C7">
        <w:rPr>
          <w:rFonts w:ascii="Times New Roman" w:hAnsi="Times New Roman" w:cs="Times New Roman"/>
          <w:sz w:val="28"/>
          <w:szCs w:val="28"/>
          <w:lang w:val="en-GB"/>
        </w:rPr>
        <w:t xml:space="preserve"> &amp; Jones, 2015). As part of their </w:t>
      </w:r>
      <w:proofErr w:type="spellStart"/>
      <w:r w:rsidR="004C25D0" w:rsidRPr="004378C7">
        <w:rPr>
          <w:rFonts w:ascii="Times New Roman" w:hAnsi="Times New Roman" w:cs="Times New Roman"/>
          <w:sz w:val="28"/>
          <w:szCs w:val="28"/>
          <w:lang w:val="en-GB"/>
        </w:rPr>
        <w:t>IaH</w:t>
      </w:r>
      <w:proofErr w:type="spellEnd"/>
      <w:r w:rsidR="004C25D0" w:rsidRPr="004378C7">
        <w:rPr>
          <w:rFonts w:ascii="Times New Roman" w:hAnsi="Times New Roman" w:cs="Times New Roman"/>
          <w:sz w:val="28"/>
          <w:szCs w:val="28"/>
          <w:lang w:val="en-GB"/>
        </w:rPr>
        <w:t xml:space="preserve"> initiatives, more universities are utilizing Virtual Exchange which involves online intercultural interaction and collaboration projects with partner classes from other cultural contexts under the guidance of educators and/or expert facilitators.</w:t>
      </w:r>
    </w:p>
    <w:p w:rsidR="00A75AD9" w:rsidRPr="004378C7" w:rsidRDefault="00290184" w:rsidP="004378C7">
      <w:pPr>
        <w:spacing w:after="0" w:line="240" w:lineRule="auto"/>
        <w:ind w:firstLine="709"/>
        <w:jc w:val="both"/>
        <w:rPr>
          <w:rFonts w:ascii="Times New Roman" w:hAnsi="Times New Roman" w:cs="Times New Roman"/>
          <w:sz w:val="28"/>
          <w:szCs w:val="28"/>
          <w:lang w:val="en-GB"/>
        </w:rPr>
      </w:pPr>
      <w:r w:rsidRPr="004378C7">
        <w:rPr>
          <w:rFonts w:ascii="Times New Roman" w:hAnsi="Times New Roman" w:cs="Times New Roman"/>
          <w:sz w:val="28"/>
          <w:szCs w:val="28"/>
          <w:lang w:val="en-GB"/>
        </w:rPr>
        <w:t>Over the past few years, virtual exchange methods have developed in various educational contexts with differing organizational structures and pedagogical goals.</w:t>
      </w:r>
      <w:r w:rsidR="008006DE" w:rsidRPr="004378C7">
        <w:rPr>
          <w:rFonts w:ascii="Times New Roman" w:hAnsi="Times New Roman" w:cs="Times New Roman"/>
          <w:sz w:val="28"/>
          <w:szCs w:val="28"/>
          <w:lang w:val="en-GB"/>
        </w:rPr>
        <w:t xml:space="preserve"> </w:t>
      </w:r>
      <w:r w:rsidR="009F32BF" w:rsidRPr="004378C7">
        <w:rPr>
          <w:rFonts w:ascii="Times New Roman" w:hAnsi="Times New Roman" w:cs="Times New Roman"/>
          <w:sz w:val="28"/>
          <w:szCs w:val="28"/>
          <w:lang w:val="en-GB"/>
        </w:rPr>
        <w:t xml:space="preserve">Although, as R. O’Dowd (2018) points out, their development happened with certain level of isolation. </w:t>
      </w:r>
      <w:r w:rsidR="00270A39" w:rsidRPr="004378C7">
        <w:rPr>
          <w:rFonts w:ascii="Times New Roman" w:hAnsi="Times New Roman" w:cs="Times New Roman"/>
          <w:sz w:val="28"/>
          <w:szCs w:val="28"/>
          <w:lang w:val="en-GB"/>
        </w:rPr>
        <w:t xml:space="preserve">At first glance it seems to be rather drastic description of the conditions under which the phenomena evolved nevertheless it means that depending on the educational context and the focus of the practitioners, this activity has been referred to by various names and terms. </w:t>
      </w:r>
      <w:r w:rsidR="00686283" w:rsidRPr="004378C7">
        <w:rPr>
          <w:rFonts w:ascii="Times New Roman" w:hAnsi="Times New Roman" w:cs="Times New Roman"/>
          <w:sz w:val="28"/>
          <w:szCs w:val="28"/>
          <w:lang w:val="en-GB"/>
        </w:rPr>
        <w:t xml:space="preserve">Thus the aim of this paper is to study the variety of </w:t>
      </w:r>
      <w:r w:rsidR="00FE00FE" w:rsidRPr="004378C7">
        <w:rPr>
          <w:rFonts w:ascii="Times New Roman" w:hAnsi="Times New Roman" w:cs="Times New Roman"/>
          <w:sz w:val="28"/>
          <w:szCs w:val="28"/>
          <w:lang w:val="en-GB"/>
        </w:rPr>
        <w:t xml:space="preserve">idioms </w:t>
      </w:r>
      <w:r w:rsidR="00686283" w:rsidRPr="004378C7">
        <w:rPr>
          <w:rFonts w:ascii="Times New Roman" w:hAnsi="Times New Roman" w:cs="Times New Roman"/>
          <w:sz w:val="28"/>
          <w:szCs w:val="28"/>
          <w:lang w:val="en-GB"/>
        </w:rPr>
        <w:t xml:space="preserve">used to describe the process of online collaborative learning </w:t>
      </w:r>
      <w:r w:rsidR="00686283" w:rsidRPr="004378C7">
        <w:rPr>
          <w:rFonts w:ascii="Times New Roman" w:hAnsi="Times New Roman" w:cs="Times New Roman"/>
          <w:sz w:val="28"/>
          <w:szCs w:val="28"/>
          <w:lang w:val="en-GB"/>
        </w:rPr>
        <w:t xml:space="preserve">which </w:t>
      </w:r>
      <w:r w:rsidR="00686283" w:rsidRPr="004378C7">
        <w:rPr>
          <w:rFonts w:ascii="Times New Roman" w:hAnsi="Times New Roman" w:cs="Times New Roman"/>
          <w:sz w:val="28"/>
          <w:szCs w:val="28"/>
          <w:lang w:val="en-GB"/>
        </w:rPr>
        <w:t>involves groups of learners from different cultural contexts or geographical locations working together in a coordinated manner.</w:t>
      </w:r>
    </w:p>
    <w:p w:rsidR="00B67CF6" w:rsidRPr="004378C7" w:rsidRDefault="00B67CF6" w:rsidP="004378C7">
      <w:pPr>
        <w:spacing w:after="0" w:line="240" w:lineRule="auto"/>
        <w:ind w:firstLine="709"/>
        <w:jc w:val="both"/>
        <w:rPr>
          <w:rFonts w:ascii="Times New Roman" w:hAnsi="Times New Roman" w:cs="Times New Roman"/>
          <w:sz w:val="28"/>
          <w:szCs w:val="28"/>
          <w:lang w:val="en-GB"/>
        </w:rPr>
      </w:pPr>
      <w:r w:rsidRPr="004378C7">
        <w:rPr>
          <w:rFonts w:ascii="Times New Roman" w:hAnsi="Times New Roman" w:cs="Times New Roman"/>
          <w:sz w:val="28"/>
          <w:szCs w:val="28"/>
          <w:lang w:val="en-GB"/>
        </w:rPr>
        <w:t>T</w:t>
      </w:r>
      <w:r w:rsidRPr="004378C7">
        <w:rPr>
          <w:rFonts w:ascii="Times New Roman" w:hAnsi="Times New Roman" w:cs="Times New Roman"/>
          <w:sz w:val="28"/>
          <w:szCs w:val="28"/>
          <w:lang w:val="en-GB"/>
        </w:rPr>
        <w:t>he first instances of online collaborative projects between classrooms across the world began to surface</w:t>
      </w:r>
      <w:r w:rsidRPr="004378C7">
        <w:rPr>
          <w:rFonts w:ascii="Times New Roman" w:hAnsi="Times New Roman" w:cs="Times New Roman"/>
          <w:sz w:val="28"/>
          <w:szCs w:val="28"/>
          <w:lang w:val="en-GB"/>
        </w:rPr>
        <w:t xml:space="preserve"> within a few years after the internet became widely spread over the planet. So over the years the number of approaches to virtual exchange as well as the terms that would describe the process have emerged significantly. The overview of existing terminology can be seen on Fig. 1.</w:t>
      </w:r>
    </w:p>
    <w:p w:rsidR="004308A3" w:rsidRPr="004378C7" w:rsidRDefault="004308A3" w:rsidP="004378C7">
      <w:pPr>
        <w:spacing w:after="0" w:line="240" w:lineRule="auto"/>
        <w:ind w:firstLine="709"/>
        <w:jc w:val="both"/>
        <w:rPr>
          <w:rFonts w:ascii="Times New Roman" w:hAnsi="Times New Roman" w:cs="Times New Roman"/>
          <w:sz w:val="28"/>
          <w:szCs w:val="28"/>
          <w:lang w:val="en-GB"/>
        </w:rPr>
      </w:pPr>
    </w:p>
    <w:p w:rsidR="00430620" w:rsidRPr="004378C7" w:rsidRDefault="00430620" w:rsidP="004378C7">
      <w:pPr>
        <w:spacing w:after="0" w:line="240" w:lineRule="auto"/>
        <w:ind w:firstLine="709"/>
        <w:jc w:val="both"/>
        <w:rPr>
          <w:rFonts w:ascii="Times New Roman" w:hAnsi="Times New Roman" w:cs="Times New Roman"/>
          <w:sz w:val="28"/>
          <w:szCs w:val="28"/>
          <w:lang w:val="en-GB"/>
        </w:rPr>
      </w:pPr>
    </w:p>
    <w:p w:rsidR="004864FA" w:rsidRPr="004378C7" w:rsidRDefault="00AF73C5" w:rsidP="004378C7">
      <w:pPr>
        <w:spacing w:after="0" w:line="240" w:lineRule="auto"/>
        <w:ind w:firstLine="709"/>
        <w:jc w:val="both"/>
        <w:rPr>
          <w:rFonts w:ascii="Times New Roman" w:hAnsi="Times New Roman" w:cs="Times New Roman"/>
          <w:sz w:val="28"/>
          <w:szCs w:val="28"/>
          <w:lang w:val="en-GB"/>
        </w:rPr>
      </w:pPr>
      <w:r w:rsidRPr="004378C7">
        <w:rPr>
          <w:rFonts w:ascii="Times New Roman" w:hAnsi="Times New Roman" w:cs="Times New Roman"/>
          <w:noProof/>
          <w:sz w:val="28"/>
          <w:szCs w:val="28"/>
          <w:lang w:val="en-GB" w:eastAsia="uk-UA"/>
        </w:rPr>
        <w:lastRenderedPageBreak/>
        <w:drawing>
          <wp:inline distT="0" distB="0" distL="0" distR="0">
            <wp:extent cx="5996940" cy="3520440"/>
            <wp:effectExtent l="0" t="0" r="0" b="2286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 r:lo="rId6" r:qs="rId7" r:cs="rId8"/>
              </a:graphicData>
            </a:graphic>
          </wp:inline>
        </w:drawing>
      </w:r>
    </w:p>
    <w:p w:rsidR="00840DFB" w:rsidRDefault="00840DFB" w:rsidP="004378C7">
      <w:pPr>
        <w:spacing w:after="0" w:line="240" w:lineRule="auto"/>
        <w:ind w:firstLine="709"/>
        <w:jc w:val="center"/>
        <w:rPr>
          <w:rFonts w:ascii="Times New Roman" w:hAnsi="Times New Roman" w:cs="Times New Roman"/>
          <w:sz w:val="28"/>
          <w:szCs w:val="28"/>
          <w:lang w:val="en-GB"/>
        </w:rPr>
      </w:pPr>
      <w:r w:rsidRPr="004378C7">
        <w:rPr>
          <w:rFonts w:ascii="Times New Roman" w:hAnsi="Times New Roman" w:cs="Times New Roman"/>
          <w:sz w:val="28"/>
          <w:szCs w:val="28"/>
          <w:lang w:val="en-GB"/>
        </w:rPr>
        <w:t xml:space="preserve">Figure 1. </w:t>
      </w:r>
      <w:r w:rsidR="00430620" w:rsidRPr="004378C7">
        <w:rPr>
          <w:rFonts w:ascii="Times New Roman" w:hAnsi="Times New Roman" w:cs="Times New Roman"/>
          <w:sz w:val="28"/>
          <w:szCs w:val="28"/>
          <w:lang w:val="en-GB"/>
        </w:rPr>
        <w:t>An overview of terms</w:t>
      </w:r>
    </w:p>
    <w:p w:rsidR="004378C7" w:rsidRPr="004378C7" w:rsidRDefault="004378C7" w:rsidP="004378C7">
      <w:pPr>
        <w:spacing w:after="0" w:line="240" w:lineRule="auto"/>
        <w:ind w:firstLine="709"/>
        <w:jc w:val="center"/>
        <w:rPr>
          <w:rFonts w:ascii="Times New Roman" w:hAnsi="Times New Roman" w:cs="Times New Roman"/>
          <w:sz w:val="28"/>
          <w:szCs w:val="28"/>
          <w:lang w:val="en-GB"/>
        </w:rPr>
      </w:pPr>
    </w:p>
    <w:p w:rsidR="004308A3" w:rsidRPr="004378C7" w:rsidRDefault="009634A7" w:rsidP="004378C7">
      <w:pPr>
        <w:spacing w:after="0" w:line="240" w:lineRule="auto"/>
        <w:ind w:firstLine="709"/>
        <w:jc w:val="both"/>
        <w:rPr>
          <w:rFonts w:ascii="Times New Roman" w:hAnsi="Times New Roman" w:cs="Times New Roman"/>
          <w:sz w:val="28"/>
          <w:szCs w:val="28"/>
          <w:lang w:val="en-GB"/>
        </w:rPr>
      </w:pPr>
      <w:r w:rsidRPr="004378C7">
        <w:rPr>
          <w:rFonts w:ascii="Times New Roman" w:hAnsi="Times New Roman" w:cs="Times New Roman"/>
          <w:sz w:val="28"/>
          <w:szCs w:val="28"/>
          <w:lang w:val="en-GB"/>
        </w:rPr>
        <w:t xml:space="preserve">According to </w:t>
      </w:r>
      <w:r w:rsidRPr="004378C7">
        <w:rPr>
          <w:rFonts w:ascii="Times New Roman" w:hAnsi="Times New Roman" w:cs="Times New Roman"/>
          <w:sz w:val="28"/>
          <w:szCs w:val="28"/>
          <w:lang w:val="en-GB"/>
        </w:rPr>
        <w:t xml:space="preserve">M. </w:t>
      </w:r>
      <w:proofErr w:type="spellStart"/>
      <w:r w:rsidRPr="004378C7">
        <w:rPr>
          <w:rFonts w:ascii="Times New Roman" w:hAnsi="Times New Roman" w:cs="Times New Roman"/>
          <w:sz w:val="28"/>
          <w:szCs w:val="28"/>
          <w:lang w:val="en-GB"/>
        </w:rPr>
        <w:t>Dooly</w:t>
      </w:r>
      <w:proofErr w:type="spellEnd"/>
      <w:r w:rsidRPr="004378C7">
        <w:rPr>
          <w:rFonts w:ascii="Times New Roman" w:hAnsi="Times New Roman" w:cs="Times New Roman"/>
          <w:sz w:val="28"/>
          <w:szCs w:val="28"/>
          <w:lang w:val="en-GB"/>
        </w:rPr>
        <w:t xml:space="preserve"> (2017) </w:t>
      </w:r>
      <w:proofErr w:type="spellStart"/>
      <w:r w:rsidRPr="004378C7">
        <w:rPr>
          <w:rFonts w:ascii="Times New Roman" w:hAnsi="Times New Roman" w:cs="Times New Roman"/>
          <w:sz w:val="28"/>
          <w:szCs w:val="28"/>
          <w:lang w:val="en-GB"/>
        </w:rPr>
        <w:t>t</w:t>
      </w:r>
      <w:r w:rsidR="004308A3" w:rsidRPr="004378C7">
        <w:rPr>
          <w:rFonts w:ascii="Times New Roman" w:hAnsi="Times New Roman" w:cs="Times New Roman"/>
          <w:sz w:val="28"/>
          <w:szCs w:val="28"/>
          <w:lang w:val="en-GB"/>
        </w:rPr>
        <w:t>elecollaboration</w:t>
      </w:r>
      <w:proofErr w:type="spellEnd"/>
      <w:r w:rsidR="004308A3" w:rsidRPr="004378C7">
        <w:rPr>
          <w:rFonts w:ascii="Times New Roman" w:hAnsi="Times New Roman" w:cs="Times New Roman"/>
          <w:sz w:val="28"/>
          <w:szCs w:val="28"/>
          <w:lang w:val="en-GB"/>
        </w:rPr>
        <w:t xml:space="preserve"> in education refers to the utilization of computer and/or digital communication tools to facilitate learning through social interaction and collaboration. This method allows the learning process to transcend the physical bou</w:t>
      </w:r>
      <w:r w:rsidRPr="004378C7">
        <w:rPr>
          <w:rFonts w:ascii="Times New Roman" w:hAnsi="Times New Roman" w:cs="Times New Roman"/>
          <w:sz w:val="28"/>
          <w:szCs w:val="28"/>
          <w:lang w:val="en-GB"/>
        </w:rPr>
        <w:t>ndaries of classrooms.</w:t>
      </w:r>
    </w:p>
    <w:p w:rsidR="009634A7" w:rsidRPr="004378C7" w:rsidRDefault="00432FAB" w:rsidP="00432FAB">
      <w:pPr>
        <w:spacing w:after="0" w:line="240" w:lineRule="auto"/>
        <w:ind w:firstLine="709"/>
        <w:jc w:val="both"/>
        <w:rPr>
          <w:rFonts w:ascii="Times New Roman" w:hAnsi="Times New Roman" w:cs="Times New Roman"/>
          <w:sz w:val="28"/>
          <w:szCs w:val="28"/>
          <w:lang w:val="en-GB"/>
        </w:rPr>
      </w:pPr>
      <w:r>
        <w:rPr>
          <w:rFonts w:ascii="Times New Roman" w:hAnsi="Times New Roman" w:cs="Times New Roman"/>
          <w:sz w:val="28"/>
          <w:szCs w:val="28"/>
          <w:lang w:val="en-GB"/>
        </w:rPr>
        <w:t>Concurrently, t</w:t>
      </w:r>
      <w:r w:rsidR="0044754E" w:rsidRPr="004378C7">
        <w:rPr>
          <w:rFonts w:ascii="Times New Roman" w:hAnsi="Times New Roman" w:cs="Times New Roman"/>
          <w:sz w:val="28"/>
          <w:szCs w:val="28"/>
          <w:lang w:val="en-GB"/>
        </w:rPr>
        <w:t>he OIE is an effective tool for enhancing students' intercultural communication skills, as it facilitates interaction and collaboration among individuals from different cultural and ethnic backgrounds in a virtual environment, allowing them to exchange ideas and viewpoints on a range of topics</w:t>
      </w:r>
      <w:r w:rsidR="009634A7" w:rsidRPr="004378C7">
        <w:rPr>
          <w:rFonts w:ascii="Times New Roman" w:hAnsi="Times New Roman" w:cs="Times New Roman"/>
          <w:sz w:val="28"/>
          <w:szCs w:val="28"/>
          <w:lang w:val="en-GB"/>
        </w:rPr>
        <w:t xml:space="preserve"> (</w:t>
      </w:r>
      <w:r w:rsidR="009634A7" w:rsidRPr="004378C7">
        <w:rPr>
          <w:rFonts w:ascii="Times New Roman" w:hAnsi="Times New Roman" w:cs="Times New Roman"/>
          <w:sz w:val="28"/>
          <w:szCs w:val="28"/>
          <w:lang w:val="en-GB"/>
        </w:rPr>
        <w:t>Lee</w:t>
      </w:r>
      <w:r w:rsidR="009634A7" w:rsidRPr="004378C7">
        <w:rPr>
          <w:rFonts w:ascii="Times New Roman" w:hAnsi="Times New Roman" w:cs="Times New Roman"/>
          <w:sz w:val="28"/>
          <w:szCs w:val="28"/>
          <w:lang w:val="en-GB"/>
        </w:rPr>
        <w:t xml:space="preserve"> </w:t>
      </w:r>
      <w:r w:rsidR="009634A7" w:rsidRPr="004378C7">
        <w:rPr>
          <w:rFonts w:ascii="Times New Roman" w:hAnsi="Times New Roman" w:cs="Times New Roman"/>
          <w:sz w:val="28"/>
          <w:szCs w:val="28"/>
          <w:lang w:val="en-GB"/>
        </w:rPr>
        <w:t>&amp; Markey</w:t>
      </w:r>
      <w:r w:rsidR="009634A7" w:rsidRPr="004378C7">
        <w:rPr>
          <w:rFonts w:ascii="Times New Roman" w:hAnsi="Times New Roman" w:cs="Times New Roman"/>
          <w:sz w:val="28"/>
          <w:szCs w:val="28"/>
          <w:lang w:val="en-GB"/>
        </w:rPr>
        <w:t>, 2014)</w:t>
      </w:r>
      <w:r w:rsidR="0044754E" w:rsidRPr="004378C7">
        <w:rPr>
          <w:rFonts w:ascii="Times New Roman" w:hAnsi="Times New Roman" w:cs="Times New Roman"/>
          <w:sz w:val="28"/>
          <w:szCs w:val="28"/>
          <w:lang w:val="en-GB"/>
        </w:rPr>
        <w:t>.</w:t>
      </w:r>
      <w:r>
        <w:rPr>
          <w:rFonts w:ascii="Times New Roman" w:hAnsi="Times New Roman" w:cs="Times New Roman"/>
          <w:sz w:val="28"/>
          <w:szCs w:val="28"/>
          <w:lang w:val="en-GB"/>
        </w:rPr>
        <w:t xml:space="preserve"> Rather similar approach can be seen with g</w:t>
      </w:r>
      <w:r w:rsidR="009634A7" w:rsidRPr="004378C7">
        <w:rPr>
          <w:rFonts w:ascii="Times New Roman" w:hAnsi="Times New Roman" w:cs="Times New Roman"/>
          <w:sz w:val="28"/>
          <w:szCs w:val="28"/>
          <w:lang w:val="en-GB"/>
        </w:rPr>
        <w:t>lobal virtual team</w:t>
      </w:r>
      <w:r>
        <w:rPr>
          <w:rFonts w:ascii="Times New Roman" w:hAnsi="Times New Roman" w:cs="Times New Roman"/>
          <w:sz w:val="28"/>
          <w:szCs w:val="28"/>
          <w:lang w:val="en-GB"/>
        </w:rPr>
        <w:t xml:space="preserve"> since it</w:t>
      </w:r>
      <w:r w:rsidR="009634A7" w:rsidRPr="004378C7">
        <w:rPr>
          <w:rFonts w:ascii="Times New Roman" w:hAnsi="Times New Roman" w:cs="Times New Roman"/>
          <w:sz w:val="28"/>
          <w:szCs w:val="28"/>
          <w:lang w:val="en-GB"/>
        </w:rPr>
        <w:t xml:space="preserve"> can be defined as a transient workgroup characterized by cultural diversity, geographical dispersion, and electronic communication (</w:t>
      </w:r>
      <w:r w:rsidR="009634A7" w:rsidRPr="004378C7">
        <w:rPr>
          <w:rFonts w:ascii="Times New Roman" w:hAnsi="Times New Roman" w:cs="Times New Roman"/>
          <w:sz w:val="28"/>
          <w:szCs w:val="28"/>
          <w:lang w:val="en-GB"/>
        </w:rPr>
        <w:t>Kristoff et al.</w:t>
      </w:r>
      <w:r w:rsidR="009634A7" w:rsidRPr="004378C7">
        <w:rPr>
          <w:rFonts w:ascii="Times New Roman" w:hAnsi="Times New Roman" w:cs="Times New Roman"/>
          <w:sz w:val="28"/>
          <w:szCs w:val="28"/>
          <w:lang w:val="en-GB"/>
        </w:rPr>
        <w:t>, 1995).</w:t>
      </w:r>
    </w:p>
    <w:p w:rsidR="009E019C" w:rsidRPr="004378C7" w:rsidRDefault="009E019C" w:rsidP="004378C7">
      <w:pPr>
        <w:spacing w:after="0" w:line="240" w:lineRule="auto"/>
        <w:ind w:firstLine="709"/>
        <w:jc w:val="both"/>
        <w:rPr>
          <w:rFonts w:ascii="Times New Roman" w:hAnsi="Times New Roman" w:cs="Times New Roman"/>
          <w:sz w:val="28"/>
          <w:szCs w:val="28"/>
          <w:lang w:val="en-GB"/>
        </w:rPr>
      </w:pPr>
      <w:r w:rsidRPr="004378C7">
        <w:rPr>
          <w:rFonts w:ascii="Times New Roman" w:hAnsi="Times New Roman" w:cs="Times New Roman"/>
          <w:sz w:val="28"/>
          <w:szCs w:val="28"/>
          <w:lang w:val="en-GB"/>
        </w:rPr>
        <w:t>Collaborative online</w:t>
      </w:r>
      <w:r w:rsidRPr="004378C7">
        <w:rPr>
          <w:rFonts w:ascii="Times New Roman" w:hAnsi="Times New Roman" w:cs="Times New Roman"/>
          <w:sz w:val="28"/>
          <w:szCs w:val="28"/>
          <w:lang w:val="en-GB"/>
        </w:rPr>
        <w:t xml:space="preserve"> </w:t>
      </w:r>
      <w:r w:rsidRPr="004378C7">
        <w:rPr>
          <w:rFonts w:ascii="Times New Roman" w:hAnsi="Times New Roman" w:cs="Times New Roman"/>
          <w:sz w:val="28"/>
          <w:szCs w:val="28"/>
          <w:lang w:val="en-GB"/>
        </w:rPr>
        <w:t>international learning’ (COIL) was coined in 2006</w:t>
      </w:r>
      <w:r w:rsidRPr="004378C7">
        <w:rPr>
          <w:rFonts w:ascii="Times New Roman" w:hAnsi="Times New Roman" w:cs="Times New Roman"/>
          <w:sz w:val="28"/>
          <w:szCs w:val="28"/>
          <w:lang w:val="en-GB"/>
        </w:rPr>
        <w:t xml:space="preserve"> (</w:t>
      </w:r>
      <w:r w:rsidR="00E21FC9" w:rsidRPr="004378C7">
        <w:rPr>
          <w:rFonts w:ascii="Times New Roman" w:hAnsi="Times New Roman" w:cs="Times New Roman"/>
          <w:sz w:val="28"/>
          <w:szCs w:val="28"/>
          <w:lang w:val="en-GB"/>
        </w:rPr>
        <w:t xml:space="preserve">Rubin, 2017) and is a pioneering method of education that enables educators and students to engage </w:t>
      </w:r>
      <w:r w:rsidR="00E21FC9" w:rsidRPr="000327F2">
        <w:rPr>
          <w:rFonts w:ascii="Times New Roman" w:hAnsi="Times New Roman" w:cs="Times New Roman"/>
          <w:spacing w:val="-4"/>
          <w:sz w:val="28"/>
          <w:szCs w:val="28"/>
          <w:lang w:val="en-GB"/>
        </w:rPr>
        <w:t>in cross-border communication and cooperation via online platforms. By utilizing cutting-edge online pedagogies and internet-based tools, COIL cultivates significant dialogue and collaboration among teachers and students from diverse linguistic and cultural backgrounds, despite being geographically distant (</w:t>
      </w:r>
      <w:proofErr w:type="spellStart"/>
      <w:r w:rsidR="00E21FC9" w:rsidRPr="000327F2">
        <w:rPr>
          <w:rFonts w:ascii="Times New Roman" w:hAnsi="Times New Roman" w:cs="Times New Roman"/>
          <w:spacing w:val="-4"/>
          <w:sz w:val="28"/>
          <w:szCs w:val="28"/>
          <w:lang w:val="en-GB"/>
        </w:rPr>
        <w:t>Naicker</w:t>
      </w:r>
      <w:proofErr w:type="spellEnd"/>
      <w:r w:rsidR="00E21FC9" w:rsidRPr="000327F2">
        <w:rPr>
          <w:rFonts w:ascii="Times New Roman" w:hAnsi="Times New Roman" w:cs="Times New Roman"/>
          <w:spacing w:val="-4"/>
          <w:sz w:val="28"/>
          <w:szCs w:val="28"/>
          <w:lang w:val="en-GB"/>
        </w:rPr>
        <w:t xml:space="preserve"> et al., 2022).</w:t>
      </w:r>
    </w:p>
    <w:p w:rsidR="005E6D59" w:rsidRPr="004378C7" w:rsidRDefault="005E6D59" w:rsidP="004378C7">
      <w:pPr>
        <w:spacing w:after="0" w:line="240" w:lineRule="auto"/>
        <w:ind w:firstLine="709"/>
        <w:jc w:val="both"/>
        <w:rPr>
          <w:rFonts w:ascii="Times New Roman" w:hAnsi="Times New Roman" w:cs="Times New Roman"/>
          <w:sz w:val="28"/>
          <w:szCs w:val="28"/>
          <w:lang w:val="en-GB"/>
        </w:rPr>
      </w:pPr>
      <w:r w:rsidRPr="004378C7">
        <w:rPr>
          <w:rFonts w:ascii="Times New Roman" w:hAnsi="Times New Roman" w:cs="Times New Roman"/>
          <w:sz w:val="28"/>
          <w:szCs w:val="28"/>
          <w:lang w:val="en-GB"/>
        </w:rPr>
        <w:t xml:space="preserve">Globally-Networked Learning Environments are regarded as collaborative partnerships that encourage students' collaboration and knowledge acquisition with </w:t>
      </w:r>
      <w:r w:rsidRPr="000327F2">
        <w:rPr>
          <w:rFonts w:ascii="Times New Roman" w:hAnsi="Times New Roman" w:cs="Times New Roman"/>
          <w:spacing w:val="-6"/>
          <w:sz w:val="28"/>
          <w:szCs w:val="28"/>
          <w:lang w:val="en-GB"/>
        </w:rPr>
        <w:t>peers in classrooms located in other parts of the world (</w:t>
      </w:r>
      <w:r w:rsidRPr="000327F2">
        <w:rPr>
          <w:rFonts w:ascii="Times New Roman" w:hAnsi="Times New Roman" w:cs="Times New Roman"/>
          <w:spacing w:val="-6"/>
          <w:sz w:val="28"/>
          <w:szCs w:val="28"/>
          <w:lang w:val="en-GB"/>
        </w:rPr>
        <w:t>Starke-</w:t>
      </w:r>
      <w:proofErr w:type="spellStart"/>
      <w:r w:rsidRPr="000327F2">
        <w:rPr>
          <w:rFonts w:ascii="Times New Roman" w:hAnsi="Times New Roman" w:cs="Times New Roman"/>
          <w:spacing w:val="-6"/>
          <w:sz w:val="28"/>
          <w:szCs w:val="28"/>
          <w:lang w:val="en-GB"/>
        </w:rPr>
        <w:t>Meyerring</w:t>
      </w:r>
      <w:proofErr w:type="spellEnd"/>
      <w:r w:rsidRPr="000327F2">
        <w:rPr>
          <w:rFonts w:ascii="Times New Roman" w:hAnsi="Times New Roman" w:cs="Times New Roman"/>
          <w:spacing w:val="-6"/>
          <w:sz w:val="28"/>
          <w:szCs w:val="28"/>
          <w:lang w:val="en-GB"/>
        </w:rPr>
        <w:t xml:space="preserve"> &amp; Wilson, 2008).</w:t>
      </w:r>
    </w:p>
    <w:p w:rsidR="006655A4" w:rsidRPr="004378C7" w:rsidRDefault="005E6D59" w:rsidP="004378C7">
      <w:pPr>
        <w:spacing w:after="0" w:line="240" w:lineRule="auto"/>
        <w:ind w:firstLine="709"/>
        <w:jc w:val="both"/>
        <w:rPr>
          <w:rFonts w:ascii="Times New Roman" w:hAnsi="Times New Roman" w:cs="Times New Roman"/>
          <w:sz w:val="28"/>
          <w:szCs w:val="28"/>
          <w:lang w:val="en-GB"/>
        </w:rPr>
      </w:pPr>
      <w:r w:rsidRPr="004378C7">
        <w:rPr>
          <w:rFonts w:ascii="Times New Roman" w:hAnsi="Times New Roman" w:cs="Times New Roman"/>
          <w:sz w:val="28"/>
          <w:szCs w:val="28"/>
          <w:lang w:val="en-GB"/>
        </w:rPr>
        <w:t>The utilization of various Web 2.0 tools allows for communication with individuals who are native speakers from around the globe, as well as the ability to collaborate, exchange information, work together from a distance, and facilitate online learning and e-tandem projects</w:t>
      </w:r>
      <w:r w:rsidR="006655A4" w:rsidRPr="004378C7">
        <w:rPr>
          <w:rFonts w:ascii="Times New Roman" w:hAnsi="Times New Roman" w:cs="Times New Roman"/>
          <w:sz w:val="28"/>
          <w:szCs w:val="28"/>
          <w:lang w:val="en-GB"/>
        </w:rPr>
        <w:t xml:space="preserve"> (</w:t>
      </w:r>
      <w:proofErr w:type="spellStart"/>
      <w:r w:rsidR="006655A4" w:rsidRPr="004378C7">
        <w:rPr>
          <w:rFonts w:ascii="Times New Roman" w:hAnsi="Times New Roman" w:cs="Times New Roman"/>
          <w:sz w:val="28"/>
          <w:szCs w:val="28"/>
          <w:lang w:val="en-GB"/>
        </w:rPr>
        <w:t>Pomino</w:t>
      </w:r>
      <w:proofErr w:type="spellEnd"/>
      <w:r w:rsidR="006655A4" w:rsidRPr="004378C7">
        <w:rPr>
          <w:rFonts w:ascii="Times New Roman" w:hAnsi="Times New Roman" w:cs="Times New Roman"/>
          <w:sz w:val="28"/>
          <w:szCs w:val="28"/>
          <w:lang w:val="en-GB"/>
        </w:rPr>
        <w:t xml:space="preserve"> &amp; Gil-</w:t>
      </w:r>
      <w:proofErr w:type="spellStart"/>
      <w:r w:rsidR="006655A4" w:rsidRPr="004378C7">
        <w:rPr>
          <w:rFonts w:ascii="Times New Roman" w:hAnsi="Times New Roman" w:cs="Times New Roman"/>
          <w:sz w:val="28"/>
          <w:szCs w:val="28"/>
          <w:lang w:val="en-GB"/>
        </w:rPr>
        <w:t>Salom</w:t>
      </w:r>
      <w:proofErr w:type="spellEnd"/>
      <w:r w:rsidR="006655A4" w:rsidRPr="004378C7">
        <w:rPr>
          <w:rFonts w:ascii="Times New Roman" w:hAnsi="Times New Roman" w:cs="Times New Roman"/>
          <w:sz w:val="28"/>
          <w:szCs w:val="28"/>
          <w:lang w:val="en-GB"/>
        </w:rPr>
        <w:t>, 2016)</w:t>
      </w:r>
      <w:r w:rsidRPr="004378C7">
        <w:rPr>
          <w:rFonts w:ascii="Times New Roman" w:hAnsi="Times New Roman" w:cs="Times New Roman"/>
          <w:sz w:val="28"/>
          <w:szCs w:val="28"/>
          <w:lang w:val="en-GB"/>
        </w:rPr>
        <w:t>.</w:t>
      </w:r>
    </w:p>
    <w:p w:rsidR="006655A4" w:rsidRPr="004378C7" w:rsidRDefault="006655A4" w:rsidP="004378C7">
      <w:pPr>
        <w:spacing w:after="0" w:line="240" w:lineRule="auto"/>
        <w:ind w:firstLine="709"/>
        <w:jc w:val="both"/>
        <w:rPr>
          <w:rFonts w:ascii="Times New Roman" w:hAnsi="Times New Roman" w:cs="Times New Roman"/>
          <w:sz w:val="28"/>
          <w:szCs w:val="28"/>
          <w:lang w:val="en-GB"/>
        </w:rPr>
      </w:pPr>
      <w:r w:rsidRPr="004378C7">
        <w:rPr>
          <w:rFonts w:ascii="Times New Roman" w:hAnsi="Times New Roman" w:cs="Times New Roman"/>
          <w:sz w:val="28"/>
          <w:szCs w:val="28"/>
          <w:lang w:val="en-GB"/>
        </w:rPr>
        <w:lastRenderedPageBreak/>
        <w:t>Overall</w:t>
      </w:r>
      <w:r w:rsidR="004378C7">
        <w:rPr>
          <w:rFonts w:ascii="Times New Roman" w:hAnsi="Times New Roman" w:cs="Times New Roman"/>
          <w:sz w:val="28"/>
          <w:szCs w:val="28"/>
          <w:lang w:val="en-GB"/>
        </w:rPr>
        <w:t>,</w:t>
      </w:r>
      <w:r w:rsidRPr="004378C7">
        <w:rPr>
          <w:rFonts w:ascii="Times New Roman" w:hAnsi="Times New Roman" w:cs="Times New Roman"/>
          <w:sz w:val="28"/>
          <w:szCs w:val="28"/>
          <w:lang w:val="en-GB"/>
        </w:rPr>
        <w:t xml:space="preserve"> it is safe to assume that v</w:t>
      </w:r>
      <w:r w:rsidRPr="004378C7">
        <w:rPr>
          <w:rFonts w:ascii="Times New Roman" w:hAnsi="Times New Roman" w:cs="Times New Roman"/>
          <w:sz w:val="28"/>
          <w:szCs w:val="28"/>
          <w:lang w:val="en-GB"/>
        </w:rPr>
        <w:t xml:space="preserve">irtual exchange </w:t>
      </w:r>
      <w:r w:rsidRPr="004378C7">
        <w:rPr>
          <w:rFonts w:ascii="Times New Roman" w:hAnsi="Times New Roman" w:cs="Times New Roman"/>
          <w:sz w:val="28"/>
          <w:szCs w:val="28"/>
          <w:lang w:val="en-GB"/>
        </w:rPr>
        <w:t xml:space="preserve">covers all of the above mentioned aspects as it </w:t>
      </w:r>
      <w:r w:rsidRPr="004378C7">
        <w:rPr>
          <w:rFonts w:ascii="Times New Roman" w:hAnsi="Times New Roman" w:cs="Times New Roman"/>
          <w:sz w:val="28"/>
          <w:szCs w:val="28"/>
          <w:lang w:val="en-GB"/>
        </w:rPr>
        <w:t>refers to the involvement of learner groups in extended periods of online intercultural interaction and collaboration with partners from diverse cultural contexts or geographic locations</w:t>
      </w:r>
      <w:r w:rsidRPr="004378C7">
        <w:rPr>
          <w:rFonts w:ascii="Times New Roman" w:hAnsi="Times New Roman" w:cs="Times New Roman"/>
          <w:sz w:val="28"/>
          <w:szCs w:val="28"/>
          <w:lang w:val="en-GB"/>
        </w:rPr>
        <w:t xml:space="preserve">. Moreover, this practice is </w:t>
      </w:r>
      <w:r w:rsidRPr="004378C7">
        <w:rPr>
          <w:rFonts w:ascii="Times New Roman" w:hAnsi="Times New Roman" w:cs="Times New Roman"/>
          <w:sz w:val="28"/>
          <w:szCs w:val="28"/>
          <w:lang w:val="en-GB"/>
        </w:rPr>
        <w:t xml:space="preserve">integrated into </w:t>
      </w:r>
      <w:r w:rsidRPr="004378C7">
        <w:rPr>
          <w:rFonts w:ascii="Times New Roman" w:hAnsi="Times New Roman" w:cs="Times New Roman"/>
          <w:sz w:val="28"/>
          <w:szCs w:val="28"/>
          <w:lang w:val="en-GB"/>
        </w:rPr>
        <w:t>students’</w:t>
      </w:r>
      <w:r w:rsidRPr="004378C7">
        <w:rPr>
          <w:rFonts w:ascii="Times New Roman" w:hAnsi="Times New Roman" w:cs="Times New Roman"/>
          <w:sz w:val="28"/>
          <w:szCs w:val="28"/>
          <w:lang w:val="en-GB"/>
        </w:rPr>
        <w:t xml:space="preserve"> </w:t>
      </w:r>
      <w:r w:rsidRPr="000327F2">
        <w:rPr>
          <w:rFonts w:ascii="Times New Roman" w:hAnsi="Times New Roman" w:cs="Times New Roman"/>
          <w:spacing w:val="-4"/>
          <w:sz w:val="28"/>
          <w:szCs w:val="28"/>
          <w:lang w:val="en-GB"/>
        </w:rPr>
        <w:t>educational programs and guided by educators and/or skilled facilitators</w:t>
      </w:r>
      <w:r w:rsidR="000B393B" w:rsidRPr="000327F2">
        <w:rPr>
          <w:rFonts w:ascii="Times New Roman" w:hAnsi="Times New Roman" w:cs="Times New Roman"/>
          <w:spacing w:val="-4"/>
          <w:sz w:val="28"/>
          <w:szCs w:val="28"/>
          <w:lang w:val="en-GB"/>
        </w:rPr>
        <w:t xml:space="preserve"> (O’Dowd, 2018)</w:t>
      </w:r>
      <w:r w:rsidRPr="000327F2">
        <w:rPr>
          <w:rFonts w:ascii="Times New Roman" w:hAnsi="Times New Roman" w:cs="Times New Roman"/>
          <w:spacing w:val="-4"/>
          <w:sz w:val="28"/>
          <w:szCs w:val="28"/>
          <w:lang w:val="en-GB"/>
        </w:rPr>
        <w:t>.</w:t>
      </w:r>
    </w:p>
    <w:p w:rsidR="006655A4" w:rsidRDefault="004378C7" w:rsidP="004378C7">
      <w:pPr>
        <w:spacing w:after="0" w:line="240" w:lineRule="auto"/>
        <w:ind w:firstLine="709"/>
        <w:jc w:val="both"/>
        <w:rPr>
          <w:rFonts w:ascii="Times New Roman" w:hAnsi="Times New Roman" w:cs="Times New Roman"/>
          <w:sz w:val="28"/>
          <w:szCs w:val="28"/>
          <w:lang w:val="en-GB"/>
        </w:rPr>
      </w:pPr>
      <w:r w:rsidRPr="004378C7">
        <w:rPr>
          <w:rFonts w:ascii="Times New Roman" w:hAnsi="Times New Roman" w:cs="Times New Roman"/>
          <w:sz w:val="28"/>
          <w:szCs w:val="28"/>
          <w:lang w:val="en-US"/>
        </w:rPr>
        <w:t>Collectively</w:t>
      </w:r>
      <w:r w:rsidR="000B393B" w:rsidRPr="004378C7">
        <w:rPr>
          <w:rFonts w:ascii="Times New Roman" w:hAnsi="Times New Roman" w:cs="Times New Roman"/>
          <w:sz w:val="28"/>
          <w:szCs w:val="28"/>
          <w:lang w:val="en-GB"/>
        </w:rPr>
        <w:t>, these studies indicate that despite the slightly variable approaches, it is logical to address</w:t>
      </w:r>
      <w:r w:rsidRPr="004378C7">
        <w:rPr>
          <w:rFonts w:ascii="Times New Roman" w:hAnsi="Times New Roman" w:cs="Times New Roman"/>
          <w:sz w:val="28"/>
          <w:szCs w:val="28"/>
          <w:lang w:val="en-GB"/>
        </w:rPr>
        <w:t xml:space="preserve"> the</w:t>
      </w:r>
      <w:r w:rsidR="000B393B" w:rsidRPr="004378C7">
        <w:rPr>
          <w:rFonts w:ascii="Times New Roman" w:hAnsi="Times New Roman" w:cs="Times New Roman"/>
          <w:sz w:val="28"/>
          <w:szCs w:val="28"/>
          <w:lang w:val="en-GB"/>
        </w:rPr>
        <w:t xml:space="preserve"> </w:t>
      </w:r>
      <w:r w:rsidRPr="004378C7">
        <w:rPr>
          <w:rFonts w:ascii="Times New Roman" w:hAnsi="Times New Roman" w:cs="Times New Roman"/>
          <w:sz w:val="28"/>
          <w:szCs w:val="28"/>
          <w:lang w:val="en-GB"/>
        </w:rPr>
        <w:t xml:space="preserve">form of education that involves extended online intercultural interaction and collaboration between learner groups from different cultural contexts or geographic locations as virtual exchange and use other terms as </w:t>
      </w:r>
      <w:proofErr w:type="spellStart"/>
      <w:r w:rsidRPr="004378C7">
        <w:rPr>
          <w:rFonts w:ascii="Times New Roman" w:hAnsi="Times New Roman" w:cs="Times New Roman"/>
          <w:sz w:val="28"/>
          <w:szCs w:val="28"/>
          <w:lang w:val="en-GB"/>
        </w:rPr>
        <w:t>interchanchable</w:t>
      </w:r>
      <w:proofErr w:type="spellEnd"/>
      <w:r w:rsidRPr="004378C7">
        <w:rPr>
          <w:rFonts w:ascii="Times New Roman" w:hAnsi="Times New Roman" w:cs="Times New Roman"/>
          <w:sz w:val="28"/>
          <w:szCs w:val="28"/>
          <w:lang w:val="en-GB"/>
        </w:rPr>
        <w:t xml:space="preserve"> in specific contexts.</w:t>
      </w:r>
    </w:p>
    <w:p w:rsidR="004378C7" w:rsidRPr="004378C7" w:rsidRDefault="004378C7" w:rsidP="004378C7">
      <w:pPr>
        <w:spacing w:after="0" w:line="240" w:lineRule="auto"/>
        <w:ind w:firstLine="709"/>
        <w:jc w:val="both"/>
        <w:rPr>
          <w:rFonts w:ascii="Times New Roman" w:hAnsi="Times New Roman" w:cs="Times New Roman"/>
          <w:sz w:val="28"/>
          <w:szCs w:val="28"/>
          <w:lang w:val="en-GB"/>
        </w:rPr>
      </w:pPr>
    </w:p>
    <w:p w:rsidR="006655A4" w:rsidRPr="004378C7" w:rsidRDefault="004378C7" w:rsidP="004378C7">
      <w:pPr>
        <w:spacing w:after="0" w:line="240" w:lineRule="auto"/>
        <w:ind w:firstLine="709"/>
        <w:jc w:val="both"/>
        <w:rPr>
          <w:rFonts w:ascii="Times New Roman" w:hAnsi="Times New Roman" w:cs="Times New Roman"/>
          <w:sz w:val="28"/>
          <w:szCs w:val="28"/>
          <w:lang w:val="en-GB"/>
        </w:rPr>
      </w:pPr>
      <w:r w:rsidRPr="004378C7">
        <w:rPr>
          <w:rFonts w:ascii="Times New Roman" w:hAnsi="Times New Roman" w:cs="Times New Roman"/>
          <w:sz w:val="28"/>
          <w:szCs w:val="28"/>
          <w:lang w:val="en-GB"/>
        </w:rPr>
        <w:t>References</w:t>
      </w:r>
    </w:p>
    <w:p w:rsidR="00DB0843" w:rsidRPr="004378C7" w:rsidRDefault="004378C7" w:rsidP="004378C7">
      <w:pPr>
        <w:pStyle w:val="a4"/>
        <w:numPr>
          <w:ilvl w:val="0"/>
          <w:numId w:val="1"/>
        </w:numPr>
        <w:spacing w:after="0" w:line="240" w:lineRule="auto"/>
        <w:ind w:firstLine="709"/>
        <w:jc w:val="both"/>
        <w:rPr>
          <w:rFonts w:ascii="Times New Roman" w:hAnsi="Times New Roman" w:cs="Times New Roman"/>
          <w:sz w:val="28"/>
          <w:szCs w:val="28"/>
          <w:lang w:val="en-GB"/>
        </w:rPr>
      </w:pPr>
      <w:proofErr w:type="spellStart"/>
      <w:r w:rsidRPr="004378C7">
        <w:rPr>
          <w:rFonts w:ascii="Times New Roman" w:hAnsi="Times New Roman" w:cs="Times New Roman"/>
          <w:sz w:val="28"/>
          <w:szCs w:val="28"/>
          <w:lang w:val="en-GB"/>
        </w:rPr>
        <w:t>Beelen</w:t>
      </w:r>
      <w:proofErr w:type="spellEnd"/>
      <w:r w:rsidRPr="004378C7">
        <w:rPr>
          <w:rFonts w:ascii="Times New Roman" w:hAnsi="Times New Roman" w:cs="Times New Roman"/>
          <w:sz w:val="28"/>
          <w:szCs w:val="28"/>
          <w:lang w:val="en-GB"/>
        </w:rPr>
        <w:t>, J., &amp; Jones, E. (2015). Redefining internationalization at home. </w:t>
      </w:r>
      <w:r w:rsidRPr="004378C7">
        <w:rPr>
          <w:rFonts w:ascii="Times New Roman" w:hAnsi="Times New Roman" w:cs="Times New Roman"/>
          <w:i/>
          <w:iCs/>
          <w:sz w:val="28"/>
          <w:szCs w:val="28"/>
          <w:lang w:val="en-GB"/>
        </w:rPr>
        <w:t>The European higher education area: Between critical reflections and future policies</w:t>
      </w:r>
      <w:r w:rsidRPr="004378C7">
        <w:rPr>
          <w:rFonts w:ascii="Times New Roman" w:hAnsi="Times New Roman" w:cs="Times New Roman"/>
          <w:sz w:val="28"/>
          <w:szCs w:val="28"/>
          <w:lang w:val="en-GB"/>
        </w:rPr>
        <w:t xml:space="preserve">, 59-72. </w:t>
      </w:r>
      <w:proofErr w:type="spellStart"/>
      <w:r w:rsidR="00DB0843" w:rsidRPr="004378C7">
        <w:rPr>
          <w:rFonts w:ascii="Times New Roman" w:hAnsi="Times New Roman" w:cs="Times New Roman"/>
          <w:sz w:val="28"/>
          <w:szCs w:val="28"/>
          <w:lang w:val="en-GB"/>
        </w:rPr>
        <w:t>Dooly</w:t>
      </w:r>
      <w:proofErr w:type="spellEnd"/>
      <w:r w:rsidR="00DB0843" w:rsidRPr="004378C7">
        <w:rPr>
          <w:rFonts w:ascii="Times New Roman" w:hAnsi="Times New Roman" w:cs="Times New Roman"/>
          <w:sz w:val="28"/>
          <w:szCs w:val="28"/>
          <w:lang w:val="en-GB"/>
        </w:rPr>
        <w:t xml:space="preserve">, M. (2017). </w:t>
      </w:r>
      <w:proofErr w:type="spellStart"/>
      <w:r w:rsidR="00DB0843" w:rsidRPr="004378C7">
        <w:rPr>
          <w:rFonts w:ascii="Times New Roman" w:hAnsi="Times New Roman" w:cs="Times New Roman"/>
          <w:i/>
          <w:sz w:val="28"/>
          <w:szCs w:val="28"/>
          <w:lang w:val="en-GB"/>
        </w:rPr>
        <w:t>Telecollaboration</w:t>
      </w:r>
      <w:proofErr w:type="spellEnd"/>
      <w:r w:rsidR="00DB0843" w:rsidRPr="004378C7">
        <w:rPr>
          <w:rFonts w:ascii="Times New Roman" w:hAnsi="Times New Roman" w:cs="Times New Roman"/>
          <w:sz w:val="28"/>
          <w:szCs w:val="28"/>
          <w:lang w:val="en-GB"/>
        </w:rPr>
        <w:t xml:space="preserve">. </w:t>
      </w:r>
      <w:hyperlink r:id="rId10" w:history="1">
        <w:r w:rsidR="00DB0843" w:rsidRPr="00432FAB">
          <w:rPr>
            <w:rStyle w:val="a3"/>
            <w:rFonts w:ascii="Times New Roman" w:hAnsi="Times New Roman" w:cs="Times New Roman"/>
            <w:color w:val="000000" w:themeColor="text1"/>
            <w:sz w:val="28"/>
            <w:szCs w:val="28"/>
            <w:u w:val="none"/>
            <w:lang w:val="en-GB"/>
          </w:rPr>
          <w:t>https://doi.org/10.1002/9781118914069.ch12</w:t>
        </w:r>
      </w:hyperlink>
      <w:r w:rsidR="00DB0843" w:rsidRPr="00432FAB">
        <w:rPr>
          <w:rFonts w:ascii="Times New Roman" w:hAnsi="Times New Roman" w:cs="Times New Roman"/>
          <w:color w:val="000000" w:themeColor="text1"/>
          <w:sz w:val="28"/>
          <w:szCs w:val="28"/>
          <w:lang w:val="en-GB"/>
        </w:rPr>
        <w:t>.</w:t>
      </w:r>
    </w:p>
    <w:p w:rsidR="009634A7" w:rsidRPr="004378C7" w:rsidRDefault="009634A7" w:rsidP="004378C7">
      <w:pPr>
        <w:pStyle w:val="a4"/>
        <w:numPr>
          <w:ilvl w:val="0"/>
          <w:numId w:val="1"/>
        </w:numPr>
        <w:spacing w:after="0" w:line="240" w:lineRule="auto"/>
        <w:ind w:firstLine="709"/>
        <w:jc w:val="both"/>
        <w:rPr>
          <w:rFonts w:ascii="Times New Roman" w:hAnsi="Times New Roman" w:cs="Times New Roman"/>
          <w:sz w:val="28"/>
          <w:szCs w:val="28"/>
          <w:lang w:val="en-GB"/>
        </w:rPr>
      </w:pPr>
      <w:r w:rsidRPr="004378C7">
        <w:rPr>
          <w:rFonts w:ascii="Times New Roman" w:hAnsi="Times New Roman" w:cs="Times New Roman"/>
          <w:sz w:val="28"/>
          <w:szCs w:val="28"/>
          <w:lang w:val="en-GB"/>
        </w:rPr>
        <w:t xml:space="preserve">Kristof, A. L., K. G. Brown, H. P. Sims, Jr., K. A. Smith. 1995. The virtual team: A case study and inductive model. M. M. </w:t>
      </w:r>
      <w:proofErr w:type="spellStart"/>
      <w:r w:rsidRPr="004378C7">
        <w:rPr>
          <w:rFonts w:ascii="Times New Roman" w:hAnsi="Times New Roman" w:cs="Times New Roman"/>
          <w:sz w:val="28"/>
          <w:szCs w:val="28"/>
          <w:lang w:val="en-GB"/>
        </w:rPr>
        <w:t>Beyerlein</w:t>
      </w:r>
      <w:proofErr w:type="spellEnd"/>
      <w:r w:rsidRPr="004378C7">
        <w:rPr>
          <w:rFonts w:ascii="Times New Roman" w:hAnsi="Times New Roman" w:cs="Times New Roman"/>
          <w:sz w:val="28"/>
          <w:szCs w:val="28"/>
          <w:lang w:val="en-GB"/>
        </w:rPr>
        <w:t xml:space="preserve">, D. A. Johnson, S. T. </w:t>
      </w:r>
      <w:proofErr w:type="spellStart"/>
      <w:r w:rsidRPr="004378C7">
        <w:rPr>
          <w:rFonts w:ascii="Times New Roman" w:hAnsi="Times New Roman" w:cs="Times New Roman"/>
          <w:sz w:val="28"/>
          <w:szCs w:val="28"/>
          <w:lang w:val="en-GB"/>
        </w:rPr>
        <w:t>Beyerlein</w:t>
      </w:r>
      <w:proofErr w:type="spellEnd"/>
      <w:r w:rsidRPr="004378C7">
        <w:rPr>
          <w:rFonts w:ascii="Times New Roman" w:hAnsi="Times New Roman" w:cs="Times New Roman"/>
          <w:sz w:val="28"/>
          <w:szCs w:val="28"/>
          <w:lang w:val="en-GB"/>
        </w:rPr>
        <w:t xml:space="preserve">, eds. </w:t>
      </w:r>
      <w:r w:rsidRPr="004378C7">
        <w:rPr>
          <w:rFonts w:ascii="Times New Roman" w:hAnsi="Times New Roman" w:cs="Times New Roman"/>
          <w:i/>
          <w:sz w:val="28"/>
          <w:szCs w:val="28"/>
          <w:lang w:val="en-GB"/>
        </w:rPr>
        <w:t>Advances in Interdisciplinary Studies of Work Teams: Knowledge Work in Teams</w:t>
      </w:r>
      <w:r w:rsidRPr="004378C7">
        <w:rPr>
          <w:rFonts w:ascii="Times New Roman" w:hAnsi="Times New Roman" w:cs="Times New Roman"/>
          <w:sz w:val="28"/>
          <w:szCs w:val="28"/>
          <w:lang w:val="en-GB"/>
        </w:rPr>
        <w:t>, vol. 2. JAI Press, Greenwich, CT. 229–253.</w:t>
      </w:r>
    </w:p>
    <w:p w:rsidR="00DB0843" w:rsidRPr="004378C7" w:rsidRDefault="00DB0843" w:rsidP="004378C7">
      <w:pPr>
        <w:pStyle w:val="a4"/>
        <w:numPr>
          <w:ilvl w:val="0"/>
          <w:numId w:val="1"/>
        </w:numPr>
        <w:spacing w:after="0" w:line="240" w:lineRule="auto"/>
        <w:ind w:firstLine="709"/>
        <w:jc w:val="both"/>
        <w:rPr>
          <w:rFonts w:ascii="Times New Roman" w:hAnsi="Times New Roman" w:cs="Times New Roman"/>
          <w:sz w:val="28"/>
          <w:szCs w:val="28"/>
          <w:lang w:val="en-GB"/>
        </w:rPr>
      </w:pPr>
      <w:r w:rsidRPr="004378C7">
        <w:rPr>
          <w:rFonts w:ascii="Times New Roman" w:hAnsi="Times New Roman" w:cs="Times New Roman"/>
          <w:sz w:val="28"/>
          <w:szCs w:val="28"/>
          <w:lang w:val="en-GB"/>
        </w:rPr>
        <w:t>Lee, L., &amp; Markey, A. (2014). A study of learners’ perceptions of online intercultural exchange through Web 2.0 technologies. </w:t>
      </w:r>
      <w:proofErr w:type="spellStart"/>
      <w:r w:rsidRPr="004378C7">
        <w:rPr>
          <w:rFonts w:ascii="Times New Roman" w:hAnsi="Times New Roman" w:cs="Times New Roman"/>
          <w:i/>
          <w:iCs/>
          <w:sz w:val="28"/>
          <w:szCs w:val="28"/>
          <w:lang w:val="en-GB"/>
        </w:rPr>
        <w:t>ReCALL</w:t>
      </w:r>
      <w:proofErr w:type="spellEnd"/>
      <w:r w:rsidRPr="004378C7">
        <w:rPr>
          <w:rFonts w:ascii="Times New Roman" w:hAnsi="Times New Roman" w:cs="Times New Roman"/>
          <w:i/>
          <w:iCs/>
          <w:sz w:val="28"/>
          <w:szCs w:val="28"/>
          <w:lang w:val="en-GB"/>
        </w:rPr>
        <w:t>,</w:t>
      </w:r>
      <w:r w:rsidRPr="004378C7">
        <w:rPr>
          <w:rFonts w:ascii="Times New Roman" w:hAnsi="Times New Roman" w:cs="Times New Roman"/>
          <w:sz w:val="28"/>
          <w:szCs w:val="28"/>
          <w:lang w:val="en-GB"/>
        </w:rPr>
        <w:t> </w:t>
      </w:r>
      <w:r w:rsidRPr="004378C7">
        <w:rPr>
          <w:rFonts w:ascii="Times New Roman" w:hAnsi="Times New Roman" w:cs="Times New Roman"/>
          <w:i/>
          <w:iCs/>
          <w:sz w:val="28"/>
          <w:szCs w:val="28"/>
          <w:lang w:val="en-GB"/>
        </w:rPr>
        <w:t>26</w:t>
      </w:r>
      <w:r w:rsidRPr="004378C7">
        <w:rPr>
          <w:rFonts w:ascii="Times New Roman" w:hAnsi="Times New Roman" w:cs="Times New Roman"/>
          <w:sz w:val="28"/>
          <w:szCs w:val="28"/>
          <w:lang w:val="en-GB"/>
        </w:rPr>
        <w:t xml:space="preserve">(3), 281-297. </w:t>
      </w:r>
      <w:r w:rsidR="004378C7" w:rsidRPr="004378C7">
        <w:rPr>
          <w:rFonts w:ascii="Times New Roman" w:hAnsi="Times New Roman" w:cs="Times New Roman"/>
          <w:sz w:val="28"/>
          <w:szCs w:val="28"/>
          <w:lang w:val="en-GB"/>
        </w:rPr>
        <w:t>https://doi.org/</w:t>
      </w:r>
      <w:r w:rsidRPr="004378C7">
        <w:rPr>
          <w:rFonts w:ascii="Times New Roman" w:hAnsi="Times New Roman" w:cs="Times New Roman"/>
          <w:sz w:val="28"/>
          <w:szCs w:val="28"/>
          <w:lang w:val="en-GB"/>
        </w:rPr>
        <w:t>10.1017/S0958344014000111</w:t>
      </w:r>
    </w:p>
    <w:p w:rsidR="00E21FC9" w:rsidRPr="004378C7" w:rsidRDefault="00E21FC9" w:rsidP="004378C7">
      <w:pPr>
        <w:pStyle w:val="a4"/>
        <w:numPr>
          <w:ilvl w:val="0"/>
          <w:numId w:val="1"/>
        </w:numPr>
        <w:spacing w:after="0" w:line="240" w:lineRule="auto"/>
        <w:ind w:firstLine="709"/>
        <w:jc w:val="both"/>
        <w:rPr>
          <w:rFonts w:ascii="Times New Roman" w:hAnsi="Times New Roman" w:cs="Times New Roman"/>
          <w:sz w:val="28"/>
          <w:szCs w:val="28"/>
          <w:lang w:val="en-GB"/>
        </w:rPr>
      </w:pPr>
      <w:proofErr w:type="spellStart"/>
      <w:r w:rsidRPr="004378C7">
        <w:rPr>
          <w:rFonts w:ascii="Times New Roman" w:hAnsi="Times New Roman" w:cs="Times New Roman"/>
          <w:sz w:val="28"/>
          <w:szCs w:val="28"/>
          <w:lang w:val="en-GB"/>
        </w:rPr>
        <w:t>Naicker</w:t>
      </w:r>
      <w:proofErr w:type="spellEnd"/>
      <w:r w:rsidRPr="004378C7">
        <w:rPr>
          <w:rFonts w:ascii="Times New Roman" w:hAnsi="Times New Roman" w:cs="Times New Roman"/>
          <w:sz w:val="28"/>
          <w:szCs w:val="28"/>
          <w:lang w:val="en-GB"/>
        </w:rPr>
        <w:t xml:space="preserve">, A., Singh, E., &amp; van </w:t>
      </w:r>
      <w:proofErr w:type="spellStart"/>
      <w:r w:rsidRPr="004378C7">
        <w:rPr>
          <w:rFonts w:ascii="Times New Roman" w:hAnsi="Times New Roman" w:cs="Times New Roman"/>
          <w:sz w:val="28"/>
          <w:szCs w:val="28"/>
          <w:lang w:val="en-GB"/>
        </w:rPr>
        <w:t>Genugten</w:t>
      </w:r>
      <w:proofErr w:type="spellEnd"/>
      <w:r w:rsidRPr="004378C7">
        <w:rPr>
          <w:rFonts w:ascii="Times New Roman" w:hAnsi="Times New Roman" w:cs="Times New Roman"/>
          <w:sz w:val="28"/>
          <w:szCs w:val="28"/>
          <w:lang w:val="en-GB"/>
        </w:rPr>
        <w:t>, T. (2022). Collaborative online international learning (COIL): Preparedness and experiences of South African students. </w:t>
      </w:r>
      <w:r w:rsidRPr="004378C7">
        <w:rPr>
          <w:rFonts w:ascii="Times New Roman" w:hAnsi="Times New Roman" w:cs="Times New Roman"/>
          <w:i/>
          <w:iCs/>
          <w:sz w:val="28"/>
          <w:szCs w:val="28"/>
          <w:lang w:val="en-GB"/>
        </w:rPr>
        <w:t>Innovations in Education and Teaching International</w:t>
      </w:r>
      <w:r w:rsidRPr="004378C7">
        <w:rPr>
          <w:rFonts w:ascii="Times New Roman" w:hAnsi="Times New Roman" w:cs="Times New Roman"/>
          <w:sz w:val="28"/>
          <w:szCs w:val="28"/>
          <w:lang w:val="en-GB"/>
        </w:rPr>
        <w:t>, </w:t>
      </w:r>
      <w:r w:rsidRPr="004378C7">
        <w:rPr>
          <w:rFonts w:ascii="Times New Roman" w:hAnsi="Times New Roman" w:cs="Times New Roman"/>
          <w:i/>
          <w:iCs/>
          <w:sz w:val="28"/>
          <w:szCs w:val="28"/>
          <w:lang w:val="en-GB"/>
        </w:rPr>
        <w:t>59</w:t>
      </w:r>
      <w:r w:rsidRPr="004378C7">
        <w:rPr>
          <w:rFonts w:ascii="Times New Roman" w:hAnsi="Times New Roman" w:cs="Times New Roman"/>
          <w:sz w:val="28"/>
          <w:szCs w:val="28"/>
          <w:lang w:val="en-GB"/>
        </w:rPr>
        <w:t>(5), 499-510.</w:t>
      </w:r>
    </w:p>
    <w:p w:rsidR="004378C7" w:rsidRPr="004378C7" w:rsidRDefault="004378C7" w:rsidP="004378C7">
      <w:pPr>
        <w:pStyle w:val="a4"/>
        <w:numPr>
          <w:ilvl w:val="0"/>
          <w:numId w:val="1"/>
        </w:numPr>
        <w:spacing w:after="0" w:line="240" w:lineRule="auto"/>
        <w:ind w:firstLine="709"/>
        <w:jc w:val="both"/>
        <w:rPr>
          <w:rFonts w:ascii="Times New Roman" w:hAnsi="Times New Roman" w:cs="Times New Roman"/>
          <w:sz w:val="28"/>
          <w:szCs w:val="28"/>
          <w:lang w:val="en-GB"/>
        </w:rPr>
      </w:pPr>
      <w:r w:rsidRPr="004378C7">
        <w:rPr>
          <w:rFonts w:ascii="Times New Roman" w:hAnsi="Times New Roman" w:cs="Times New Roman"/>
          <w:sz w:val="28"/>
          <w:szCs w:val="28"/>
          <w:lang w:val="en-GB"/>
        </w:rPr>
        <w:t>O’Dowd, R. (2017). Virtual exchange and internationalising the classroom. </w:t>
      </w:r>
      <w:r w:rsidRPr="004378C7">
        <w:rPr>
          <w:rFonts w:ascii="Times New Roman" w:hAnsi="Times New Roman" w:cs="Times New Roman"/>
          <w:i/>
          <w:iCs/>
          <w:sz w:val="28"/>
          <w:szCs w:val="28"/>
          <w:lang w:val="en-GB"/>
        </w:rPr>
        <w:t>Training Language and Culture</w:t>
      </w:r>
      <w:r w:rsidRPr="004378C7">
        <w:rPr>
          <w:rFonts w:ascii="Times New Roman" w:hAnsi="Times New Roman" w:cs="Times New Roman"/>
          <w:sz w:val="28"/>
          <w:szCs w:val="28"/>
          <w:lang w:val="en-GB"/>
        </w:rPr>
        <w:t>, </w:t>
      </w:r>
      <w:r w:rsidRPr="004378C7">
        <w:rPr>
          <w:rFonts w:ascii="Times New Roman" w:hAnsi="Times New Roman" w:cs="Times New Roman"/>
          <w:i/>
          <w:iCs/>
          <w:sz w:val="28"/>
          <w:szCs w:val="28"/>
          <w:lang w:val="en-GB"/>
        </w:rPr>
        <w:t>1</w:t>
      </w:r>
      <w:r w:rsidRPr="004378C7">
        <w:rPr>
          <w:rFonts w:ascii="Times New Roman" w:hAnsi="Times New Roman" w:cs="Times New Roman"/>
          <w:sz w:val="28"/>
          <w:szCs w:val="28"/>
          <w:lang w:val="en-GB"/>
        </w:rPr>
        <w:t xml:space="preserve">(4), 8-24. </w:t>
      </w:r>
    </w:p>
    <w:p w:rsidR="006655A4" w:rsidRPr="004378C7" w:rsidRDefault="006655A4" w:rsidP="004378C7">
      <w:pPr>
        <w:pStyle w:val="a4"/>
        <w:numPr>
          <w:ilvl w:val="0"/>
          <w:numId w:val="1"/>
        </w:numPr>
        <w:spacing w:after="0" w:line="240" w:lineRule="auto"/>
        <w:ind w:firstLine="709"/>
        <w:jc w:val="both"/>
        <w:rPr>
          <w:rFonts w:ascii="Times New Roman" w:hAnsi="Times New Roman" w:cs="Times New Roman"/>
          <w:sz w:val="28"/>
          <w:szCs w:val="28"/>
          <w:lang w:val="en-GB"/>
        </w:rPr>
      </w:pPr>
      <w:r w:rsidRPr="004378C7">
        <w:rPr>
          <w:rFonts w:ascii="Times New Roman" w:hAnsi="Times New Roman" w:cs="Times New Roman"/>
          <w:sz w:val="28"/>
          <w:szCs w:val="28"/>
          <w:lang w:val="en-GB"/>
        </w:rPr>
        <w:t xml:space="preserve">O'Dowd, R. (2018). From </w:t>
      </w:r>
      <w:proofErr w:type="spellStart"/>
      <w:r w:rsidRPr="004378C7">
        <w:rPr>
          <w:rFonts w:ascii="Times New Roman" w:hAnsi="Times New Roman" w:cs="Times New Roman"/>
          <w:sz w:val="28"/>
          <w:szCs w:val="28"/>
          <w:lang w:val="en-GB"/>
        </w:rPr>
        <w:t>telecollaboration</w:t>
      </w:r>
      <w:proofErr w:type="spellEnd"/>
      <w:r w:rsidRPr="004378C7">
        <w:rPr>
          <w:rFonts w:ascii="Times New Roman" w:hAnsi="Times New Roman" w:cs="Times New Roman"/>
          <w:sz w:val="28"/>
          <w:szCs w:val="28"/>
          <w:lang w:val="en-GB"/>
        </w:rPr>
        <w:t xml:space="preserve"> to virtual exchange: State-of-the-art and the role of </w:t>
      </w:r>
      <w:proofErr w:type="spellStart"/>
      <w:r w:rsidRPr="004378C7">
        <w:rPr>
          <w:rFonts w:ascii="Times New Roman" w:hAnsi="Times New Roman" w:cs="Times New Roman"/>
          <w:sz w:val="28"/>
          <w:szCs w:val="28"/>
          <w:lang w:val="en-GB"/>
        </w:rPr>
        <w:t>UNICollaboration</w:t>
      </w:r>
      <w:proofErr w:type="spellEnd"/>
      <w:r w:rsidRPr="004378C7">
        <w:rPr>
          <w:rFonts w:ascii="Times New Roman" w:hAnsi="Times New Roman" w:cs="Times New Roman"/>
          <w:sz w:val="28"/>
          <w:szCs w:val="28"/>
          <w:lang w:val="en-GB"/>
        </w:rPr>
        <w:t xml:space="preserve"> in moving forward. </w:t>
      </w:r>
      <w:r w:rsidRPr="004378C7">
        <w:rPr>
          <w:rFonts w:ascii="Times New Roman" w:hAnsi="Times New Roman" w:cs="Times New Roman"/>
          <w:i/>
          <w:iCs/>
          <w:sz w:val="28"/>
          <w:szCs w:val="28"/>
          <w:lang w:val="en-GB"/>
        </w:rPr>
        <w:t>Research-publishing. net</w:t>
      </w:r>
      <w:r w:rsidRPr="004378C7">
        <w:rPr>
          <w:rFonts w:ascii="Times New Roman" w:hAnsi="Times New Roman" w:cs="Times New Roman"/>
          <w:sz w:val="28"/>
          <w:szCs w:val="28"/>
          <w:lang w:val="en-GB"/>
        </w:rPr>
        <w:t>, </w:t>
      </w:r>
      <w:r w:rsidRPr="004378C7">
        <w:rPr>
          <w:rFonts w:ascii="Times New Roman" w:hAnsi="Times New Roman" w:cs="Times New Roman"/>
          <w:i/>
          <w:iCs/>
          <w:sz w:val="28"/>
          <w:szCs w:val="28"/>
          <w:lang w:val="en-GB"/>
        </w:rPr>
        <w:t>1</w:t>
      </w:r>
      <w:r w:rsidRPr="004378C7">
        <w:rPr>
          <w:rFonts w:ascii="Times New Roman" w:hAnsi="Times New Roman" w:cs="Times New Roman"/>
          <w:sz w:val="28"/>
          <w:szCs w:val="28"/>
          <w:lang w:val="en-GB"/>
        </w:rPr>
        <w:t xml:space="preserve">, 1-23. </w:t>
      </w:r>
    </w:p>
    <w:p w:rsidR="005E6D59" w:rsidRPr="004378C7" w:rsidRDefault="005E6D59" w:rsidP="004378C7">
      <w:pPr>
        <w:pStyle w:val="a4"/>
        <w:numPr>
          <w:ilvl w:val="0"/>
          <w:numId w:val="1"/>
        </w:numPr>
        <w:spacing w:after="0" w:line="240" w:lineRule="auto"/>
        <w:ind w:firstLine="709"/>
        <w:jc w:val="both"/>
        <w:rPr>
          <w:rFonts w:ascii="Times New Roman" w:hAnsi="Times New Roman" w:cs="Times New Roman"/>
          <w:sz w:val="28"/>
          <w:szCs w:val="28"/>
          <w:lang w:val="en-GB"/>
        </w:rPr>
      </w:pPr>
      <w:proofErr w:type="spellStart"/>
      <w:r w:rsidRPr="004378C7">
        <w:rPr>
          <w:rFonts w:ascii="Times New Roman" w:hAnsi="Times New Roman" w:cs="Times New Roman"/>
          <w:sz w:val="28"/>
          <w:szCs w:val="28"/>
          <w:lang w:val="en-GB"/>
        </w:rPr>
        <w:t>Pomino</w:t>
      </w:r>
      <w:proofErr w:type="spellEnd"/>
      <w:r w:rsidRPr="004378C7">
        <w:rPr>
          <w:rFonts w:ascii="Times New Roman" w:hAnsi="Times New Roman" w:cs="Times New Roman"/>
          <w:sz w:val="28"/>
          <w:szCs w:val="28"/>
          <w:lang w:val="en-GB"/>
        </w:rPr>
        <w:t>, J., &amp; Gil-</w:t>
      </w:r>
      <w:proofErr w:type="spellStart"/>
      <w:r w:rsidRPr="004378C7">
        <w:rPr>
          <w:rFonts w:ascii="Times New Roman" w:hAnsi="Times New Roman" w:cs="Times New Roman"/>
          <w:sz w:val="28"/>
          <w:szCs w:val="28"/>
          <w:lang w:val="en-GB"/>
        </w:rPr>
        <w:t>Salom</w:t>
      </w:r>
      <w:proofErr w:type="spellEnd"/>
      <w:r w:rsidRPr="004378C7">
        <w:rPr>
          <w:rFonts w:ascii="Times New Roman" w:hAnsi="Times New Roman" w:cs="Times New Roman"/>
          <w:sz w:val="28"/>
          <w:szCs w:val="28"/>
          <w:lang w:val="en-GB"/>
        </w:rPr>
        <w:t>, D. (2016). Integrating e-tandem in Higher Education. </w:t>
      </w:r>
      <w:r w:rsidRPr="004378C7">
        <w:rPr>
          <w:rFonts w:ascii="Times New Roman" w:hAnsi="Times New Roman" w:cs="Times New Roman"/>
          <w:i/>
          <w:iCs/>
          <w:sz w:val="28"/>
          <w:szCs w:val="28"/>
          <w:lang w:val="en-GB"/>
        </w:rPr>
        <w:t xml:space="preserve">Procedia-Social and </w:t>
      </w:r>
      <w:proofErr w:type="spellStart"/>
      <w:r w:rsidRPr="004378C7">
        <w:rPr>
          <w:rFonts w:ascii="Times New Roman" w:hAnsi="Times New Roman" w:cs="Times New Roman"/>
          <w:i/>
          <w:iCs/>
          <w:sz w:val="28"/>
          <w:szCs w:val="28"/>
          <w:lang w:val="en-GB"/>
        </w:rPr>
        <w:t>Behavioral</w:t>
      </w:r>
      <w:proofErr w:type="spellEnd"/>
      <w:r w:rsidRPr="004378C7">
        <w:rPr>
          <w:rFonts w:ascii="Times New Roman" w:hAnsi="Times New Roman" w:cs="Times New Roman"/>
          <w:i/>
          <w:iCs/>
          <w:sz w:val="28"/>
          <w:szCs w:val="28"/>
          <w:lang w:val="en-GB"/>
        </w:rPr>
        <w:t xml:space="preserve"> Sciences</w:t>
      </w:r>
      <w:r w:rsidRPr="004378C7">
        <w:rPr>
          <w:rFonts w:ascii="Times New Roman" w:hAnsi="Times New Roman" w:cs="Times New Roman"/>
          <w:sz w:val="28"/>
          <w:szCs w:val="28"/>
          <w:lang w:val="en-GB"/>
        </w:rPr>
        <w:t>, </w:t>
      </w:r>
      <w:r w:rsidRPr="004378C7">
        <w:rPr>
          <w:rFonts w:ascii="Times New Roman" w:hAnsi="Times New Roman" w:cs="Times New Roman"/>
          <w:i/>
          <w:iCs/>
          <w:sz w:val="28"/>
          <w:szCs w:val="28"/>
          <w:lang w:val="en-GB"/>
        </w:rPr>
        <w:t>228</w:t>
      </w:r>
      <w:r w:rsidRPr="004378C7">
        <w:rPr>
          <w:rFonts w:ascii="Times New Roman" w:hAnsi="Times New Roman" w:cs="Times New Roman"/>
          <w:sz w:val="28"/>
          <w:szCs w:val="28"/>
          <w:lang w:val="en-GB"/>
        </w:rPr>
        <w:t>, 668-673.</w:t>
      </w:r>
    </w:p>
    <w:p w:rsidR="00E21FC9" w:rsidRPr="004378C7" w:rsidRDefault="00E21FC9" w:rsidP="004378C7">
      <w:pPr>
        <w:pStyle w:val="a4"/>
        <w:numPr>
          <w:ilvl w:val="0"/>
          <w:numId w:val="1"/>
        </w:numPr>
        <w:spacing w:after="0" w:line="240" w:lineRule="auto"/>
        <w:ind w:firstLine="709"/>
        <w:jc w:val="both"/>
        <w:rPr>
          <w:rFonts w:ascii="Times New Roman" w:hAnsi="Times New Roman" w:cs="Times New Roman"/>
          <w:sz w:val="28"/>
          <w:szCs w:val="28"/>
          <w:lang w:val="en-GB"/>
        </w:rPr>
      </w:pPr>
      <w:r w:rsidRPr="004378C7">
        <w:rPr>
          <w:rFonts w:ascii="Times New Roman" w:hAnsi="Times New Roman" w:cs="Times New Roman"/>
          <w:sz w:val="28"/>
          <w:szCs w:val="28"/>
          <w:lang w:val="en-GB"/>
        </w:rPr>
        <w:t>Rubin, J. (2017). Embedding collaborative online international learning (COIL) at higher education institutions. </w:t>
      </w:r>
      <w:r w:rsidRPr="004378C7">
        <w:rPr>
          <w:rFonts w:ascii="Times New Roman" w:hAnsi="Times New Roman" w:cs="Times New Roman"/>
          <w:i/>
          <w:iCs/>
          <w:sz w:val="28"/>
          <w:szCs w:val="28"/>
          <w:lang w:val="en-GB"/>
        </w:rPr>
        <w:t>Internationalisation of Higher Education</w:t>
      </w:r>
      <w:r w:rsidRPr="004378C7">
        <w:rPr>
          <w:rFonts w:ascii="Times New Roman" w:hAnsi="Times New Roman" w:cs="Times New Roman"/>
          <w:sz w:val="28"/>
          <w:szCs w:val="28"/>
          <w:lang w:val="en-GB"/>
        </w:rPr>
        <w:t>, </w:t>
      </w:r>
      <w:r w:rsidRPr="004378C7">
        <w:rPr>
          <w:rFonts w:ascii="Times New Roman" w:hAnsi="Times New Roman" w:cs="Times New Roman"/>
          <w:i/>
          <w:iCs/>
          <w:sz w:val="28"/>
          <w:szCs w:val="28"/>
          <w:lang w:val="en-GB"/>
        </w:rPr>
        <w:t>2</w:t>
      </w:r>
      <w:r w:rsidRPr="004378C7">
        <w:rPr>
          <w:rFonts w:ascii="Times New Roman" w:hAnsi="Times New Roman" w:cs="Times New Roman"/>
          <w:sz w:val="28"/>
          <w:szCs w:val="28"/>
          <w:lang w:val="en-GB"/>
        </w:rPr>
        <w:t>, 27-44.</w:t>
      </w:r>
    </w:p>
    <w:p w:rsidR="005E6D59" w:rsidRDefault="005E6D59" w:rsidP="004378C7">
      <w:pPr>
        <w:pStyle w:val="a4"/>
        <w:numPr>
          <w:ilvl w:val="0"/>
          <w:numId w:val="1"/>
        </w:numPr>
        <w:spacing w:after="0" w:line="240" w:lineRule="auto"/>
        <w:ind w:firstLine="709"/>
        <w:jc w:val="both"/>
        <w:rPr>
          <w:rFonts w:ascii="Times New Roman" w:hAnsi="Times New Roman" w:cs="Times New Roman"/>
          <w:sz w:val="28"/>
          <w:szCs w:val="28"/>
          <w:lang w:val="en-GB"/>
        </w:rPr>
      </w:pPr>
      <w:r w:rsidRPr="004378C7">
        <w:rPr>
          <w:rFonts w:ascii="Times New Roman" w:hAnsi="Times New Roman" w:cs="Times New Roman"/>
          <w:sz w:val="28"/>
          <w:szCs w:val="28"/>
          <w:lang w:val="en-GB"/>
        </w:rPr>
        <w:t>Starke-</w:t>
      </w:r>
      <w:proofErr w:type="spellStart"/>
      <w:r w:rsidRPr="004378C7">
        <w:rPr>
          <w:rFonts w:ascii="Times New Roman" w:hAnsi="Times New Roman" w:cs="Times New Roman"/>
          <w:sz w:val="28"/>
          <w:szCs w:val="28"/>
          <w:lang w:val="en-GB"/>
        </w:rPr>
        <w:t>Meyerring</w:t>
      </w:r>
      <w:proofErr w:type="spellEnd"/>
      <w:r w:rsidRPr="004378C7">
        <w:rPr>
          <w:rFonts w:ascii="Times New Roman" w:hAnsi="Times New Roman" w:cs="Times New Roman"/>
          <w:sz w:val="28"/>
          <w:szCs w:val="28"/>
          <w:lang w:val="en-GB"/>
        </w:rPr>
        <w:t>, D., &amp; Wilson, M. (2008). </w:t>
      </w:r>
      <w:r w:rsidRPr="004378C7">
        <w:rPr>
          <w:rFonts w:ascii="Times New Roman" w:hAnsi="Times New Roman" w:cs="Times New Roman"/>
          <w:i/>
          <w:iCs/>
          <w:sz w:val="28"/>
          <w:szCs w:val="28"/>
          <w:lang w:val="en-GB"/>
        </w:rPr>
        <w:t>Designing globally networked learning environments: Visionary partnerships, policies, and pedagogies</w:t>
      </w:r>
      <w:r w:rsidRPr="004378C7">
        <w:rPr>
          <w:rFonts w:ascii="Times New Roman" w:hAnsi="Times New Roman" w:cs="Times New Roman"/>
          <w:sz w:val="28"/>
          <w:szCs w:val="28"/>
          <w:lang w:val="en-GB"/>
        </w:rPr>
        <w:t>. BRILL.</w:t>
      </w:r>
    </w:p>
    <w:p w:rsidR="00BA1CAB" w:rsidRDefault="00BA1CAB" w:rsidP="00BA1CAB">
      <w:pPr>
        <w:spacing w:after="0" w:line="240" w:lineRule="auto"/>
        <w:ind w:left="720"/>
        <w:jc w:val="both"/>
        <w:rPr>
          <w:rFonts w:ascii="Times New Roman" w:hAnsi="Times New Roman" w:cs="Times New Roman"/>
          <w:sz w:val="28"/>
          <w:szCs w:val="28"/>
          <w:lang w:val="en-GB"/>
        </w:rPr>
      </w:pPr>
    </w:p>
    <w:p w:rsidR="00BA1CAB" w:rsidRPr="00BA1CAB" w:rsidRDefault="00BA1CAB" w:rsidP="00BA1CAB">
      <w:pPr>
        <w:spacing w:after="0" w:line="240" w:lineRule="auto"/>
        <w:ind w:left="720"/>
        <w:jc w:val="both"/>
        <w:rPr>
          <w:rFonts w:ascii="Times New Roman" w:hAnsi="Times New Roman" w:cs="Times New Roman"/>
          <w:sz w:val="28"/>
          <w:szCs w:val="28"/>
        </w:rPr>
      </w:pPr>
      <w:r>
        <w:rPr>
          <w:rFonts w:ascii="Times New Roman" w:hAnsi="Times New Roman" w:cs="Times New Roman"/>
          <w:sz w:val="28"/>
          <w:szCs w:val="28"/>
        </w:rPr>
        <w:t xml:space="preserve">Огляд термінології </w:t>
      </w:r>
      <w:bookmarkStart w:id="0" w:name="_GoBack"/>
      <w:bookmarkEnd w:id="0"/>
      <w:r>
        <w:rPr>
          <w:rFonts w:ascii="Times New Roman" w:hAnsi="Times New Roman" w:cs="Times New Roman"/>
          <w:sz w:val="28"/>
          <w:szCs w:val="28"/>
        </w:rPr>
        <w:t>віртуального обміну. Колісник Марина Павлівна</w:t>
      </w:r>
    </w:p>
    <w:p w:rsidR="00E21FC9" w:rsidRPr="00BA1CAB" w:rsidRDefault="00E21FC9" w:rsidP="004378C7">
      <w:pPr>
        <w:spacing w:after="0" w:line="240" w:lineRule="auto"/>
        <w:ind w:firstLine="709"/>
        <w:jc w:val="both"/>
        <w:rPr>
          <w:rFonts w:ascii="Times New Roman" w:hAnsi="Times New Roman" w:cs="Times New Roman"/>
          <w:sz w:val="28"/>
          <w:szCs w:val="28"/>
          <w:lang w:val="ru-RU"/>
        </w:rPr>
      </w:pPr>
    </w:p>
    <w:sectPr w:rsidR="00E21FC9" w:rsidRPr="00BA1CAB" w:rsidSect="004378C7">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A5E01A1"/>
    <w:multiLevelType w:val="hybridMultilevel"/>
    <w:tmpl w:val="3DC2BE5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3EC9"/>
    <w:rsid w:val="000327F2"/>
    <w:rsid w:val="000B393B"/>
    <w:rsid w:val="00270A39"/>
    <w:rsid w:val="00290184"/>
    <w:rsid w:val="00404E10"/>
    <w:rsid w:val="00430620"/>
    <w:rsid w:val="004308A3"/>
    <w:rsid w:val="00432FAB"/>
    <w:rsid w:val="004378C7"/>
    <w:rsid w:val="0044754E"/>
    <w:rsid w:val="004864FA"/>
    <w:rsid w:val="004C25D0"/>
    <w:rsid w:val="00531EDA"/>
    <w:rsid w:val="005E6D59"/>
    <w:rsid w:val="006655A4"/>
    <w:rsid w:val="00686283"/>
    <w:rsid w:val="008006DE"/>
    <w:rsid w:val="00803D81"/>
    <w:rsid w:val="00840DFB"/>
    <w:rsid w:val="008C3EC9"/>
    <w:rsid w:val="009634A7"/>
    <w:rsid w:val="009E019C"/>
    <w:rsid w:val="009F32BF"/>
    <w:rsid w:val="00A75AD9"/>
    <w:rsid w:val="00AF73C5"/>
    <w:rsid w:val="00B67CF6"/>
    <w:rsid w:val="00B716D7"/>
    <w:rsid w:val="00BA1CAB"/>
    <w:rsid w:val="00DB0843"/>
    <w:rsid w:val="00E21FC9"/>
    <w:rsid w:val="00FD3585"/>
    <w:rsid w:val="00FE00F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3EC7B9"/>
  <w15:chartTrackingRefBased/>
  <w15:docId w15:val="{553373ED-8510-40E4-9DFC-103322B482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DB0843"/>
    <w:rPr>
      <w:color w:val="0563C1" w:themeColor="hyperlink"/>
      <w:u w:val="single"/>
    </w:rPr>
  </w:style>
  <w:style w:type="paragraph" w:styleId="a4">
    <w:name w:val="List Paragraph"/>
    <w:basedOn w:val="a"/>
    <w:uiPriority w:val="34"/>
    <w:qFormat/>
    <w:rsid w:val="004378C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8081659">
      <w:bodyDiv w:val="1"/>
      <w:marLeft w:val="0"/>
      <w:marRight w:val="0"/>
      <w:marTop w:val="0"/>
      <w:marBottom w:val="0"/>
      <w:divBdr>
        <w:top w:val="none" w:sz="0" w:space="0" w:color="auto"/>
        <w:left w:val="none" w:sz="0" w:space="0" w:color="auto"/>
        <w:bottom w:val="none" w:sz="0" w:space="0" w:color="auto"/>
        <w:right w:val="none" w:sz="0" w:space="0" w:color="auto"/>
      </w:divBdr>
      <w:divsChild>
        <w:div w:id="1231694391">
          <w:marLeft w:val="547"/>
          <w:marRight w:val="0"/>
          <w:marTop w:val="0"/>
          <w:marBottom w:val="0"/>
          <w:divBdr>
            <w:top w:val="none" w:sz="0" w:space="0" w:color="auto"/>
            <w:left w:val="none" w:sz="0" w:space="0" w:color="auto"/>
            <w:bottom w:val="none" w:sz="0" w:space="0" w:color="auto"/>
            <w:right w:val="none" w:sz="0" w:space="0" w:color="auto"/>
          </w:divBdr>
        </w:div>
      </w:divsChild>
    </w:div>
    <w:div w:id="342781759">
      <w:bodyDiv w:val="1"/>
      <w:marLeft w:val="0"/>
      <w:marRight w:val="0"/>
      <w:marTop w:val="0"/>
      <w:marBottom w:val="0"/>
      <w:divBdr>
        <w:top w:val="none" w:sz="0" w:space="0" w:color="auto"/>
        <w:left w:val="none" w:sz="0" w:space="0" w:color="auto"/>
        <w:bottom w:val="none" w:sz="0" w:space="0" w:color="auto"/>
        <w:right w:val="none" w:sz="0" w:space="0" w:color="auto"/>
      </w:divBdr>
      <w:divsChild>
        <w:div w:id="1707174059">
          <w:marLeft w:val="0"/>
          <w:marRight w:val="0"/>
          <w:marTop w:val="0"/>
          <w:marBottom w:val="0"/>
          <w:divBdr>
            <w:top w:val="single" w:sz="2" w:space="0" w:color="auto"/>
            <w:left w:val="single" w:sz="2" w:space="0" w:color="auto"/>
            <w:bottom w:val="single" w:sz="6" w:space="0" w:color="auto"/>
            <w:right w:val="single" w:sz="2" w:space="0" w:color="auto"/>
          </w:divBdr>
          <w:divsChild>
            <w:div w:id="1820538333">
              <w:marLeft w:val="0"/>
              <w:marRight w:val="0"/>
              <w:marTop w:val="100"/>
              <w:marBottom w:val="100"/>
              <w:divBdr>
                <w:top w:val="single" w:sz="2" w:space="0" w:color="D9D9E3"/>
                <w:left w:val="single" w:sz="2" w:space="0" w:color="D9D9E3"/>
                <w:bottom w:val="single" w:sz="2" w:space="0" w:color="D9D9E3"/>
                <w:right w:val="single" w:sz="2" w:space="0" w:color="D9D9E3"/>
              </w:divBdr>
              <w:divsChild>
                <w:div w:id="1489664772">
                  <w:marLeft w:val="0"/>
                  <w:marRight w:val="0"/>
                  <w:marTop w:val="0"/>
                  <w:marBottom w:val="0"/>
                  <w:divBdr>
                    <w:top w:val="single" w:sz="2" w:space="0" w:color="D9D9E3"/>
                    <w:left w:val="single" w:sz="2" w:space="0" w:color="D9D9E3"/>
                    <w:bottom w:val="single" w:sz="2" w:space="0" w:color="D9D9E3"/>
                    <w:right w:val="single" w:sz="2" w:space="0" w:color="D9D9E3"/>
                  </w:divBdr>
                  <w:divsChild>
                    <w:div w:id="177014086">
                      <w:marLeft w:val="0"/>
                      <w:marRight w:val="0"/>
                      <w:marTop w:val="0"/>
                      <w:marBottom w:val="0"/>
                      <w:divBdr>
                        <w:top w:val="single" w:sz="2" w:space="0" w:color="D9D9E3"/>
                        <w:left w:val="single" w:sz="2" w:space="0" w:color="D9D9E3"/>
                        <w:bottom w:val="single" w:sz="2" w:space="0" w:color="D9D9E3"/>
                        <w:right w:val="single" w:sz="2" w:space="0" w:color="D9D9E3"/>
                      </w:divBdr>
                      <w:divsChild>
                        <w:div w:id="192427195">
                          <w:marLeft w:val="0"/>
                          <w:marRight w:val="0"/>
                          <w:marTop w:val="0"/>
                          <w:marBottom w:val="0"/>
                          <w:divBdr>
                            <w:top w:val="single" w:sz="2" w:space="0" w:color="D9D9E3"/>
                            <w:left w:val="single" w:sz="2" w:space="0" w:color="D9D9E3"/>
                            <w:bottom w:val="single" w:sz="2" w:space="0" w:color="D9D9E3"/>
                            <w:right w:val="single" w:sz="2" w:space="0" w:color="D9D9E3"/>
                          </w:divBdr>
                          <w:divsChild>
                            <w:div w:id="7177749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056587620">
      <w:bodyDiv w:val="1"/>
      <w:marLeft w:val="0"/>
      <w:marRight w:val="0"/>
      <w:marTop w:val="0"/>
      <w:marBottom w:val="0"/>
      <w:divBdr>
        <w:top w:val="none" w:sz="0" w:space="0" w:color="auto"/>
        <w:left w:val="none" w:sz="0" w:space="0" w:color="auto"/>
        <w:bottom w:val="none" w:sz="0" w:space="0" w:color="auto"/>
        <w:right w:val="none" w:sz="0" w:space="0" w:color="auto"/>
      </w:divBdr>
    </w:div>
    <w:div w:id="1799297677">
      <w:bodyDiv w:val="1"/>
      <w:marLeft w:val="0"/>
      <w:marRight w:val="0"/>
      <w:marTop w:val="0"/>
      <w:marBottom w:val="0"/>
      <w:divBdr>
        <w:top w:val="none" w:sz="0" w:space="0" w:color="auto"/>
        <w:left w:val="none" w:sz="0" w:space="0" w:color="auto"/>
        <w:bottom w:val="none" w:sz="0" w:space="0" w:color="auto"/>
        <w:right w:val="none" w:sz="0" w:space="0" w:color="auto"/>
      </w:divBdr>
      <w:divsChild>
        <w:div w:id="369452866">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Colors" Target="diagrams/colors1.xml"/><Relationship Id="rId3" Type="http://schemas.openxmlformats.org/officeDocument/2006/relationships/settings" Target="settings.xml"/><Relationship Id="rId7" Type="http://schemas.openxmlformats.org/officeDocument/2006/relationships/diagramQuickStyle" Target="diagrams/quickStyle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diagramLayout" Target="diagrams/layout1.xml"/><Relationship Id="rId11" Type="http://schemas.openxmlformats.org/officeDocument/2006/relationships/fontTable" Target="fontTable.xml"/><Relationship Id="rId5" Type="http://schemas.openxmlformats.org/officeDocument/2006/relationships/diagramData" Target="diagrams/data1.xml"/><Relationship Id="rId10" Type="http://schemas.openxmlformats.org/officeDocument/2006/relationships/hyperlink" Target="https://doi.org/10.1002/9781118914069.ch12" TargetMode="External"/><Relationship Id="rId4" Type="http://schemas.openxmlformats.org/officeDocument/2006/relationships/webSettings" Target="webSettings.xml"/><Relationship Id="rId9" Type="http://schemas.microsoft.com/office/2007/relationships/diagramDrawing" Target="diagrams/drawing1.xml"/></Relationships>
</file>

<file path=word/diagrams/colors1.xml><?xml version="1.0" encoding="utf-8"?>
<dgm:colorsDef xmlns:dgm="http://schemas.openxmlformats.org/drawingml/2006/diagram" xmlns:a="http://schemas.openxmlformats.org/drawingml/2006/main" uniqueId="urn:microsoft.com/office/officeart/2005/8/colors/accent6_2">
  <dgm:title val=""/>
  <dgm:desc val=""/>
  <dgm:catLst>
    <dgm:cat type="accent6" pri="11200"/>
  </dgm:catLst>
  <dgm:styleLbl name="node0">
    <dgm:fillClrLst meth="repeat">
      <a:schemeClr val="accent6"/>
    </dgm:fillClrLst>
    <dgm:linClrLst meth="repeat">
      <a:schemeClr val="lt1"/>
    </dgm:linClrLst>
    <dgm:effectClrLst/>
    <dgm:txLinClrLst/>
    <dgm:txFillClrLst/>
    <dgm:txEffectClrLst/>
  </dgm:styleLbl>
  <dgm:styleLbl name="node1">
    <dgm:fillClrLst meth="repeat">
      <a:schemeClr val="accent6"/>
    </dgm:fillClrLst>
    <dgm:linClrLst meth="repeat">
      <a:schemeClr val="lt1"/>
    </dgm:linClrLst>
    <dgm:effectClrLst/>
    <dgm:txLinClrLst/>
    <dgm:txFillClrLst/>
    <dgm:txEffectClrLst/>
  </dgm:styleLbl>
  <dgm:styleLbl name="alignNode1">
    <dgm:fillClrLst meth="repeat">
      <a:schemeClr val="accent6"/>
    </dgm:fillClrLst>
    <dgm:linClrLst meth="repeat">
      <a:schemeClr val="accent6"/>
    </dgm:linClrLst>
    <dgm:effectClrLst/>
    <dgm:txLinClrLst/>
    <dgm:txFillClrLst/>
    <dgm:txEffectClrLst/>
  </dgm:styleLbl>
  <dgm:styleLbl name="lnNode1">
    <dgm:fillClrLst meth="repeat">
      <a:schemeClr val="accent6"/>
    </dgm:fillClrLst>
    <dgm:linClrLst meth="repeat">
      <a:schemeClr val="lt1"/>
    </dgm:linClrLst>
    <dgm:effectClrLst/>
    <dgm:txLinClrLst/>
    <dgm:txFillClrLst/>
    <dgm:txEffectClrLst/>
  </dgm:styleLbl>
  <dgm:styleLbl name="vennNode1">
    <dgm:fillClrLst meth="repeat">
      <a:schemeClr val="accent6">
        <a:alpha val="50000"/>
      </a:schemeClr>
    </dgm:fillClrLst>
    <dgm:linClrLst meth="repeat">
      <a:schemeClr val="lt1"/>
    </dgm:linClrLst>
    <dgm:effectClrLst/>
    <dgm:txLinClrLst/>
    <dgm:txFillClrLst/>
    <dgm:txEffectClrLst/>
  </dgm:styleLbl>
  <dgm:styleLbl name="node2">
    <dgm:fillClrLst meth="repeat">
      <a:schemeClr val="accent6"/>
    </dgm:fillClrLst>
    <dgm:linClrLst meth="repeat">
      <a:schemeClr val="lt1"/>
    </dgm:linClrLst>
    <dgm:effectClrLst/>
    <dgm:txLinClrLst/>
    <dgm:txFillClrLst/>
    <dgm:txEffectClrLst/>
  </dgm:styleLbl>
  <dgm:styleLbl name="node3">
    <dgm:fillClrLst meth="repeat">
      <a:schemeClr val="accent6"/>
    </dgm:fillClrLst>
    <dgm:linClrLst meth="repeat">
      <a:schemeClr val="lt1"/>
    </dgm:linClrLst>
    <dgm:effectClrLst/>
    <dgm:txLinClrLst/>
    <dgm:txFillClrLst/>
    <dgm:txEffectClrLst/>
  </dgm:styleLbl>
  <dgm:styleLbl name="node4">
    <dgm:fillClrLst meth="repeat">
      <a:schemeClr val="accent6"/>
    </dgm:fillClrLst>
    <dgm:linClrLst meth="repeat">
      <a:schemeClr val="lt1"/>
    </dgm:linClrLst>
    <dgm:effectClrLst/>
    <dgm:txLinClrLst/>
    <dgm:txFillClrLst/>
    <dgm:txEffectClrLst/>
  </dgm:styleLbl>
  <dgm:styleLbl name="fgImgPlace1">
    <dgm:fillClrLst meth="repeat">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6">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6">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6">
        <a:tint val="60000"/>
      </a:schemeClr>
    </dgm:fillClrLst>
    <dgm:linClrLst meth="repeat">
      <a:schemeClr val="accent6">
        <a:tint val="60000"/>
      </a:schemeClr>
    </dgm:linClrLst>
    <dgm:effectClrLst/>
    <dgm:txLinClrLst/>
    <dgm:txFillClrLst/>
    <dgm:txEffectClrLst/>
  </dgm:styleLbl>
  <dgm:styleLbl name="fgSibTrans2D1">
    <dgm:fillClrLst meth="repeat">
      <a:schemeClr val="accent6">
        <a:tint val="60000"/>
      </a:schemeClr>
    </dgm:fillClrLst>
    <dgm:linClrLst meth="repeat">
      <a:schemeClr val="accent6">
        <a:tint val="60000"/>
      </a:schemeClr>
    </dgm:linClrLst>
    <dgm:effectClrLst/>
    <dgm:txLinClrLst/>
    <dgm:txFillClrLst/>
    <dgm:txEffectClrLst/>
  </dgm:styleLbl>
  <dgm:styleLbl name="bgSibTrans2D1">
    <dgm:fillClrLst meth="repeat">
      <a:schemeClr val="accent6">
        <a:tint val="60000"/>
      </a:schemeClr>
    </dgm:fillClrLst>
    <dgm:linClrLst meth="repeat">
      <a:schemeClr val="accent6">
        <a:tint val="60000"/>
      </a:schemeClr>
    </dgm:linClrLst>
    <dgm:effectClrLst/>
    <dgm:txLinClrLst/>
    <dgm:txFillClrLst/>
    <dgm:txEffectClrLst/>
  </dgm:styleLbl>
  <dgm:styleLbl name="sibTrans1D1">
    <dgm:fillClrLst meth="repeat">
      <a:schemeClr val="accent6"/>
    </dgm:fillClrLst>
    <dgm:linClrLst meth="repeat">
      <a:schemeClr val="accent6"/>
    </dgm:linClrLst>
    <dgm:effectClrLst/>
    <dgm:txLinClrLst/>
    <dgm:txFillClrLst meth="repeat">
      <a:schemeClr val="tx1"/>
    </dgm:txFillClrLst>
    <dgm:txEffectClrLst/>
  </dgm:styleLbl>
  <dgm:styleLbl name="callout">
    <dgm:fillClrLst meth="repeat">
      <a:schemeClr val="accent6"/>
    </dgm:fillClrLst>
    <dgm:linClrLst meth="repeat">
      <a:schemeClr val="accent6">
        <a:tint val="50000"/>
      </a:schemeClr>
    </dgm:linClrLst>
    <dgm:effectClrLst/>
    <dgm:txLinClrLst/>
    <dgm:txFillClrLst meth="repeat">
      <a:schemeClr val="tx1"/>
    </dgm:txFillClrLst>
    <dgm:txEffectClrLst/>
  </dgm:styleLbl>
  <dgm:styleLbl name="asst0">
    <dgm:fillClrLst meth="repeat">
      <a:schemeClr val="accent6"/>
    </dgm:fillClrLst>
    <dgm:linClrLst meth="repeat">
      <a:schemeClr val="lt1"/>
    </dgm:linClrLst>
    <dgm:effectClrLst/>
    <dgm:txLinClrLst/>
    <dgm:txFillClrLst/>
    <dgm:txEffectClrLst/>
  </dgm:styleLbl>
  <dgm:styleLbl name="asst1">
    <dgm:fillClrLst meth="repeat">
      <a:schemeClr val="accent6"/>
    </dgm:fillClrLst>
    <dgm:linClrLst meth="repeat">
      <a:schemeClr val="lt1"/>
    </dgm:linClrLst>
    <dgm:effectClrLst/>
    <dgm:txLinClrLst/>
    <dgm:txFillClrLst/>
    <dgm:txEffectClrLst/>
  </dgm:styleLbl>
  <dgm:styleLbl name="asst2">
    <dgm:fillClrLst meth="repeat">
      <a:schemeClr val="accent6"/>
    </dgm:fillClrLst>
    <dgm:linClrLst meth="repeat">
      <a:schemeClr val="lt1"/>
    </dgm:linClrLst>
    <dgm:effectClrLst/>
    <dgm:txLinClrLst/>
    <dgm:txFillClrLst/>
    <dgm:txEffectClrLst/>
  </dgm:styleLbl>
  <dgm:styleLbl name="asst3">
    <dgm:fillClrLst meth="repeat">
      <a:schemeClr val="accent6"/>
    </dgm:fillClrLst>
    <dgm:linClrLst meth="repeat">
      <a:schemeClr val="lt1"/>
    </dgm:linClrLst>
    <dgm:effectClrLst/>
    <dgm:txLinClrLst/>
    <dgm:txFillClrLst/>
    <dgm:txEffectClrLst/>
  </dgm:styleLbl>
  <dgm:styleLbl name="asst4">
    <dgm:fillClrLst meth="repeat">
      <a:schemeClr val="accent6"/>
    </dgm:fillClrLst>
    <dgm:linClrLst meth="repeat">
      <a:schemeClr val="lt1"/>
    </dgm:linClrLst>
    <dgm:effectClrLst/>
    <dgm:txLinClrLst/>
    <dgm:txFillClrLst/>
    <dgm:txEffectClrLst/>
  </dgm:styleLbl>
  <dgm:styleLbl name="parChTrans2D1">
    <dgm:fillClrLst meth="repeat">
      <a:schemeClr val="accent6">
        <a:tint val="60000"/>
      </a:schemeClr>
    </dgm:fillClrLst>
    <dgm:linClrLst meth="repeat">
      <a:schemeClr val="accent6">
        <a:tint val="60000"/>
      </a:schemeClr>
    </dgm:linClrLst>
    <dgm:effectClrLst/>
    <dgm:txLinClrLst/>
    <dgm:txFillClrLst meth="repeat">
      <a:schemeClr val="lt1"/>
    </dgm:txFillClrLst>
    <dgm:txEffectClrLst/>
  </dgm:styleLbl>
  <dgm:styleLbl name="parChTrans2D2">
    <dgm:fillClrLst meth="repeat">
      <a:schemeClr val="accent6"/>
    </dgm:fillClrLst>
    <dgm:linClrLst meth="repeat">
      <a:schemeClr val="accent6"/>
    </dgm:linClrLst>
    <dgm:effectClrLst/>
    <dgm:txLinClrLst/>
    <dgm:txFillClrLst meth="repeat">
      <a:schemeClr val="lt1"/>
    </dgm:txFillClrLst>
    <dgm:txEffectClrLst/>
  </dgm:styleLbl>
  <dgm:styleLbl name="parChTrans2D3">
    <dgm:fillClrLst meth="repeat">
      <a:schemeClr val="accent6"/>
    </dgm:fillClrLst>
    <dgm:linClrLst meth="repeat">
      <a:schemeClr val="accent6"/>
    </dgm:linClrLst>
    <dgm:effectClrLst/>
    <dgm:txLinClrLst/>
    <dgm:txFillClrLst meth="repeat">
      <a:schemeClr val="lt1"/>
    </dgm:txFillClrLst>
    <dgm:txEffectClrLst/>
  </dgm:styleLbl>
  <dgm:styleLbl name="parChTrans2D4">
    <dgm:fillClrLst meth="repeat">
      <a:schemeClr val="accent6"/>
    </dgm:fillClrLst>
    <dgm:linClrLst meth="repeat">
      <a:schemeClr val="accent6"/>
    </dgm:linClrLst>
    <dgm:effectClrLst/>
    <dgm:txLinClrLst/>
    <dgm:txFillClrLst meth="repeat">
      <a:schemeClr val="lt1"/>
    </dgm:txFillClrLst>
    <dgm:txEffectClrLst/>
  </dgm:styleLbl>
  <dgm:styleLbl name="parChTrans1D1">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2">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3">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parChTrans1D4">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6"/>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align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bg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accent6"/>
    </dgm:linClrLst>
    <dgm:effectClrLst/>
    <dgm:txLinClrLst/>
    <dgm:txFillClrLst meth="repeat">
      <a:schemeClr val="dk1"/>
    </dgm:txFillClrLst>
    <dgm:txEffectClrLst/>
  </dgm:styleLbl>
  <dgm:styleLbl name="dkBgShp">
    <dgm:fillClrLst meth="repeat">
      <a:schemeClr val="accent6">
        <a:shade val="80000"/>
      </a:schemeClr>
    </dgm:fillClrLst>
    <dgm:linClrLst meth="repeat">
      <a:schemeClr val="accent6"/>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D0F33D3-B5B6-46CD-86D5-DF4E3FE30F91}" type="doc">
      <dgm:prSet loTypeId="urn:microsoft.com/office/officeart/2005/8/layout/cycle6" loCatId="cycle" qsTypeId="urn:microsoft.com/office/officeart/2005/8/quickstyle/simple1" qsCatId="simple" csTypeId="urn:microsoft.com/office/officeart/2005/8/colors/accent6_2" csCatId="accent6" phldr="1"/>
      <dgm:spPr/>
      <dgm:t>
        <a:bodyPr/>
        <a:lstStyle/>
        <a:p>
          <a:endParaRPr lang="uk-UA"/>
        </a:p>
      </dgm:t>
    </dgm:pt>
    <dgm:pt modelId="{AE42B143-E202-441B-8785-DC9E4DB3281E}">
      <dgm:prSet phldrT="[Текст]"/>
      <dgm:spPr/>
      <dgm:t>
        <a:bodyPr/>
        <a:lstStyle/>
        <a:p>
          <a:r>
            <a:rPr lang="en-US"/>
            <a:t>Virtual exchange</a:t>
          </a:r>
          <a:endParaRPr lang="uk-UA"/>
        </a:p>
      </dgm:t>
    </dgm:pt>
    <dgm:pt modelId="{AEFC0DE9-440F-41C2-B0B5-795E02A1B52F}" type="parTrans" cxnId="{45D47DEE-3F64-440A-934D-B45549065A4C}">
      <dgm:prSet/>
      <dgm:spPr/>
      <dgm:t>
        <a:bodyPr/>
        <a:lstStyle/>
        <a:p>
          <a:endParaRPr lang="uk-UA"/>
        </a:p>
      </dgm:t>
    </dgm:pt>
    <dgm:pt modelId="{7439AE26-B07C-45E8-B5B2-62636B1CBADF}" type="sibTrans" cxnId="{45D47DEE-3F64-440A-934D-B45549065A4C}">
      <dgm:prSet/>
      <dgm:spPr/>
      <dgm:t>
        <a:bodyPr/>
        <a:lstStyle/>
        <a:p>
          <a:endParaRPr lang="uk-UA"/>
        </a:p>
      </dgm:t>
    </dgm:pt>
    <dgm:pt modelId="{8A12F65F-9AAF-4B21-A594-462ED3DA8DA6}">
      <dgm:prSet phldrT="[Текст]"/>
      <dgm:spPr/>
      <dgm:t>
        <a:bodyPr/>
        <a:lstStyle/>
        <a:p>
          <a:r>
            <a:rPr lang="en-US"/>
            <a:t>Telecollaboration</a:t>
          </a:r>
          <a:endParaRPr lang="uk-UA"/>
        </a:p>
      </dgm:t>
    </dgm:pt>
    <dgm:pt modelId="{E2C190C0-3E28-435A-95A7-E0BBBF5B4622}" type="parTrans" cxnId="{E21E52E4-61D9-481F-AC1A-A5FDE97CB042}">
      <dgm:prSet/>
      <dgm:spPr/>
      <dgm:t>
        <a:bodyPr/>
        <a:lstStyle/>
        <a:p>
          <a:endParaRPr lang="uk-UA"/>
        </a:p>
      </dgm:t>
    </dgm:pt>
    <dgm:pt modelId="{8C2DC4D1-30CB-4BC4-8EE2-AD77D80D3ABB}" type="sibTrans" cxnId="{E21E52E4-61D9-481F-AC1A-A5FDE97CB042}">
      <dgm:prSet/>
      <dgm:spPr/>
      <dgm:t>
        <a:bodyPr/>
        <a:lstStyle/>
        <a:p>
          <a:endParaRPr lang="uk-UA"/>
        </a:p>
      </dgm:t>
    </dgm:pt>
    <dgm:pt modelId="{9D01849B-936F-43EE-9588-CA7091AED706}">
      <dgm:prSet phldrT="[Текст]"/>
      <dgm:spPr/>
      <dgm:t>
        <a:bodyPr/>
        <a:lstStyle/>
        <a:p>
          <a:r>
            <a:rPr lang="en-US"/>
            <a:t>Online Intercultural Exchange</a:t>
          </a:r>
          <a:endParaRPr lang="uk-UA"/>
        </a:p>
      </dgm:t>
    </dgm:pt>
    <dgm:pt modelId="{790891FE-01CD-49FC-9235-3BA99C3245CE}" type="parTrans" cxnId="{9A2162EC-BDB5-4C6A-A18A-0D6DA106A1B0}">
      <dgm:prSet/>
      <dgm:spPr/>
      <dgm:t>
        <a:bodyPr/>
        <a:lstStyle/>
        <a:p>
          <a:endParaRPr lang="uk-UA"/>
        </a:p>
      </dgm:t>
    </dgm:pt>
    <dgm:pt modelId="{03822D67-44AB-4AE8-8DDB-3771367C3747}" type="sibTrans" cxnId="{9A2162EC-BDB5-4C6A-A18A-0D6DA106A1B0}">
      <dgm:prSet/>
      <dgm:spPr/>
      <dgm:t>
        <a:bodyPr/>
        <a:lstStyle/>
        <a:p>
          <a:endParaRPr lang="uk-UA"/>
        </a:p>
      </dgm:t>
    </dgm:pt>
    <dgm:pt modelId="{8AAFAA5B-E2D6-48AC-B173-E0ACD3ADEBE7}">
      <dgm:prSet phldrT="[Текст]"/>
      <dgm:spPr/>
      <dgm:t>
        <a:bodyPr/>
        <a:lstStyle/>
        <a:p>
          <a:r>
            <a:rPr lang="en-US"/>
            <a:t>Global Virtual Teams</a:t>
          </a:r>
          <a:endParaRPr lang="uk-UA"/>
        </a:p>
      </dgm:t>
    </dgm:pt>
    <dgm:pt modelId="{0DE20228-56F6-475B-8833-B7F81D9265B3}" type="parTrans" cxnId="{B7603CD3-FB08-4E1A-95BC-E79ABACD54E5}">
      <dgm:prSet/>
      <dgm:spPr/>
      <dgm:t>
        <a:bodyPr/>
        <a:lstStyle/>
        <a:p>
          <a:endParaRPr lang="uk-UA"/>
        </a:p>
      </dgm:t>
    </dgm:pt>
    <dgm:pt modelId="{5533F501-B9B0-41ED-AF10-2D2C51A6401B}" type="sibTrans" cxnId="{B7603CD3-FB08-4E1A-95BC-E79ABACD54E5}">
      <dgm:prSet/>
      <dgm:spPr/>
      <dgm:t>
        <a:bodyPr/>
        <a:lstStyle/>
        <a:p>
          <a:endParaRPr lang="uk-UA"/>
        </a:p>
      </dgm:t>
    </dgm:pt>
    <dgm:pt modelId="{13FBC337-FE35-4C64-96E6-579BAEA5077D}">
      <dgm:prSet phldrT="[Текст]"/>
      <dgm:spPr/>
      <dgm:t>
        <a:bodyPr/>
        <a:lstStyle/>
        <a:p>
          <a:r>
            <a:rPr lang="en-US"/>
            <a:t>E-Tandem</a:t>
          </a:r>
          <a:endParaRPr lang="uk-UA"/>
        </a:p>
      </dgm:t>
    </dgm:pt>
    <dgm:pt modelId="{F094B558-4368-454B-8B3A-250765F4467C}" type="parTrans" cxnId="{E108A318-05A8-4B3F-A38B-F8D2A11C3F35}">
      <dgm:prSet/>
      <dgm:spPr/>
      <dgm:t>
        <a:bodyPr/>
        <a:lstStyle/>
        <a:p>
          <a:endParaRPr lang="uk-UA"/>
        </a:p>
      </dgm:t>
    </dgm:pt>
    <dgm:pt modelId="{7E3ED053-5713-4025-8DD5-4F360833EB19}" type="sibTrans" cxnId="{E108A318-05A8-4B3F-A38B-F8D2A11C3F35}">
      <dgm:prSet/>
      <dgm:spPr/>
      <dgm:t>
        <a:bodyPr/>
        <a:lstStyle/>
        <a:p>
          <a:endParaRPr lang="uk-UA"/>
        </a:p>
      </dgm:t>
    </dgm:pt>
    <dgm:pt modelId="{0EB9D96E-2A77-4AC5-96EF-A4773739D482}">
      <dgm:prSet/>
      <dgm:spPr/>
      <dgm:t>
        <a:bodyPr/>
        <a:lstStyle/>
        <a:p>
          <a:r>
            <a:rPr lang="en-US"/>
            <a:t>COIL</a:t>
          </a:r>
          <a:endParaRPr lang="uk-UA"/>
        </a:p>
      </dgm:t>
    </dgm:pt>
    <dgm:pt modelId="{F2D376D1-DEC7-44FE-ADB9-FC7544580B47}" type="parTrans" cxnId="{37EAC538-0127-4CA2-9CC0-B23D223E3A9D}">
      <dgm:prSet/>
      <dgm:spPr/>
      <dgm:t>
        <a:bodyPr/>
        <a:lstStyle/>
        <a:p>
          <a:endParaRPr lang="uk-UA"/>
        </a:p>
      </dgm:t>
    </dgm:pt>
    <dgm:pt modelId="{35B18B4E-2FA6-4145-AD96-95C7E0CBAE19}" type="sibTrans" cxnId="{37EAC538-0127-4CA2-9CC0-B23D223E3A9D}">
      <dgm:prSet/>
      <dgm:spPr/>
      <dgm:t>
        <a:bodyPr/>
        <a:lstStyle/>
        <a:p>
          <a:endParaRPr lang="uk-UA"/>
        </a:p>
      </dgm:t>
    </dgm:pt>
    <dgm:pt modelId="{26BA2B9E-6430-4BF5-9F45-2AA469E3C901}">
      <dgm:prSet/>
      <dgm:spPr/>
      <dgm:t>
        <a:bodyPr/>
        <a:lstStyle/>
        <a:p>
          <a:r>
            <a:rPr lang="en-US"/>
            <a:t>Globally-Networked Learning Environments</a:t>
          </a:r>
          <a:endParaRPr lang="uk-UA"/>
        </a:p>
      </dgm:t>
    </dgm:pt>
    <dgm:pt modelId="{2F5A77A5-5166-4D1F-BB9D-0BDD33F6C0A8}" type="parTrans" cxnId="{496EE726-8504-4348-8B90-ED9450500B42}">
      <dgm:prSet/>
      <dgm:spPr/>
      <dgm:t>
        <a:bodyPr/>
        <a:lstStyle/>
        <a:p>
          <a:endParaRPr lang="uk-UA"/>
        </a:p>
      </dgm:t>
    </dgm:pt>
    <dgm:pt modelId="{E0339764-7F01-44A8-8E44-CEA5A999AE7B}" type="sibTrans" cxnId="{496EE726-8504-4348-8B90-ED9450500B42}">
      <dgm:prSet/>
      <dgm:spPr/>
      <dgm:t>
        <a:bodyPr/>
        <a:lstStyle/>
        <a:p>
          <a:endParaRPr lang="uk-UA"/>
        </a:p>
      </dgm:t>
    </dgm:pt>
    <dgm:pt modelId="{DD2ABBFA-CC6A-4021-AF37-20A5C0236D7C}" type="pres">
      <dgm:prSet presAssocID="{0D0F33D3-B5B6-46CD-86D5-DF4E3FE30F91}" presName="cycle" presStyleCnt="0">
        <dgm:presLayoutVars>
          <dgm:dir/>
          <dgm:resizeHandles val="exact"/>
        </dgm:presLayoutVars>
      </dgm:prSet>
      <dgm:spPr/>
    </dgm:pt>
    <dgm:pt modelId="{73FFD271-5B2F-4452-85A3-83C98C423DA8}" type="pres">
      <dgm:prSet presAssocID="{AE42B143-E202-441B-8785-DC9E4DB3281E}" presName="node" presStyleLbl="node1" presStyleIdx="0" presStyleCnt="7">
        <dgm:presLayoutVars>
          <dgm:bulletEnabled val="1"/>
        </dgm:presLayoutVars>
      </dgm:prSet>
      <dgm:spPr/>
      <dgm:t>
        <a:bodyPr/>
        <a:lstStyle/>
        <a:p>
          <a:endParaRPr lang="uk-UA"/>
        </a:p>
      </dgm:t>
    </dgm:pt>
    <dgm:pt modelId="{14D0BA69-C85E-4351-A093-CB1C125BFA10}" type="pres">
      <dgm:prSet presAssocID="{AE42B143-E202-441B-8785-DC9E4DB3281E}" presName="spNode" presStyleCnt="0"/>
      <dgm:spPr/>
    </dgm:pt>
    <dgm:pt modelId="{24A4768D-869A-4761-BFBC-1A89601CCF87}" type="pres">
      <dgm:prSet presAssocID="{7439AE26-B07C-45E8-B5B2-62636B1CBADF}" presName="sibTrans" presStyleLbl="sibTrans1D1" presStyleIdx="0" presStyleCnt="7"/>
      <dgm:spPr/>
    </dgm:pt>
    <dgm:pt modelId="{DF8DB7E8-F712-4302-AA61-EEB715D3FFAA}" type="pres">
      <dgm:prSet presAssocID="{8A12F65F-9AAF-4B21-A594-462ED3DA8DA6}" presName="node" presStyleLbl="node1" presStyleIdx="1" presStyleCnt="7">
        <dgm:presLayoutVars>
          <dgm:bulletEnabled val="1"/>
        </dgm:presLayoutVars>
      </dgm:prSet>
      <dgm:spPr/>
    </dgm:pt>
    <dgm:pt modelId="{E96364F6-7863-4963-839D-C36E22939AAE}" type="pres">
      <dgm:prSet presAssocID="{8A12F65F-9AAF-4B21-A594-462ED3DA8DA6}" presName="spNode" presStyleCnt="0"/>
      <dgm:spPr/>
    </dgm:pt>
    <dgm:pt modelId="{1B8CF108-EE3B-45AE-86C2-7824EA99F94C}" type="pres">
      <dgm:prSet presAssocID="{8C2DC4D1-30CB-4BC4-8EE2-AD77D80D3ABB}" presName="sibTrans" presStyleLbl="sibTrans1D1" presStyleIdx="1" presStyleCnt="7"/>
      <dgm:spPr/>
    </dgm:pt>
    <dgm:pt modelId="{2B193B7E-8545-43A8-87FB-5238F7DAFE3F}" type="pres">
      <dgm:prSet presAssocID="{9D01849B-936F-43EE-9588-CA7091AED706}" presName="node" presStyleLbl="node1" presStyleIdx="2" presStyleCnt="7">
        <dgm:presLayoutVars>
          <dgm:bulletEnabled val="1"/>
        </dgm:presLayoutVars>
      </dgm:prSet>
      <dgm:spPr/>
      <dgm:t>
        <a:bodyPr/>
        <a:lstStyle/>
        <a:p>
          <a:endParaRPr lang="uk-UA"/>
        </a:p>
      </dgm:t>
    </dgm:pt>
    <dgm:pt modelId="{3A63E95E-5C91-48CE-A8CE-2C5EA7FD90E0}" type="pres">
      <dgm:prSet presAssocID="{9D01849B-936F-43EE-9588-CA7091AED706}" presName="spNode" presStyleCnt="0"/>
      <dgm:spPr/>
    </dgm:pt>
    <dgm:pt modelId="{A40B1E87-DE2D-4121-8AD5-B5FBDE96DB75}" type="pres">
      <dgm:prSet presAssocID="{03822D67-44AB-4AE8-8DDB-3771367C3747}" presName="sibTrans" presStyleLbl="sibTrans1D1" presStyleIdx="2" presStyleCnt="7"/>
      <dgm:spPr/>
    </dgm:pt>
    <dgm:pt modelId="{1FEABDB8-8836-41A1-B642-E64B9C6F51B6}" type="pres">
      <dgm:prSet presAssocID="{8AAFAA5B-E2D6-48AC-B173-E0ACD3ADEBE7}" presName="node" presStyleLbl="node1" presStyleIdx="3" presStyleCnt="7">
        <dgm:presLayoutVars>
          <dgm:bulletEnabled val="1"/>
        </dgm:presLayoutVars>
      </dgm:prSet>
      <dgm:spPr/>
    </dgm:pt>
    <dgm:pt modelId="{11F2F559-D2D7-4467-B569-1D8EE04FAC09}" type="pres">
      <dgm:prSet presAssocID="{8AAFAA5B-E2D6-48AC-B173-E0ACD3ADEBE7}" presName="spNode" presStyleCnt="0"/>
      <dgm:spPr/>
    </dgm:pt>
    <dgm:pt modelId="{AD507C75-6FF9-43FA-8B7C-FF5C73F00CD0}" type="pres">
      <dgm:prSet presAssocID="{5533F501-B9B0-41ED-AF10-2D2C51A6401B}" presName="sibTrans" presStyleLbl="sibTrans1D1" presStyleIdx="3" presStyleCnt="7"/>
      <dgm:spPr/>
    </dgm:pt>
    <dgm:pt modelId="{6662C5A4-9783-4FEF-BC0D-383D170E58D9}" type="pres">
      <dgm:prSet presAssocID="{0EB9D96E-2A77-4AC5-96EF-A4773739D482}" presName="node" presStyleLbl="node1" presStyleIdx="4" presStyleCnt="7">
        <dgm:presLayoutVars>
          <dgm:bulletEnabled val="1"/>
        </dgm:presLayoutVars>
      </dgm:prSet>
      <dgm:spPr/>
      <dgm:t>
        <a:bodyPr/>
        <a:lstStyle/>
        <a:p>
          <a:endParaRPr lang="uk-UA"/>
        </a:p>
      </dgm:t>
    </dgm:pt>
    <dgm:pt modelId="{FAF4E6E4-2868-46F1-875F-DE84D8D0A578}" type="pres">
      <dgm:prSet presAssocID="{0EB9D96E-2A77-4AC5-96EF-A4773739D482}" presName="spNode" presStyleCnt="0"/>
      <dgm:spPr/>
    </dgm:pt>
    <dgm:pt modelId="{01D1CE55-0AC4-43AA-997E-4C68BF174EC1}" type="pres">
      <dgm:prSet presAssocID="{35B18B4E-2FA6-4145-AD96-95C7E0CBAE19}" presName="sibTrans" presStyleLbl="sibTrans1D1" presStyleIdx="4" presStyleCnt="7"/>
      <dgm:spPr/>
    </dgm:pt>
    <dgm:pt modelId="{3C03CEC4-A00F-4091-9E9A-E2457F89CBBC}" type="pres">
      <dgm:prSet presAssocID="{26BA2B9E-6430-4BF5-9F45-2AA469E3C901}" presName="node" presStyleLbl="node1" presStyleIdx="5" presStyleCnt="7">
        <dgm:presLayoutVars>
          <dgm:bulletEnabled val="1"/>
        </dgm:presLayoutVars>
      </dgm:prSet>
      <dgm:spPr/>
    </dgm:pt>
    <dgm:pt modelId="{037A5D90-79DB-416D-AEA0-B37CABD823A3}" type="pres">
      <dgm:prSet presAssocID="{26BA2B9E-6430-4BF5-9F45-2AA469E3C901}" presName="spNode" presStyleCnt="0"/>
      <dgm:spPr/>
    </dgm:pt>
    <dgm:pt modelId="{AF3617DD-9A04-4336-B9DF-A257046A83AC}" type="pres">
      <dgm:prSet presAssocID="{E0339764-7F01-44A8-8E44-CEA5A999AE7B}" presName="sibTrans" presStyleLbl="sibTrans1D1" presStyleIdx="5" presStyleCnt="7"/>
      <dgm:spPr/>
    </dgm:pt>
    <dgm:pt modelId="{CB00AA9D-9F11-4508-B0C2-86C33AB610B8}" type="pres">
      <dgm:prSet presAssocID="{13FBC337-FE35-4C64-96E6-579BAEA5077D}" presName="node" presStyleLbl="node1" presStyleIdx="6" presStyleCnt="7">
        <dgm:presLayoutVars>
          <dgm:bulletEnabled val="1"/>
        </dgm:presLayoutVars>
      </dgm:prSet>
      <dgm:spPr/>
    </dgm:pt>
    <dgm:pt modelId="{238C657A-097F-4471-A090-971B3A8F0527}" type="pres">
      <dgm:prSet presAssocID="{13FBC337-FE35-4C64-96E6-579BAEA5077D}" presName="spNode" presStyleCnt="0"/>
      <dgm:spPr/>
    </dgm:pt>
    <dgm:pt modelId="{6423D46F-1006-4D04-A69B-0DC5D89A7497}" type="pres">
      <dgm:prSet presAssocID="{7E3ED053-5713-4025-8DD5-4F360833EB19}" presName="sibTrans" presStyleLbl="sibTrans1D1" presStyleIdx="6" presStyleCnt="7"/>
      <dgm:spPr/>
    </dgm:pt>
  </dgm:ptLst>
  <dgm:cxnLst>
    <dgm:cxn modelId="{98A65331-8CDE-4F6C-BA91-B91E4A6BA6CD}" type="presOf" srcId="{7E3ED053-5713-4025-8DD5-4F360833EB19}" destId="{6423D46F-1006-4D04-A69B-0DC5D89A7497}" srcOrd="0" destOrd="0" presId="urn:microsoft.com/office/officeart/2005/8/layout/cycle6"/>
    <dgm:cxn modelId="{09E2782A-015C-4450-A558-98366E80FFFF}" type="presOf" srcId="{13FBC337-FE35-4C64-96E6-579BAEA5077D}" destId="{CB00AA9D-9F11-4508-B0C2-86C33AB610B8}" srcOrd="0" destOrd="0" presId="urn:microsoft.com/office/officeart/2005/8/layout/cycle6"/>
    <dgm:cxn modelId="{E108A318-05A8-4B3F-A38B-F8D2A11C3F35}" srcId="{0D0F33D3-B5B6-46CD-86D5-DF4E3FE30F91}" destId="{13FBC337-FE35-4C64-96E6-579BAEA5077D}" srcOrd="6" destOrd="0" parTransId="{F094B558-4368-454B-8B3A-250765F4467C}" sibTransId="{7E3ED053-5713-4025-8DD5-4F360833EB19}"/>
    <dgm:cxn modelId="{F4A513B2-161B-429C-AF3C-A0483C91F166}" type="presOf" srcId="{8C2DC4D1-30CB-4BC4-8EE2-AD77D80D3ABB}" destId="{1B8CF108-EE3B-45AE-86C2-7824EA99F94C}" srcOrd="0" destOrd="0" presId="urn:microsoft.com/office/officeart/2005/8/layout/cycle6"/>
    <dgm:cxn modelId="{09E3AE8F-C6B4-48F9-8F66-0D4DFCAFB461}" type="presOf" srcId="{0D0F33D3-B5B6-46CD-86D5-DF4E3FE30F91}" destId="{DD2ABBFA-CC6A-4021-AF37-20A5C0236D7C}" srcOrd="0" destOrd="0" presId="urn:microsoft.com/office/officeart/2005/8/layout/cycle6"/>
    <dgm:cxn modelId="{45D47DEE-3F64-440A-934D-B45549065A4C}" srcId="{0D0F33D3-B5B6-46CD-86D5-DF4E3FE30F91}" destId="{AE42B143-E202-441B-8785-DC9E4DB3281E}" srcOrd="0" destOrd="0" parTransId="{AEFC0DE9-440F-41C2-B0B5-795E02A1B52F}" sibTransId="{7439AE26-B07C-45E8-B5B2-62636B1CBADF}"/>
    <dgm:cxn modelId="{80A43BE6-CC91-4C98-819F-50EB3C3BEBB0}" type="presOf" srcId="{7439AE26-B07C-45E8-B5B2-62636B1CBADF}" destId="{24A4768D-869A-4761-BFBC-1A89601CCF87}" srcOrd="0" destOrd="0" presId="urn:microsoft.com/office/officeart/2005/8/layout/cycle6"/>
    <dgm:cxn modelId="{306D1F8C-B527-4B72-869D-086416049BF0}" type="presOf" srcId="{8AAFAA5B-E2D6-48AC-B173-E0ACD3ADEBE7}" destId="{1FEABDB8-8836-41A1-B642-E64B9C6F51B6}" srcOrd="0" destOrd="0" presId="urn:microsoft.com/office/officeart/2005/8/layout/cycle6"/>
    <dgm:cxn modelId="{F183C778-E950-43C1-9C6F-0BB657CC98F0}" type="presOf" srcId="{35B18B4E-2FA6-4145-AD96-95C7E0CBAE19}" destId="{01D1CE55-0AC4-43AA-997E-4C68BF174EC1}" srcOrd="0" destOrd="0" presId="urn:microsoft.com/office/officeart/2005/8/layout/cycle6"/>
    <dgm:cxn modelId="{6AE5F6A9-31AC-4E68-9747-55E42A498AB4}" type="presOf" srcId="{8A12F65F-9AAF-4B21-A594-462ED3DA8DA6}" destId="{DF8DB7E8-F712-4302-AA61-EEB715D3FFAA}" srcOrd="0" destOrd="0" presId="urn:microsoft.com/office/officeart/2005/8/layout/cycle6"/>
    <dgm:cxn modelId="{45CE2B2A-5412-4F36-8C2C-FEAD12F71525}" type="presOf" srcId="{AE42B143-E202-441B-8785-DC9E4DB3281E}" destId="{73FFD271-5B2F-4452-85A3-83C98C423DA8}" srcOrd="0" destOrd="0" presId="urn:microsoft.com/office/officeart/2005/8/layout/cycle6"/>
    <dgm:cxn modelId="{8C1E95CA-BCB2-4CA1-8B08-2CC5AE198E01}" type="presOf" srcId="{0EB9D96E-2A77-4AC5-96EF-A4773739D482}" destId="{6662C5A4-9783-4FEF-BC0D-383D170E58D9}" srcOrd="0" destOrd="0" presId="urn:microsoft.com/office/officeart/2005/8/layout/cycle6"/>
    <dgm:cxn modelId="{496EE726-8504-4348-8B90-ED9450500B42}" srcId="{0D0F33D3-B5B6-46CD-86D5-DF4E3FE30F91}" destId="{26BA2B9E-6430-4BF5-9F45-2AA469E3C901}" srcOrd="5" destOrd="0" parTransId="{2F5A77A5-5166-4D1F-BB9D-0BDD33F6C0A8}" sibTransId="{E0339764-7F01-44A8-8E44-CEA5A999AE7B}"/>
    <dgm:cxn modelId="{07CA6D22-909E-4B62-9831-9287666202B7}" type="presOf" srcId="{26BA2B9E-6430-4BF5-9F45-2AA469E3C901}" destId="{3C03CEC4-A00F-4091-9E9A-E2457F89CBBC}" srcOrd="0" destOrd="0" presId="urn:microsoft.com/office/officeart/2005/8/layout/cycle6"/>
    <dgm:cxn modelId="{5E64A3D6-4BFA-4DE8-9CA0-B616D520B79F}" type="presOf" srcId="{E0339764-7F01-44A8-8E44-CEA5A999AE7B}" destId="{AF3617DD-9A04-4336-B9DF-A257046A83AC}" srcOrd="0" destOrd="0" presId="urn:microsoft.com/office/officeart/2005/8/layout/cycle6"/>
    <dgm:cxn modelId="{E21E52E4-61D9-481F-AC1A-A5FDE97CB042}" srcId="{0D0F33D3-B5B6-46CD-86D5-DF4E3FE30F91}" destId="{8A12F65F-9AAF-4B21-A594-462ED3DA8DA6}" srcOrd="1" destOrd="0" parTransId="{E2C190C0-3E28-435A-95A7-E0BBBF5B4622}" sibTransId="{8C2DC4D1-30CB-4BC4-8EE2-AD77D80D3ABB}"/>
    <dgm:cxn modelId="{45D3CF55-1A3D-4493-A3B0-3C6725955DFE}" type="presOf" srcId="{03822D67-44AB-4AE8-8DDB-3771367C3747}" destId="{A40B1E87-DE2D-4121-8AD5-B5FBDE96DB75}" srcOrd="0" destOrd="0" presId="urn:microsoft.com/office/officeart/2005/8/layout/cycle6"/>
    <dgm:cxn modelId="{B7603CD3-FB08-4E1A-95BC-E79ABACD54E5}" srcId="{0D0F33D3-B5B6-46CD-86D5-DF4E3FE30F91}" destId="{8AAFAA5B-E2D6-48AC-B173-E0ACD3ADEBE7}" srcOrd="3" destOrd="0" parTransId="{0DE20228-56F6-475B-8833-B7F81D9265B3}" sibTransId="{5533F501-B9B0-41ED-AF10-2D2C51A6401B}"/>
    <dgm:cxn modelId="{E27E9E57-4124-4D95-ABA3-B630C234CAE5}" type="presOf" srcId="{9D01849B-936F-43EE-9588-CA7091AED706}" destId="{2B193B7E-8545-43A8-87FB-5238F7DAFE3F}" srcOrd="0" destOrd="0" presId="urn:microsoft.com/office/officeart/2005/8/layout/cycle6"/>
    <dgm:cxn modelId="{9A2162EC-BDB5-4C6A-A18A-0D6DA106A1B0}" srcId="{0D0F33D3-B5B6-46CD-86D5-DF4E3FE30F91}" destId="{9D01849B-936F-43EE-9588-CA7091AED706}" srcOrd="2" destOrd="0" parTransId="{790891FE-01CD-49FC-9235-3BA99C3245CE}" sibTransId="{03822D67-44AB-4AE8-8DDB-3771367C3747}"/>
    <dgm:cxn modelId="{37EAC538-0127-4CA2-9CC0-B23D223E3A9D}" srcId="{0D0F33D3-B5B6-46CD-86D5-DF4E3FE30F91}" destId="{0EB9D96E-2A77-4AC5-96EF-A4773739D482}" srcOrd="4" destOrd="0" parTransId="{F2D376D1-DEC7-44FE-ADB9-FC7544580B47}" sibTransId="{35B18B4E-2FA6-4145-AD96-95C7E0CBAE19}"/>
    <dgm:cxn modelId="{9EB1AC9D-B2C7-4AB4-8FDB-FA5A1562CC1D}" type="presOf" srcId="{5533F501-B9B0-41ED-AF10-2D2C51A6401B}" destId="{AD507C75-6FF9-43FA-8B7C-FF5C73F00CD0}" srcOrd="0" destOrd="0" presId="urn:microsoft.com/office/officeart/2005/8/layout/cycle6"/>
    <dgm:cxn modelId="{4B588EC1-E1E5-4FF9-AD08-3019393B228F}" type="presParOf" srcId="{DD2ABBFA-CC6A-4021-AF37-20A5C0236D7C}" destId="{73FFD271-5B2F-4452-85A3-83C98C423DA8}" srcOrd="0" destOrd="0" presId="urn:microsoft.com/office/officeart/2005/8/layout/cycle6"/>
    <dgm:cxn modelId="{5640CCC9-9EEC-4A98-BBF9-4B5450EE05EC}" type="presParOf" srcId="{DD2ABBFA-CC6A-4021-AF37-20A5C0236D7C}" destId="{14D0BA69-C85E-4351-A093-CB1C125BFA10}" srcOrd="1" destOrd="0" presId="urn:microsoft.com/office/officeart/2005/8/layout/cycle6"/>
    <dgm:cxn modelId="{B3AE2047-6BC6-4D1D-A0DE-223BD031AD4C}" type="presParOf" srcId="{DD2ABBFA-CC6A-4021-AF37-20A5C0236D7C}" destId="{24A4768D-869A-4761-BFBC-1A89601CCF87}" srcOrd="2" destOrd="0" presId="urn:microsoft.com/office/officeart/2005/8/layout/cycle6"/>
    <dgm:cxn modelId="{8F505FDE-ADDA-4C9A-B4E8-C834D4F9E46C}" type="presParOf" srcId="{DD2ABBFA-CC6A-4021-AF37-20A5C0236D7C}" destId="{DF8DB7E8-F712-4302-AA61-EEB715D3FFAA}" srcOrd="3" destOrd="0" presId="urn:microsoft.com/office/officeart/2005/8/layout/cycle6"/>
    <dgm:cxn modelId="{2217988B-D158-4264-94DF-CC76419E4F6D}" type="presParOf" srcId="{DD2ABBFA-CC6A-4021-AF37-20A5C0236D7C}" destId="{E96364F6-7863-4963-839D-C36E22939AAE}" srcOrd="4" destOrd="0" presId="urn:microsoft.com/office/officeart/2005/8/layout/cycle6"/>
    <dgm:cxn modelId="{29CE38C4-219E-4ECE-B2F8-367CA89BD5F0}" type="presParOf" srcId="{DD2ABBFA-CC6A-4021-AF37-20A5C0236D7C}" destId="{1B8CF108-EE3B-45AE-86C2-7824EA99F94C}" srcOrd="5" destOrd="0" presId="urn:microsoft.com/office/officeart/2005/8/layout/cycle6"/>
    <dgm:cxn modelId="{95460295-90CE-44CA-8571-735F9B31BDF5}" type="presParOf" srcId="{DD2ABBFA-CC6A-4021-AF37-20A5C0236D7C}" destId="{2B193B7E-8545-43A8-87FB-5238F7DAFE3F}" srcOrd="6" destOrd="0" presId="urn:microsoft.com/office/officeart/2005/8/layout/cycle6"/>
    <dgm:cxn modelId="{22363F76-F92D-447C-BE19-46B0E83B45E5}" type="presParOf" srcId="{DD2ABBFA-CC6A-4021-AF37-20A5C0236D7C}" destId="{3A63E95E-5C91-48CE-A8CE-2C5EA7FD90E0}" srcOrd="7" destOrd="0" presId="urn:microsoft.com/office/officeart/2005/8/layout/cycle6"/>
    <dgm:cxn modelId="{F4C44A77-5E1A-4C98-A93A-5638826573FB}" type="presParOf" srcId="{DD2ABBFA-CC6A-4021-AF37-20A5C0236D7C}" destId="{A40B1E87-DE2D-4121-8AD5-B5FBDE96DB75}" srcOrd="8" destOrd="0" presId="urn:microsoft.com/office/officeart/2005/8/layout/cycle6"/>
    <dgm:cxn modelId="{279A7CC4-31E8-4B91-A72B-1261EE13E1A7}" type="presParOf" srcId="{DD2ABBFA-CC6A-4021-AF37-20A5C0236D7C}" destId="{1FEABDB8-8836-41A1-B642-E64B9C6F51B6}" srcOrd="9" destOrd="0" presId="urn:microsoft.com/office/officeart/2005/8/layout/cycle6"/>
    <dgm:cxn modelId="{228D62B5-ACC7-43E0-ACE7-4CA11D6C59D5}" type="presParOf" srcId="{DD2ABBFA-CC6A-4021-AF37-20A5C0236D7C}" destId="{11F2F559-D2D7-4467-B569-1D8EE04FAC09}" srcOrd="10" destOrd="0" presId="urn:microsoft.com/office/officeart/2005/8/layout/cycle6"/>
    <dgm:cxn modelId="{08B693C2-063E-43F6-BE9C-1F2D1C51BCEA}" type="presParOf" srcId="{DD2ABBFA-CC6A-4021-AF37-20A5C0236D7C}" destId="{AD507C75-6FF9-43FA-8B7C-FF5C73F00CD0}" srcOrd="11" destOrd="0" presId="urn:microsoft.com/office/officeart/2005/8/layout/cycle6"/>
    <dgm:cxn modelId="{39990D19-7A5E-4A54-86F2-F967B09B1F26}" type="presParOf" srcId="{DD2ABBFA-CC6A-4021-AF37-20A5C0236D7C}" destId="{6662C5A4-9783-4FEF-BC0D-383D170E58D9}" srcOrd="12" destOrd="0" presId="urn:microsoft.com/office/officeart/2005/8/layout/cycle6"/>
    <dgm:cxn modelId="{1BE6C002-FD43-4A3E-903B-1440EE057700}" type="presParOf" srcId="{DD2ABBFA-CC6A-4021-AF37-20A5C0236D7C}" destId="{FAF4E6E4-2868-46F1-875F-DE84D8D0A578}" srcOrd="13" destOrd="0" presId="urn:microsoft.com/office/officeart/2005/8/layout/cycle6"/>
    <dgm:cxn modelId="{6EF00824-E94E-4409-92B8-5FBE7AFFBADC}" type="presParOf" srcId="{DD2ABBFA-CC6A-4021-AF37-20A5C0236D7C}" destId="{01D1CE55-0AC4-43AA-997E-4C68BF174EC1}" srcOrd="14" destOrd="0" presId="urn:microsoft.com/office/officeart/2005/8/layout/cycle6"/>
    <dgm:cxn modelId="{6E23733B-AB3A-447B-ABB7-1D82EA0B9A2C}" type="presParOf" srcId="{DD2ABBFA-CC6A-4021-AF37-20A5C0236D7C}" destId="{3C03CEC4-A00F-4091-9E9A-E2457F89CBBC}" srcOrd="15" destOrd="0" presId="urn:microsoft.com/office/officeart/2005/8/layout/cycle6"/>
    <dgm:cxn modelId="{C2C1347C-FB65-4886-8D69-1401436F589F}" type="presParOf" srcId="{DD2ABBFA-CC6A-4021-AF37-20A5C0236D7C}" destId="{037A5D90-79DB-416D-AEA0-B37CABD823A3}" srcOrd="16" destOrd="0" presId="urn:microsoft.com/office/officeart/2005/8/layout/cycle6"/>
    <dgm:cxn modelId="{AB0FF518-8D5B-4600-A6C4-4117CBF9CC31}" type="presParOf" srcId="{DD2ABBFA-CC6A-4021-AF37-20A5C0236D7C}" destId="{AF3617DD-9A04-4336-B9DF-A257046A83AC}" srcOrd="17" destOrd="0" presId="urn:microsoft.com/office/officeart/2005/8/layout/cycle6"/>
    <dgm:cxn modelId="{D2CB05E1-2C03-4915-9D03-25FCA804BB1B}" type="presParOf" srcId="{DD2ABBFA-CC6A-4021-AF37-20A5C0236D7C}" destId="{CB00AA9D-9F11-4508-B0C2-86C33AB610B8}" srcOrd="18" destOrd="0" presId="urn:microsoft.com/office/officeart/2005/8/layout/cycle6"/>
    <dgm:cxn modelId="{420A0950-DB51-4685-83D4-A7E00AED3CB8}" type="presParOf" srcId="{DD2ABBFA-CC6A-4021-AF37-20A5C0236D7C}" destId="{238C657A-097F-4471-A090-971B3A8F0527}" srcOrd="19" destOrd="0" presId="urn:microsoft.com/office/officeart/2005/8/layout/cycle6"/>
    <dgm:cxn modelId="{5C525448-8065-4B6A-BA59-715E8180860D}" type="presParOf" srcId="{DD2ABBFA-CC6A-4021-AF37-20A5C0236D7C}" destId="{6423D46F-1006-4D04-A69B-0DC5D89A7497}" srcOrd="20" destOrd="0" presId="urn:microsoft.com/office/officeart/2005/8/layout/cycle6"/>
  </dgm:cxnLst>
  <dgm:bg/>
  <dgm:whole/>
  <dgm:extLst>
    <a:ext uri="http://schemas.microsoft.com/office/drawing/2008/diagram">
      <dsp:dataModelExt xmlns:dsp="http://schemas.microsoft.com/office/drawing/2008/diagram" relId="rId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3FFD271-5B2F-4452-85A3-83C98C423DA8}">
      <dsp:nvSpPr>
        <dsp:cNvPr id="0" name=""/>
        <dsp:cNvSpPr/>
      </dsp:nvSpPr>
      <dsp:spPr>
        <a:xfrm>
          <a:off x="2577542" y="1561"/>
          <a:ext cx="841855" cy="547206"/>
        </a:xfrm>
        <a:prstGeom prst="round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n-US" sz="700" kern="1200"/>
            <a:t>Virtual exchange</a:t>
          </a:r>
          <a:endParaRPr lang="uk-UA" sz="700" kern="1200"/>
        </a:p>
      </dsp:txBody>
      <dsp:txXfrm>
        <a:off x="2604254" y="28273"/>
        <a:ext cx="788431" cy="493782"/>
      </dsp:txXfrm>
    </dsp:sp>
    <dsp:sp modelId="{24A4768D-869A-4761-BFBC-1A89601CCF87}">
      <dsp:nvSpPr>
        <dsp:cNvPr id="0" name=""/>
        <dsp:cNvSpPr/>
      </dsp:nvSpPr>
      <dsp:spPr>
        <a:xfrm>
          <a:off x="1436050" y="275165"/>
          <a:ext cx="3124838" cy="3124838"/>
        </a:xfrm>
        <a:custGeom>
          <a:avLst/>
          <a:gdLst/>
          <a:ahLst/>
          <a:cxnLst/>
          <a:rect l="0" t="0" r="0" b="0"/>
          <a:pathLst>
            <a:path>
              <a:moveTo>
                <a:pt x="1988924" y="59340"/>
              </a:moveTo>
              <a:arcTo wR="1562419" hR="1562419" stAng="17150492" swAng="1256933"/>
            </a:path>
          </a:pathLst>
        </a:custGeom>
        <a:noFill/>
        <a:ln w="6350" cap="flat" cmpd="sng" algn="ctr">
          <a:solidFill>
            <a:schemeClr val="accent6">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DF8DB7E8-F712-4302-AA61-EEB715D3FFAA}">
      <dsp:nvSpPr>
        <dsp:cNvPr id="0" name=""/>
        <dsp:cNvSpPr/>
      </dsp:nvSpPr>
      <dsp:spPr>
        <a:xfrm>
          <a:off x="3799090" y="589828"/>
          <a:ext cx="841855" cy="547206"/>
        </a:xfrm>
        <a:prstGeom prst="round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n-US" sz="700" kern="1200"/>
            <a:t>Telecollaboration</a:t>
          </a:r>
          <a:endParaRPr lang="uk-UA" sz="700" kern="1200"/>
        </a:p>
      </dsp:txBody>
      <dsp:txXfrm>
        <a:off x="3825802" y="616540"/>
        <a:ext cx="788431" cy="493782"/>
      </dsp:txXfrm>
    </dsp:sp>
    <dsp:sp modelId="{1B8CF108-EE3B-45AE-86C2-7824EA99F94C}">
      <dsp:nvSpPr>
        <dsp:cNvPr id="0" name=""/>
        <dsp:cNvSpPr/>
      </dsp:nvSpPr>
      <dsp:spPr>
        <a:xfrm>
          <a:off x="1436050" y="275165"/>
          <a:ext cx="3124838" cy="3124838"/>
        </a:xfrm>
        <a:custGeom>
          <a:avLst/>
          <a:gdLst/>
          <a:ahLst/>
          <a:cxnLst/>
          <a:rect l="0" t="0" r="0" b="0"/>
          <a:pathLst>
            <a:path>
              <a:moveTo>
                <a:pt x="2962512" y="868956"/>
              </a:moveTo>
              <a:arcTo wR="1562419" hR="1562419" stAng="20019054" swAng="1726554"/>
            </a:path>
          </a:pathLst>
        </a:custGeom>
        <a:noFill/>
        <a:ln w="6350" cap="flat" cmpd="sng" algn="ctr">
          <a:solidFill>
            <a:schemeClr val="accent6">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2B193B7E-8545-43A8-87FB-5238F7DAFE3F}">
      <dsp:nvSpPr>
        <dsp:cNvPr id="0" name=""/>
        <dsp:cNvSpPr/>
      </dsp:nvSpPr>
      <dsp:spPr>
        <a:xfrm>
          <a:off x="4100788" y="1911651"/>
          <a:ext cx="841855" cy="547206"/>
        </a:xfrm>
        <a:prstGeom prst="round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n-US" sz="700" kern="1200"/>
            <a:t>Online Intercultural Exchange</a:t>
          </a:r>
          <a:endParaRPr lang="uk-UA" sz="700" kern="1200"/>
        </a:p>
      </dsp:txBody>
      <dsp:txXfrm>
        <a:off x="4127500" y="1938363"/>
        <a:ext cx="788431" cy="493782"/>
      </dsp:txXfrm>
    </dsp:sp>
    <dsp:sp modelId="{A40B1E87-DE2D-4121-8AD5-B5FBDE96DB75}">
      <dsp:nvSpPr>
        <dsp:cNvPr id="0" name=""/>
        <dsp:cNvSpPr/>
      </dsp:nvSpPr>
      <dsp:spPr>
        <a:xfrm>
          <a:off x="1436050" y="275165"/>
          <a:ext cx="3124838" cy="3124838"/>
        </a:xfrm>
        <a:custGeom>
          <a:avLst/>
          <a:gdLst/>
          <a:ahLst/>
          <a:cxnLst/>
          <a:rect l="0" t="0" r="0" b="0"/>
          <a:pathLst>
            <a:path>
              <a:moveTo>
                <a:pt x="2993505" y="2189431"/>
              </a:moveTo>
              <a:arcTo wR="1562419" hR="1562419" stAng="1419600" swAng="1359023"/>
            </a:path>
          </a:pathLst>
        </a:custGeom>
        <a:noFill/>
        <a:ln w="6350" cap="flat" cmpd="sng" algn="ctr">
          <a:solidFill>
            <a:schemeClr val="accent6">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1FEABDB8-8836-41A1-B642-E64B9C6F51B6}">
      <dsp:nvSpPr>
        <dsp:cNvPr id="0" name=""/>
        <dsp:cNvSpPr/>
      </dsp:nvSpPr>
      <dsp:spPr>
        <a:xfrm>
          <a:off x="3255450" y="2971671"/>
          <a:ext cx="841855" cy="547206"/>
        </a:xfrm>
        <a:prstGeom prst="round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n-US" sz="700" kern="1200"/>
            <a:t>Global Virtual Teams</a:t>
          </a:r>
          <a:endParaRPr lang="uk-UA" sz="700" kern="1200"/>
        </a:p>
      </dsp:txBody>
      <dsp:txXfrm>
        <a:off x="3282162" y="2998383"/>
        <a:ext cx="788431" cy="493782"/>
      </dsp:txXfrm>
    </dsp:sp>
    <dsp:sp modelId="{AD507C75-6FF9-43FA-8B7C-FF5C73F00CD0}">
      <dsp:nvSpPr>
        <dsp:cNvPr id="0" name=""/>
        <dsp:cNvSpPr/>
      </dsp:nvSpPr>
      <dsp:spPr>
        <a:xfrm>
          <a:off x="1436050" y="275165"/>
          <a:ext cx="3124838" cy="3124838"/>
        </a:xfrm>
        <a:custGeom>
          <a:avLst/>
          <a:gdLst/>
          <a:ahLst/>
          <a:cxnLst/>
          <a:rect l="0" t="0" r="0" b="0"/>
          <a:pathLst>
            <a:path>
              <a:moveTo>
                <a:pt x="1814328" y="3104396"/>
              </a:moveTo>
              <a:arcTo wR="1562419" hR="1562419" stAng="4843301" swAng="1113398"/>
            </a:path>
          </a:pathLst>
        </a:custGeom>
        <a:noFill/>
        <a:ln w="6350" cap="flat" cmpd="sng" algn="ctr">
          <a:solidFill>
            <a:schemeClr val="accent6">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6662C5A4-9783-4FEF-BC0D-383D170E58D9}">
      <dsp:nvSpPr>
        <dsp:cNvPr id="0" name=""/>
        <dsp:cNvSpPr/>
      </dsp:nvSpPr>
      <dsp:spPr>
        <a:xfrm>
          <a:off x="1899633" y="2971671"/>
          <a:ext cx="841855" cy="547206"/>
        </a:xfrm>
        <a:prstGeom prst="round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n-US" sz="700" kern="1200"/>
            <a:t>COIL</a:t>
          </a:r>
          <a:endParaRPr lang="uk-UA" sz="700" kern="1200"/>
        </a:p>
      </dsp:txBody>
      <dsp:txXfrm>
        <a:off x="1926345" y="2998383"/>
        <a:ext cx="788431" cy="493782"/>
      </dsp:txXfrm>
    </dsp:sp>
    <dsp:sp modelId="{01D1CE55-0AC4-43AA-997E-4C68BF174EC1}">
      <dsp:nvSpPr>
        <dsp:cNvPr id="0" name=""/>
        <dsp:cNvSpPr/>
      </dsp:nvSpPr>
      <dsp:spPr>
        <a:xfrm>
          <a:off x="1436050" y="275165"/>
          <a:ext cx="3124838" cy="3124838"/>
        </a:xfrm>
        <a:custGeom>
          <a:avLst/>
          <a:gdLst/>
          <a:ahLst/>
          <a:cxnLst/>
          <a:rect l="0" t="0" r="0" b="0"/>
          <a:pathLst>
            <a:path>
              <a:moveTo>
                <a:pt x="483176" y="2692192"/>
              </a:moveTo>
              <a:arcTo wR="1562419" hR="1562419" stAng="8021376" swAng="1359023"/>
            </a:path>
          </a:pathLst>
        </a:custGeom>
        <a:noFill/>
        <a:ln w="6350" cap="flat" cmpd="sng" algn="ctr">
          <a:solidFill>
            <a:schemeClr val="accent6">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3C03CEC4-A00F-4091-9E9A-E2457F89CBBC}">
      <dsp:nvSpPr>
        <dsp:cNvPr id="0" name=""/>
        <dsp:cNvSpPr/>
      </dsp:nvSpPr>
      <dsp:spPr>
        <a:xfrm>
          <a:off x="1054296" y="1911651"/>
          <a:ext cx="841855" cy="547206"/>
        </a:xfrm>
        <a:prstGeom prst="round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n-US" sz="700" kern="1200"/>
            <a:t>Globally-Networked Learning Environments</a:t>
          </a:r>
          <a:endParaRPr lang="uk-UA" sz="700" kern="1200"/>
        </a:p>
      </dsp:txBody>
      <dsp:txXfrm>
        <a:off x="1081008" y="1938363"/>
        <a:ext cx="788431" cy="493782"/>
      </dsp:txXfrm>
    </dsp:sp>
    <dsp:sp modelId="{AF3617DD-9A04-4336-B9DF-A257046A83AC}">
      <dsp:nvSpPr>
        <dsp:cNvPr id="0" name=""/>
        <dsp:cNvSpPr/>
      </dsp:nvSpPr>
      <dsp:spPr>
        <a:xfrm>
          <a:off x="1436050" y="275165"/>
          <a:ext cx="3124838" cy="3124838"/>
        </a:xfrm>
        <a:custGeom>
          <a:avLst/>
          <a:gdLst/>
          <a:ahLst/>
          <a:cxnLst/>
          <a:rect l="0" t="0" r="0" b="0"/>
          <a:pathLst>
            <a:path>
              <a:moveTo>
                <a:pt x="1401" y="1628576"/>
              </a:moveTo>
              <a:arcTo wR="1562419" hR="1562419" stAng="10654391" swAng="1726554"/>
            </a:path>
          </a:pathLst>
        </a:custGeom>
        <a:noFill/>
        <a:ln w="6350" cap="flat" cmpd="sng" algn="ctr">
          <a:solidFill>
            <a:schemeClr val="accent6">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CB00AA9D-9F11-4508-B0C2-86C33AB610B8}">
      <dsp:nvSpPr>
        <dsp:cNvPr id="0" name=""/>
        <dsp:cNvSpPr/>
      </dsp:nvSpPr>
      <dsp:spPr>
        <a:xfrm>
          <a:off x="1355993" y="589828"/>
          <a:ext cx="841855" cy="547206"/>
        </a:xfrm>
        <a:prstGeom prst="round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n-US" sz="700" kern="1200"/>
            <a:t>E-Tandem</a:t>
          </a:r>
          <a:endParaRPr lang="uk-UA" sz="700" kern="1200"/>
        </a:p>
      </dsp:txBody>
      <dsp:txXfrm>
        <a:off x="1382705" y="616540"/>
        <a:ext cx="788431" cy="493782"/>
      </dsp:txXfrm>
    </dsp:sp>
    <dsp:sp modelId="{6423D46F-1006-4D04-A69B-0DC5D89A7497}">
      <dsp:nvSpPr>
        <dsp:cNvPr id="0" name=""/>
        <dsp:cNvSpPr/>
      </dsp:nvSpPr>
      <dsp:spPr>
        <a:xfrm>
          <a:off x="1436050" y="275165"/>
          <a:ext cx="3124838" cy="3124838"/>
        </a:xfrm>
        <a:custGeom>
          <a:avLst/>
          <a:gdLst/>
          <a:ahLst/>
          <a:cxnLst/>
          <a:rect l="0" t="0" r="0" b="0"/>
          <a:pathLst>
            <a:path>
              <a:moveTo>
                <a:pt x="626702" y="311184"/>
              </a:moveTo>
              <a:arcTo wR="1562419" hR="1562419" stAng="13992575" swAng="1256933"/>
            </a:path>
          </a:pathLst>
        </a:custGeom>
        <a:noFill/>
        <a:ln w="6350" cap="flat" cmpd="sng" algn="ctr">
          <a:solidFill>
            <a:schemeClr val="accent6">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cycle6">
  <dgm:title val=""/>
  <dgm:desc val=""/>
  <dgm:catLst>
    <dgm:cat type="cycle" pri="4000"/>
    <dgm:cat type="relationship" pri="24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param type="endSty" val="noArr"/>
              </dgm:alg>
              <dgm:shape xmlns:r="http://schemas.openxmlformats.org/officeDocument/2006/relationships" type="conn" r:blip="">
                <dgm:adjLst/>
              </dgm:shape>
              <dgm:presOf axis="self"/>
              <dgm:constrLst>
                <dgm:constr type="h" refType="w" fact="0.65"/>
                <dgm:constr type="connDist"/>
                <dgm:constr type="begPad" refType="connDist" fact="0.01"/>
                <dgm:constr type="endPad" refType="connDist" fact="0.01"/>
              </dgm:constrLst>
              <dgm:ruleLst/>
            </dgm:layoutNode>
          </dgm:forEach>
        </dgm:if>
        <dgm:else name="Name16"/>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844</TotalTime>
  <Pages>3</Pages>
  <Words>4880</Words>
  <Characters>2782</Characters>
  <Application>Microsoft Office Word</Application>
  <DocSecurity>0</DocSecurity>
  <Lines>23</Lines>
  <Paragraphs>15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7647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Maryna</dc:creator>
  <cp:keywords/>
  <dc:description/>
  <cp:lastModifiedBy>Maryna</cp:lastModifiedBy>
  <cp:revision>7</cp:revision>
  <dcterms:created xsi:type="dcterms:W3CDTF">2023-05-07T05:44:00Z</dcterms:created>
  <dcterms:modified xsi:type="dcterms:W3CDTF">2023-05-08T00:19:00Z</dcterms:modified>
</cp:coreProperties>
</file>