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2CD6" w:rsidRPr="002E2CD6" w:rsidRDefault="002E2CD6" w:rsidP="002E2CD6">
      <w:pPr>
        <w:pStyle w:val="1"/>
        <w:spacing w:before="0"/>
        <w:jc w:val="center"/>
        <w:rPr>
          <w:rFonts w:ascii="Verdana" w:hAnsi="Verdana"/>
          <w:sz w:val="24"/>
          <w:szCs w:val="24"/>
          <w:lang w:val="ru-RU"/>
        </w:rPr>
      </w:pPr>
      <w:bookmarkStart w:id="0" w:name="_Toc352106094"/>
      <w:r w:rsidRPr="002E2CD6">
        <w:rPr>
          <w:rFonts w:ascii="Verdana" w:hAnsi="Verdana"/>
          <w:sz w:val="24"/>
          <w:szCs w:val="24"/>
          <w:lang w:val="ru-RU"/>
        </w:rPr>
        <w:t>Зелений туризм як вид підприємницької діяльності</w:t>
      </w:r>
      <w:bookmarkEnd w:id="0"/>
    </w:p>
    <w:p w:rsidR="002E2CD6" w:rsidRPr="002E2CD6" w:rsidRDefault="002E2CD6" w:rsidP="002E2CD6">
      <w:pPr>
        <w:pStyle w:val="1"/>
        <w:spacing w:before="0"/>
        <w:jc w:val="center"/>
        <w:rPr>
          <w:rFonts w:ascii="Verdana" w:hAnsi="Verdana"/>
          <w:b w:val="0"/>
          <w:sz w:val="22"/>
          <w:szCs w:val="22"/>
          <w:lang w:val="ru-RU"/>
        </w:rPr>
      </w:pPr>
      <w:bookmarkStart w:id="1" w:name="_Toc352106095"/>
      <w:r w:rsidRPr="002E2CD6">
        <w:rPr>
          <w:rFonts w:ascii="Verdana" w:hAnsi="Verdana"/>
          <w:b w:val="0"/>
          <w:sz w:val="22"/>
          <w:szCs w:val="22"/>
          <w:lang w:val="ru-RU"/>
        </w:rPr>
        <w:t>Ткаченко Т.П., Щербань О.В.</w:t>
      </w:r>
      <w:bookmarkEnd w:id="1"/>
    </w:p>
    <w:p w:rsidR="002E2CD6" w:rsidRPr="000275C2" w:rsidRDefault="002E2CD6" w:rsidP="002E2CD6">
      <w:pPr>
        <w:spacing w:after="0" w:line="240" w:lineRule="auto"/>
        <w:jc w:val="center"/>
        <w:rPr>
          <w:rFonts w:ascii="Verdana" w:hAnsi="Verdana"/>
          <w:b/>
        </w:rPr>
      </w:pPr>
      <w:r w:rsidRPr="000275C2">
        <w:rPr>
          <w:rFonts w:ascii="Verdana" w:hAnsi="Verdana"/>
          <w:b/>
        </w:rPr>
        <w:t>Національн</w:t>
      </w:r>
      <w:r w:rsidR="00B8770B">
        <w:rPr>
          <w:rFonts w:ascii="Verdana" w:hAnsi="Verdana"/>
          <w:b/>
        </w:rPr>
        <w:t>и</w:t>
      </w:r>
      <w:r w:rsidRPr="000275C2">
        <w:rPr>
          <w:rFonts w:ascii="Verdana" w:hAnsi="Verdana"/>
          <w:b/>
        </w:rPr>
        <w:t>й технічний університет Україн</w:t>
      </w:r>
      <w:r w:rsidR="00B8770B">
        <w:rPr>
          <w:rFonts w:ascii="Verdana" w:hAnsi="Verdana"/>
          <w:b/>
        </w:rPr>
        <w:t>и</w:t>
      </w:r>
      <w:r w:rsidRPr="000275C2">
        <w:rPr>
          <w:rFonts w:ascii="Verdana" w:hAnsi="Verdana"/>
          <w:b/>
        </w:rPr>
        <w:t xml:space="preserve"> «КПІ»</w:t>
      </w:r>
    </w:p>
    <w:p w:rsidR="002E2CD6" w:rsidRPr="000275C2" w:rsidRDefault="002E2CD6" w:rsidP="002E2CD6">
      <w:pPr>
        <w:spacing w:after="0" w:line="240" w:lineRule="auto"/>
        <w:jc w:val="center"/>
        <w:rPr>
          <w:rFonts w:ascii="Verdana" w:hAnsi="Verdana"/>
          <w:i/>
          <w:lang w:val="fr-FR"/>
        </w:rPr>
      </w:pPr>
      <w:r w:rsidRPr="000275C2">
        <w:rPr>
          <w:rFonts w:ascii="Verdana" w:hAnsi="Verdana"/>
          <w:i/>
          <w:lang w:val="fr-FR"/>
        </w:rPr>
        <w:t xml:space="preserve">E-mail: </w:t>
      </w:r>
      <w:hyperlink r:id="rId7" w:history="1">
        <w:r w:rsidRPr="000275C2">
          <w:rPr>
            <w:rStyle w:val="af4"/>
            <w:rFonts w:ascii="Verdana" w:hAnsi="Verdana"/>
            <w:i/>
            <w:color w:val="auto"/>
            <w:lang w:val="fr-FR"/>
          </w:rPr>
          <w:t>tatvla@yandex.ru</w:t>
        </w:r>
      </w:hyperlink>
      <w:r w:rsidRPr="000275C2">
        <w:rPr>
          <w:rFonts w:ascii="Verdana" w:hAnsi="Verdana"/>
          <w:i/>
          <w:lang w:val="fr-FR"/>
        </w:rPr>
        <w:t xml:space="preserve">, </w:t>
      </w:r>
      <w:hyperlink r:id="rId8" w:history="1">
        <w:r w:rsidRPr="000275C2">
          <w:rPr>
            <w:rStyle w:val="af4"/>
            <w:rFonts w:ascii="Verdana" w:hAnsi="Verdana"/>
            <w:i/>
            <w:color w:val="auto"/>
            <w:lang w:val="fr-FR"/>
          </w:rPr>
          <w:t>molocaine@gmail.com</w:t>
        </w:r>
      </w:hyperlink>
    </w:p>
    <w:p w:rsidR="002E2CD6" w:rsidRPr="000275C2" w:rsidRDefault="002E2CD6" w:rsidP="002E2CD6">
      <w:pPr>
        <w:spacing w:after="0" w:line="240" w:lineRule="auto"/>
        <w:ind w:firstLine="567"/>
        <w:jc w:val="both"/>
        <w:rPr>
          <w:rFonts w:ascii="Verdana" w:hAnsi="Verdana"/>
          <w:sz w:val="18"/>
          <w:szCs w:val="18"/>
        </w:rPr>
      </w:pPr>
      <w:r w:rsidRPr="000275C2">
        <w:rPr>
          <w:rFonts w:ascii="Verdana" w:hAnsi="Verdana"/>
          <w:sz w:val="18"/>
          <w:szCs w:val="18"/>
        </w:rPr>
        <w:t>Стрімкий розвиток науки і техніки та високий рівень індустріалізації дав поштовх для розвитку зеленого туризму. Оскільки люди, втомившись від буденності, прагнуть відпочити біля природи. Розглядаючи статистику Європейського банку реконструкції та розвитку необхідно відмітити, що 35% мешканців країн Європи віддають перевагу відпочинку в приміський місцевості. Третина їде туди через неможливість постійного перебування в місті, 20% віддають перевагу самостійним подорожам і така ж частина має бажання просто провести час на просторах природи.</w:t>
      </w:r>
    </w:p>
    <w:p w:rsidR="002E2CD6" w:rsidRPr="000275C2" w:rsidRDefault="002E2CD6" w:rsidP="002E2CD6">
      <w:pPr>
        <w:spacing w:after="0" w:line="240" w:lineRule="auto"/>
        <w:ind w:firstLine="567"/>
        <w:jc w:val="both"/>
        <w:rPr>
          <w:rFonts w:ascii="Verdana" w:hAnsi="Verdana"/>
          <w:sz w:val="18"/>
          <w:szCs w:val="18"/>
        </w:rPr>
      </w:pPr>
      <w:r w:rsidRPr="000275C2">
        <w:rPr>
          <w:rFonts w:ascii="Verdana" w:hAnsi="Verdana"/>
          <w:sz w:val="18"/>
          <w:szCs w:val="18"/>
        </w:rPr>
        <w:tab/>
        <w:t>В туристичному бізнесі зелений туризм давно визнаний перспективною галуззю, але, незважаючи на це, держава поки що активно не підтримує ланки, що сприяють розвитку зеленого туризму. Наприклад, в Білорусії була розроблена нормативна база для ведення такого виду бізнесу [1].</w:t>
      </w:r>
    </w:p>
    <w:p w:rsidR="002E2CD6" w:rsidRPr="000275C2" w:rsidRDefault="002E2CD6" w:rsidP="002E2CD6">
      <w:pPr>
        <w:spacing w:after="0" w:line="240" w:lineRule="auto"/>
        <w:ind w:firstLine="567"/>
        <w:jc w:val="both"/>
        <w:rPr>
          <w:rFonts w:ascii="Verdana" w:hAnsi="Verdana"/>
          <w:sz w:val="18"/>
          <w:szCs w:val="18"/>
        </w:rPr>
      </w:pPr>
      <w:r w:rsidRPr="000275C2">
        <w:rPr>
          <w:rFonts w:ascii="Verdana" w:hAnsi="Verdana"/>
          <w:sz w:val="18"/>
          <w:szCs w:val="18"/>
        </w:rPr>
        <w:tab/>
        <w:t>В Україні ж підприємці, котрі почали займатися агротуризмом, відразу зіштовхнулись з низкою труднощів, що представляють собою правила обов'язкової сертифікації, накази Держстандарту, постанови Кабміну щодо надання послуг з тимчасового розміщення та ін. Більшість людей, що займаються агротуризмом вирішують робити це в тіні. За даними статистики Державної служби туризму і курортів України налічується більше, ніж 1,5 тисячі офіційно діючих агросадиб. Відповідно можемо зробити висновок в бізнесі задіяно близько одного мільйону людей.</w:t>
      </w:r>
    </w:p>
    <w:p w:rsidR="002E2CD6" w:rsidRPr="000275C2" w:rsidRDefault="002E2CD6" w:rsidP="002E2CD6">
      <w:pPr>
        <w:spacing w:after="0" w:line="240" w:lineRule="auto"/>
        <w:ind w:firstLine="567"/>
        <w:jc w:val="both"/>
        <w:rPr>
          <w:rFonts w:ascii="Verdana" w:hAnsi="Verdana"/>
          <w:sz w:val="18"/>
          <w:szCs w:val="18"/>
        </w:rPr>
      </w:pPr>
      <w:r w:rsidRPr="000275C2">
        <w:rPr>
          <w:rFonts w:ascii="Verdana" w:hAnsi="Verdana"/>
          <w:sz w:val="18"/>
          <w:szCs w:val="18"/>
        </w:rPr>
        <w:tab/>
        <w:t>Зелений туризм активно розвивається у Великобританії, Іспанії, Польщі, США, Фінляндії, Швейцарії, Швеції та інших країнах. За оцінками експертів, із зеленим туризмом пов’язані від 0,5 до 0,9 млн. робочих місць, до послуг туристів в Європі може бути надано більше 2 млн місць розташування в сільських садибах [2]. Прибуток від зеленого туризму досягає 10-20 % загального прибутку туристичної індустрії, що становило у 2008 р. 30 млрд. дол. США, а в 2011 році - 41 млрд. євро. Тільки в Італії прибуток від зеленого туризму складає 350 млн. дол. США щороку [3].</w:t>
      </w:r>
    </w:p>
    <w:p w:rsidR="002E2CD6" w:rsidRPr="000275C2" w:rsidRDefault="002E2CD6" w:rsidP="002E2CD6">
      <w:pPr>
        <w:spacing w:after="0" w:line="240" w:lineRule="auto"/>
        <w:ind w:firstLine="567"/>
        <w:jc w:val="both"/>
        <w:rPr>
          <w:rFonts w:ascii="Verdana" w:hAnsi="Verdana"/>
          <w:sz w:val="18"/>
          <w:szCs w:val="18"/>
        </w:rPr>
      </w:pPr>
      <w:r w:rsidRPr="000275C2">
        <w:rPr>
          <w:rFonts w:ascii="Verdana" w:hAnsi="Verdana"/>
          <w:sz w:val="18"/>
          <w:szCs w:val="18"/>
        </w:rPr>
        <w:tab/>
        <w:t>Експерти розділяють весь вітчизняний агротуристичний ринок на такі географічні зони: схід, захід, південь та центр. За підрахунками статистів Спілки сприяння розвитку сільського зеленого туризму в Україні, приблизно 60-70% відпочиваючих прагнуть потрапити у західні регіони [4].</w:t>
      </w:r>
    </w:p>
    <w:p w:rsidR="002E2CD6" w:rsidRPr="000275C2" w:rsidRDefault="002E2CD6" w:rsidP="002E2CD6">
      <w:pPr>
        <w:spacing w:after="0" w:line="240" w:lineRule="auto"/>
        <w:ind w:firstLine="567"/>
        <w:jc w:val="both"/>
        <w:rPr>
          <w:rFonts w:ascii="Verdana" w:hAnsi="Verdana"/>
          <w:sz w:val="18"/>
          <w:szCs w:val="18"/>
        </w:rPr>
      </w:pPr>
      <w:r w:rsidRPr="000275C2">
        <w:rPr>
          <w:rFonts w:ascii="Verdana" w:hAnsi="Verdana"/>
          <w:sz w:val="18"/>
          <w:szCs w:val="18"/>
        </w:rPr>
        <w:tab/>
        <w:t>На теренах України вже сформувався ряд схем і моделей, щодо ведення такого бізнесу як зелений туризм. Умовно їх можна об’єднати в три групи: 1) Розвивати зелений туризм за рахунок домогосподарства або особистого с/г, яке має до 9 спальних місць. Найбільш дієвою ця схема є у сільській місцевості, що є потенційно привабливою для туристів та має відповідні ресурси. 2) Будівництво приватних агротуристичних об’єктів у сільській місцевості. Практичне використання цієї моделі пропонується у вигляді стилізованих хуторів та аутентичних Шевченківських хатин. 3) Розвивати туризм на базі с/г парків. Концепцією такої моделі є просунення нових технологій, що пов’язані з с/г; демонстрація використання альтернативних джерел енергії у побуті; знайомство з традиційним с/г виробництвом. Ця модель тільки починає свій розвиток і має в собі величезний потенціал.</w:t>
      </w:r>
    </w:p>
    <w:p w:rsidR="002E2CD6" w:rsidRPr="000275C2" w:rsidRDefault="002E2CD6" w:rsidP="002E2CD6">
      <w:pPr>
        <w:spacing w:after="0" w:line="240" w:lineRule="auto"/>
        <w:ind w:firstLine="567"/>
        <w:jc w:val="both"/>
        <w:rPr>
          <w:rFonts w:ascii="Verdana" w:hAnsi="Verdana"/>
          <w:sz w:val="18"/>
          <w:szCs w:val="18"/>
        </w:rPr>
      </w:pPr>
      <w:r w:rsidRPr="000275C2">
        <w:rPr>
          <w:rFonts w:ascii="Verdana" w:hAnsi="Verdana"/>
          <w:sz w:val="18"/>
          <w:szCs w:val="18"/>
        </w:rPr>
        <w:t>Для того, щоб зелений туризм набирав обертів,  маючи в своєму арсеналі такі позитивні фактори та прогнози, необхідно вирішити ряд основних та невідкладних питань, таких як: розробка нормативно-правової бази для ознайомлення та аналізу послуг по зеленому туризму в межах особистого сільського господарства; надання рекомендацій, щодо категоризації власного житла у сільській місцевості для розміщення туристів; впровадження пільгової системи кредитування для людей, що прагнуть почати свою справу у зеленому туризмі; розробити фірмовий стиль українського зеленого туризму для кращої ідентифікації споживачем; розробити систему з даними клієнтської бази для інформування клієнтів; організовувати спеціальні курси, шкільні гуртки для підготовки майбутніх кадрів у сфері зеленого туризму;  створити онлайн-систему для бронювання та резервування місць для відпочинку.</w:t>
      </w:r>
    </w:p>
    <w:p w:rsidR="002E2CD6" w:rsidRPr="000275C2" w:rsidRDefault="002E2CD6" w:rsidP="002E2CD6">
      <w:pPr>
        <w:spacing w:after="0" w:line="240" w:lineRule="auto"/>
        <w:ind w:firstLine="567"/>
        <w:jc w:val="both"/>
        <w:rPr>
          <w:rFonts w:ascii="Verdana" w:hAnsi="Verdana"/>
          <w:sz w:val="18"/>
          <w:szCs w:val="18"/>
        </w:rPr>
      </w:pPr>
      <w:r w:rsidRPr="000275C2">
        <w:rPr>
          <w:rFonts w:ascii="Verdana" w:hAnsi="Verdana"/>
          <w:sz w:val="18"/>
          <w:szCs w:val="18"/>
        </w:rPr>
        <w:t>Отже, для розвитку зеленого туризму в Україні присутні майже всі необхідні ресурси. Вона стоїть на шляху розвитку нової сфери діяльності в туристичному бізнесі. Досвід розвинутих країн показав, що зелений туризм має право на існування. Держава повинна підтримувати людей та ідеї щодо розвитку цього виду підприємницької діяльності в Україні. Така підтримка є рівноцінно важливою, як для людей, що прагнуть почати бізнес у цьому напрямку, так і для самої держави, як спосіб показати себе туристично розвинутою державою.</w:t>
      </w:r>
    </w:p>
    <w:p w:rsidR="002E2CD6" w:rsidRPr="000275C2" w:rsidRDefault="002E2CD6" w:rsidP="002E2CD6">
      <w:pPr>
        <w:spacing w:after="0" w:line="240" w:lineRule="auto"/>
        <w:ind w:firstLine="567"/>
        <w:rPr>
          <w:rFonts w:ascii="Verdana" w:hAnsi="Verdana"/>
          <w:b/>
          <w:sz w:val="18"/>
          <w:szCs w:val="18"/>
        </w:rPr>
      </w:pPr>
      <w:r w:rsidRPr="000275C2">
        <w:rPr>
          <w:rFonts w:ascii="Verdana" w:hAnsi="Verdana"/>
          <w:b/>
          <w:sz w:val="18"/>
          <w:szCs w:val="18"/>
        </w:rPr>
        <w:t>Список використаних джерел:</w:t>
      </w:r>
    </w:p>
    <w:p w:rsidR="002E2CD6" w:rsidRPr="000275C2" w:rsidRDefault="002E2CD6" w:rsidP="002E2CD6">
      <w:pPr>
        <w:spacing w:after="0" w:line="240" w:lineRule="auto"/>
        <w:ind w:firstLine="284"/>
        <w:jc w:val="both"/>
        <w:rPr>
          <w:rFonts w:ascii="Verdana" w:hAnsi="Verdana"/>
          <w:sz w:val="18"/>
          <w:szCs w:val="18"/>
        </w:rPr>
      </w:pPr>
      <w:r w:rsidRPr="000275C2">
        <w:rPr>
          <w:rFonts w:ascii="Verdana" w:hAnsi="Verdana"/>
          <w:sz w:val="18"/>
          <w:szCs w:val="18"/>
        </w:rPr>
        <w:t xml:space="preserve">1. Європейский банк реконструкції та розвитку.  Річні показники та прогнози / </w:t>
      </w:r>
      <w:r w:rsidRPr="000275C2">
        <w:rPr>
          <w:rFonts w:ascii="Verdana" w:hAnsi="Verdana" w:cs="Arial"/>
          <w:sz w:val="18"/>
          <w:szCs w:val="18"/>
        </w:rPr>
        <w:t xml:space="preserve">[Електронний ресурс] / </w:t>
      </w:r>
      <w:r w:rsidRPr="000275C2">
        <w:rPr>
          <w:rFonts w:ascii="Verdana" w:hAnsi="Verdana"/>
          <w:sz w:val="18"/>
          <w:szCs w:val="18"/>
        </w:rPr>
        <w:t>Режим доступу: http://www.ebrd.com/</w:t>
      </w:r>
    </w:p>
    <w:p w:rsidR="002E2CD6" w:rsidRPr="000275C2" w:rsidRDefault="002E2CD6" w:rsidP="002E2CD6">
      <w:pPr>
        <w:spacing w:after="0" w:line="240" w:lineRule="auto"/>
        <w:ind w:firstLine="284"/>
        <w:jc w:val="both"/>
        <w:rPr>
          <w:rFonts w:ascii="Verdana" w:hAnsi="Verdana"/>
          <w:sz w:val="18"/>
          <w:szCs w:val="18"/>
        </w:rPr>
      </w:pPr>
      <w:r w:rsidRPr="000275C2">
        <w:rPr>
          <w:rFonts w:ascii="Verdana" w:hAnsi="Verdana"/>
          <w:sz w:val="18"/>
          <w:szCs w:val="18"/>
        </w:rPr>
        <w:t>2. Сельский зеленый туризм: от А до Я. Терминологический словарь-справочник / Ганин В.В., Зайцева О.Ф., Городецкая Н.Н., Гончарова Е.А. – Симферополь: ИТ «АРИАЛ», 2011</w:t>
      </w:r>
    </w:p>
    <w:p w:rsidR="002E2CD6" w:rsidRPr="000275C2" w:rsidRDefault="002E2CD6" w:rsidP="002E2CD6">
      <w:pPr>
        <w:spacing w:after="0" w:line="240" w:lineRule="auto"/>
        <w:ind w:firstLine="284"/>
        <w:jc w:val="both"/>
        <w:rPr>
          <w:rFonts w:ascii="Verdana" w:hAnsi="Verdana"/>
          <w:sz w:val="18"/>
          <w:szCs w:val="18"/>
        </w:rPr>
      </w:pPr>
      <w:r w:rsidRPr="000275C2">
        <w:rPr>
          <w:rFonts w:ascii="Verdana" w:hAnsi="Verdana"/>
          <w:sz w:val="18"/>
          <w:szCs w:val="18"/>
        </w:rPr>
        <w:t>3. Практическое руководство по организации сельского туризма: Методичекское пособие для хозяйствующих субъектов. – М.: Международная туристская академия, 2012</w:t>
      </w:r>
    </w:p>
    <w:p w:rsidR="002E2CD6" w:rsidRPr="000275C2" w:rsidRDefault="002E2CD6" w:rsidP="002E2CD6">
      <w:pPr>
        <w:spacing w:after="0" w:line="240" w:lineRule="auto"/>
        <w:ind w:firstLine="284"/>
        <w:jc w:val="both"/>
        <w:rPr>
          <w:rFonts w:ascii="Verdana" w:hAnsi="Verdana"/>
          <w:sz w:val="18"/>
          <w:szCs w:val="18"/>
        </w:rPr>
      </w:pPr>
      <w:r w:rsidRPr="000275C2">
        <w:rPr>
          <w:rFonts w:ascii="Verdana" w:hAnsi="Verdana"/>
          <w:sz w:val="18"/>
          <w:szCs w:val="18"/>
        </w:rPr>
        <w:t>4) Николаенко Т.В., Николаенко Д.В. История и региональные особенности мирового туризма. – Харьков, 2009. – 276с.</w:t>
      </w:r>
    </w:p>
    <w:p w:rsidR="001C18CD" w:rsidRPr="002E2CD6" w:rsidRDefault="001C18CD" w:rsidP="002E2CD6">
      <w:pPr>
        <w:rPr>
          <w:szCs w:val="18"/>
        </w:rPr>
      </w:pPr>
    </w:p>
    <w:sectPr w:rsidR="001C18CD" w:rsidRPr="002E2CD6" w:rsidSect="007E50FE">
      <w:footerReference w:type="default" r:id="rId9"/>
      <w:pgSz w:w="11906" w:h="16838"/>
      <w:pgMar w:top="1134" w:right="70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A476D" w:rsidRDefault="00BA476D" w:rsidP="00842066">
      <w:pPr>
        <w:spacing w:after="0" w:line="240" w:lineRule="auto"/>
      </w:pPr>
      <w:r>
        <w:separator/>
      </w:r>
    </w:p>
  </w:endnote>
  <w:endnote w:type="continuationSeparator" w:id="1">
    <w:p w:rsidR="00BA476D" w:rsidRDefault="00BA476D"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20000287" w:usb1="00000000" w:usb2="00000000" w:usb3="00000000" w:csb0="0000019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3831FF">
        <w:pPr>
          <w:pStyle w:val="af7"/>
        </w:pPr>
        <w:r>
          <w:t>8</w:t>
        </w:r>
        <w:r w:rsidR="002E2CD6">
          <w:t>1</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A476D" w:rsidRDefault="00BA476D" w:rsidP="00842066">
      <w:pPr>
        <w:spacing w:after="0" w:line="240" w:lineRule="auto"/>
      </w:pPr>
      <w:r>
        <w:separator/>
      </w:r>
    </w:p>
  </w:footnote>
  <w:footnote w:type="continuationSeparator" w:id="1">
    <w:p w:rsidR="00BA476D" w:rsidRDefault="00BA476D"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rFonts w:ascii="Arial" w:hAnsi="Arial" w:cs="Arial"/>
        <w:b w:val="0"/>
        <w:bCs w:val="0"/>
        <w:i w:val="0"/>
        <w:iCs w:val="0"/>
        <w:smallCaps w:val="0"/>
        <w:strike w:val="0"/>
        <w:color w:val="000000"/>
        <w:spacing w:val="0"/>
        <w:w w:val="100"/>
        <w:position w:val="0"/>
        <w:sz w:val="23"/>
        <w:szCs w:val="23"/>
        <w:u w:val="none"/>
      </w:rPr>
    </w:lvl>
    <w:lvl w:ilvl="1">
      <w:start w:val="1"/>
      <w:numFmt w:val="decimal"/>
      <w:lvlText w:val="%2"/>
      <w:lvlJc w:val="left"/>
      <w:rPr>
        <w:rFonts w:ascii="Arial" w:hAnsi="Arial" w:cs="Arial"/>
        <w:b w:val="0"/>
        <w:bCs w:val="0"/>
        <w:i w:val="0"/>
        <w:iCs w:val="0"/>
        <w:smallCaps w:val="0"/>
        <w:strike w:val="0"/>
        <w:color w:val="000000"/>
        <w:spacing w:val="0"/>
        <w:w w:val="100"/>
        <w:position w:val="0"/>
        <w:sz w:val="23"/>
        <w:szCs w:val="23"/>
        <w:u w:val="none"/>
      </w:rPr>
    </w:lvl>
    <w:lvl w:ilvl="2">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3">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4">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5">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6">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7">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8">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abstractNum>
  <w:abstractNum w:abstractNumId="1">
    <w:nsid w:val="01E60FDD"/>
    <w:multiLevelType w:val="hybridMultilevel"/>
    <w:tmpl w:val="1432160C"/>
    <w:lvl w:ilvl="0" w:tplc="68307B14">
      <w:start w:val="2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D360B40"/>
    <w:multiLevelType w:val="hybridMultilevel"/>
    <w:tmpl w:val="802486A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DA943D5"/>
    <w:multiLevelType w:val="hybridMultilevel"/>
    <w:tmpl w:val="F04090AE"/>
    <w:lvl w:ilvl="0" w:tplc="0419000F">
      <w:start w:val="4"/>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0E6A275A"/>
    <w:multiLevelType w:val="multilevel"/>
    <w:tmpl w:val="37A05AE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14006FB3"/>
    <w:multiLevelType w:val="hybridMultilevel"/>
    <w:tmpl w:val="0E82EEB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
    <w:nsid w:val="15800E72"/>
    <w:multiLevelType w:val="hybridMultilevel"/>
    <w:tmpl w:val="9FE0EB90"/>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174A1EBE"/>
    <w:multiLevelType w:val="hybridMultilevel"/>
    <w:tmpl w:val="662E8EB0"/>
    <w:lvl w:ilvl="0" w:tplc="EF9275C4">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8">
    <w:nsid w:val="1CCE4D53"/>
    <w:multiLevelType w:val="hybridMultilevel"/>
    <w:tmpl w:val="1BCEF694"/>
    <w:lvl w:ilvl="0" w:tplc="EEA4BF0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1E567984"/>
    <w:multiLevelType w:val="hybridMultilevel"/>
    <w:tmpl w:val="13E4643C"/>
    <w:lvl w:ilvl="0" w:tplc="7E761C24">
      <w:start w:val="1"/>
      <w:numFmt w:val="decimal"/>
      <w:lvlText w:val="%1."/>
      <w:lvlJc w:val="left"/>
      <w:pPr>
        <w:ind w:left="1437" w:hanging="87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nsid w:val="24A87308"/>
    <w:multiLevelType w:val="hybridMultilevel"/>
    <w:tmpl w:val="B44C694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nsid w:val="2D695345"/>
    <w:multiLevelType w:val="hybridMultilevel"/>
    <w:tmpl w:val="1D583EEE"/>
    <w:lvl w:ilvl="0" w:tplc="5CFA71E0">
      <w:start w:val="1"/>
      <w:numFmt w:val="bullet"/>
      <w:lvlText w:val="-"/>
      <w:lvlJc w:val="left"/>
      <w:pPr>
        <w:tabs>
          <w:tab w:val="num" w:pos="927"/>
        </w:tabs>
        <w:ind w:left="927" w:hanging="360"/>
      </w:pPr>
      <w:rPr>
        <w:rFonts w:ascii="Verdana" w:eastAsia="Times New Roman" w:hAnsi="Verdana"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12">
    <w:nsid w:val="2DB54668"/>
    <w:multiLevelType w:val="multilevel"/>
    <w:tmpl w:val="8858125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nsid w:val="3014278D"/>
    <w:multiLevelType w:val="multilevel"/>
    <w:tmpl w:val="0EA661D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nsid w:val="318F7DA7"/>
    <w:multiLevelType w:val="hybridMultilevel"/>
    <w:tmpl w:val="E370BADC"/>
    <w:lvl w:ilvl="0" w:tplc="234C5BCA">
      <w:start w:val="1"/>
      <w:numFmt w:val="decimal"/>
      <w:lvlText w:val="%1)"/>
      <w:lvlJc w:val="left"/>
      <w:pPr>
        <w:tabs>
          <w:tab w:val="num" w:pos="1800"/>
        </w:tabs>
        <w:ind w:left="1800" w:hanging="108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5">
    <w:nsid w:val="34502506"/>
    <w:multiLevelType w:val="hybridMultilevel"/>
    <w:tmpl w:val="2396A854"/>
    <w:lvl w:ilvl="0" w:tplc="04190001">
      <w:start w:val="1"/>
      <w:numFmt w:val="bullet"/>
      <w:lvlText w:val=""/>
      <w:lvlJc w:val="left"/>
      <w:pPr>
        <w:ind w:left="1138" w:hanging="360"/>
      </w:pPr>
      <w:rPr>
        <w:rFonts w:ascii="Symbol" w:hAnsi="Symbol" w:hint="default"/>
      </w:rPr>
    </w:lvl>
    <w:lvl w:ilvl="1" w:tplc="04190003" w:tentative="1">
      <w:start w:val="1"/>
      <w:numFmt w:val="bullet"/>
      <w:lvlText w:val="o"/>
      <w:lvlJc w:val="left"/>
      <w:pPr>
        <w:ind w:left="1858" w:hanging="360"/>
      </w:pPr>
      <w:rPr>
        <w:rFonts w:ascii="Courier New" w:hAnsi="Courier New" w:cs="Courier New" w:hint="default"/>
      </w:rPr>
    </w:lvl>
    <w:lvl w:ilvl="2" w:tplc="04190005" w:tentative="1">
      <w:start w:val="1"/>
      <w:numFmt w:val="bullet"/>
      <w:lvlText w:val=""/>
      <w:lvlJc w:val="left"/>
      <w:pPr>
        <w:ind w:left="2578" w:hanging="360"/>
      </w:pPr>
      <w:rPr>
        <w:rFonts w:ascii="Wingdings" w:hAnsi="Wingdings" w:hint="default"/>
      </w:rPr>
    </w:lvl>
    <w:lvl w:ilvl="3" w:tplc="04190001" w:tentative="1">
      <w:start w:val="1"/>
      <w:numFmt w:val="bullet"/>
      <w:lvlText w:val=""/>
      <w:lvlJc w:val="left"/>
      <w:pPr>
        <w:ind w:left="3298" w:hanging="360"/>
      </w:pPr>
      <w:rPr>
        <w:rFonts w:ascii="Symbol" w:hAnsi="Symbol" w:hint="default"/>
      </w:rPr>
    </w:lvl>
    <w:lvl w:ilvl="4" w:tplc="04190003" w:tentative="1">
      <w:start w:val="1"/>
      <w:numFmt w:val="bullet"/>
      <w:lvlText w:val="o"/>
      <w:lvlJc w:val="left"/>
      <w:pPr>
        <w:ind w:left="4018" w:hanging="360"/>
      </w:pPr>
      <w:rPr>
        <w:rFonts w:ascii="Courier New" w:hAnsi="Courier New" w:cs="Courier New" w:hint="default"/>
      </w:rPr>
    </w:lvl>
    <w:lvl w:ilvl="5" w:tplc="04190005" w:tentative="1">
      <w:start w:val="1"/>
      <w:numFmt w:val="bullet"/>
      <w:lvlText w:val=""/>
      <w:lvlJc w:val="left"/>
      <w:pPr>
        <w:ind w:left="4738" w:hanging="360"/>
      </w:pPr>
      <w:rPr>
        <w:rFonts w:ascii="Wingdings" w:hAnsi="Wingdings" w:hint="default"/>
      </w:rPr>
    </w:lvl>
    <w:lvl w:ilvl="6" w:tplc="04190001" w:tentative="1">
      <w:start w:val="1"/>
      <w:numFmt w:val="bullet"/>
      <w:lvlText w:val=""/>
      <w:lvlJc w:val="left"/>
      <w:pPr>
        <w:ind w:left="5458" w:hanging="360"/>
      </w:pPr>
      <w:rPr>
        <w:rFonts w:ascii="Symbol" w:hAnsi="Symbol" w:hint="default"/>
      </w:rPr>
    </w:lvl>
    <w:lvl w:ilvl="7" w:tplc="04190003" w:tentative="1">
      <w:start w:val="1"/>
      <w:numFmt w:val="bullet"/>
      <w:lvlText w:val="o"/>
      <w:lvlJc w:val="left"/>
      <w:pPr>
        <w:ind w:left="6178" w:hanging="360"/>
      </w:pPr>
      <w:rPr>
        <w:rFonts w:ascii="Courier New" w:hAnsi="Courier New" w:cs="Courier New" w:hint="default"/>
      </w:rPr>
    </w:lvl>
    <w:lvl w:ilvl="8" w:tplc="04190005" w:tentative="1">
      <w:start w:val="1"/>
      <w:numFmt w:val="bullet"/>
      <w:lvlText w:val=""/>
      <w:lvlJc w:val="left"/>
      <w:pPr>
        <w:ind w:left="6898" w:hanging="360"/>
      </w:pPr>
      <w:rPr>
        <w:rFonts w:ascii="Wingdings" w:hAnsi="Wingdings" w:hint="default"/>
      </w:rPr>
    </w:lvl>
  </w:abstractNum>
  <w:abstractNum w:abstractNumId="16">
    <w:nsid w:val="34612BCF"/>
    <w:multiLevelType w:val="hybridMultilevel"/>
    <w:tmpl w:val="B61CC96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nsid w:val="39CA4194"/>
    <w:multiLevelType w:val="hybridMultilevel"/>
    <w:tmpl w:val="2C3EA0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C541360"/>
    <w:multiLevelType w:val="hybridMultilevel"/>
    <w:tmpl w:val="D6C033E4"/>
    <w:lvl w:ilvl="0" w:tplc="DDDE09A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9">
    <w:nsid w:val="45ED62E2"/>
    <w:multiLevelType w:val="hybridMultilevel"/>
    <w:tmpl w:val="385805D8"/>
    <w:lvl w:ilvl="0" w:tplc="DC7656CC">
      <w:numFmt w:val="bullet"/>
      <w:lvlText w:val="-"/>
      <w:lvlJc w:val="left"/>
      <w:pPr>
        <w:ind w:left="927" w:hanging="360"/>
      </w:pPr>
      <w:rPr>
        <w:rFonts w:ascii="Verdana" w:eastAsia="Calibri" w:hAnsi="Verdana" w:cs="Aria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0">
    <w:nsid w:val="4A5550ED"/>
    <w:multiLevelType w:val="hybridMultilevel"/>
    <w:tmpl w:val="154A2BA4"/>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588" w:hanging="360"/>
      </w:pPr>
    </w:lvl>
    <w:lvl w:ilvl="2" w:tplc="0422001B" w:tentative="1">
      <w:start w:val="1"/>
      <w:numFmt w:val="lowerRoman"/>
      <w:lvlText w:val="%3."/>
      <w:lvlJc w:val="right"/>
      <w:pPr>
        <w:ind w:left="1308" w:hanging="180"/>
      </w:pPr>
    </w:lvl>
    <w:lvl w:ilvl="3" w:tplc="0422000F" w:tentative="1">
      <w:start w:val="1"/>
      <w:numFmt w:val="decimal"/>
      <w:lvlText w:val="%4."/>
      <w:lvlJc w:val="left"/>
      <w:pPr>
        <w:ind w:left="2028" w:hanging="360"/>
      </w:pPr>
    </w:lvl>
    <w:lvl w:ilvl="4" w:tplc="04220019" w:tentative="1">
      <w:start w:val="1"/>
      <w:numFmt w:val="lowerLetter"/>
      <w:lvlText w:val="%5."/>
      <w:lvlJc w:val="left"/>
      <w:pPr>
        <w:ind w:left="2748" w:hanging="360"/>
      </w:pPr>
    </w:lvl>
    <w:lvl w:ilvl="5" w:tplc="0422001B" w:tentative="1">
      <w:start w:val="1"/>
      <w:numFmt w:val="lowerRoman"/>
      <w:lvlText w:val="%6."/>
      <w:lvlJc w:val="right"/>
      <w:pPr>
        <w:ind w:left="3468" w:hanging="180"/>
      </w:pPr>
    </w:lvl>
    <w:lvl w:ilvl="6" w:tplc="0422000F" w:tentative="1">
      <w:start w:val="1"/>
      <w:numFmt w:val="decimal"/>
      <w:lvlText w:val="%7."/>
      <w:lvlJc w:val="left"/>
      <w:pPr>
        <w:ind w:left="4188" w:hanging="360"/>
      </w:pPr>
    </w:lvl>
    <w:lvl w:ilvl="7" w:tplc="04220019" w:tentative="1">
      <w:start w:val="1"/>
      <w:numFmt w:val="lowerLetter"/>
      <w:lvlText w:val="%8."/>
      <w:lvlJc w:val="left"/>
      <w:pPr>
        <w:ind w:left="4908" w:hanging="360"/>
      </w:pPr>
    </w:lvl>
    <w:lvl w:ilvl="8" w:tplc="0422001B" w:tentative="1">
      <w:start w:val="1"/>
      <w:numFmt w:val="lowerRoman"/>
      <w:lvlText w:val="%9."/>
      <w:lvlJc w:val="right"/>
      <w:pPr>
        <w:ind w:left="5628" w:hanging="180"/>
      </w:pPr>
    </w:lvl>
  </w:abstractNum>
  <w:abstractNum w:abstractNumId="21">
    <w:nsid w:val="4B9F511F"/>
    <w:multiLevelType w:val="hybridMultilevel"/>
    <w:tmpl w:val="C1346D4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4D2B424A"/>
    <w:multiLevelType w:val="hybridMultilevel"/>
    <w:tmpl w:val="BC5001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4E501B94"/>
    <w:multiLevelType w:val="hybridMultilevel"/>
    <w:tmpl w:val="490EFEDE"/>
    <w:lvl w:ilvl="0" w:tplc="1C8ED13C">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4">
    <w:nsid w:val="536C2C2B"/>
    <w:multiLevelType w:val="hybridMultilevel"/>
    <w:tmpl w:val="58146662"/>
    <w:lvl w:ilvl="0" w:tplc="D996D05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596A1359"/>
    <w:multiLevelType w:val="hybridMultilevel"/>
    <w:tmpl w:val="BE5A019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nsid w:val="5A1E695B"/>
    <w:multiLevelType w:val="hybridMultilevel"/>
    <w:tmpl w:val="059EE366"/>
    <w:lvl w:ilvl="0" w:tplc="2976212C">
      <w:start w:val="1"/>
      <w:numFmt w:val="decimal"/>
      <w:lvlText w:val="%1."/>
      <w:lvlJc w:val="left"/>
      <w:pPr>
        <w:ind w:left="284" w:firstLine="283"/>
      </w:pPr>
      <w:rPr>
        <w:rFonts w:ascii="Verdana" w:eastAsia="Calibri" w:hAnsi="Verdana" w:cs="Arial"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7">
    <w:nsid w:val="66F92432"/>
    <w:multiLevelType w:val="hybridMultilevel"/>
    <w:tmpl w:val="AA7E118C"/>
    <w:lvl w:ilvl="0" w:tplc="04BE4F4C">
      <w:start w:val="1"/>
      <w:numFmt w:val="decimal"/>
      <w:lvlText w:val="%1."/>
      <w:lvlJc w:val="left"/>
      <w:pPr>
        <w:ind w:left="-207" w:hanging="360"/>
      </w:pPr>
      <w:rPr>
        <w:rFonts w:ascii="Calibri" w:hAnsi="Calibri" w:hint="default"/>
        <w:sz w:val="22"/>
      </w:rPr>
    </w:lvl>
    <w:lvl w:ilvl="1" w:tplc="04190019">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28">
    <w:nsid w:val="6BEA4740"/>
    <w:multiLevelType w:val="multilevel"/>
    <w:tmpl w:val="3152918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nsid w:val="6C4152C8"/>
    <w:multiLevelType w:val="hybridMultilevel"/>
    <w:tmpl w:val="F42A95C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nsid w:val="6D2612C1"/>
    <w:multiLevelType w:val="hybridMultilevel"/>
    <w:tmpl w:val="5A70CF6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739A236D"/>
    <w:multiLevelType w:val="multilevel"/>
    <w:tmpl w:val="7F1E050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nsid w:val="742877C6"/>
    <w:multiLevelType w:val="hybridMultilevel"/>
    <w:tmpl w:val="6966CB40"/>
    <w:lvl w:ilvl="0" w:tplc="ED9E6976">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3">
    <w:nsid w:val="74BF12CB"/>
    <w:multiLevelType w:val="hybridMultilevel"/>
    <w:tmpl w:val="60B209F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4">
    <w:nsid w:val="77844FF1"/>
    <w:multiLevelType w:val="hybridMultilevel"/>
    <w:tmpl w:val="1CF2D9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7AF54DFA"/>
    <w:multiLevelType w:val="hybridMultilevel"/>
    <w:tmpl w:val="95D6DF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7C3314AD"/>
    <w:multiLevelType w:val="multilevel"/>
    <w:tmpl w:val="B154823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7">
    <w:nsid w:val="7F0E1178"/>
    <w:multiLevelType w:val="hybridMultilevel"/>
    <w:tmpl w:val="52F0364A"/>
    <w:lvl w:ilvl="0" w:tplc="001A355E">
      <w:start w:val="1"/>
      <w:numFmt w:val="decimal"/>
      <w:lvlText w:val="%1)"/>
      <w:lvlJc w:val="left"/>
      <w:pPr>
        <w:ind w:left="927" w:hanging="360"/>
      </w:pPr>
      <w:rPr>
        <w:rFonts w:ascii="Verdana" w:eastAsia="Calibri" w:hAnsi="Verdana" w:cs="Times New Roman"/>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18"/>
  </w:num>
  <w:num w:numId="2">
    <w:abstractNumId w:val="11"/>
  </w:num>
  <w:num w:numId="3">
    <w:abstractNumId w:val="20"/>
  </w:num>
  <w:num w:numId="4">
    <w:abstractNumId w:val="32"/>
  </w:num>
  <w:num w:numId="5">
    <w:abstractNumId w:val="23"/>
  </w:num>
  <w:num w:numId="6">
    <w:abstractNumId w:val="0"/>
  </w:num>
  <w:num w:numId="7">
    <w:abstractNumId w:val="29"/>
  </w:num>
  <w:num w:numId="8">
    <w:abstractNumId w:val="6"/>
  </w:num>
  <w:num w:numId="9">
    <w:abstractNumId w:val="34"/>
  </w:num>
  <w:num w:numId="10">
    <w:abstractNumId w:val="17"/>
  </w:num>
  <w:num w:numId="11">
    <w:abstractNumId w:val="14"/>
  </w:num>
  <w:num w:numId="12">
    <w:abstractNumId w:val="3"/>
  </w:num>
  <w:num w:numId="13">
    <w:abstractNumId w:val="33"/>
  </w:num>
  <w:num w:numId="14">
    <w:abstractNumId w:val="25"/>
  </w:num>
  <w:num w:numId="15">
    <w:abstractNumId w:val="9"/>
  </w:num>
  <w:num w:numId="16">
    <w:abstractNumId w:val="21"/>
  </w:num>
  <w:num w:numId="17">
    <w:abstractNumId w:val="2"/>
  </w:num>
  <w:num w:numId="18">
    <w:abstractNumId w:val="7"/>
  </w:num>
  <w:num w:numId="19">
    <w:abstractNumId w:val="19"/>
  </w:num>
  <w:num w:numId="20">
    <w:abstractNumId w:val="26"/>
  </w:num>
  <w:num w:numId="21">
    <w:abstractNumId w:val="8"/>
  </w:num>
  <w:num w:numId="22">
    <w:abstractNumId w:val="22"/>
  </w:num>
  <w:num w:numId="23">
    <w:abstractNumId w:val="27"/>
  </w:num>
  <w:num w:numId="24">
    <w:abstractNumId w:val="16"/>
  </w:num>
  <w:num w:numId="25">
    <w:abstractNumId w:val="10"/>
  </w:num>
  <w:num w:numId="26">
    <w:abstractNumId w:val="5"/>
  </w:num>
  <w:num w:numId="27">
    <w:abstractNumId w:val="35"/>
  </w:num>
  <w:num w:numId="28">
    <w:abstractNumId w:val="1"/>
  </w:num>
  <w:num w:numId="29">
    <w:abstractNumId w:val="24"/>
  </w:num>
  <w:num w:numId="30">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7"/>
  </w:num>
  <w:num w:numId="32">
    <w:abstractNumId w:val="30"/>
  </w:num>
  <w:num w:numId="33">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20619"/>
    <w:rsid w:val="00067DDC"/>
    <w:rsid w:val="000840AC"/>
    <w:rsid w:val="000A4DF5"/>
    <w:rsid w:val="000A68DB"/>
    <w:rsid w:val="000B59C8"/>
    <w:rsid w:val="000E33ED"/>
    <w:rsid w:val="00162A35"/>
    <w:rsid w:val="001752C1"/>
    <w:rsid w:val="001C18CD"/>
    <w:rsid w:val="001C4033"/>
    <w:rsid w:val="001F6A01"/>
    <w:rsid w:val="00202F3C"/>
    <w:rsid w:val="002C00BE"/>
    <w:rsid w:val="002C3B8A"/>
    <w:rsid w:val="002E2CD6"/>
    <w:rsid w:val="002F1C3B"/>
    <w:rsid w:val="002F6A61"/>
    <w:rsid w:val="00300FFD"/>
    <w:rsid w:val="00336DE6"/>
    <w:rsid w:val="00343BCA"/>
    <w:rsid w:val="003831FF"/>
    <w:rsid w:val="00397084"/>
    <w:rsid w:val="003B19C3"/>
    <w:rsid w:val="00404BAA"/>
    <w:rsid w:val="0045151F"/>
    <w:rsid w:val="00485B02"/>
    <w:rsid w:val="004C3C43"/>
    <w:rsid w:val="00500F25"/>
    <w:rsid w:val="00504985"/>
    <w:rsid w:val="00512354"/>
    <w:rsid w:val="00540221"/>
    <w:rsid w:val="005A2078"/>
    <w:rsid w:val="005B28B6"/>
    <w:rsid w:val="005D3369"/>
    <w:rsid w:val="00607A49"/>
    <w:rsid w:val="00651076"/>
    <w:rsid w:val="006573BB"/>
    <w:rsid w:val="006A7249"/>
    <w:rsid w:val="006B27E3"/>
    <w:rsid w:val="00716B2C"/>
    <w:rsid w:val="007240F2"/>
    <w:rsid w:val="007353A6"/>
    <w:rsid w:val="00745BAB"/>
    <w:rsid w:val="00777798"/>
    <w:rsid w:val="00793DEB"/>
    <w:rsid w:val="007C4E99"/>
    <w:rsid w:val="007E342D"/>
    <w:rsid w:val="007E50FE"/>
    <w:rsid w:val="00800172"/>
    <w:rsid w:val="00814DB4"/>
    <w:rsid w:val="00826639"/>
    <w:rsid w:val="00842066"/>
    <w:rsid w:val="00845D20"/>
    <w:rsid w:val="00884BD8"/>
    <w:rsid w:val="008D5547"/>
    <w:rsid w:val="00944C4B"/>
    <w:rsid w:val="009604D0"/>
    <w:rsid w:val="00961D19"/>
    <w:rsid w:val="009772C4"/>
    <w:rsid w:val="00977C49"/>
    <w:rsid w:val="0098493A"/>
    <w:rsid w:val="009A0D1B"/>
    <w:rsid w:val="009D434A"/>
    <w:rsid w:val="009E7F0F"/>
    <w:rsid w:val="00A15681"/>
    <w:rsid w:val="00A52C1E"/>
    <w:rsid w:val="00A9671B"/>
    <w:rsid w:val="00AA4557"/>
    <w:rsid w:val="00AD1AD3"/>
    <w:rsid w:val="00B078E6"/>
    <w:rsid w:val="00B17F3E"/>
    <w:rsid w:val="00B26518"/>
    <w:rsid w:val="00B66B59"/>
    <w:rsid w:val="00B8770B"/>
    <w:rsid w:val="00BA476D"/>
    <w:rsid w:val="00BC0205"/>
    <w:rsid w:val="00BD129B"/>
    <w:rsid w:val="00BD6F9F"/>
    <w:rsid w:val="00BE66C9"/>
    <w:rsid w:val="00C055CA"/>
    <w:rsid w:val="00C25F2A"/>
    <w:rsid w:val="00C431F4"/>
    <w:rsid w:val="00C43FFD"/>
    <w:rsid w:val="00C646CF"/>
    <w:rsid w:val="00C65DB8"/>
    <w:rsid w:val="00C85B4E"/>
    <w:rsid w:val="00CB3F13"/>
    <w:rsid w:val="00CD3499"/>
    <w:rsid w:val="00CE2709"/>
    <w:rsid w:val="00D26A99"/>
    <w:rsid w:val="00D329AE"/>
    <w:rsid w:val="00D66D06"/>
    <w:rsid w:val="00DA2709"/>
    <w:rsid w:val="00DC6492"/>
    <w:rsid w:val="00DD53BA"/>
    <w:rsid w:val="00DE6B1D"/>
    <w:rsid w:val="00DF3CE7"/>
    <w:rsid w:val="00E113BA"/>
    <w:rsid w:val="00E236A9"/>
    <w:rsid w:val="00E45840"/>
    <w:rsid w:val="00E476B8"/>
    <w:rsid w:val="00E71C27"/>
    <w:rsid w:val="00EA15B8"/>
    <w:rsid w:val="00F31707"/>
    <w:rsid w:val="00F5173E"/>
    <w:rsid w:val="00FA222E"/>
    <w:rsid w:val="00FA5990"/>
    <w:rsid w:val="00FC0B67"/>
    <w:rsid w:val="00FF7E8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 w:type="character" w:customStyle="1" w:styleId="hps">
    <w:name w:val="hps"/>
    <w:basedOn w:val="a0"/>
    <w:rsid w:val="00C65DB8"/>
  </w:style>
  <w:style w:type="paragraph" w:styleId="HTML">
    <w:name w:val="HTML Preformatted"/>
    <w:basedOn w:val="a"/>
    <w:link w:val="HTML0"/>
    <w:uiPriority w:val="99"/>
    <w:semiHidden/>
    <w:unhideWhenUsed/>
    <w:rsid w:val="00A52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ый HTML Знак"/>
    <w:basedOn w:val="a0"/>
    <w:link w:val="HTML"/>
    <w:uiPriority w:val="99"/>
    <w:semiHidden/>
    <w:rsid w:val="00A52C1E"/>
    <w:rPr>
      <w:rFonts w:ascii="Courier New" w:eastAsia="Times New Roman" w:hAnsi="Courier New" w:cs="Times New Roman"/>
      <w:sz w:val="20"/>
      <w:szCs w:val="20"/>
      <w:lang w:val="ru-RU" w:eastAsia="ru-RU" w:bidi="ar-SA"/>
    </w:rPr>
  </w:style>
  <w:style w:type="paragraph" w:styleId="afd">
    <w:name w:val="Body Text"/>
    <w:basedOn w:val="a"/>
    <w:link w:val="afe"/>
    <w:uiPriority w:val="99"/>
    <w:semiHidden/>
    <w:unhideWhenUsed/>
    <w:rsid w:val="00D26A99"/>
    <w:pPr>
      <w:spacing w:after="120"/>
    </w:pPr>
  </w:style>
  <w:style w:type="character" w:customStyle="1" w:styleId="afe">
    <w:name w:val="Основной текст Знак"/>
    <w:basedOn w:val="a0"/>
    <w:link w:val="afd"/>
    <w:uiPriority w:val="99"/>
    <w:semiHidden/>
    <w:rsid w:val="00D26A99"/>
    <w:rPr>
      <w:rFonts w:ascii="Calibri" w:eastAsia="Calibri" w:hAnsi="Calibri" w:cs="Times New Roman"/>
      <w:lang w:val="uk-UA"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olocaine@gmail.com" TargetMode="External"/><Relationship Id="rId3" Type="http://schemas.openxmlformats.org/officeDocument/2006/relationships/settings" Target="settings.xml"/><Relationship Id="rId7" Type="http://schemas.openxmlformats.org/officeDocument/2006/relationships/hyperlink" Target="mailto:tatvla@yandex.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790</Words>
  <Characters>4504</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None</Company>
  <LinksUpToDate>false</LinksUpToDate>
  <CharactersWithSpaces>5284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3</cp:revision>
  <dcterms:created xsi:type="dcterms:W3CDTF">2013-10-11T08:06:00Z</dcterms:created>
  <dcterms:modified xsi:type="dcterms:W3CDTF">2013-10-11T08:07:00Z</dcterms:modified>
</cp:coreProperties>
</file>