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6112" w:rsidRPr="00376112" w:rsidRDefault="00376112" w:rsidP="00376112">
      <w:pPr>
        <w:pStyle w:val="1"/>
        <w:spacing w:before="0"/>
        <w:jc w:val="center"/>
        <w:rPr>
          <w:rFonts w:ascii="Verdana" w:hAnsi="Verdana"/>
          <w:sz w:val="24"/>
          <w:szCs w:val="24"/>
          <w:lang w:val="ru-RU"/>
        </w:rPr>
      </w:pPr>
      <w:bookmarkStart w:id="0" w:name="_Toc352106123"/>
      <w:r w:rsidRPr="00376112">
        <w:rPr>
          <w:rFonts w:ascii="Verdana" w:hAnsi="Verdana"/>
          <w:sz w:val="24"/>
          <w:szCs w:val="24"/>
          <w:lang w:val="ru-RU"/>
        </w:rPr>
        <w:t>Оцінка конкурентоспроможності промислових підприємств</w:t>
      </w:r>
      <w:bookmarkEnd w:id="0"/>
    </w:p>
    <w:p w:rsidR="00376112" w:rsidRPr="00376112" w:rsidRDefault="00376112" w:rsidP="00376112">
      <w:pPr>
        <w:pStyle w:val="1"/>
        <w:spacing w:before="0"/>
        <w:jc w:val="center"/>
        <w:rPr>
          <w:rFonts w:ascii="Verdana" w:hAnsi="Verdana"/>
          <w:sz w:val="24"/>
          <w:szCs w:val="24"/>
          <w:lang w:val="ru-RU"/>
        </w:rPr>
      </w:pPr>
      <w:bookmarkStart w:id="1" w:name="_Toc352106124"/>
      <w:r w:rsidRPr="00376112">
        <w:rPr>
          <w:rFonts w:ascii="Verdana" w:hAnsi="Verdana"/>
          <w:b w:val="0"/>
          <w:sz w:val="22"/>
          <w:szCs w:val="22"/>
          <w:lang w:val="ru-RU"/>
        </w:rPr>
        <w:t>Якименко Р.</w:t>
      </w:r>
      <w:bookmarkEnd w:id="1"/>
    </w:p>
    <w:p w:rsidR="00376112" w:rsidRPr="000275C2" w:rsidRDefault="00376112" w:rsidP="00376112">
      <w:pPr>
        <w:spacing w:after="0" w:line="240" w:lineRule="auto"/>
        <w:ind w:left="-567"/>
        <w:jc w:val="center"/>
        <w:rPr>
          <w:rFonts w:ascii="Verdana" w:hAnsi="Verdana"/>
          <w:b/>
        </w:rPr>
      </w:pPr>
      <w:r w:rsidRPr="000275C2">
        <w:rPr>
          <w:rFonts w:ascii="Verdana" w:hAnsi="Verdana"/>
          <w:b/>
        </w:rPr>
        <w:t>Національний технічний університет України «КПІ»</w:t>
      </w:r>
    </w:p>
    <w:p w:rsidR="00376112" w:rsidRPr="000275C2" w:rsidRDefault="00376112" w:rsidP="00376112">
      <w:pPr>
        <w:spacing w:after="0" w:line="240" w:lineRule="auto"/>
        <w:ind w:left="-567"/>
        <w:jc w:val="center"/>
        <w:rPr>
          <w:rFonts w:ascii="Verdana" w:hAnsi="Verdana"/>
          <w:b/>
        </w:rPr>
      </w:pPr>
      <w:r w:rsidRPr="000275C2">
        <w:rPr>
          <w:rFonts w:ascii="Verdana" w:hAnsi="Verdana"/>
        </w:rPr>
        <w:t>Науковий керівник: Погребняк А.Ю.</w:t>
      </w:r>
    </w:p>
    <w:p w:rsidR="00376112" w:rsidRPr="000275C2" w:rsidRDefault="00376112" w:rsidP="00376112">
      <w:pPr>
        <w:spacing w:after="0" w:line="240" w:lineRule="auto"/>
        <w:ind w:firstLine="426"/>
        <w:jc w:val="both"/>
        <w:rPr>
          <w:rStyle w:val="FontStyle27"/>
          <w:rFonts w:ascii="Verdana" w:hAnsi="Verdana" w:cs="Calibri"/>
          <w:lang w:eastAsia="uk-UA"/>
        </w:rPr>
      </w:pPr>
      <w:r w:rsidRPr="000275C2">
        <w:rPr>
          <w:rFonts w:ascii="Verdana" w:hAnsi="Verdana" w:cs="Calibri"/>
          <w:sz w:val="18"/>
          <w:szCs w:val="18"/>
        </w:rPr>
        <w:t xml:space="preserve">Єдиної методики для оцінки конкурентоспроможності промислового підприємства не існує. Тому це, в свою чергу, спричиняє певні проблеми у підходів і методик її оцінки.  </w:t>
      </w:r>
      <w:r w:rsidRPr="000275C2">
        <w:rPr>
          <w:rStyle w:val="FontStyle27"/>
          <w:rFonts w:ascii="Verdana" w:hAnsi="Verdana" w:cs="Calibri"/>
          <w:lang w:eastAsia="uk-UA"/>
        </w:rPr>
        <w:t>Економічна тео</w:t>
      </w:r>
      <w:r w:rsidRPr="000275C2">
        <w:rPr>
          <w:rStyle w:val="FontStyle27"/>
          <w:rFonts w:ascii="Verdana" w:hAnsi="Verdana" w:cs="Calibri"/>
          <w:lang w:eastAsia="uk-UA"/>
        </w:rPr>
        <w:softHyphen/>
        <w:t>рія не може виразити конкурентоспроможність через окрему формулу або числовий вираз. Конкурентоспроможність підприємства базується на конкурентних перевагах підприємства та визначає здатність підприємства достойно конкурувати на певному ринку, демонструє позицію цього підприємства відносно конкурентів [2].</w:t>
      </w:r>
    </w:p>
    <w:p w:rsidR="00376112" w:rsidRPr="000275C2" w:rsidRDefault="00376112" w:rsidP="00376112">
      <w:pPr>
        <w:spacing w:after="0" w:line="240" w:lineRule="auto"/>
        <w:ind w:firstLine="426"/>
        <w:jc w:val="both"/>
        <w:rPr>
          <w:rFonts w:ascii="Verdana" w:hAnsi="Verdana"/>
          <w:sz w:val="18"/>
          <w:szCs w:val="18"/>
        </w:rPr>
      </w:pPr>
      <w:r w:rsidRPr="000275C2">
        <w:rPr>
          <w:rFonts w:ascii="Verdana" w:hAnsi="Verdana"/>
          <w:sz w:val="18"/>
          <w:szCs w:val="18"/>
        </w:rPr>
        <w:t>Найчастіше промислові підприємства для оцінки своєї конкурентоспроможності застосовують такі стратегії:  стратегія обслуговування масового попиту (вирішення проблеми привернення уваги споживачів, тобто, для повного завантаження виробничих потужност</w:t>
      </w:r>
      <w:r>
        <w:rPr>
          <w:rFonts w:ascii="Verdana" w:hAnsi="Verdana"/>
          <w:sz w:val="18"/>
          <w:szCs w:val="18"/>
        </w:rPr>
        <w:t>ей великі підприємства роблять «підкуп»</w:t>
      </w:r>
      <w:r w:rsidRPr="000275C2">
        <w:rPr>
          <w:rFonts w:ascii="Verdana" w:hAnsi="Verdana"/>
          <w:sz w:val="18"/>
          <w:szCs w:val="18"/>
        </w:rPr>
        <w:t xml:space="preserve"> споживачів через: низькі ціни, гарну якість продукту й сервісу, повноту асортименту); стратегія придушення конкурентів - найчастіше використовується лідерами галузі, адже вони мають великий технологічний досвід, вміють обслуговувати ринок, мають гарну репутацію у споживачів та акумульоють фінансові ресурси </w:t>
      </w:r>
      <w:r w:rsidRPr="000275C2">
        <w:rPr>
          <w:rStyle w:val="FontStyle27"/>
          <w:rFonts w:ascii="Verdana" w:hAnsi="Verdana" w:cs="Calibri"/>
          <w:lang w:eastAsia="uk-UA"/>
        </w:rPr>
        <w:t>[4;с.89].</w:t>
      </w:r>
    </w:p>
    <w:p w:rsidR="00376112" w:rsidRPr="000275C2" w:rsidRDefault="00376112" w:rsidP="00376112">
      <w:pPr>
        <w:tabs>
          <w:tab w:val="left" w:pos="426"/>
        </w:tabs>
        <w:spacing w:after="0" w:line="240" w:lineRule="auto"/>
        <w:jc w:val="both"/>
        <w:rPr>
          <w:rFonts w:ascii="Verdana" w:hAnsi="Verdana"/>
          <w:sz w:val="18"/>
          <w:szCs w:val="18"/>
        </w:rPr>
      </w:pPr>
      <w:r w:rsidRPr="000275C2">
        <w:tab/>
        <w:t xml:space="preserve">Одним з </w:t>
      </w:r>
      <w:r w:rsidRPr="000275C2">
        <w:rPr>
          <w:rFonts w:ascii="Verdana" w:hAnsi="Verdana"/>
          <w:sz w:val="18"/>
          <w:szCs w:val="18"/>
        </w:rPr>
        <w:t>найкращих засобів створення та утримання конкурентоспроможності відносять систему управління конкурентоспроможністю (це такий спосіб, за допомогою якого фірма визначає на що спрямовувати та які саме види діяльності контролювати, що вони забезпечити гарну конкурентоздатність) [3;с.144].</w:t>
      </w:r>
      <w:r w:rsidRPr="000275C2">
        <w:rPr>
          <w:rFonts w:ascii="Verdana" w:hAnsi="Verdana"/>
          <w:b/>
          <w:sz w:val="18"/>
          <w:szCs w:val="18"/>
        </w:rPr>
        <w:t xml:space="preserve"> </w:t>
      </w:r>
      <w:r w:rsidRPr="000275C2">
        <w:rPr>
          <w:rFonts w:ascii="Verdana" w:hAnsi="Verdana"/>
          <w:sz w:val="18"/>
          <w:szCs w:val="18"/>
        </w:rPr>
        <w:t xml:space="preserve">Інструментом визначення власних конкурентних переваг, а також переваг конкурентів, тобто вад і недоліків свого підприємства стосовно його конкурентів, виступає концепція ланцюга формування вартості М. Портера. Зважаючи на основні положення цієї концепції формування конкурентної переваги ланцюга вартості, повинно вирішувати такі завдання:  покращення рівня виконання базових функцій;  динамічну міжфункціональну координацію;  узгодження зовнішніми чинниками [5;с.65]. </w:t>
      </w:r>
    </w:p>
    <w:p w:rsidR="00376112" w:rsidRPr="000275C2" w:rsidRDefault="00376112" w:rsidP="00376112">
      <w:pPr>
        <w:spacing w:after="0" w:line="240" w:lineRule="auto"/>
        <w:ind w:firstLine="426"/>
        <w:jc w:val="both"/>
        <w:rPr>
          <w:rFonts w:ascii="Verdana" w:hAnsi="Verdana"/>
          <w:sz w:val="18"/>
          <w:szCs w:val="18"/>
        </w:rPr>
      </w:pPr>
      <w:r w:rsidRPr="000275C2">
        <w:rPr>
          <w:rFonts w:ascii="Verdana" w:hAnsi="Verdana"/>
          <w:sz w:val="18"/>
          <w:szCs w:val="18"/>
        </w:rPr>
        <w:t>Коли говорять про класифікацію методів оцінки конкурентоспроможності підприємства, мають на увазі їх поділ на окремі групи за якоюсь ознакою. Найбільше такою ознакою вважають як саме показані результатів оцінки, тому і виділяють графічні, матричні, розрахункові та комбіновані методи.   В основі графічного методу оцінки конкурен</w:t>
      </w:r>
      <w:r>
        <w:rPr>
          <w:rFonts w:ascii="Verdana" w:hAnsi="Verdana"/>
          <w:sz w:val="18"/>
          <w:szCs w:val="18"/>
        </w:rPr>
        <w:t>тоспроможності лежить побудова «</w:t>
      </w:r>
      <w:r w:rsidRPr="000275C2">
        <w:rPr>
          <w:rFonts w:ascii="Verdana" w:hAnsi="Verdana"/>
          <w:sz w:val="18"/>
          <w:szCs w:val="18"/>
        </w:rPr>
        <w:t xml:space="preserve">Радіальної діаграми </w:t>
      </w:r>
      <w:r>
        <w:rPr>
          <w:rFonts w:ascii="Verdana" w:hAnsi="Verdana"/>
          <w:sz w:val="18"/>
          <w:szCs w:val="18"/>
        </w:rPr>
        <w:t>конкурентоспроможності»</w:t>
      </w:r>
      <w:r w:rsidRPr="000275C2">
        <w:rPr>
          <w:rFonts w:ascii="Verdana" w:hAnsi="Verdana"/>
          <w:sz w:val="18"/>
          <w:szCs w:val="18"/>
        </w:rPr>
        <w:t xml:space="preserve">. Така побудова багатокутників виконуються таким чином: велике коло ділимо радіальними оціночними шкалами на рівні сектори, їх  кількість повинна дорівнювати кількості обраних критеріїв; шкали на радіальних прямих градуйовано так, щоб всі значення критеріїв знаходилися всередині оціночного кола; значення критеріїв збільшуються по мірі віддалення від центра кола; на кожній вісі з використанням відповідного масштабу вимірювання позначають точки, що відповідають значенням критеріїв; по точках відповідно для кожного підприємства проводять ламану лінію, яка і формує багатокутник. </w:t>
      </w:r>
    </w:p>
    <w:p w:rsidR="00376112" w:rsidRPr="000275C2" w:rsidRDefault="00376112" w:rsidP="00376112">
      <w:pPr>
        <w:spacing w:after="0" w:line="240" w:lineRule="auto"/>
        <w:ind w:firstLine="426"/>
        <w:jc w:val="both"/>
        <w:rPr>
          <w:rFonts w:ascii="Verdana" w:hAnsi="Verdana"/>
          <w:sz w:val="18"/>
          <w:szCs w:val="18"/>
        </w:rPr>
      </w:pPr>
      <w:r w:rsidRPr="000275C2">
        <w:rPr>
          <w:rFonts w:ascii="Verdana" w:hAnsi="Verdana"/>
          <w:sz w:val="18"/>
          <w:szCs w:val="18"/>
        </w:rPr>
        <w:t>Наступні методи оцінки конкурентоспроможності підприємства  - матричні. Вони мають вигляд  таблиць, впорядкованих по рядках та стовпцях елементів. Як прик</w:t>
      </w:r>
      <w:r>
        <w:rPr>
          <w:rFonts w:ascii="Verdana" w:hAnsi="Verdana"/>
          <w:sz w:val="18"/>
          <w:szCs w:val="18"/>
        </w:rPr>
        <w:t>лад можна навести матрицю БКГ («</w:t>
      </w:r>
      <w:r w:rsidRPr="000275C2">
        <w:rPr>
          <w:rFonts w:ascii="Verdana" w:hAnsi="Verdana"/>
          <w:sz w:val="18"/>
          <w:szCs w:val="18"/>
        </w:rPr>
        <w:t>Бост</w:t>
      </w:r>
      <w:r>
        <w:rPr>
          <w:rFonts w:ascii="Verdana" w:hAnsi="Verdana"/>
          <w:sz w:val="18"/>
          <w:szCs w:val="18"/>
        </w:rPr>
        <w:t>онської консалтингової групи»</w:t>
      </w:r>
      <w:r w:rsidRPr="000275C2">
        <w:rPr>
          <w:rFonts w:ascii="Verdana" w:hAnsi="Verdana"/>
          <w:sz w:val="18"/>
          <w:szCs w:val="18"/>
        </w:rPr>
        <w:t>), адже вона будується в системі координат: де по вертикалі розміщують темпи росту місткості ринку, вони розміщуються по рядках матриці у лінійному масштабі; а по горизонталі - в логарифмічному масштабі відкладається відносна частка виробника продукції на ринку. Отже, відповідно до цього методу найбільш конкурентоздатними будуть ті підприємства, що займають більшу частку на швидко зростаючому ринку.</w:t>
      </w:r>
    </w:p>
    <w:p w:rsidR="00376112" w:rsidRPr="000275C2" w:rsidRDefault="00376112" w:rsidP="00376112">
      <w:pPr>
        <w:spacing w:after="0" w:line="240" w:lineRule="auto"/>
        <w:ind w:firstLine="426"/>
        <w:jc w:val="both"/>
        <w:rPr>
          <w:rFonts w:ascii="Verdana" w:hAnsi="Verdana"/>
          <w:sz w:val="18"/>
          <w:szCs w:val="18"/>
        </w:rPr>
      </w:pPr>
      <w:r w:rsidRPr="000275C2">
        <w:rPr>
          <w:rFonts w:ascii="Verdana" w:hAnsi="Verdana"/>
          <w:sz w:val="18"/>
          <w:szCs w:val="18"/>
        </w:rPr>
        <w:t>Самі чисельні методи оцінки конкурентоспроможності підприємства це розрахункові, до них відносяться: - специфічні методи – коли оцінюють конкурентоспроможність підприємства по окремих аспектах його діяльності (виробнича, інноваційна, маркетингова, фінансова тощо); комплексні методи – тут навпаки, в основу покладений комплексний підхід до оцінки конкурентоспроможності підприємства</w:t>
      </w:r>
      <w:r w:rsidRPr="000275C2">
        <w:rPr>
          <w:rFonts w:ascii="Verdana" w:hAnsi="Verdana"/>
          <w:b/>
          <w:sz w:val="18"/>
          <w:szCs w:val="18"/>
        </w:rPr>
        <w:t xml:space="preserve"> </w:t>
      </w:r>
      <w:r w:rsidRPr="000275C2">
        <w:rPr>
          <w:rFonts w:ascii="Verdana" w:hAnsi="Verdana"/>
          <w:sz w:val="18"/>
          <w:szCs w:val="18"/>
        </w:rPr>
        <w:t>[1].</w:t>
      </w:r>
    </w:p>
    <w:p w:rsidR="00376112" w:rsidRPr="000275C2" w:rsidRDefault="00376112" w:rsidP="00376112">
      <w:pPr>
        <w:spacing w:after="0" w:line="240" w:lineRule="auto"/>
        <w:ind w:firstLine="426"/>
        <w:jc w:val="both"/>
        <w:rPr>
          <w:rFonts w:ascii="Verdana" w:hAnsi="Verdana"/>
          <w:sz w:val="18"/>
          <w:szCs w:val="18"/>
        </w:rPr>
      </w:pPr>
      <w:r w:rsidRPr="000275C2">
        <w:rPr>
          <w:rFonts w:ascii="Verdana" w:hAnsi="Verdana"/>
          <w:sz w:val="18"/>
          <w:szCs w:val="18"/>
        </w:rPr>
        <w:t>Сьогодні у літературі найбільше говорять про таку оцінку конкурентоспроможності, як за ринковою часткою. Така методика дозволяє за характером часток ринку виділити ряд стандартних станів його суб'єктів: аутсайдери; із слабкою, середньою і сильною конкурентною позицією; лідери. Така величина зміни ринкової частки дає можливість визначити певні групи господарюючих одиниць. А коли зробити перехресну класифікацію розмірів часток та їх динаміки, можна побудувати конкурентну карту ринку, і тоді можна встановити точне місце фірми в структурі ринку, ступінь її домінування на ринку та особливості розвитку конкурентної ситуації [6;с.160].</w:t>
      </w:r>
    </w:p>
    <w:p w:rsidR="001C18CD" w:rsidRPr="00376112" w:rsidRDefault="00376112" w:rsidP="00376112">
      <w:pPr>
        <w:jc w:val="both"/>
        <w:rPr>
          <w:rFonts w:ascii="Verdana" w:hAnsi="Verdana"/>
          <w:sz w:val="18"/>
          <w:szCs w:val="18"/>
        </w:rPr>
      </w:pPr>
      <w:r w:rsidRPr="000275C2">
        <w:rPr>
          <w:rFonts w:ascii="Verdana" w:hAnsi="Verdana"/>
          <w:sz w:val="18"/>
          <w:szCs w:val="18"/>
        </w:rPr>
        <w:tab/>
        <w:t>Кінцевий вибір показників оцінки конкурентоспроможності фірми та методики взагалі, залежить від декількох факторів: для чого проводиться оцінка, яка саме це сфери бізнесу, та яку інформацію ми при цьому вже маємо. Для того, що визначити конкурентоспроможність підприємства на національному ринку необхідно його порівняти з подібним підприємством – конкурентом. Висока конкурентоспроможність підприємства означає, що всі ресурси фірми використовуються ефективно, що воно стає більш прибутковим, ніж його головні конкуренти. І це одночасно говорить про те, що товари підприємства користуються постійним попитом у споживачів, а саме підприємство має  стабільне місце на ринку товарів і послуг.</w:t>
      </w:r>
    </w:p>
    <w:sectPr w:rsidR="001C18CD" w:rsidRPr="00376112" w:rsidSect="00987B23">
      <w:footerReference w:type="default" r:id="rId7"/>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130F" w:rsidRDefault="008E130F" w:rsidP="00842066">
      <w:pPr>
        <w:spacing w:after="0" w:line="240" w:lineRule="auto"/>
      </w:pPr>
      <w:r>
        <w:separator/>
      </w:r>
    </w:p>
  </w:endnote>
  <w:endnote w:type="continuationSeparator" w:id="1">
    <w:p w:rsidR="008E130F" w:rsidRDefault="008E130F"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376112">
        <w:pPr>
          <w:pStyle w:val="af7"/>
        </w:pPr>
        <w:r>
          <w:t>94</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130F" w:rsidRDefault="008E130F" w:rsidP="00842066">
      <w:pPr>
        <w:spacing w:after="0" w:line="240" w:lineRule="auto"/>
      </w:pPr>
      <w:r>
        <w:separator/>
      </w:r>
    </w:p>
  </w:footnote>
  <w:footnote w:type="continuationSeparator" w:id="1">
    <w:p w:rsidR="008E130F" w:rsidRDefault="008E130F"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1E60FDD"/>
    <w:multiLevelType w:val="hybridMultilevel"/>
    <w:tmpl w:val="1432160C"/>
    <w:lvl w:ilvl="0" w:tplc="68307B14">
      <w:start w:val="2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C17096F"/>
    <w:multiLevelType w:val="hybridMultilevel"/>
    <w:tmpl w:val="3C804D46"/>
    <w:lvl w:ilvl="0" w:tplc="9524098A">
      <w:numFmt w:val="bullet"/>
      <w:lvlText w:val="-"/>
      <w:lvlJc w:val="left"/>
      <w:pPr>
        <w:ind w:left="927" w:hanging="360"/>
      </w:pPr>
      <w:rPr>
        <w:rFonts w:ascii="Verdana" w:eastAsia="Calibri" w:hAnsi="Verdana"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E6A275A"/>
    <w:multiLevelType w:val="multilevel"/>
    <w:tmpl w:val="37A05A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3">
    <w:nsid w:val="2DB54668"/>
    <w:multiLevelType w:val="multilevel"/>
    <w:tmpl w:val="885812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3014278D"/>
    <w:multiLevelType w:val="multilevel"/>
    <w:tmpl w:val="0EA661D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nsid w:val="34502506"/>
    <w:multiLevelType w:val="hybridMultilevel"/>
    <w:tmpl w:val="2396A854"/>
    <w:lvl w:ilvl="0" w:tplc="04190001">
      <w:start w:val="1"/>
      <w:numFmt w:val="bullet"/>
      <w:lvlText w:val=""/>
      <w:lvlJc w:val="left"/>
      <w:pPr>
        <w:ind w:left="1138" w:hanging="360"/>
      </w:pPr>
      <w:rPr>
        <w:rFonts w:ascii="Symbol" w:hAnsi="Symbol" w:hint="default"/>
      </w:rPr>
    </w:lvl>
    <w:lvl w:ilvl="1" w:tplc="04190003" w:tentative="1">
      <w:start w:val="1"/>
      <w:numFmt w:val="bullet"/>
      <w:lvlText w:val="o"/>
      <w:lvlJc w:val="left"/>
      <w:pPr>
        <w:ind w:left="1858" w:hanging="360"/>
      </w:pPr>
      <w:rPr>
        <w:rFonts w:ascii="Courier New" w:hAnsi="Courier New" w:cs="Courier New" w:hint="default"/>
      </w:rPr>
    </w:lvl>
    <w:lvl w:ilvl="2" w:tplc="04190005" w:tentative="1">
      <w:start w:val="1"/>
      <w:numFmt w:val="bullet"/>
      <w:lvlText w:val=""/>
      <w:lvlJc w:val="left"/>
      <w:pPr>
        <w:ind w:left="2578" w:hanging="360"/>
      </w:pPr>
      <w:rPr>
        <w:rFonts w:ascii="Wingdings" w:hAnsi="Wingdings" w:hint="default"/>
      </w:rPr>
    </w:lvl>
    <w:lvl w:ilvl="3" w:tplc="04190001" w:tentative="1">
      <w:start w:val="1"/>
      <w:numFmt w:val="bullet"/>
      <w:lvlText w:val=""/>
      <w:lvlJc w:val="left"/>
      <w:pPr>
        <w:ind w:left="3298" w:hanging="360"/>
      </w:pPr>
      <w:rPr>
        <w:rFonts w:ascii="Symbol" w:hAnsi="Symbol" w:hint="default"/>
      </w:rPr>
    </w:lvl>
    <w:lvl w:ilvl="4" w:tplc="04190003" w:tentative="1">
      <w:start w:val="1"/>
      <w:numFmt w:val="bullet"/>
      <w:lvlText w:val="o"/>
      <w:lvlJc w:val="left"/>
      <w:pPr>
        <w:ind w:left="4018" w:hanging="360"/>
      </w:pPr>
      <w:rPr>
        <w:rFonts w:ascii="Courier New" w:hAnsi="Courier New" w:cs="Courier New" w:hint="default"/>
      </w:rPr>
    </w:lvl>
    <w:lvl w:ilvl="5" w:tplc="04190005" w:tentative="1">
      <w:start w:val="1"/>
      <w:numFmt w:val="bullet"/>
      <w:lvlText w:val=""/>
      <w:lvlJc w:val="left"/>
      <w:pPr>
        <w:ind w:left="4738" w:hanging="360"/>
      </w:pPr>
      <w:rPr>
        <w:rFonts w:ascii="Wingdings" w:hAnsi="Wingdings" w:hint="default"/>
      </w:rPr>
    </w:lvl>
    <w:lvl w:ilvl="6" w:tplc="04190001" w:tentative="1">
      <w:start w:val="1"/>
      <w:numFmt w:val="bullet"/>
      <w:lvlText w:val=""/>
      <w:lvlJc w:val="left"/>
      <w:pPr>
        <w:ind w:left="5458" w:hanging="360"/>
      </w:pPr>
      <w:rPr>
        <w:rFonts w:ascii="Symbol" w:hAnsi="Symbol" w:hint="default"/>
      </w:rPr>
    </w:lvl>
    <w:lvl w:ilvl="7" w:tplc="04190003" w:tentative="1">
      <w:start w:val="1"/>
      <w:numFmt w:val="bullet"/>
      <w:lvlText w:val="o"/>
      <w:lvlJc w:val="left"/>
      <w:pPr>
        <w:ind w:left="6178" w:hanging="360"/>
      </w:pPr>
      <w:rPr>
        <w:rFonts w:ascii="Courier New" w:hAnsi="Courier New" w:cs="Courier New" w:hint="default"/>
      </w:rPr>
    </w:lvl>
    <w:lvl w:ilvl="8" w:tplc="04190005" w:tentative="1">
      <w:start w:val="1"/>
      <w:numFmt w:val="bullet"/>
      <w:lvlText w:val=""/>
      <w:lvlJc w:val="left"/>
      <w:pPr>
        <w:ind w:left="6898" w:hanging="360"/>
      </w:pPr>
      <w:rPr>
        <w:rFonts w:ascii="Wingdings" w:hAnsi="Wingdings" w:hint="default"/>
      </w:rPr>
    </w:lvl>
  </w:abstractNum>
  <w:abstractNum w:abstractNumId="17">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nsid w:val="3CD91D05"/>
    <w:multiLevelType w:val="hybridMultilevel"/>
    <w:tmpl w:val="2092C60C"/>
    <w:lvl w:ilvl="0" w:tplc="F60253EE">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2">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23">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536C2C2B"/>
    <w:multiLevelType w:val="hybridMultilevel"/>
    <w:tmpl w:val="58146662"/>
    <w:lvl w:ilvl="0" w:tplc="D996D0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540A3894"/>
    <w:multiLevelType w:val="hybridMultilevel"/>
    <w:tmpl w:val="4B1A75D0"/>
    <w:lvl w:ilvl="0" w:tplc="0E04F5C6">
      <w:start w:val="1"/>
      <w:numFmt w:val="decimal"/>
      <w:lvlText w:val="%1."/>
      <w:lvlJc w:val="left"/>
      <w:pPr>
        <w:tabs>
          <w:tab w:val="num" w:pos="869"/>
        </w:tabs>
        <w:ind w:left="869" w:hanging="585"/>
      </w:pPr>
      <w:rPr>
        <w:rFonts w:hint="default"/>
      </w:rPr>
    </w:lvl>
    <w:lvl w:ilvl="1" w:tplc="04220019" w:tentative="1">
      <w:start w:val="1"/>
      <w:numFmt w:val="lowerLetter"/>
      <w:lvlText w:val="%2."/>
      <w:lvlJc w:val="left"/>
      <w:pPr>
        <w:tabs>
          <w:tab w:val="num" w:pos="1364"/>
        </w:tabs>
        <w:ind w:left="1364" w:hanging="360"/>
      </w:pPr>
    </w:lvl>
    <w:lvl w:ilvl="2" w:tplc="0422001B" w:tentative="1">
      <w:start w:val="1"/>
      <w:numFmt w:val="lowerRoman"/>
      <w:lvlText w:val="%3."/>
      <w:lvlJc w:val="right"/>
      <w:pPr>
        <w:tabs>
          <w:tab w:val="num" w:pos="2084"/>
        </w:tabs>
        <w:ind w:left="2084" w:hanging="180"/>
      </w:pPr>
    </w:lvl>
    <w:lvl w:ilvl="3" w:tplc="0422000F" w:tentative="1">
      <w:start w:val="1"/>
      <w:numFmt w:val="decimal"/>
      <w:lvlText w:val="%4."/>
      <w:lvlJc w:val="left"/>
      <w:pPr>
        <w:tabs>
          <w:tab w:val="num" w:pos="2804"/>
        </w:tabs>
        <w:ind w:left="2804" w:hanging="360"/>
      </w:pPr>
    </w:lvl>
    <w:lvl w:ilvl="4" w:tplc="04220019" w:tentative="1">
      <w:start w:val="1"/>
      <w:numFmt w:val="lowerLetter"/>
      <w:lvlText w:val="%5."/>
      <w:lvlJc w:val="left"/>
      <w:pPr>
        <w:tabs>
          <w:tab w:val="num" w:pos="3524"/>
        </w:tabs>
        <w:ind w:left="3524" w:hanging="360"/>
      </w:pPr>
    </w:lvl>
    <w:lvl w:ilvl="5" w:tplc="0422001B" w:tentative="1">
      <w:start w:val="1"/>
      <w:numFmt w:val="lowerRoman"/>
      <w:lvlText w:val="%6."/>
      <w:lvlJc w:val="right"/>
      <w:pPr>
        <w:tabs>
          <w:tab w:val="num" w:pos="4244"/>
        </w:tabs>
        <w:ind w:left="4244" w:hanging="180"/>
      </w:pPr>
    </w:lvl>
    <w:lvl w:ilvl="6" w:tplc="0422000F" w:tentative="1">
      <w:start w:val="1"/>
      <w:numFmt w:val="decimal"/>
      <w:lvlText w:val="%7."/>
      <w:lvlJc w:val="left"/>
      <w:pPr>
        <w:tabs>
          <w:tab w:val="num" w:pos="4964"/>
        </w:tabs>
        <w:ind w:left="4964" w:hanging="360"/>
      </w:pPr>
    </w:lvl>
    <w:lvl w:ilvl="7" w:tplc="04220019" w:tentative="1">
      <w:start w:val="1"/>
      <w:numFmt w:val="lowerLetter"/>
      <w:lvlText w:val="%8."/>
      <w:lvlJc w:val="left"/>
      <w:pPr>
        <w:tabs>
          <w:tab w:val="num" w:pos="5684"/>
        </w:tabs>
        <w:ind w:left="5684" w:hanging="360"/>
      </w:pPr>
    </w:lvl>
    <w:lvl w:ilvl="8" w:tplc="0422001B" w:tentative="1">
      <w:start w:val="1"/>
      <w:numFmt w:val="lowerRoman"/>
      <w:lvlText w:val="%9."/>
      <w:lvlJc w:val="right"/>
      <w:pPr>
        <w:tabs>
          <w:tab w:val="num" w:pos="6404"/>
        </w:tabs>
        <w:ind w:left="6404" w:hanging="180"/>
      </w:pPr>
    </w:lvl>
  </w:abstractNum>
  <w:abstractNum w:abstractNumId="28">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nsid w:val="5DE72F60"/>
    <w:multiLevelType w:val="hybridMultilevel"/>
    <w:tmpl w:val="D1BEDD3C"/>
    <w:lvl w:ilvl="0" w:tplc="5BDEBAE0">
      <w:start w:val="1"/>
      <w:numFmt w:val="decimal"/>
      <w:lvlText w:val="%1."/>
      <w:lvlJc w:val="left"/>
      <w:pPr>
        <w:ind w:left="927" w:hanging="360"/>
      </w:pPr>
      <w:rPr>
        <w:rFonts w:eastAsia="Times New Roman" w:cs="Times New Roman" w:hint="default"/>
        <w:color w:val="333333"/>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1">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32">
    <w:nsid w:val="6BEA4740"/>
    <w:multiLevelType w:val="multilevel"/>
    <w:tmpl w:val="315291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6D2612C1"/>
    <w:multiLevelType w:val="hybridMultilevel"/>
    <w:tmpl w:val="5A70CF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39A236D"/>
    <w:multiLevelType w:val="multilevel"/>
    <w:tmpl w:val="7F1E05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7">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8">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C3314AD"/>
    <w:multiLevelType w:val="multilevel"/>
    <w:tmpl w:val="B15482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nsid w:val="7F0E1178"/>
    <w:multiLevelType w:val="hybridMultilevel"/>
    <w:tmpl w:val="52F0364A"/>
    <w:lvl w:ilvl="0" w:tplc="001A355E">
      <w:start w:val="1"/>
      <w:numFmt w:val="decimal"/>
      <w:lvlText w:val="%1)"/>
      <w:lvlJc w:val="left"/>
      <w:pPr>
        <w:ind w:left="927" w:hanging="360"/>
      </w:pPr>
      <w:rPr>
        <w:rFonts w:ascii="Verdana" w:eastAsia="Calibri" w:hAnsi="Verdana"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9"/>
  </w:num>
  <w:num w:numId="2">
    <w:abstractNumId w:val="12"/>
  </w:num>
  <w:num w:numId="3">
    <w:abstractNumId w:val="22"/>
  </w:num>
  <w:num w:numId="4">
    <w:abstractNumId w:val="36"/>
  </w:num>
  <w:num w:numId="5">
    <w:abstractNumId w:val="25"/>
  </w:num>
  <w:num w:numId="6">
    <w:abstractNumId w:val="0"/>
  </w:num>
  <w:num w:numId="7">
    <w:abstractNumId w:val="33"/>
  </w:num>
  <w:num w:numId="8">
    <w:abstractNumId w:val="7"/>
  </w:num>
  <w:num w:numId="9">
    <w:abstractNumId w:val="38"/>
  </w:num>
  <w:num w:numId="10">
    <w:abstractNumId w:val="18"/>
  </w:num>
  <w:num w:numId="11">
    <w:abstractNumId w:val="15"/>
  </w:num>
  <w:num w:numId="12">
    <w:abstractNumId w:val="4"/>
  </w:num>
  <w:num w:numId="13">
    <w:abstractNumId w:val="37"/>
  </w:num>
  <w:num w:numId="14">
    <w:abstractNumId w:val="28"/>
  </w:num>
  <w:num w:numId="15">
    <w:abstractNumId w:val="10"/>
  </w:num>
  <w:num w:numId="16">
    <w:abstractNumId w:val="23"/>
  </w:num>
  <w:num w:numId="17">
    <w:abstractNumId w:val="3"/>
  </w:num>
  <w:num w:numId="18">
    <w:abstractNumId w:val="8"/>
  </w:num>
  <w:num w:numId="19">
    <w:abstractNumId w:val="21"/>
  </w:num>
  <w:num w:numId="20">
    <w:abstractNumId w:val="29"/>
  </w:num>
  <w:num w:numId="21">
    <w:abstractNumId w:val="9"/>
  </w:num>
  <w:num w:numId="22">
    <w:abstractNumId w:val="24"/>
  </w:num>
  <w:num w:numId="23">
    <w:abstractNumId w:val="31"/>
  </w:num>
  <w:num w:numId="24">
    <w:abstractNumId w:val="17"/>
  </w:num>
  <w:num w:numId="25">
    <w:abstractNumId w:val="11"/>
  </w:num>
  <w:num w:numId="26">
    <w:abstractNumId w:val="6"/>
  </w:num>
  <w:num w:numId="27">
    <w:abstractNumId w:val="39"/>
  </w:num>
  <w:num w:numId="28">
    <w:abstractNumId w:val="1"/>
  </w:num>
  <w:num w:numId="29">
    <w:abstractNumId w:val="26"/>
  </w:num>
  <w:num w:numId="3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1"/>
  </w:num>
  <w:num w:numId="32">
    <w:abstractNumId w:val="34"/>
  </w:num>
  <w:num w:numId="33">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
  </w:num>
  <w:num w:numId="40">
    <w:abstractNumId w:val="30"/>
  </w:num>
  <w:num w:numId="41">
    <w:abstractNumId w:val="20"/>
  </w:num>
  <w:num w:numId="4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67DDC"/>
    <w:rsid w:val="000840AC"/>
    <w:rsid w:val="000A4DF5"/>
    <w:rsid w:val="000A68DB"/>
    <w:rsid w:val="000B59C8"/>
    <w:rsid w:val="000E33ED"/>
    <w:rsid w:val="00162A35"/>
    <w:rsid w:val="001752C1"/>
    <w:rsid w:val="001C18CD"/>
    <w:rsid w:val="001C4033"/>
    <w:rsid w:val="001F6A01"/>
    <w:rsid w:val="00202F3C"/>
    <w:rsid w:val="00211E3C"/>
    <w:rsid w:val="002156DF"/>
    <w:rsid w:val="002372C3"/>
    <w:rsid w:val="002C00BE"/>
    <w:rsid w:val="002C3B8A"/>
    <w:rsid w:val="002E2CD6"/>
    <w:rsid w:val="002F1C3B"/>
    <w:rsid w:val="002F6A61"/>
    <w:rsid w:val="00300FFD"/>
    <w:rsid w:val="00336DE6"/>
    <w:rsid w:val="00343BCA"/>
    <w:rsid w:val="00374B02"/>
    <w:rsid w:val="00376112"/>
    <w:rsid w:val="003831FF"/>
    <w:rsid w:val="00397084"/>
    <w:rsid w:val="003B19C3"/>
    <w:rsid w:val="00404BAA"/>
    <w:rsid w:val="004464F7"/>
    <w:rsid w:val="0045151F"/>
    <w:rsid w:val="00455885"/>
    <w:rsid w:val="00472221"/>
    <w:rsid w:val="004828C7"/>
    <w:rsid w:val="00485B02"/>
    <w:rsid w:val="004C3C43"/>
    <w:rsid w:val="00500F25"/>
    <w:rsid w:val="00504985"/>
    <w:rsid w:val="00512354"/>
    <w:rsid w:val="00540221"/>
    <w:rsid w:val="00544C25"/>
    <w:rsid w:val="00570DD2"/>
    <w:rsid w:val="005A2078"/>
    <w:rsid w:val="005B28B6"/>
    <w:rsid w:val="005D3369"/>
    <w:rsid w:val="005D6B51"/>
    <w:rsid w:val="00607A49"/>
    <w:rsid w:val="00651076"/>
    <w:rsid w:val="006573BB"/>
    <w:rsid w:val="006A7249"/>
    <w:rsid w:val="006B27E3"/>
    <w:rsid w:val="00716B2C"/>
    <w:rsid w:val="007240F2"/>
    <w:rsid w:val="007353A6"/>
    <w:rsid w:val="00745BAB"/>
    <w:rsid w:val="00772807"/>
    <w:rsid w:val="00777798"/>
    <w:rsid w:val="00793DEB"/>
    <w:rsid w:val="007C4E99"/>
    <w:rsid w:val="007E342D"/>
    <w:rsid w:val="007E50FE"/>
    <w:rsid w:val="00800172"/>
    <w:rsid w:val="00814DB4"/>
    <w:rsid w:val="00826639"/>
    <w:rsid w:val="00842066"/>
    <w:rsid w:val="00845D20"/>
    <w:rsid w:val="00884BD8"/>
    <w:rsid w:val="008D5547"/>
    <w:rsid w:val="008E130F"/>
    <w:rsid w:val="00926C33"/>
    <w:rsid w:val="00944C4B"/>
    <w:rsid w:val="009604D0"/>
    <w:rsid w:val="00961D19"/>
    <w:rsid w:val="009772C4"/>
    <w:rsid w:val="00977C49"/>
    <w:rsid w:val="0098493A"/>
    <w:rsid w:val="00987B23"/>
    <w:rsid w:val="00997453"/>
    <w:rsid w:val="009A0D1B"/>
    <w:rsid w:val="009D434A"/>
    <w:rsid w:val="009E7F0F"/>
    <w:rsid w:val="00A15681"/>
    <w:rsid w:val="00A52C1E"/>
    <w:rsid w:val="00A909B3"/>
    <w:rsid w:val="00A9671B"/>
    <w:rsid w:val="00AA4557"/>
    <w:rsid w:val="00AD1AD3"/>
    <w:rsid w:val="00B078E6"/>
    <w:rsid w:val="00B1060C"/>
    <w:rsid w:val="00B10D8C"/>
    <w:rsid w:val="00B17F3E"/>
    <w:rsid w:val="00B26518"/>
    <w:rsid w:val="00B66B59"/>
    <w:rsid w:val="00B8770B"/>
    <w:rsid w:val="00BC0205"/>
    <w:rsid w:val="00BD129B"/>
    <w:rsid w:val="00BD6F9F"/>
    <w:rsid w:val="00BE66C9"/>
    <w:rsid w:val="00C055CA"/>
    <w:rsid w:val="00C25F2A"/>
    <w:rsid w:val="00C431F4"/>
    <w:rsid w:val="00C43FFD"/>
    <w:rsid w:val="00C646CF"/>
    <w:rsid w:val="00C65DB8"/>
    <w:rsid w:val="00C844A5"/>
    <w:rsid w:val="00C85B4E"/>
    <w:rsid w:val="00CB3F13"/>
    <w:rsid w:val="00CD3499"/>
    <w:rsid w:val="00CE2709"/>
    <w:rsid w:val="00D26A99"/>
    <w:rsid w:val="00D329AE"/>
    <w:rsid w:val="00D66D06"/>
    <w:rsid w:val="00D80ACF"/>
    <w:rsid w:val="00DA2709"/>
    <w:rsid w:val="00DA7BA4"/>
    <w:rsid w:val="00DB0988"/>
    <w:rsid w:val="00DC6492"/>
    <w:rsid w:val="00DD53BA"/>
    <w:rsid w:val="00DE6B1D"/>
    <w:rsid w:val="00DF3CE7"/>
    <w:rsid w:val="00E113BA"/>
    <w:rsid w:val="00E236A9"/>
    <w:rsid w:val="00E2712E"/>
    <w:rsid w:val="00E3695E"/>
    <w:rsid w:val="00E45840"/>
    <w:rsid w:val="00E476B8"/>
    <w:rsid w:val="00E71C27"/>
    <w:rsid w:val="00EA15B8"/>
    <w:rsid w:val="00EF6895"/>
    <w:rsid w:val="00F31707"/>
    <w:rsid w:val="00F331EF"/>
    <w:rsid w:val="00F5173E"/>
    <w:rsid w:val="00FA222E"/>
    <w:rsid w:val="00FA5990"/>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796</Words>
  <Characters>4541</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5327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2013-10-14T10:56:00Z</dcterms:created>
  <dcterms:modified xsi:type="dcterms:W3CDTF">2013-10-14T10:56:00Z</dcterms:modified>
</cp:coreProperties>
</file>