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0FE" w:rsidRPr="007E50FE" w:rsidRDefault="007E50FE" w:rsidP="007E50FE">
      <w:pPr>
        <w:pStyle w:val="1"/>
        <w:spacing w:before="0"/>
        <w:jc w:val="center"/>
        <w:rPr>
          <w:rFonts w:ascii="Verdana" w:eastAsia="Arial Unicode MS" w:hAnsi="Verdana" w:cs="Arial Unicode MS"/>
          <w:sz w:val="24"/>
          <w:szCs w:val="24"/>
          <w:lang w:val="ru-RU"/>
        </w:rPr>
      </w:pPr>
      <w:bookmarkStart w:id="0" w:name="_Toc352106067"/>
      <w:r w:rsidRPr="007E50FE">
        <w:rPr>
          <w:rFonts w:ascii="Verdana" w:eastAsia="Arial Unicode MS" w:hAnsi="Verdana" w:cs="Arial Unicode MS"/>
          <w:sz w:val="24"/>
          <w:szCs w:val="24"/>
          <w:lang w:val="ru-RU"/>
        </w:rPr>
        <w:t>Форми державного податкового стимулювання інноваційної діяльності в Україні</w:t>
      </w:r>
      <w:bookmarkEnd w:id="0"/>
    </w:p>
    <w:p w:rsidR="007E50FE" w:rsidRPr="007E50FE" w:rsidRDefault="007E50FE" w:rsidP="007E50FE">
      <w:pPr>
        <w:pStyle w:val="1"/>
        <w:spacing w:before="0"/>
        <w:jc w:val="center"/>
        <w:rPr>
          <w:rFonts w:ascii="Verdana" w:eastAsia="Arial Unicode MS" w:hAnsi="Verdana" w:cs="Arial Unicode MS"/>
          <w:b w:val="0"/>
          <w:sz w:val="22"/>
          <w:szCs w:val="22"/>
          <w:lang w:val="ru-RU"/>
        </w:rPr>
      </w:pPr>
      <w:bookmarkStart w:id="1" w:name="_Toc352106068"/>
      <w:r w:rsidRPr="007E50FE">
        <w:rPr>
          <w:rFonts w:ascii="Verdana" w:eastAsia="Arial Unicode MS" w:hAnsi="Verdana" w:cs="Arial Unicode MS"/>
          <w:b w:val="0"/>
          <w:sz w:val="22"/>
          <w:szCs w:val="22"/>
          <w:lang w:val="ru-RU"/>
        </w:rPr>
        <w:t>Петровська І.П.</w:t>
      </w:r>
      <w:bookmarkEnd w:id="1"/>
    </w:p>
    <w:p w:rsidR="007E50FE" w:rsidRPr="000275C2" w:rsidRDefault="007E50FE" w:rsidP="007E50FE">
      <w:pPr>
        <w:spacing w:after="0" w:line="240" w:lineRule="auto"/>
        <w:jc w:val="center"/>
        <w:rPr>
          <w:rFonts w:ascii="Verdana" w:hAnsi="Verdana"/>
          <w:b/>
        </w:rPr>
      </w:pPr>
      <w:r w:rsidRPr="000275C2">
        <w:rPr>
          <w:rFonts w:ascii="Verdana" w:hAnsi="Verdana"/>
          <w:b/>
        </w:rPr>
        <w:t>Національній технічний університет Україні «КПІ»</w:t>
      </w:r>
    </w:p>
    <w:p w:rsidR="007E50FE" w:rsidRPr="000275C2" w:rsidRDefault="007E50FE" w:rsidP="007E50FE">
      <w:pPr>
        <w:spacing w:after="0" w:line="240" w:lineRule="auto"/>
        <w:jc w:val="center"/>
        <w:rPr>
          <w:rFonts w:ascii="Verdana" w:hAnsi="Verdana"/>
          <w:bCs/>
          <w:i/>
          <w:iCs/>
        </w:rPr>
      </w:pPr>
      <w:r w:rsidRPr="000275C2">
        <w:rPr>
          <w:rFonts w:ascii="Verdana" w:hAnsi="Verdana"/>
          <w:bCs/>
          <w:i/>
          <w:iCs/>
        </w:rPr>
        <w:t>Е-</w:t>
      </w:r>
      <w:r w:rsidRPr="000275C2">
        <w:rPr>
          <w:rFonts w:ascii="Verdana" w:hAnsi="Verdana"/>
          <w:bCs/>
          <w:i/>
          <w:iCs/>
          <w:lang w:val="en-US"/>
        </w:rPr>
        <w:t>mail</w:t>
      </w:r>
      <w:r w:rsidRPr="000275C2">
        <w:rPr>
          <w:rFonts w:ascii="Verdana" w:hAnsi="Verdana"/>
          <w:bCs/>
          <w:i/>
          <w:iCs/>
        </w:rPr>
        <w:t xml:space="preserve">: </w:t>
      </w:r>
      <w:hyperlink r:id="rId7" w:history="1">
        <w:r w:rsidRPr="000275C2">
          <w:rPr>
            <w:rStyle w:val="af4"/>
            <w:rFonts w:ascii="Verdana" w:hAnsi="Verdana"/>
            <w:bCs/>
            <w:i/>
            <w:iCs/>
            <w:color w:val="auto"/>
            <w:lang w:val="en-US"/>
          </w:rPr>
          <w:t>sekynda</w:t>
        </w:r>
        <w:r w:rsidRPr="000275C2">
          <w:rPr>
            <w:rStyle w:val="af4"/>
            <w:rFonts w:ascii="Verdana" w:hAnsi="Verdana"/>
            <w:bCs/>
            <w:i/>
            <w:iCs/>
            <w:color w:val="auto"/>
          </w:rPr>
          <w:t>@</w:t>
        </w:r>
        <w:r w:rsidRPr="000275C2">
          <w:rPr>
            <w:rStyle w:val="af4"/>
            <w:rFonts w:ascii="Verdana" w:hAnsi="Verdana"/>
            <w:bCs/>
            <w:i/>
            <w:iCs/>
            <w:color w:val="auto"/>
            <w:lang w:val="en-US"/>
          </w:rPr>
          <w:t>i</w:t>
        </w:r>
        <w:r w:rsidRPr="000275C2">
          <w:rPr>
            <w:rStyle w:val="af4"/>
            <w:rFonts w:ascii="Verdana" w:hAnsi="Verdana"/>
            <w:bCs/>
            <w:i/>
            <w:iCs/>
            <w:color w:val="auto"/>
          </w:rPr>
          <w:t>.</w:t>
        </w:r>
        <w:r w:rsidRPr="000275C2">
          <w:rPr>
            <w:rStyle w:val="af4"/>
            <w:rFonts w:ascii="Verdana" w:hAnsi="Verdana"/>
            <w:bCs/>
            <w:i/>
            <w:iCs/>
            <w:color w:val="auto"/>
            <w:lang w:val="en-US"/>
          </w:rPr>
          <w:t>ua</w:t>
        </w:r>
      </w:hyperlink>
    </w:p>
    <w:p w:rsidR="007E50FE" w:rsidRPr="000275C2" w:rsidRDefault="007E50FE" w:rsidP="007E50FE">
      <w:pPr>
        <w:spacing w:after="0" w:line="240" w:lineRule="auto"/>
        <w:ind w:firstLine="567"/>
        <w:jc w:val="both"/>
        <w:rPr>
          <w:rFonts w:ascii="Verdana" w:hAnsi="Verdana"/>
          <w:bCs/>
          <w:iCs/>
          <w:sz w:val="18"/>
          <w:szCs w:val="18"/>
        </w:rPr>
      </w:pPr>
      <w:r w:rsidRPr="000275C2">
        <w:rPr>
          <w:rFonts w:ascii="Verdana" w:hAnsi="Verdana"/>
          <w:bCs/>
          <w:iCs/>
          <w:sz w:val="18"/>
          <w:szCs w:val="18"/>
        </w:rPr>
        <w:t xml:space="preserve">В економічному зростанні країни за сучасних умов швидкого технологічного розвитку вирішальне значення має крупне інноваційне підприємство. Тому, актуальність проблеми удосконалення державного податкового стимулювання  крупних інноваційних підприємств потребує подальшого вдосконалення у відповідності до специфіки вітчизняних умов. Проблематикою стимулювання інноваційної діяльності, використання методів та порядок державного регулювання крупних інноваційних підприємств займалися такі провідні вчені, як Ю.Тихоміров, Б.Курашвілі, Л.Юзьков та інші. </w:t>
      </w:r>
    </w:p>
    <w:p w:rsidR="007E50FE" w:rsidRPr="000275C2" w:rsidRDefault="007E50FE" w:rsidP="007E50FE">
      <w:pPr>
        <w:spacing w:after="0" w:line="240" w:lineRule="auto"/>
        <w:ind w:firstLine="567"/>
        <w:jc w:val="both"/>
        <w:rPr>
          <w:rFonts w:ascii="Verdana" w:hAnsi="Verdana"/>
          <w:bCs/>
          <w:iCs/>
          <w:sz w:val="18"/>
          <w:szCs w:val="18"/>
        </w:rPr>
      </w:pPr>
      <w:r w:rsidRPr="000275C2">
        <w:rPr>
          <w:rFonts w:ascii="Verdana" w:hAnsi="Verdana"/>
          <w:bCs/>
          <w:iCs/>
          <w:sz w:val="18"/>
          <w:szCs w:val="18"/>
        </w:rPr>
        <w:t xml:space="preserve">Метою даного дослідження є визначення форм державного податкового стимулювання  крупних  інноваційних підприємств. Причинами низької активізації інноваційних процесів крупних підприємств в Україні є:  недосконалість  законодавчої та нормативно-правової бази; відсутність стимулів для здійснення інноваційної діяльності та недієвість механізмів державного регулювання та податкового стимулювання інноваційної діяльності тощо. Серед багатьох визначених причин значну увагу приділимо податковому стимулюванню крупних інноваційних  підприємств. Враховуючи специфіку інноваційної діяльності, всі податки доцільно поділити на постійні та змінні. Такий поділ є важливим, виходячи з того, що, на нашу думку, податкове стимулювання інноваційної діяльності буде ефективним тоді, коли пільги надаватимуться за значимим для підприємства в залежності від життєвого циклу продукту податками. На нашу думку, виходячи з того, через які податки постійні чи змінні потрібно забезпечувати податкове стимулювання крупних підприємств, інноваційний цикл логічно поділяти на дві стадії[1]: 1) стадія НДДКР – на всіх етапах даної стадії випуск продукції відсутній, тому зміні податки є несуттєвими для підприємства; 2)   стадія промислового (серійного) виробництва продукції – на цій стадії питома вага змінних податків у податковому навантаженні на  підприємство зростає. </w:t>
      </w:r>
    </w:p>
    <w:p w:rsidR="007E50FE" w:rsidRPr="000275C2" w:rsidRDefault="007E50FE" w:rsidP="007E50FE">
      <w:pPr>
        <w:spacing w:after="0" w:line="240" w:lineRule="auto"/>
        <w:ind w:firstLine="567"/>
        <w:jc w:val="both"/>
        <w:rPr>
          <w:rFonts w:ascii="Verdana" w:hAnsi="Verdana"/>
          <w:bCs/>
          <w:iCs/>
          <w:sz w:val="18"/>
          <w:szCs w:val="18"/>
        </w:rPr>
      </w:pPr>
      <w:r w:rsidRPr="000275C2">
        <w:rPr>
          <w:rFonts w:ascii="Verdana" w:hAnsi="Verdana"/>
          <w:bCs/>
          <w:iCs/>
          <w:sz w:val="18"/>
          <w:szCs w:val="18"/>
        </w:rPr>
        <w:t xml:space="preserve">Ефективність податкового стимулювання доцільно розглядати також в розрізі розміру інноваційних підприємств(Табл.1). </w:t>
      </w:r>
    </w:p>
    <w:p w:rsidR="007E50FE" w:rsidRPr="000275C2" w:rsidRDefault="007E50FE" w:rsidP="007E50FE">
      <w:pPr>
        <w:spacing w:after="0" w:line="240" w:lineRule="auto"/>
        <w:ind w:firstLine="567"/>
        <w:jc w:val="right"/>
        <w:rPr>
          <w:rFonts w:ascii="Verdana" w:hAnsi="Verdana"/>
          <w:bCs/>
          <w:iCs/>
          <w:sz w:val="18"/>
          <w:szCs w:val="18"/>
        </w:rPr>
      </w:pPr>
      <w:r w:rsidRPr="000275C2">
        <w:rPr>
          <w:rFonts w:ascii="Verdana" w:hAnsi="Verdana"/>
          <w:bCs/>
          <w:iCs/>
          <w:sz w:val="18"/>
          <w:szCs w:val="18"/>
        </w:rPr>
        <w:t xml:space="preserve">Таблиця 1. </w:t>
      </w:r>
    </w:p>
    <w:p w:rsidR="007E50FE" w:rsidRPr="000275C2" w:rsidRDefault="007E50FE" w:rsidP="007E50FE">
      <w:pPr>
        <w:spacing w:after="0" w:line="240" w:lineRule="auto"/>
        <w:ind w:firstLine="567"/>
        <w:jc w:val="center"/>
        <w:rPr>
          <w:rFonts w:ascii="Verdana" w:hAnsi="Verdana"/>
          <w:bCs/>
          <w:iCs/>
          <w:sz w:val="18"/>
          <w:szCs w:val="18"/>
        </w:rPr>
      </w:pPr>
      <w:r w:rsidRPr="000275C2">
        <w:rPr>
          <w:rFonts w:ascii="Verdana" w:hAnsi="Verdana"/>
          <w:bCs/>
          <w:iCs/>
          <w:sz w:val="18"/>
          <w:szCs w:val="18"/>
        </w:rPr>
        <w:t>Рекомендовані   форми податкового стимулювання інноваційної діяльності крупних підприємств на різних етапах реалізації інноваційних проектів</w:t>
      </w:r>
    </w:p>
    <w:tbl>
      <w:tblPr>
        <w:tblW w:w="5000" w:type="pct"/>
        <w:tblCellMar>
          <w:left w:w="0" w:type="dxa"/>
          <w:right w:w="0" w:type="dxa"/>
        </w:tblCellMar>
        <w:tblLook w:val="0000"/>
      </w:tblPr>
      <w:tblGrid>
        <w:gridCol w:w="2531"/>
        <w:gridCol w:w="1651"/>
        <w:gridCol w:w="1783"/>
        <w:gridCol w:w="2282"/>
        <w:gridCol w:w="2034"/>
      </w:tblGrid>
      <w:tr w:rsidR="007E50FE" w:rsidRPr="000275C2" w:rsidTr="004624F1">
        <w:trPr>
          <w:cantSplit/>
        </w:trPr>
        <w:tc>
          <w:tcPr>
            <w:tcW w:w="12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Вид податку</w:t>
            </w:r>
          </w:p>
        </w:tc>
        <w:tc>
          <w:tcPr>
            <w:tcW w:w="3769" w:type="pct"/>
            <w:gridSpan w:val="4"/>
            <w:tcBorders>
              <w:top w:val="single" w:sz="8" w:space="0" w:color="auto"/>
              <w:left w:val="nil"/>
              <w:bottom w:val="single" w:sz="8" w:space="0" w:color="auto"/>
              <w:right w:val="single" w:sz="4"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Форми податкового стимулювання</w:t>
            </w:r>
          </w:p>
        </w:tc>
      </w:tr>
      <w:tr w:rsidR="007E50FE" w:rsidRPr="000275C2" w:rsidTr="004624F1">
        <w:trPr>
          <w:cantSplit/>
        </w:trPr>
        <w:tc>
          <w:tcPr>
            <w:tcW w:w="1231" w:type="pct"/>
            <w:vMerge/>
            <w:tcBorders>
              <w:top w:val="single" w:sz="8" w:space="0" w:color="auto"/>
              <w:left w:val="single" w:sz="8" w:space="0" w:color="auto"/>
              <w:bottom w:val="single" w:sz="8" w:space="0" w:color="auto"/>
              <w:right w:val="single" w:sz="8" w:space="0" w:color="auto"/>
            </w:tcBorders>
            <w:vAlign w:val="center"/>
          </w:tcPr>
          <w:p w:rsidR="007E50FE" w:rsidRPr="000275C2" w:rsidRDefault="007E50FE" w:rsidP="004624F1">
            <w:pPr>
              <w:spacing w:after="0" w:line="240" w:lineRule="auto"/>
              <w:jc w:val="center"/>
              <w:rPr>
                <w:rFonts w:ascii="Verdana" w:hAnsi="Verdana"/>
                <w:bCs/>
                <w:iCs/>
                <w:sz w:val="16"/>
                <w:szCs w:val="16"/>
              </w:rPr>
            </w:pPr>
          </w:p>
        </w:tc>
        <w:tc>
          <w:tcPr>
            <w:tcW w:w="803"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rPr>
                <w:rFonts w:ascii="Verdana" w:hAnsi="Verdana"/>
                <w:bCs/>
                <w:iCs/>
                <w:sz w:val="16"/>
                <w:szCs w:val="16"/>
              </w:rPr>
            </w:pPr>
            <w:r w:rsidRPr="000275C2">
              <w:rPr>
                <w:rFonts w:ascii="Verdana" w:hAnsi="Verdana"/>
                <w:bCs/>
                <w:iCs/>
                <w:sz w:val="16"/>
                <w:szCs w:val="16"/>
              </w:rPr>
              <w:t>Податкові  канікули</w:t>
            </w:r>
          </w:p>
        </w:tc>
        <w:tc>
          <w:tcPr>
            <w:tcW w:w="867"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rPr>
                <w:rFonts w:ascii="Verdana" w:hAnsi="Verdana"/>
                <w:bCs/>
                <w:iCs/>
                <w:sz w:val="16"/>
                <w:szCs w:val="16"/>
              </w:rPr>
            </w:pPr>
            <w:r w:rsidRPr="000275C2">
              <w:rPr>
                <w:rFonts w:ascii="Verdana" w:hAnsi="Verdana"/>
                <w:bCs/>
                <w:iCs/>
                <w:sz w:val="16"/>
                <w:szCs w:val="16"/>
              </w:rPr>
              <w:t>Розстрочка платежів</w:t>
            </w:r>
          </w:p>
        </w:tc>
        <w:tc>
          <w:tcPr>
            <w:tcW w:w="1110"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rPr>
                <w:rFonts w:ascii="Verdana" w:hAnsi="Verdana"/>
                <w:bCs/>
                <w:iCs/>
                <w:sz w:val="16"/>
                <w:szCs w:val="16"/>
              </w:rPr>
            </w:pPr>
            <w:r w:rsidRPr="000275C2">
              <w:rPr>
                <w:rFonts w:ascii="Verdana" w:hAnsi="Verdana"/>
                <w:bCs/>
                <w:iCs/>
                <w:sz w:val="16"/>
                <w:szCs w:val="16"/>
              </w:rPr>
              <w:t>Зменшення бази  оподаткування</w:t>
            </w:r>
          </w:p>
        </w:tc>
        <w:tc>
          <w:tcPr>
            <w:tcW w:w="989" w:type="pct"/>
            <w:tcBorders>
              <w:top w:val="nil"/>
              <w:left w:val="nil"/>
              <w:bottom w:val="single" w:sz="8" w:space="0" w:color="auto"/>
              <w:right w:val="single" w:sz="4" w:space="0" w:color="auto"/>
            </w:tcBorders>
            <w:tcMar>
              <w:top w:w="0" w:type="dxa"/>
              <w:left w:w="108" w:type="dxa"/>
              <w:bottom w:w="0" w:type="dxa"/>
              <w:right w:w="108" w:type="dxa"/>
            </w:tcMar>
          </w:tcPr>
          <w:p w:rsidR="007E50FE" w:rsidRPr="000275C2" w:rsidRDefault="007E50FE" w:rsidP="004624F1">
            <w:pPr>
              <w:spacing w:after="0" w:line="240" w:lineRule="auto"/>
              <w:rPr>
                <w:rFonts w:ascii="Verdana" w:hAnsi="Verdana"/>
                <w:bCs/>
                <w:iCs/>
                <w:sz w:val="16"/>
                <w:szCs w:val="16"/>
              </w:rPr>
            </w:pPr>
            <w:r w:rsidRPr="000275C2">
              <w:rPr>
                <w:rFonts w:ascii="Verdana" w:hAnsi="Verdana"/>
                <w:bCs/>
                <w:iCs/>
                <w:sz w:val="16"/>
                <w:szCs w:val="16"/>
              </w:rPr>
              <w:t>Коригування ставки</w:t>
            </w:r>
          </w:p>
        </w:tc>
      </w:tr>
      <w:tr w:rsidR="007E50FE" w:rsidRPr="000275C2" w:rsidTr="004624F1">
        <w:tc>
          <w:tcPr>
            <w:tcW w:w="12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1</w:t>
            </w:r>
          </w:p>
        </w:tc>
        <w:tc>
          <w:tcPr>
            <w:tcW w:w="803"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2</w:t>
            </w:r>
          </w:p>
        </w:tc>
        <w:tc>
          <w:tcPr>
            <w:tcW w:w="867"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3</w:t>
            </w:r>
          </w:p>
        </w:tc>
        <w:tc>
          <w:tcPr>
            <w:tcW w:w="1110"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vertAlign w:val="superscript"/>
              </w:rPr>
            </w:pPr>
            <w:r w:rsidRPr="000275C2">
              <w:rPr>
                <w:rFonts w:ascii="Verdana" w:hAnsi="Verdana"/>
                <w:bCs/>
                <w:iCs/>
                <w:sz w:val="16"/>
                <w:szCs w:val="16"/>
                <w:vertAlign w:val="superscript"/>
              </w:rPr>
              <w:t>4</w:t>
            </w:r>
          </w:p>
        </w:tc>
        <w:tc>
          <w:tcPr>
            <w:tcW w:w="989"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vertAlign w:val="superscript"/>
              </w:rPr>
            </w:pPr>
            <w:r w:rsidRPr="000275C2">
              <w:rPr>
                <w:rFonts w:ascii="Verdana" w:hAnsi="Verdana"/>
                <w:bCs/>
                <w:iCs/>
                <w:sz w:val="16"/>
                <w:szCs w:val="16"/>
                <w:vertAlign w:val="superscript"/>
              </w:rPr>
              <w:t>5</w:t>
            </w:r>
          </w:p>
        </w:tc>
      </w:tr>
      <w:tr w:rsidR="007E50FE" w:rsidRPr="000275C2" w:rsidTr="004624F1">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vertAlign w:val="superscript"/>
              </w:rPr>
            </w:pPr>
            <w:r w:rsidRPr="000275C2">
              <w:rPr>
                <w:rFonts w:ascii="Verdana" w:hAnsi="Verdana"/>
                <w:bCs/>
                <w:iCs/>
                <w:sz w:val="16"/>
                <w:szCs w:val="16"/>
              </w:rPr>
              <w:t>Етап НДДКР</w:t>
            </w:r>
          </w:p>
        </w:tc>
      </w:tr>
      <w:tr w:rsidR="007E50FE" w:rsidRPr="000275C2" w:rsidTr="004624F1">
        <w:tc>
          <w:tcPr>
            <w:tcW w:w="12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Нарахування на заробітну плату</w:t>
            </w:r>
          </w:p>
        </w:tc>
        <w:tc>
          <w:tcPr>
            <w:tcW w:w="803"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w:t>
            </w:r>
          </w:p>
        </w:tc>
        <w:tc>
          <w:tcPr>
            <w:tcW w:w="867"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w:t>
            </w:r>
          </w:p>
        </w:tc>
        <w:tc>
          <w:tcPr>
            <w:tcW w:w="1110"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w:t>
            </w:r>
          </w:p>
        </w:tc>
        <w:tc>
          <w:tcPr>
            <w:tcW w:w="989"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vertAlign w:val="superscript"/>
              </w:rPr>
              <w:t>-</w:t>
            </w:r>
          </w:p>
        </w:tc>
      </w:tr>
      <w:tr w:rsidR="007E50FE" w:rsidRPr="000275C2" w:rsidTr="004624F1">
        <w:tc>
          <w:tcPr>
            <w:tcW w:w="12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Податок на прибуток</w:t>
            </w:r>
          </w:p>
        </w:tc>
        <w:tc>
          <w:tcPr>
            <w:tcW w:w="803"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w:t>
            </w:r>
          </w:p>
        </w:tc>
        <w:tc>
          <w:tcPr>
            <w:tcW w:w="867"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w:t>
            </w:r>
          </w:p>
        </w:tc>
        <w:tc>
          <w:tcPr>
            <w:tcW w:w="1110"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Х</w:t>
            </w:r>
          </w:p>
        </w:tc>
        <w:tc>
          <w:tcPr>
            <w:tcW w:w="989"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w:t>
            </w:r>
          </w:p>
        </w:tc>
      </w:tr>
      <w:tr w:rsidR="007E50FE" w:rsidRPr="000275C2" w:rsidTr="004624F1">
        <w:tc>
          <w:tcPr>
            <w:tcW w:w="12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ПДВ</w:t>
            </w:r>
          </w:p>
        </w:tc>
        <w:tc>
          <w:tcPr>
            <w:tcW w:w="803"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w:t>
            </w:r>
          </w:p>
        </w:tc>
        <w:tc>
          <w:tcPr>
            <w:tcW w:w="867"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w:t>
            </w:r>
          </w:p>
        </w:tc>
        <w:tc>
          <w:tcPr>
            <w:tcW w:w="1110"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Х</w:t>
            </w:r>
          </w:p>
        </w:tc>
        <w:tc>
          <w:tcPr>
            <w:tcW w:w="989"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w:t>
            </w:r>
          </w:p>
        </w:tc>
      </w:tr>
      <w:tr w:rsidR="007E50FE" w:rsidRPr="000275C2" w:rsidTr="004624F1">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Етап промислового випуску продукції</w:t>
            </w:r>
          </w:p>
        </w:tc>
      </w:tr>
      <w:tr w:rsidR="007E50FE" w:rsidRPr="000275C2" w:rsidTr="004624F1">
        <w:tc>
          <w:tcPr>
            <w:tcW w:w="12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Нарахування на заробітну плату</w:t>
            </w:r>
          </w:p>
        </w:tc>
        <w:tc>
          <w:tcPr>
            <w:tcW w:w="803"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w:t>
            </w:r>
          </w:p>
        </w:tc>
        <w:tc>
          <w:tcPr>
            <w:tcW w:w="867"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w:t>
            </w:r>
          </w:p>
        </w:tc>
        <w:tc>
          <w:tcPr>
            <w:tcW w:w="1110"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w:t>
            </w:r>
          </w:p>
        </w:tc>
        <w:tc>
          <w:tcPr>
            <w:tcW w:w="989"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w:t>
            </w:r>
          </w:p>
        </w:tc>
      </w:tr>
      <w:tr w:rsidR="007E50FE" w:rsidRPr="000275C2" w:rsidTr="004624F1">
        <w:tc>
          <w:tcPr>
            <w:tcW w:w="12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Податок на прибуток</w:t>
            </w:r>
          </w:p>
        </w:tc>
        <w:tc>
          <w:tcPr>
            <w:tcW w:w="803"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w:t>
            </w:r>
          </w:p>
        </w:tc>
        <w:tc>
          <w:tcPr>
            <w:tcW w:w="867"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w:t>
            </w:r>
          </w:p>
        </w:tc>
        <w:tc>
          <w:tcPr>
            <w:tcW w:w="1110"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Х</w:t>
            </w:r>
          </w:p>
        </w:tc>
        <w:tc>
          <w:tcPr>
            <w:tcW w:w="989"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w:t>
            </w:r>
          </w:p>
        </w:tc>
      </w:tr>
      <w:tr w:rsidR="007E50FE" w:rsidRPr="000275C2" w:rsidTr="004624F1">
        <w:tc>
          <w:tcPr>
            <w:tcW w:w="12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ПДВ</w:t>
            </w:r>
          </w:p>
        </w:tc>
        <w:tc>
          <w:tcPr>
            <w:tcW w:w="803"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jc w:val="center"/>
              <w:rPr>
                <w:rFonts w:ascii="Verdana" w:hAnsi="Verdana"/>
                <w:bCs/>
                <w:iCs/>
                <w:sz w:val="16"/>
                <w:szCs w:val="16"/>
              </w:rPr>
            </w:pPr>
            <w:r w:rsidRPr="000275C2">
              <w:rPr>
                <w:rFonts w:ascii="Verdana" w:hAnsi="Verdana"/>
                <w:bCs/>
                <w:iCs/>
                <w:sz w:val="16"/>
                <w:szCs w:val="16"/>
              </w:rPr>
              <w:t>-</w:t>
            </w:r>
          </w:p>
        </w:tc>
        <w:tc>
          <w:tcPr>
            <w:tcW w:w="867"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w:t>
            </w:r>
          </w:p>
        </w:tc>
        <w:tc>
          <w:tcPr>
            <w:tcW w:w="1110"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Х</w:t>
            </w:r>
          </w:p>
        </w:tc>
        <w:tc>
          <w:tcPr>
            <w:tcW w:w="989" w:type="pct"/>
            <w:tcBorders>
              <w:top w:val="nil"/>
              <w:left w:val="nil"/>
              <w:bottom w:val="single" w:sz="8" w:space="0" w:color="auto"/>
              <w:right w:val="single" w:sz="8" w:space="0" w:color="auto"/>
            </w:tcBorders>
            <w:tcMar>
              <w:top w:w="0" w:type="dxa"/>
              <w:left w:w="108" w:type="dxa"/>
              <w:bottom w:w="0" w:type="dxa"/>
              <w:right w:w="108" w:type="dxa"/>
            </w:tcMar>
          </w:tcPr>
          <w:p w:rsidR="007E50FE" w:rsidRPr="000275C2" w:rsidRDefault="007E50FE" w:rsidP="004624F1">
            <w:pPr>
              <w:spacing w:after="0" w:line="240" w:lineRule="auto"/>
              <w:ind w:firstLine="567"/>
              <w:jc w:val="center"/>
              <w:rPr>
                <w:rFonts w:ascii="Verdana" w:hAnsi="Verdana"/>
                <w:bCs/>
                <w:iCs/>
                <w:sz w:val="16"/>
                <w:szCs w:val="16"/>
              </w:rPr>
            </w:pPr>
            <w:r w:rsidRPr="000275C2">
              <w:rPr>
                <w:rFonts w:ascii="Verdana" w:hAnsi="Verdana"/>
                <w:bCs/>
                <w:iCs/>
                <w:sz w:val="16"/>
                <w:szCs w:val="16"/>
              </w:rPr>
              <w:t>-</w:t>
            </w:r>
          </w:p>
        </w:tc>
      </w:tr>
    </w:tbl>
    <w:p w:rsidR="007E50FE" w:rsidRPr="000275C2" w:rsidRDefault="007E50FE" w:rsidP="007E50FE">
      <w:pPr>
        <w:spacing w:after="0" w:line="240" w:lineRule="auto"/>
        <w:ind w:firstLine="567"/>
        <w:jc w:val="center"/>
        <w:rPr>
          <w:rFonts w:ascii="Verdana" w:hAnsi="Verdana"/>
          <w:bCs/>
          <w:i/>
          <w:iCs/>
          <w:sz w:val="14"/>
          <w:szCs w:val="14"/>
        </w:rPr>
      </w:pPr>
      <w:r w:rsidRPr="000275C2">
        <w:rPr>
          <w:rFonts w:ascii="Verdana" w:hAnsi="Verdana"/>
          <w:bCs/>
          <w:i/>
          <w:iCs/>
          <w:sz w:val="14"/>
          <w:szCs w:val="14"/>
        </w:rPr>
        <w:t>Джерело: розроблено автором</w:t>
      </w:r>
    </w:p>
    <w:p w:rsidR="007E50FE" w:rsidRPr="000275C2" w:rsidRDefault="007E50FE" w:rsidP="007E50FE">
      <w:pPr>
        <w:spacing w:after="0" w:line="240" w:lineRule="auto"/>
        <w:ind w:firstLine="567"/>
        <w:jc w:val="both"/>
        <w:rPr>
          <w:rFonts w:ascii="Verdana" w:hAnsi="Verdana"/>
          <w:bCs/>
          <w:iCs/>
          <w:sz w:val="18"/>
          <w:szCs w:val="18"/>
        </w:rPr>
      </w:pPr>
      <w:r w:rsidRPr="000275C2">
        <w:rPr>
          <w:rFonts w:ascii="Verdana" w:hAnsi="Verdana"/>
          <w:bCs/>
          <w:iCs/>
          <w:sz w:val="18"/>
          <w:szCs w:val="18"/>
        </w:rPr>
        <w:t xml:space="preserve">Для крупних підприємств, які реалізують портфель інноваційних проектів, що перебувають як на етапі НДДКР так і на етапі промислового виробництва інноваційної продукції, роль податкового регулювання через нарахування на заробітну плату  не на стільки значна. Адже в будь-якому поточному періоді підприємство реалізує продукцію, яка є результатом минулих інноваційних проектів. Окрім того, персонал таких підприємств може бути задіяний одночасно в декількох інноваційних проектах на різних етапах реалізації. Тому можливість стимулювання через нарахування на заробітну плату  конкретного інноваційного проекту значно знижується. Так само ускладнюється стимулювання конкретного інноваційного проекту крупного підприємства і через коригування ставок податку на прибуток та ПДВ. </w:t>
      </w:r>
    </w:p>
    <w:p w:rsidR="007E50FE" w:rsidRPr="000275C2" w:rsidRDefault="007E50FE" w:rsidP="007E50FE">
      <w:pPr>
        <w:spacing w:after="0" w:line="240" w:lineRule="auto"/>
        <w:ind w:firstLine="567"/>
        <w:jc w:val="both"/>
        <w:rPr>
          <w:rFonts w:ascii="Verdana" w:hAnsi="Verdana"/>
          <w:bCs/>
          <w:iCs/>
          <w:sz w:val="18"/>
          <w:szCs w:val="18"/>
        </w:rPr>
      </w:pPr>
      <w:r w:rsidRPr="000275C2">
        <w:rPr>
          <w:rFonts w:ascii="Verdana" w:hAnsi="Verdana"/>
          <w:bCs/>
          <w:iCs/>
          <w:sz w:val="18"/>
          <w:szCs w:val="18"/>
        </w:rPr>
        <w:t xml:space="preserve"> Виходячи з вищезазначеного, слід відмітити, що  крупні компанії, мають проекти, які знаходяться на етапі масового випуску інноваційної продукції, і проекти, які знаходяться на стадії НДДКР. В силу цього, для крупних підприємств доцільним є податкове стимулювання через умовно-змінні податки. Дані заходи державного регулювання  є стимулом  для збільшення  інноваційної–активності  серед крупних підприємств.   </w:t>
      </w:r>
    </w:p>
    <w:p w:rsidR="007E50FE" w:rsidRPr="000275C2" w:rsidRDefault="007E50FE" w:rsidP="007E50FE">
      <w:pPr>
        <w:spacing w:after="0" w:line="240" w:lineRule="auto"/>
        <w:ind w:firstLine="567"/>
        <w:rPr>
          <w:rFonts w:ascii="Verdana" w:hAnsi="Verdana"/>
          <w:b/>
          <w:bCs/>
          <w:iCs/>
          <w:sz w:val="18"/>
          <w:szCs w:val="18"/>
        </w:rPr>
      </w:pPr>
      <w:r w:rsidRPr="000275C2">
        <w:rPr>
          <w:rFonts w:ascii="Verdana" w:hAnsi="Verdana"/>
          <w:b/>
          <w:bCs/>
          <w:iCs/>
          <w:sz w:val="18"/>
          <w:szCs w:val="18"/>
        </w:rPr>
        <w:t>Список літератури</w:t>
      </w:r>
    </w:p>
    <w:p w:rsidR="001C18CD" w:rsidRPr="007E50FE" w:rsidRDefault="007E50FE" w:rsidP="007E50FE">
      <w:pPr>
        <w:rPr>
          <w:szCs w:val="18"/>
        </w:rPr>
      </w:pPr>
      <w:r w:rsidRPr="000275C2">
        <w:rPr>
          <w:rFonts w:ascii="Verdana" w:hAnsi="Verdana"/>
          <w:bCs/>
          <w:iCs/>
          <w:sz w:val="18"/>
          <w:szCs w:val="18"/>
        </w:rPr>
        <w:t>Ерыгин Ю.В. Выбор форм налогового стимулирования инновационной деятельности машиностроительных предприятий [електронний ресурс]/ Ю.В. Ерыгин, О.С. Голощапова - http://science-bsea.narod.ru/2004/ekonom_2004/erygin_gol.htm</w:t>
      </w:r>
    </w:p>
    <w:sectPr w:rsidR="001C18CD" w:rsidRPr="007E50FE" w:rsidSect="007E50FE">
      <w:footerReference w:type="default" r:id="rId8"/>
      <w:pgSz w:w="11906" w:h="16838"/>
      <w:pgMar w:top="1134" w:right="70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4405" w:rsidRDefault="00F04405" w:rsidP="00842066">
      <w:pPr>
        <w:spacing w:after="0" w:line="240" w:lineRule="auto"/>
      </w:pPr>
      <w:r>
        <w:separator/>
      </w:r>
    </w:p>
  </w:endnote>
  <w:endnote w:type="continuationSeparator" w:id="1">
    <w:p w:rsidR="00F04405" w:rsidRDefault="00F04405" w:rsidP="00842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67360"/>
      <w:docPartObj>
        <w:docPartGallery w:val="Page Numbers (Bottom of Page)"/>
        <w:docPartUnique/>
      </w:docPartObj>
    </w:sdtPr>
    <w:sdtContent>
      <w:p w:rsidR="00842066" w:rsidRDefault="00020619">
        <w:pPr>
          <w:pStyle w:val="af7"/>
        </w:pPr>
        <w:r>
          <w:t>6</w:t>
        </w:r>
        <w:r w:rsidR="007E50FE">
          <w:t>8</w:t>
        </w:r>
      </w:p>
    </w:sdtContent>
  </w:sdt>
  <w:p w:rsidR="00842066" w:rsidRDefault="00842066">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4405" w:rsidRDefault="00F04405" w:rsidP="00842066">
      <w:pPr>
        <w:spacing w:after="0" w:line="240" w:lineRule="auto"/>
      </w:pPr>
      <w:r>
        <w:separator/>
      </w:r>
    </w:p>
  </w:footnote>
  <w:footnote w:type="continuationSeparator" w:id="1">
    <w:p w:rsidR="00F04405" w:rsidRDefault="00F04405" w:rsidP="008420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23"/>
        <w:szCs w:val="23"/>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23"/>
        <w:szCs w:val="23"/>
        <w:u w:val="none"/>
      </w:rPr>
    </w:lvl>
    <w:lvl w:ilvl="2">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3">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4">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5">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6">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7">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8">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1">
    <w:nsid w:val="01E60FDD"/>
    <w:multiLevelType w:val="hybridMultilevel"/>
    <w:tmpl w:val="1432160C"/>
    <w:lvl w:ilvl="0" w:tplc="68307B14">
      <w:start w:val="2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D360B40"/>
    <w:multiLevelType w:val="hybridMultilevel"/>
    <w:tmpl w:val="802486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DA943D5"/>
    <w:multiLevelType w:val="hybridMultilevel"/>
    <w:tmpl w:val="F04090A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006FB3"/>
    <w:multiLevelType w:val="hybridMultilevel"/>
    <w:tmpl w:val="0E82EE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5800E72"/>
    <w:multiLevelType w:val="hybridMultilevel"/>
    <w:tmpl w:val="9FE0EB9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74A1EBE"/>
    <w:multiLevelType w:val="hybridMultilevel"/>
    <w:tmpl w:val="662E8EB0"/>
    <w:lvl w:ilvl="0" w:tplc="EF9275C4">
      <w:numFmt w:val="bullet"/>
      <w:lvlText w:val="-"/>
      <w:lvlJc w:val="left"/>
      <w:pPr>
        <w:ind w:left="927" w:hanging="360"/>
      </w:pPr>
      <w:rPr>
        <w:rFonts w:ascii="Verdana" w:eastAsia="Calibri" w:hAnsi="Verdana"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nsid w:val="1CCE4D53"/>
    <w:multiLevelType w:val="hybridMultilevel"/>
    <w:tmpl w:val="1BCEF694"/>
    <w:lvl w:ilvl="0" w:tplc="EEA4BF0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E567984"/>
    <w:multiLevelType w:val="hybridMultilevel"/>
    <w:tmpl w:val="13E4643C"/>
    <w:lvl w:ilvl="0" w:tplc="7E761C2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4A87308"/>
    <w:multiLevelType w:val="hybridMultilevel"/>
    <w:tmpl w:val="B44C69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D695345"/>
    <w:multiLevelType w:val="hybridMultilevel"/>
    <w:tmpl w:val="1D583EEE"/>
    <w:lvl w:ilvl="0" w:tplc="5CFA71E0">
      <w:start w:val="1"/>
      <w:numFmt w:val="bullet"/>
      <w:lvlText w:val="-"/>
      <w:lvlJc w:val="left"/>
      <w:pPr>
        <w:tabs>
          <w:tab w:val="num" w:pos="927"/>
        </w:tabs>
        <w:ind w:left="927" w:hanging="360"/>
      </w:pPr>
      <w:rPr>
        <w:rFonts w:ascii="Verdana" w:eastAsia="Times New Roman" w:hAnsi="Verdana"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nsid w:val="318F7DA7"/>
    <w:multiLevelType w:val="hybridMultilevel"/>
    <w:tmpl w:val="E370BADC"/>
    <w:lvl w:ilvl="0" w:tplc="234C5BCA">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34502506"/>
    <w:multiLevelType w:val="hybridMultilevel"/>
    <w:tmpl w:val="2396A854"/>
    <w:lvl w:ilvl="0" w:tplc="04190001">
      <w:start w:val="1"/>
      <w:numFmt w:val="bullet"/>
      <w:lvlText w:val=""/>
      <w:lvlJc w:val="left"/>
      <w:pPr>
        <w:ind w:left="1138" w:hanging="360"/>
      </w:pPr>
      <w:rPr>
        <w:rFonts w:ascii="Symbol" w:hAnsi="Symbol" w:hint="default"/>
      </w:rPr>
    </w:lvl>
    <w:lvl w:ilvl="1" w:tplc="04190003" w:tentative="1">
      <w:start w:val="1"/>
      <w:numFmt w:val="bullet"/>
      <w:lvlText w:val="o"/>
      <w:lvlJc w:val="left"/>
      <w:pPr>
        <w:ind w:left="1858" w:hanging="360"/>
      </w:pPr>
      <w:rPr>
        <w:rFonts w:ascii="Courier New" w:hAnsi="Courier New" w:cs="Courier New" w:hint="default"/>
      </w:rPr>
    </w:lvl>
    <w:lvl w:ilvl="2" w:tplc="04190005" w:tentative="1">
      <w:start w:val="1"/>
      <w:numFmt w:val="bullet"/>
      <w:lvlText w:val=""/>
      <w:lvlJc w:val="left"/>
      <w:pPr>
        <w:ind w:left="2578" w:hanging="360"/>
      </w:pPr>
      <w:rPr>
        <w:rFonts w:ascii="Wingdings" w:hAnsi="Wingdings" w:hint="default"/>
      </w:rPr>
    </w:lvl>
    <w:lvl w:ilvl="3" w:tplc="04190001" w:tentative="1">
      <w:start w:val="1"/>
      <w:numFmt w:val="bullet"/>
      <w:lvlText w:val=""/>
      <w:lvlJc w:val="left"/>
      <w:pPr>
        <w:ind w:left="3298" w:hanging="360"/>
      </w:pPr>
      <w:rPr>
        <w:rFonts w:ascii="Symbol" w:hAnsi="Symbol" w:hint="default"/>
      </w:rPr>
    </w:lvl>
    <w:lvl w:ilvl="4" w:tplc="04190003" w:tentative="1">
      <w:start w:val="1"/>
      <w:numFmt w:val="bullet"/>
      <w:lvlText w:val="o"/>
      <w:lvlJc w:val="left"/>
      <w:pPr>
        <w:ind w:left="4018" w:hanging="360"/>
      </w:pPr>
      <w:rPr>
        <w:rFonts w:ascii="Courier New" w:hAnsi="Courier New" w:cs="Courier New" w:hint="default"/>
      </w:rPr>
    </w:lvl>
    <w:lvl w:ilvl="5" w:tplc="04190005" w:tentative="1">
      <w:start w:val="1"/>
      <w:numFmt w:val="bullet"/>
      <w:lvlText w:val=""/>
      <w:lvlJc w:val="left"/>
      <w:pPr>
        <w:ind w:left="4738" w:hanging="360"/>
      </w:pPr>
      <w:rPr>
        <w:rFonts w:ascii="Wingdings" w:hAnsi="Wingdings" w:hint="default"/>
      </w:rPr>
    </w:lvl>
    <w:lvl w:ilvl="6" w:tplc="04190001" w:tentative="1">
      <w:start w:val="1"/>
      <w:numFmt w:val="bullet"/>
      <w:lvlText w:val=""/>
      <w:lvlJc w:val="left"/>
      <w:pPr>
        <w:ind w:left="5458" w:hanging="360"/>
      </w:pPr>
      <w:rPr>
        <w:rFonts w:ascii="Symbol" w:hAnsi="Symbol" w:hint="default"/>
      </w:rPr>
    </w:lvl>
    <w:lvl w:ilvl="7" w:tplc="04190003" w:tentative="1">
      <w:start w:val="1"/>
      <w:numFmt w:val="bullet"/>
      <w:lvlText w:val="o"/>
      <w:lvlJc w:val="left"/>
      <w:pPr>
        <w:ind w:left="6178" w:hanging="360"/>
      </w:pPr>
      <w:rPr>
        <w:rFonts w:ascii="Courier New" w:hAnsi="Courier New" w:cs="Courier New" w:hint="default"/>
      </w:rPr>
    </w:lvl>
    <w:lvl w:ilvl="8" w:tplc="04190005" w:tentative="1">
      <w:start w:val="1"/>
      <w:numFmt w:val="bullet"/>
      <w:lvlText w:val=""/>
      <w:lvlJc w:val="left"/>
      <w:pPr>
        <w:ind w:left="6898" w:hanging="360"/>
      </w:pPr>
      <w:rPr>
        <w:rFonts w:ascii="Wingdings" w:hAnsi="Wingdings" w:hint="default"/>
      </w:rPr>
    </w:lvl>
  </w:abstractNum>
  <w:abstractNum w:abstractNumId="13">
    <w:nsid w:val="34612BCF"/>
    <w:multiLevelType w:val="hybridMultilevel"/>
    <w:tmpl w:val="B61CC9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9CA4194"/>
    <w:multiLevelType w:val="hybridMultilevel"/>
    <w:tmpl w:val="2C3E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541360"/>
    <w:multiLevelType w:val="hybridMultilevel"/>
    <w:tmpl w:val="D6C033E4"/>
    <w:lvl w:ilvl="0" w:tplc="DDDE09A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nsid w:val="45ED62E2"/>
    <w:multiLevelType w:val="hybridMultilevel"/>
    <w:tmpl w:val="385805D8"/>
    <w:lvl w:ilvl="0" w:tplc="DC7656CC">
      <w:numFmt w:val="bullet"/>
      <w:lvlText w:val="-"/>
      <w:lvlJc w:val="left"/>
      <w:pPr>
        <w:ind w:left="927" w:hanging="360"/>
      </w:pPr>
      <w:rPr>
        <w:rFonts w:ascii="Verdana" w:eastAsia="Calibri" w:hAnsi="Verdana" w:cs="Aria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7">
    <w:nsid w:val="4A5550ED"/>
    <w:multiLevelType w:val="hybridMultilevel"/>
    <w:tmpl w:val="154A2B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588" w:hanging="360"/>
      </w:pPr>
    </w:lvl>
    <w:lvl w:ilvl="2" w:tplc="0422001B" w:tentative="1">
      <w:start w:val="1"/>
      <w:numFmt w:val="lowerRoman"/>
      <w:lvlText w:val="%3."/>
      <w:lvlJc w:val="right"/>
      <w:pPr>
        <w:ind w:left="1308" w:hanging="180"/>
      </w:pPr>
    </w:lvl>
    <w:lvl w:ilvl="3" w:tplc="0422000F" w:tentative="1">
      <w:start w:val="1"/>
      <w:numFmt w:val="decimal"/>
      <w:lvlText w:val="%4."/>
      <w:lvlJc w:val="left"/>
      <w:pPr>
        <w:ind w:left="2028" w:hanging="360"/>
      </w:pPr>
    </w:lvl>
    <w:lvl w:ilvl="4" w:tplc="04220019" w:tentative="1">
      <w:start w:val="1"/>
      <w:numFmt w:val="lowerLetter"/>
      <w:lvlText w:val="%5."/>
      <w:lvlJc w:val="left"/>
      <w:pPr>
        <w:ind w:left="2748" w:hanging="360"/>
      </w:pPr>
    </w:lvl>
    <w:lvl w:ilvl="5" w:tplc="0422001B" w:tentative="1">
      <w:start w:val="1"/>
      <w:numFmt w:val="lowerRoman"/>
      <w:lvlText w:val="%6."/>
      <w:lvlJc w:val="right"/>
      <w:pPr>
        <w:ind w:left="3468" w:hanging="180"/>
      </w:pPr>
    </w:lvl>
    <w:lvl w:ilvl="6" w:tplc="0422000F" w:tentative="1">
      <w:start w:val="1"/>
      <w:numFmt w:val="decimal"/>
      <w:lvlText w:val="%7."/>
      <w:lvlJc w:val="left"/>
      <w:pPr>
        <w:ind w:left="4188" w:hanging="360"/>
      </w:pPr>
    </w:lvl>
    <w:lvl w:ilvl="7" w:tplc="04220019" w:tentative="1">
      <w:start w:val="1"/>
      <w:numFmt w:val="lowerLetter"/>
      <w:lvlText w:val="%8."/>
      <w:lvlJc w:val="left"/>
      <w:pPr>
        <w:ind w:left="4908" w:hanging="360"/>
      </w:pPr>
    </w:lvl>
    <w:lvl w:ilvl="8" w:tplc="0422001B" w:tentative="1">
      <w:start w:val="1"/>
      <w:numFmt w:val="lowerRoman"/>
      <w:lvlText w:val="%9."/>
      <w:lvlJc w:val="right"/>
      <w:pPr>
        <w:ind w:left="5628" w:hanging="180"/>
      </w:pPr>
    </w:lvl>
  </w:abstractNum>
  <w:abstractNum w:abstractNumId="18">
    <w:nsid w:val="4B9F511F"/>
    <w:multiLevelType w:val="hybridMultilevel"/>
    <w:tmpl w:val="C1346D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D2B424A"/>
    <w:multiLevelType w:val="hybridMultilevel"/>
    <w:tmpl w:val="BC500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501B94"/>
    <w:multiLevelType w:val="hybridMultilevel"/>
    <w:tmpl w:val="490EFEDE"/>
    <w:lvl w:ilvl="0" w:tplc="1C8ED13C">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nsid w:val="536C2C2B"/>
    <w:multiLevelType w:val="hybridMultilevel"/>
    <w:tmpl w:val="58146662"/>
    <w:lvl w:ilvl="0" w:tplc="D996D05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596A1359"/>
    <w:multiLevelType w:val="hybridMultilevel"/>
    <w:tmpl w:val="BE5A01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A1E695B"/>
    <w:multiLevelType w:val="hybridMultilevel"/>
    <w:tmpl w:val="059EE366"/>
    <w:lvl w:ilvl="0" w:tplc="2976212C">
      <w:start w:val="1"/>
      <w:numFmt w:val="decimal"/>
      <w:lvlText w:val="%1."/>
      <w:lvlJc w:val="left"/>
      <w:pPr>
        <w:ind w:left="284" w:firstLine="283"/>
      </w:pPr>
      <w:rPr>
        <w:rFonts w:ascii="Verdana" w:eastAsia="Calibri" w:hAnsi="Verdana" w:cs="Arial"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nsid w:val="66F92432"/>
    <w:multiLevelType w:val="hybridMultilevel"/>
    <w:tmpl w:val="AA7E118C"/>
    <w:lvl w:ilvl="0" w:tplc="04BE4F4C">
      <w:start w:val="1"/>
      <w:numFmt w:val="decimal"/>
      <w:lvlText w:val="%1."/>
      <w:lvlJc w:val="left"/>
      <w:pPr>
        <w:ind w:left="-207" w:hanging="360"/>
      </w:pPr>
      <w:rPr>
        <w:rFonts w:ascii="Calibri" w:hAnsi="Calibri" w:hint="default"/>
        <w:sz w:val="22"/>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5">
    <w:nsid w:val="6C4152C8"/>
    <w:multiLevelType w:val="hybridMultilevel"/>
    <w:tmpl w:val="F42A95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42877C6"/>
    <w:multiLevelType w:val="hybridMultilevel"/>
    <w:tmpl w:val="6966CB40"/>
    <w:lvl w:ilvl="0" w:tplc="ED9E6976">
      <w:numFmt w:val="bullet"/>
      <w:lvlText w:val="-"/>
      <w:lvlJc w:val="left"/>
      <w:pPr>
        <w:ind w:left="927" w:hanging="360"/>
      </w:pPr>
      <w:rPr>
        <w:rFonts w:ascii="Verdana" w:eastAsia="Calibri" w:hAnsi="Verdana"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7">
    <w:nsid w:val="74BF12CB"/>
    <w:multiLevelType w:val="hybridMultilevel"/>
    <w:tmpl w:val="60B209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7844FF1"/>
    <w:multiLevelType w:val="hybridMultilevel"/>
    <w:tmpl w:val="1CF2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AF54DFA"/>
    <w:multiLevelType w:val="hybridMultilevel"/>
    <w:tmpl w:val="95D6D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0"/>
  </w:num>
  <w:num w:numId="3">
    <w:abstractNumId w:val="17"/>
  </w:num>
  <w:num w:numId="4">
    <w:abstractNumId w:val="26"/>
  </w:num>
  <w:num w:numId="5">
    <w:abstractNumId w:val="20"/>
  </w:num>
  <w:num w:numId="6">
    <w:abstractNumId w:val="0"/>
  </w:num>
  <w:num w:numId="7">
    <w:abstractNumId w:val="25"/>
  </w:num>
  <w:num w:numId="8">
    <w:abstractNumId w:val="5"/>
  </w:num>
  <w:num w:numId="9">
    <w:abstractNumId w:val="28"/>
  </w:num>
  <w:num w:numId="10">
    <w:abstractNumId w:val="14"/>
  </w:num>
  <w:num w:numId="11">
    <w:abstractNumId w:val="11"/>
  </w:num>
  <w:num w:numId="12">
    <w:abstractNumId w:val="3"/>
  </w:num>
  <w:num w:numId="13">
    <w:abstractNumId w:val="27"/>
  </w:num>
  <w:num w:numId="14">
    <w:abstractNumId w:val="22"/>
  </w:num>
  <w:num w:numId="15">
    <w:abstractNumId w:val="8"/>
  </w:num>
  <w:num w:numId="16">
    <w:abstractNumId w:val="18"/>
  </w:num>
  <w:num w:numId="17">
    <w:abstractNumId w:val="2"/>
  </w:num>
  <w:num w:numId="18">
    <w:abstractNumId w:val="6"/>
  </w:num>
  <w:num w:numId="19">
    <w:abstractNumId w:val="16"/>
  </w:num>
  <w:num w:numId="20">
    <w:abstractNumId w:val="23"/>
  </w:num>
  <w:num w:numId="21">
    <w:abstractNumId w:val="7"/>
  </w:num>
  <w:num w:numId="22">
    <w:abstractNumId w:val="19"/>
  </w:num>
  <w:num w:numId="23">
    <w:abstractNumId w:val="24"/>
  </w:num>
  <w:num w:numId="24">
    <w:abstractNumId w:val="13"/>
  </w:num>
  <w:num w:numId="25">
    <w:abstractNumId w:val="9"/>
  </w:num>
  <w:num w:numId="26">
    <w:abstractNumId w:val="4"/>
  </w:num>
  <w:num w:numId="27">
    <w:abstractNumId w:val="29"/>
  </w:num>
  <w:num w:numId="28">
    <w:abstractNumId w:val="1"/>
  </w:num>
  <w:num w:numId="29">
    <w:abstractNumId w:val="21"/>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42066"/>
    <w:rsid w:val="00020619"/>
    <w:rsid w:val="00067DDC"/>
    <w:rsid w:val="000840AC"/>
    <w:rsid w:val="000A4DF5"/>
    <w:rsid w:val="000A68DB"/>
    <w:rsid w:val="000B59C8"/>
    <w:rsid w:val="00162A35"/>
    <w:rsid w:val="001C18CD"/>
    <w:rsid w:val="001C4033"/>
    <w:rsid w:val="002C3B8A"/>
    <w:rsid w:val="002F1C3B"/>
    <w:rsid w:val="002F6A61"/>
    <w:rsid w:val="00300FFD"/>
    <w:rsid w:val="00336DE6"/>
    <w:rsid w:val="00343BCA"/>
    <w:rsid w:val="00397084"/>
    <w:rsid w:val="00404BAA"/>
    <w:rsid w:val="0045151F"/>
    <w:rsid w:val="00485B02"/>
    <w:rsid w:val="004C3C43"/>
    <w:rsid w:val="00500F25"/>
    <w:rsid w:val="00512354"/>
    <w:rsid w:val="00540221"/>
    <w:rsid w:val="005A2078"/>
    <w:rsid w:val="00607A49"/>
    <w:rsid w:val="00651076"/>
    <w:rsid w:val="006573BB"/>
    <w:rsid w:val="006A7249"/>
    <w:rsid w:val="006B27E3"/>
    <w:rsid w:val="00716B2C"/>
    <w:rsid w:val="007240F2"/>
    <w:rsid w:val="007353A6"/>
    <w:rsid w:val="00745BAB"/>
    <w:rsid w:val="00777798"/>
    <w:rsid w:val="00793DEB"/>
    <w:rsid w:val="007C4E99"/>
    <w:rsid w:val="007E50FE"/>
    <w:rsid w:val="00800172"/>
    <w:rsid w:val="00814DB4"/>
    <w:rsid w:val="00826639"/>
    <w:rsid w:val="00842066"/>
    <w:rsid w:val="00845D20"/>
    <w:rsid w:val="008D5547"/>
    <w:rsid w:val="00944C4B"/>
    <w:rsid w:val="009604D0"/>
    <w:rsid w:val="00961D19"/>
    <w:rsid w:val="009772C4"/>
    <w:rsid w:val="0098493A"/>
    <w:rsid w:val="009A0D1B"/>
    <w:rsid w:val="009D434A"/>
    <w:rsid w:val="009E7F0F"/>
    <w:rsid w:val="00A15681"/>
    <w:rsid w:val="00A52C1E"/>
    <w:rsid w:val="00AA4557"/>
    <w:rsid w:val="00B078E6"/>
    <w:rsid w:val="00B17F3E"/>
    <w:rsid w:val="00B26518"/>
    <w:rsid w:val="00B66B59"/>
    <w:rsid w:val="00BC0205"/>
    <w:rsid w:val="00BD6F9F"/>
    <w:rsid w:val="00BE66C9"/>
    <w:rsid w:val="00C055CA"/>
    <w:rsid w:val="00C25F2A"/>
    <w:rsid w:val="00C431F4"/>
    <w:rsid w:val="00C43FFD"/>
    <w:rsid w:val="00C646CF"/>
    <w:rsid w:val="00C65DB8"/>
    <w:rsid w:val="00C85B4E"/>
    <w:rsid w:val="00CD3499"/>
    <w:rsid w:val="00CE2709"/>
    <w:rsid w:val="00D329AE"/>
    <w:rsid w:val="00D66D06"/>
    <w:rsid w:val="00DA2709"/>
    <w:rsid w:val="00DD53BA"/>
    <w:rsid w:val="00DE6B1D"/>
    <w:rsid w:val="00DF3CE7"/>
    <w:rsid w:val="00E113BA"/>
    <w:rsid w:val="00E236A9"/>
    <w:rsid w:val="00E45840"/>
    <w:rsid w:val="00E476B8"/>
    <w:rsid w:val="00E71C27"/>
    <w:rsid w:val="00EA15B8"/>
    <w:rsid w:val="00F04405"/>
    <w:rsid w:val="00F31707"/>
    <w:rsid w:val="00FA222E"/>
    <w:rsid w:val="00FA59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066"/>
    <w:rPr>
      <w:rFonts w:ascii="Calibri" w:eastAsia="Calibri" w:hAnsi="Calibri" w:cs="Times New Roman"/>
      <w:lang w:val="uk-UA" w:bidi="ar-SA"/>
    </w:rPr>
  </w:style>
  <w:style w:type="paragraph" w:styleId="1">
    <w:name w:val="heading 1"/>
    <w:basedOn w:val="a"/>
    <w:next w:val="a"/>
    <w:link w:val="10"/>
    <w:qFormat/>
    <w:rsid w:val="00485B02"/>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2">
    <w:name w:val="heading 2"/>
    <w:basedOn w:val="a"/>
    <w:next w:val="a"/>
    <w:link w:val="20"/>
    <w:uiPriority w:val="9"/>
    <w:semiHidden/>
    <w:unhideWhenUsed/>
    <w:qFormat/>
    <w:rsid w:val="00485B02"/>
    <w:pPr>
      <w:keepNext/>
      <w:keepLines/>
      <w:spacing w:before="200" w:after="0"/>
      <w:outlineLvl w:val="1"/>
    </w:pPr>
    <w:rPr>
      <w:rFonts w:asciiTheme="majorHAnsi" w:eastAsiaTheme="majorEastAsia" w:hAnsiTheme="majorHAnsi" w:cstheme="majorBidi"/>
      <w:b/>
      <w:bCs/>
      <w:color w:val="4F81BD" w:themeColor="accent1"/>
      <w:sz w:val="26"/>
      <w:szCs w:val="26"/>
      <w:lang w:val="en-US" w:bidi="en-US"/>
    </w:rPr>
  </w:style>
  <w:style w:type="paragraph" w:styleId="3">
    <w:name w:val="heading 3"/>
    <w:basedOn w:val="a"/>
    <w:next w:val="a"/>
    <w:link w:val="30"/>
    <w:uiPriority w:val="9"/>
    <w:semiHidden/>
    <w:unhideWhenUsed/>
    <w:qFormat/>
    <w:rsid w:val="00485B02"/>
    <w:pPr>
      <w:keepNext/>
      <w:keepLines/>
      <w:spacing w:before="200" w:after="0"/>
      <w:outlineLvl w:val="2"/>
    </w:pPr>
    <w:rPr>
      <w:rFonts w:asciiTheme="majorHAnsi" w:eastAsiaTheme="majorEastAsia" w:hAnsiTheme="majorHAnsi" w:cstheme="majorBidi"/>
      <w:b/>
      <w:bCs/>
      <w:color w:val="4F81BD" w:themeColor="accent1"/>
      <w:lang w:val="en-US" w:bidi="en-US"/>
    </w:rPr>
  </w:style>
  <w:style w:type="paragraph" w:styleId="4">
    <w:name w:val="heading 4"/>
    <w:basedOn w:val="a"/>
    <w:next w:val="a"/>
    <w:link w:val="40"/>
    <w:uiPriority w:val="9"/>
    <w:semiHidden/>
    <w:unhideWhenUsed/>
    <w:qFormat/>
    <w:rsid w:val="00485B02"/>
    <w:pPr>
      <w:keepNext/>
      <w:keepLines/>
      <w:spacing w:before="200" w:after="0"/>
      <w:outlineLvl w:val="3"/>
    </w:pPr>
    <w:rPr>
      <w:rFonts w:asciiTheme="majorHAnsi" w:eastAsiaTheme="majorEastAsia" w:hAnsiTheme="majorHAnsi" w:cstheme="majorBidi"/>
      <w:b/>
      <w:bCs/>
      <w:i/>
      <w:iCs/>
      <w:color w:val="4F81BD" w:themeColor="accent1"/>
      <w:lang w:val="en-US" w:bidi="en-US"/>
    </w:rPr>
  </w:style>
  <w:style w:type="paragraph" w:styleId="5">
    <w:name w:val="heading 5"/>
    <w:basedOn w:val="a"/>
    <w:next w:val="a"/>
    <w:link w:val="50"/>
    <w:uiPriority w:val="9"/>
    <w:semiHidden/>
    <w:unhideWhenUsed/>
    <w:qFormat/>
    <w:rsid w:val="00485B02"/>
    <w:pPr>
      <w:keepNext/>
      <w:keepLines/>
      <w:spacing w:before="200" w:after="0"/>
      <w:outlineLvl w:val="4"/>
    </w:pPr>
    <w:rPr>
      <w:rFonts w:asciiTheme="majorHAnsi" w:eastAsiaTheme="majorEastAsia" w:hAnsiTheme="majorHAnsi" w:cstheme="majorBidi"/>
      <w:color w:val="243F60" w:themeColor="accent1" w:themeShade="7F"/>
      <w:lang w:val="en-US" w:bidi="en-US"/>
    </w:rPr>
  </w:style>
  <w:style w:type="paragraph" w:styleId="6">
    <w:name w:val="heading 6"/>
    <w:basedOn w:val="a"/>
    <w:next w:val="a"/>
    <w:link w:val="60"/>
    <w:uiPriority w:val="9"/>
    <w:semiHidden/>
    <w:unhideWhenUsed/>
    <w:qFormat/>
    <w:rsid w:val="00485B02"/>
    <w:pPr>
      <w:keepNext/>
      <w:keepLines/>
      <w:spacing w:before="200" w:after="0"/>
      <w:outlineLvl w:val="5"/>
    </w:pPr>
    <w:rPr>
      <w:rFonts w:asciiTheme="majorHAnsi" w:eastAsiaTheme="majorEastAsia" w:hAnsiTheme="majorHAnsi" w:cstheme="majorBidi"/>
      <w:i/>
      <w:iCs/>
      <w:color w:val="243F60" w:themeColor="accent1" w:themeShade="7F"/>
      <w:lang w:val="en-US" w:bidi="en-US"/>
    </w:rPr>
  </w:style>
  <w:style w:type="paragraph" w:styleId="7">
    <w:name w:val="heading 7"/>
    <w:basedOn w:val="a"/>
    <w:next w:val="a"/>
    <w:link w:val="70"/>
    <w:uiPriority w:val="9"/>
    <w:semiHidden/>
    <w:unhideWhenUsed/>
    <w:qFormat/>
    <w:rsid w:val="00485B02"/>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
    <w:next w:val="a"/>
    <w:link w:val="80"/>
    <w:uiPriority w:val="9"/>
    <w:semiHidden/>
    <w:unhideWhenUsed/>
    <w:qFormat/>
    <w:rsid w:val="00485B02"/>
    <w:pPr>
      <w:keepNext/>
      <w:keepLines/>
      <w:spacing w:before="200" w:after="0"/>
      <w:outlineLvl w:val="7"/>
    </w:pPr>
    <w:rPr>
      <w:rFonts w:asciiTheme="majorHAnsi" w:eastAsiaTheme="majorEastAsia" w:hAnsiTheme="majorHAnsi" w:cstheme="majorBidi"/>
      <w:color w:val="4F81BD" w:themeColor="accent1"/>
      <w:sz w:val="20"/>
      <w:szCs w:val="20"/>
      <w:lang w:val="en-US" w:bidi="en-US"/>
    </w:rPr>
  </w:style>
  <w:style w:type="paragraph" w:styleId="9">
    <w:name w:val="heading 9"/>
    <w:basedOn w:val="a"/>
    <w:next w:val="a"/>
    <w:link w:val="90"/>
    <w:uiPriority w:val="9"/>
    <w:semiHidden/>
    <w:unhideWhenUsed/>
    <w:qFormat/>
    <w:rsid w:val="00485B02"/>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B0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85B0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85B0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85B0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85B0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485B0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485B0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485B0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485B0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485B02"/>
    <w:pPr>
      <w:spacing w:line="240" w:lineRule="auto"/>
    </w:pPr>
    <w:rPr>
      <w:rFonts w:asciiTheme="minorHAnsi" w:eastAsiaTheme="minorHAnsi" w:hAnsiTheme="minorHAnsi" w:cstheme="minorBidi"/>
      <w:b/>
      <w:bCs/>
      <w:color w:val="4F81BD" w:themeColor="accent1"/>
      <w:sz w:val="18"/>
      <w:szCs w:val="18"/>
      <w:lang w:val="en-US" w:bidi="en-US"/>
    </w:rPr>
  </w:style>
  <w:style w:type="paragraph" w:styleId="a4">
    <w:name w:val="Title"/>
    <w:basedOn w:val="a"/>
    <w:next w:val="a"/>
    <w:link w:val="a5"/>
    <w:uiPriority w:val="10"/>
    <w:qFormat/>
    <w:rsid w:val="00485B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a5">
    <w:name w:val="Название Знак"/>
    <w:basedOn w:val="a0"/>
    <w:link w:val="a4"/>
    <w:uiPriority w:val="10"/>
    <w:rsid w:val="00485B0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485B02"/>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a7">
    <w:name w:val="Подзаголовок Знак"/>
    <w:basedOn w:val="a0"/>
    <w:link w:val="a6"/>
    <w:uiPriority w:val="11"/>
    <w:rsid w:val="00485B0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485B02"/>
    <w:rPr>
      <w:b/>
      <w:bCs/>
    </w:rPr>
  </w:style>
  <w:style w:type="character" w:styleId="a9">
    <w:name w:val="Emphasis"/>
    <w:basedOn w:val="a0"/>
    <w:uiPriority w:val="20"/>
    <w:qFormat/>
    <w:rsid w:val="00485B02"/>
    <w:rPr>
      <w:i/>
      <w:iCs/>
    </w:rPr>
  </w:style>
  <w:style w:type="paragraph" w:styleId="aa">
    <w:name w:val="No Spacing"/>
    <w:uiPriority w:val="1"/>
    <w:qFormat/>
    <w:rsid w:val="00485B02"/>
    <w:pPr>
      <w:spacing w:after="0" w:line="240" w:lineRule="auto"/>
    </w:pPr>
  </w:style>
  <w:style w:type="paragraph" w:styleId="ab">
    <w:name w:val="List Paragraph"/>
    <w:basedOn w:val="a"/>
    <w:uiPriority w:val="34"/>
    <w:qFormat/>
    <w:rsid w:val="00485B02"/>
    <w:pPr>
      <w:ind w:left="720"/>
      <w:contextualSpacing/>
    </w:pPr>
    <w:rPr>
      <w:rFonts w:asciiTheme="minorHAnsi" w:eastAsiaTheme="minorHAnsi" w:hAnsiTheme="minorHAnsi" w:cstheme="minorBidi"/>
      <w:lang w:val="en-US" w:bidi="en-US"/>
    </w:rPr>
  </w:style>
  <w:style w:type="paragraph" w:styleId="21">
    <w:name w:val="Quote"/>
    <w:basedOn w:val="a"/>
    <w:next w:val="a"/>
    <w:link w:val="22"/>
    <w:uiPriority w:val="29"/>
    <w:qFormat/>
    <w:rsid w:val="00485B02"/>
    <w:rPr>
      <w:rFonts w:asciiTheme="minorHAnsi" w:eastAsiaTheme="minorHAnsi" w:hAnsiTheme="minorHAnsi" w:cstheme="minorBidi"/>
      <w:i/>
      <w:iCs/>
      <w:color w:val="000000" w:themeColor="text1"/>
      <w:lang w:val="en-US" w:bidi="en-US"/>
    </w:rPr>
  </w:style>
  <w:style w:type="character" w:customStyle="1" w:styleId="22">
    <w:name w:val="Цитата 2 Знак"/>
    <w:basedOn w:val="a0"/>
    <w:link w:val="21"/>
    <w:uiPriority w:val="29"/>
    <w:rsid w:val="00485B02"/>
    <w:rPr>
      <w:i/>
      <w:iCs/>
      <w:color w:val="000000" w:themeColor="text1"/>
    </w:rPr>
  </w:style>
  <w:style w:type="paragraph" w:styleId="ac">
    <w:name w:val="Intense Quote"/>
    <w:basedOn w:val="a"/>
    <w:next w:val="a"/>
    <w:link w:val="ad"/>
    <w:uiPriority w:val="30"/>
    <w:qFormat/>
    <w:rsid w:val="00485B02"/>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lang w:val="en-US" w:bidi="en-US"/>
    </w:rPr>
  </w:style>
  <w:style w:type="character" w:customStyle="1" w:styleId="ad">
    <w:name w:val="Выделенная цитата Знак"/>
    <w:basedOn w:val="a0"/>
    <w:link w:val="ac"/>
    <w:uiPriority w:val="30"/>
    <w:rsid w:val="00485B02"/>
    <w:rPr>
      <w:b/>
      <w:bCs/>
      <w:i/>
      <w:iCs/>
      <w:color w:val="4F81BD" w:themeColor="accent1"/>
    </w:rPr>
  </w:style>
  <w:style w:type="character" w:styleId="ae">
    <w:name w:val="Subtle Emphasis"/>
    <w:basedOn w:val="a0"/>
    <w:uiPriority w:val="19"/>
    <w:qFormat/>
    <w:rsid w:val="00485B02"/>
    <w:rPr>
      <w:i/>
      <w:iCs/>
      <w:color w:val="808080" w:themeColor="text1" w:themeTint="7F"/>
    </w:rPr>
  </w:style>
  <w:style w:type="character" w:styleId="af">
    <w:name w:val="Intense Emphasis"/>
    <w:basedOn w:val="a0"/>
    <w:uiPriority w:val="21"/>
    <w:qFormat/>
    <w:rsid w:val="00485B02"/>
    <w:rPr>
      <w:b/>
      <w:bCs/>
      <w:i/>
      <w:iCs/>
      <w:color w:val="4F81BD" w:themeColor="accent1"/>
    </w:rPr>
  </w:style>
  <w:style w:type="character" w:styleId="af0">
    <w:name w:val="Subtle Reference"/>
    <w:basedOn w:val="a0"/>
    <w:uiPriority w:val="31"/>
    <w:qFormat/>
    <w:rsid w:val="00485B02"/>
    <w:rPr>
      <w:smallCaps/>
      <w:color w:val="C0504D" w:themeColor="accent2"/>
      <w:u w:val="single"/>
    </w:rPr>
  </w:style>
  <w:style w:type="character" w:styleId="af1">
    <w:name w:val="Intense Reference"/>
    <w:basedOn w:val="a0"/>
    <w:uiPriority w:val="32"/>
    <w:qFormat/>
    <w:rsid w:val="00485B02"/>
    <w:rPr>
      <w:b/>
      <w:bCs/>
      <w:smallCaps/>
      <w:color w:val="C0504D" w:themeColor="accent2"/>
      <w:spacing w:val="5"/>
      <w:u w:val="single"/>
    </w:rPr>
  </w:style>
  <w:style w:type="character" w:styleId="af2">
    <w:name w:val="Book Title"/>
    <w:basedOn w:val="a0"/>
    <w:uiPriority w:val="33"/>
    <w:qFormat/>
    <w:rsid w:val="00485B02"/>
    <w:rPr>
      <w:b/>
      <w:bCs/>
      <w:smallCaps/>
      <w:spacing w:val="5"/>
    </w:rPr>
  </w:style>
  <w:style w:type="paragraph" w:styleId="af3">
    <w:name w:val="TOC Heading"/>
    <w:basedOn w:val="1"/>
    <w:next w:val="a"/>
    <w:uiPriority w:val="39"/>
    <w:semiHidden/>
    <w:unhideWhenUsed/>
    <w:qFormat/>
    <w:rsid w:val="00485B02"/>
    <w:pPr>
      <w:outlineLvl w:val="9"/>
    </w:pPr>
  </w:style>
  <w:style w:type="character" w:styleId="af4">
    <w:name w:val="Hyperlink"/>
    <w:uiPriority w:val="99"/>
    <w:unhideWhenUsed/>
    <w:rsid w:val="00842066"/>
    <w:rPr>
      <w:color w:val="0000FF"/>
      <w:u w:val="single"/>
    </w:rPr>
  </w:style>
  <w:style w:type="paragraph" w:styleId="af5">
    <w:name w:val="header"/>
    <w:basedOn w:val="a"/>
    <w:link w:val="af6"/>
    <w:uiPriority w:val="99"/>
    <w:semiHidden/>
    <w:unhideWhenUsed/>
    <w:rsid w:val="00842066"/>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842066"/>
    <w:rPr>
      <w:rFonts w:ascii="Calibri" w:eastAsia="Calibri" w:hAnsi="Calibri" w:cs="Times New Roman"/>
      <w:lang w:val="uk-UA" w:bidi="ar-SA"/>
    </w:rPr>
  </w:style>
  <w:style w:type="paragraph" w:styleId="af7">
    <w:name w:val="footer"/>
    <w:basedOn w:val="a"/>
    <w:link w:val="af8"/>
    <w:uiPriority w:val="99"/>
    <w:unhideWhenUsed/>
    <w:rsid w:val="00842066"/>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842066"/>
    <w:rPr>
      <w:rFonts w:ascii="Calibri" w:eastAsia="Calibri" w:hAnsi="Calibri" w:cs="Times New Roman"/>
      <w:lang w:val="uk-UA" w:bidi="ar-SA"/>
    </w:rPr>
  </w:style>
  <w:style w:type="character" w:customStyle="1" w:styleId="apple-converted-space">
    <w:name w:val="apple-converted-space"/>
    <w:basedOn w:val="a0"/>
    <w:rsid w:val="00BC0205"/>
  </w:style>
  <w:style w:type="paragraph" w:styleId="23">
    <w:name w:val="Body Text Indent 2"/>
    <w:basedOn w:val="a"/>
    <w:link w:val="24"/>
    <w:uiPriority w:val="99"/>
    <w:unhideWhenUsed/>
    <w:rsid w:val="00BC0205"/>
    <w:pPr>
      <w:spacing w:after="120" w:line="480" w:lineRule="auto"/>
      <w:ind w:left="283"/>
    </w:pPr>
    <w:rPr>
      <w:rFonts w:ascii="Times New Roman" w:eastAsia="Times New Roman" w:hAnsi="Times New Roman"/>
      <w:sz w:val="24"/>
      <w:szCs w:val="24"/>
      <w:lang w:val="ru-RU" w:eastAsia="ru-RU"/>
    </w:rPr>
  </w:style>
  <w:style w:type="character" w:customStyle="1" w:styleId="24">
    <w:name w:val="Основной текст с отступом 2 Знак"/>
    <w:basedOn w:val="a0"/>
    <w:link w:val="23"/>
    <w:uiPriority w:val="99"/>
    <w:rsid w:val="00BC0205"/>
    <w:rPr>
      <w:rFonts w:ascii="Times New Roman" w:eastAsia="Times New Roman" w:hAnsi="Times New Roman" w:cs="Times New Roman"/>
      <w:sz w:val="24"/>
      <w:szCs w:val="24"/>
      <w:lang w:val="ru-RU" w:eastAsia="ru-RU" w:bidi="ar-SA"/>
    </w:rPr>
  </w:style>
  <w:style w:type="character" w:customStyle="1" w:styleId="af9">
    <w:name w:val="Основний текст_"/>
    <w:link w:val="11"/>
    <w:rsid w:val="00E71C27"/>
    <w:rPr>
      <w:shd w:val="clear" w:color="auto" w:fill="FFFFFF"/>
    </w:rPr>
  </w:style>
  <w:style w:type="paragraph" w:customStyle="1" w:styleId="11">
    <w:name w:val="Основний текст1"/>
    <w:basedOn w:val="a"/>
    <w:link w:val="af9"/>
    <w:rsid w:val="00E71C27"/>
    <w:pPr>
      <w:shd w:val="clear" w:color="auto" w:fill="FFFFFF"/>
      <w:spacing w:after="0" w:line="250" w:lineRule="exact"/>
      <w:jc w:val="both"/>
    </w:pPr>
    <w:rPr>
      <w:rFonts w:asciiTheme="minorHAnsi" w:eastAsiaTheme="minorHAnsi" w:hAnsiTheme="minorHAnsi" w:cstheme="minorBidi"/>
      <w:lang w:val="en-US" w:bidi="en-US"/>
    </w:rPr>
  </w:style>
  <w:style w:type="paragraph" w:customStyle="1" w:styleId="12">
    <w:name w:val="Підпис1"/>
    <w:basedOn w:val="a"/>
    <w:rsid w:val="00845D20"/>
    <w:pPr>
      <w:tabs>
        <w:tab w:val="left" w:pos="540"/>
      </w:tabs>
      <w:spacing w:after="0" w:line="240" w:lineRule="auto"/>
      <w:jc w:val="center"/>
    </w:pPr>
    <w:rPr>
      <w:rFonts w:ascii="Times New Roman" w:eastAsia="Times New Roman" w:hAnsi="Times New Roman"/>
      <w:sz w:val="24"/>
      <w:szCs w:val="20"/>
      <w:lang w:eastAsia="ru-RU"/>
    </w:rPr>
  </w:style>
  <w:style w:type="paragraph" w:styleId="afa">
    <w:name w:val="Normal (Web)"/>
    <w:basedOn w:val="a"/>
    <w:unhideWhenUsed/>
    <w:rsid w:val="00716B2C"/>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posttitle">
    <w:name w:val="post_title"/>
    <w:basedOn w:val="a0"/>
    <w:rsid w:val="00716B2C"/>
  </w:style>
  <w:style w:type="paragraph" w:styleId="afb">
    <w:name w:val="Body Text Indent"/>
    <w:basedOn w:val="a"/>
    <w:link w:val="afc"/>
    <w:uiPriority w:val="99"/>
    <w:semiHidden/>
    <w:unhideWhenUsed/>
    <w:rsid w:val="00067DDC"/>
    <w:pPr>
      <w:spacing w:after="120"/>
      <w:ind w:left="283"/>
    </w:pPr>
  </w:style>
  <w:style w:type="character" w:customStyle="1" w:styleId="afc">
    <w:name w:val="Основной текст с отступом Знак"/>
    <w:basedOn w:val="a0"/>
    <w:link w:val="afb"/>
    <w:uiPriority w:val="99"/>
    <w:semiHidden/>
    <w:rsid w:val="00067DDC"/>
    <w:rPr>
      <w:rFonts w:ascii="Calibri" w:eastAsia="Calibri" w:hAnsi="Calibri" w:cs="Times New Roman"/>
      <w:lang w:val="uk-UA" w:bidi="ar-SA"/>
    </w:rPr>
  </w:style>
  <w:style w:type="character" w:customStyle="1" w:styleId="hps">
    <w:name w:val="hps"/>
    <w:basedOn w:val="a0"/>
    <w:rsid w:val="00C65DB8"/>
  </w:style>
  <w:style w:type="paragraph" w:styleId="HTML">
    <w:name w:val="HTML Preformatted"/>
    <w:basedOn w:val="a"/>
    <w:link w:val="HTML0"/>
    <w:uiPriority w:val="99"/>
    <w:semiHidden/>
    <w:unhideWhenUsed/>
    <w:rsid w:val="00A52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ru-RU" w:eastAsia="ru-RU"/>
    </w:rPr>
  </w:style>
  <w:style w:type="character" w:customStyle="1" w:styleId="HTML0">
    <w:name w:val="Стандартный HTML Знак"/>
    <w:basedOn w:val="a0"/>
    <w:link w:val="HTML"/>
    <w:uiPriority w:val="99"/>
    <w:semiHidden/>
    <w:rsid w:val="00A52C1E"/>
    <w:rPr>
      <w:rFonts w:ascii="Courier New" w:eastAsia="Times New Roman" w:hAnsi="Courier New" w:cs="Times New Roman"/>
      <w:sz w:val="20"/>
      <w:szCs w:val="20"/>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ynda@i.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624</Words>
  <Characters>3558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4174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dmitrun'</dc:creator>
  <cp:keywords/>
  <dc:description/>
  <cp:lastModifiedBy>dmitrun'</cp:lastModifiedBy>
  <cp:revision>2</cp:revision>
  <dcterms:created xsi:type="dcterms:W3CDTF">2013-10-09T08:41:00Z</dcterms:created>
  <dcterms:modified xsi:type="dcterms:W3CDTF">2013-10-09T08:41:00Z</dcterms:modified>
</cp:coreProperties>
</file>