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B6E" w:rsidRPr="008A6A87" w:rsidRDefault="00DD6B6E" w:rsidP="008A6A8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b/>
          <w:sz w:val="28"/>
          <w:szCs w:val="28"/>
        </w:rPr>
        <w:t>Шахбазян К</w:t>
      </w:r>
      <w:r w:rsidRPr="008A6A87">
        <w:rPr>
          <w:rFonts w:ascii="Times New Roman" w:hAnsi="Times New Roman" w:cs="Times New Roman"/>
          <w:b/>
          <w:sz w:val="28"/>
          <w:szCs w:val="28"/>
          <w:lang w:val="uk-UA"/>
        </w:rPr>
        <w:t>.С.</w:t>
      </w:r>
    </w:p>
    <w:p w:rsidR="00DD6B6E" w:rsidRPr="008A6A87" w:rsidRDefault="00DD6B6E" w:rsidP="008A6A8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Учений секретар </w:t>
      </w:r>
    </w:p>
    <w:p w:rsidR="00DD6B6E" w:rsidRPr="008A6A87" w:rsidRDefault="00DD6B6E" w:rsidP="008A6A8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A6A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Центру досліджень інтелектуальної власності та трансферу технологій НАН України</w:t>
      </w:r>
    </w:p>
    <w:p w:rsidR="000D1BE3" w:rsidRPr="008A6A87" w:rsidRDefault="000D1BE3" w:rsidP="008A6A8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14FF7" w:rsidRPr="008A6A87" w:rsidRDefault="00A14FF7" w:rsidP="008A6A8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8A6A87">
        <w:rPr>
          <w:rFonts w:ascii="Times New Roman" w:hAnsi="Times New Roman" w:cs="Times New Roman"/>
          <w:b/>
          <w:sz w:val="28"/>
          <w:szCs w:val="28"/>
          <w:lang w:val="uk-UA"/>
        </w:rPr>
        <w:t>регулювання у договорах Рамкових програм ЄС з наукових досліджень</w:t>
      </w:r>
      <w:r w:rsidR="000009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інновацій </w:t>
      </w:r>
      <w:r w:rsidR="008A6A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(РП «Горизонт Європа») </w:t>
      </w:r>
      <w:r w:rsidRPr="008A6A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питання </w:t>
      </w:r>
      <w:r w:rsidR="000D1BE3" w:rsidRPr="008A6A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збереження результатів наукових досліджень у конфіденційності</w:t>
      </w:r>
    </w:p>
    <w:p w:rsidR="007D21AB" w:rsidRPr="008A6A87" w:rsidRDefault="007D21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2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4DF1" w:rsidRPr="008A6A87" w:rsidRDefault="007D21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b/>
          <w:sz w:val="28"/>
          <w:szCs w:val="28"/>
          <w:lang w:val="uk-UA"/>
        </w:rPr>
        <w:t>Наразі актуальним є р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озгляд</w:t>
      </w:r>
      <w:r w:rsidR="00EF4DF1"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підходів</w:t>
      </w:r>
      <w:r w:rsidR="00EF4DF1"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до формування положень конфіденційності в угодах ДР на рівні ЄС (угоди Рамкових програм наукових досліджень та інновацій), модельних угодах країн ЄС (наукові фонди і міністерства Австрії, ФРН, політика Відомства ІВ Великобританія - в угодах Ламберта), в США (програми наукових досліджень, що фінансуються на державному рівні та збереження конфіденційності при співробітництві між університетами та промисловістю). Також, з’ясовано, яким чином питання конфіденційності визначено в рекомендаціях та модельних угодах ВОІВ.</w:t>
      </w:r>
    </w:p>
    <w:p w:rsidR="00EF4DF1" w:rsidRPr="008A6A87" w:rsidRDefault="00EF4DF1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В цілому, міжнародна практика свідчить про </w:t>
      </w:r>
      <w:r w:rsidR="007D21AB" w:rsidRPr="008A6A87">
        <w:rPr>
          <w:rFonts w:ascii="Times New Roman" w:hAnsi="Times New Roman" w:cs="Times New Roman"/>
          <w:sz w:val="28"/>
          <w:szCs w:val="28"/>
          <w:lang w:val="uk-UA"/>
        </w:rPr>
        <w:t>загальноприйнятий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підхід: в угодах з досліджень та розробок включено певні положення щодо конфіденційності - на рівні певних принципів щодо поводження з раніше створеною ІВ та результатами, а також – щодо їхньої публікації; в той же час, сторони угод ДР або члени консорціумів, зазвичай, укладають окремі угоди про конфіденційність (чи угоди про нерозголошення) ще на етапі ведення перемовин щодо участі в проекті. В даному розділі надано приклади таких угод із зазначенням їхньої структури та спільних і відмінних рис – в залежності від країни чи регіону.</w:t>
      </w:r>
    </w:p>
    <w:p w:rsidR="00EF4DF1" w:rsidRPr="008A6A87" w:rsidRDefault="00EF4DF1" w:rsidP="008A6A87">
      <w:pPr>
        <w:pStyle w:val="1"/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line="360" w:lineRule="auto"/>
        <w:ind w:left="0" w:firstLine="709"/>
        <w:jc w:val="both"/>
        <w:rPr>
          <w:b/>
          <w:strike/>
          <w:sz w:val="28"/>
          <w:szCs w:val="28"/>
          <w:lang w:val="uk-UA"/>
        </w:rPr>
      </w:pPr>
      <w:r w:rsidRPr="008A6A87">
        <w:rPr>
          <w:b/>
          <w:sz w:val="28"/>
          <w:szCs w:val="28"/>
          <w:lang w:val="uk-UA"/>
        </w:rPr>
        <w:t>ЄC. Умови участі в Рамковій програмі наукових досліджень та інновацій HorizonEurope» (2021 - 2027)</w:t>
      </w:r>
      <w:r w:rsidR="007D21AB" w:rsidRPr="008A6A87">
        <w:rPr>
          <w:b/>
          <w:sz w:val="28"/>
          <w:szCs w:val="28"/>
          <w:lang w:val="uk-UA"/>
        </w:rPr>
        <w:t xml:space="preserve">. </w:t>
      </w:r>
    </w:p>
    <w:p w:rsidR="00EF4DF1" w:rsidRPr="008A6A87" w:rsidRDefault="00EF4DF1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Умови участі в РП викладені в Регламенті (ЄС) 2021/695 Європейського Парламенту та Ради ЄС від 28 квітня 2021 р.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lastRenderedPageBreak/>
        <w:t>«Запровадження Horizon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Europe - Рамкової програми  досліджень та інновацій, що встановлює правила участі та розповсюдження»</w:t>
      </w:r>
      <w:r w:rsidRPr="008A6A8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footnoteReference w:id="2"/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. В Регламенті підкреслено необхідність дотримання умов збереження конфіденційної інформації (чутлива раніше створена інформація та  класифіковані дані включно) мають бути збережені від доступу не уповноваженими особами - згідно законодавства ЄС  та країн-членів (п.78 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реамбули Регламенту).  </w:t>
      </w:r>
    </w:p>
    <w:p w:rsidR="00EF4DF1" w:rsidRPr="008A6A87" w:rsidRDefault="00EF4DF1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Згідно ст. 39 «Використання та поширення результатів» бенефіціари забезпечують застосування відкритого доступу до наукових публікацій згідно умов, викладених у грантовій угоді (зокрема, це стосується балансу дотримання прав інтелектуальної власності та вимог відкритого доступу, відповідно - забезпечення можливості винятків з умов відкритого доступу, беручи до уваги 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 xml:space="preserve">….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правила захисту даних, конфіденційність, комерційн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таємниц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4DF1" w:rsidRPr="008A6A87" w:rsidRDefault="00EF4DF1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Також, в ст 41 «право доступу» зазначено, що 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оступ обмежується некомерційним та неконкурентоспроможним використанням, і підлягає закріпленню в двосторонніх угодах, що визначають конкретні умови, спрямовані на забезпечення того, щоб ці права доступу використовувались лише за призначенням, а також з належними обов'язками дотримання конфіденційності. </w:t>
      </w:r>
    </w:p>
    <w:p w:rsidR="00EF4DF1" w:rsidRPr="008A6A87" w:rsidRDefault="00EF4DF1" w:rsidP="001B6D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b/>
          <w:i/>
          <w:sz w:val="28"/>
          <w:szCs w:val="28"/>
          <w:lang w:val="uk-UA"/>
        </w:rPr>
        <w:t>Положення договорів Програми «Горизонт Європа» стосовно умов конфіденційності</w:t>
      </w:r>
      <w:r w:rsidRPr="008A6A8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footnoteReference w:id="3"/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B6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Модельна Грантова Угода - (укладається між Єврокомісією та керівником проекту від імені всіх членів консорціуму виконавців проекту)</w:t>
      </w:r>
      <w:r w:rsidR="001B6D5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В нинішній Грантовій Угоді ст. 13 присвячена «питанням конфіденційності та безпеки». </w:t>
      </w:r>
    </w:p>
    <w:p w:rsidR="00BC5DAB" w:rsidRPr="008A6A87" w:rsidRDefault="00EF4DF1" w:rsidP="001B6D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в ст. 13 надано визначення терміну «чутлива інформація». Сторони повинні зберігати конфіденційність будь-яких даних, документів або інших матеріалів (у будь-якій формі), які ідентифіковані у письмовій формі як  "чутлива інформація" - під час реалізації проекту та принаймні до закінчення терміну, визначеного у Переліку даних проекту (див. Пункт 6).</w:t>
      </w:r>
      <w:r w:rsidR="001B6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Якщо між сторонами не узгоджено інше, вони можуть використовувати конфіденційну інформацію лише для виконання Угоди по проекту. </w:t>
      </w:r>
    </w:p>
    <w:p w:rsidR="00BC5DAB" w:rsidRPr="008A6A87" w:rsidRDefault="00EF4DF1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Бенефіціари можуть розкривати конфіденційну інформацію своєму персоналу або іншим учасникам, які беруть участь в проекті, лише у тому випадку, якщо вони: (а) повинні знати це з метою реалізації угоди та (b) зв’язані зобов'язаннями конфіденційності. Фінансуючий орган (Єврокомісія) може розкрити конфіденційну інформацію своїм співробітникам та іншим інституціям та органам ЄС. </w:t>
      </w:r>
      <w:r w:rsidR="00BC5DAB" w:rsidRPr="008A6A87">
        <w:rPr>
          <w:rFonts w:ascii="Times New Roman" w:hAnsi="Times New Roman" w:cs="Times New Roman"/>
          <w:sz w:val="28"/>
          <w:szCs w:val="28"/>
          <w:lang w:val="uk-UA"/>
        </w:rPr>
        <w:t>У статті 9 «Субконтракти» зазначається, що бенефіціари повинні дотрим</w:t>
      </w:r>
      <w:r w:rsidR="00000906">
        <w:rPr>
          <w:rFonts w:ascii="Times New Roman" w:hAnsi="Times New Roman" w:cs="Times New Roman"/>
          <w:sz w:val="28"/>
          <w:szCs w:val="28"/>
          <w:lang w:val="uk-UA"/>
        </w:rPr>
        <w:t>уватись зобов’язання, що вимоги</w:t>
      </w:r>
      <w:r w:rsidR="00BC5DAB"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ряду статей, включаючи статтю 13 (конфіденційність та безпека) будуть застосовуватись і до субконтрактерів.</w:t>
      </w:r>
    </w:p>
    <w:p w:rsidR="00000906" w:rsidRDefault="00BC5DAB" w:rsidP="000009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У статті 15 «Захист даних» щодо персональних даних зазначено, що бенефіціари повинні обробляти особисті дані за договором згідно відповідного Європейського, міжнародного та національного законодавства про захист даних (зокрема, Регламенту 2016/67935).</w:t>
      </w:r>
      <w:r w:rsidR="000009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Також, зазначено, що бенефіціари</w:t>
      </w:r>
      <w:r w:rsidR="008A6A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можуть надавати своєму персоналу доступ до персональних даних лише у тому випадку, якщо це виключно необхідно для реалізації, управління та моніторингу угоди. Бенефіціари повинні забезпечити, щоб персонал був зобов’язаний дотримуватись конфіденційності.</w:t>
      </w:r>
      <w:r w:rsidR="000009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BC5DAB" w:rsidRPr="00000906" w:rsidRDefault="00BC5DAB" w:rsidP="000009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Продовження дії прав та обов'язків</w:t>
      </w:r>
      <w:r w:rsidR="0000090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8A6A8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Положення, що стосуються конфіденційності, продовжують бути чинними  і  після завершення або припинення дії Консорціуму. 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i/>
          <w:sz w:val="28"/>
          <w:szCs w:val="28"/>
          <w:lang w:val="uk-UA"/>
        </w:rPr>
        <w:t>Обмеження договірної відповідальності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shd w:val="clear" w:color="auto" w:fill="84DDFD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Жодна сторона не несе відповідальності за будь-які прямі або непрямі втрати іншої сторони,  для будь-яких збитків, таких як втрата прибутку, втрата доходів або втрата договорів, за умови, що така шкода не була викликана навмисним актом або шляхом порушення конфіденційності.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shd w:val="clear" w:color="auto" w:fill="84DDFD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Сторони можуть забажати збільшити відпов</w:t>
      </w:r>
      <w:r w:rsidR="00000906">
        <w:rPr>
          <w:rFonts w:ascii="Times New Roman" w:hAnsi="Times New Roman" w:cs="Times New Roman"/>
          <w:sz w:val="28"/>
          <w:szCs w:val="28"/>
          <w:lang w:val="uk-UA"/>
        </w:rPr>
        <w:t>ідальність щодо певних випадків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: наприклад, питання конкретної відповідальності за порушення умов дотримання конфіденційної інформації. Однак слід пам'ятати, що сторони  угоди Консорціуму завжди можуть укласти двосторонні угоди щодо умов надання доступу до певної конфіденційної інформації. 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i/>
          <w:sz w:val="28"/>
          <w:szCs w:val="28"/>
          <w:lang w:val="uk-UA"/>
        </w:rPr>
        <w:t>Секція «Нерозголошення інформації»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Вся інформація, незалежно від форми або режиму повідомлення, яка розкривається стороною ("розкриваюча сторона") будь-якій інший стороні ("одержувач") у зв'язку з проектом під час його реалізації має бути явно позначена як " Конфіденційна". </w:t>
      </w:r>
    </w:p>
    <w:p w:rsidR="00BC5DAB" w:rsidRPr="00000906" w:rsidRDefault="00BC5DAB" w:rsidP="000009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Одержувачі інформації, додатково та без шкоди для будь-якого зобов'язання не розкриття інформації за грантовою угодою протягом 4 років після закінчення проекту зобов’язані: - не використовувати конфіденційну інформацію з іншою метою, ніж та, задля якої її було розкрито; - не розкривати конфіденційну інформацію без попередньої письмової згоди від розкриваючої сторони; - забезпечити, щоб внутрішній розподіл конфіденційної інформації одержувача відбувався за умови суворої необхідності; - забезпечити повернення такої інформаціїрозкриваючій стороні або знищити її </w:t>
      </w:r>
      <w:r w:rsidR="00000906">
        <w:rPr>
          <w:rFonts w:ascii="Times New Roman" w:hAnsi="Times New Roman" w:cs="Times New Roman"/>
          <w:sz w:val="28"/>
          <w:szCs w:val="28"/>
          <w:lang w:val="uk-UA"/>
        </w:rPr>
        <w:t xml:space="preserve">за згодою розкриваючої </w:t>
      </w:r>
      <w:r w:rsidR="0000090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сторони. </w:t>
      </w:r>
      <w:r w:rsidRPr="008A6A87">
        <w:rPr>
          <w:rFonts w:ascii="Times New Roman" w:hAnsi="Times New Roman" w:cs="Times New Roman"/>
          <w:sz w:val="28"/>
          <w:szCs w:val="28"/>
          <w:lang w:val="uk-UA"/>
        </w:rPr>
        <w:t>Потрібна згода власника конфіденційних даних, перш ніж надати їх субпідрядникам / афілійованим установам, навіть якщо у них є роль у проекті. Одержувачі несуть відповідальність за виконання зазначених вище зобов'язань з боку своїх працівників або третіх сторін, залучених до проекту та забезпечують, щоб вони залишалися зобов'язаними дотримуватись вимог конфіденційності, наскільки це можливо, - під час та після закінчення проекту та / або після припинення договірних відносин з працівником або третьою стороною.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Потрібна згода власника конфіденційної інформації, перш, ніж надати таку інформацію третім особам (наприклад, субпідрядники та філії).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Перераховане вище не повинно застосовуватися до розкриття інформації або використання конфіденційної інформації, якщо одержувач може показати, що: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- конфіденційна інформація стала або стає загальнодоступною не через порушення зобов'язань щодо конфіденційності одержувача;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- розкриваюча сторона згодом інформує одержувача, що конфіденційна інформація більше не є конфіденційною; 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- розкриття або зв'язок конфіденційної інформації передбачають положення Грантової угоди;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 xml:space="preserve"> - конфіденційна інформація була розроблена самим одержувачем, незалежно від такого розкриття інформації від розкриваючої сторони;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- конфіденційна інформація була вже відома одержувачу до розкриття інформації; або</w:t>
      </w:r>
    </w:p>
    <w:p w:rsidR="00BC5DAB" w:rsidRPr="008A6A87" w:rsidRDefault="00BC5DAB" w:rsidP="008A6A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120" w:line="36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A87">
        <w:rPr>
          <w:rFonts w:ascii="Times New Roman" w:hAnsi="Times New Roman" w:cs="Times New Roman"/>
          <w:sz w:val="28"/>
          <w:szCs w:val="28"/>
          <w:lang w:val="uk-UA"/>
        </w:rPr>
        <w:t>- одержувач зобов'язаний розкрити конфіденційну інформацію з метою дотримання чинних законів або згідно рішення суду.</w:t>
      </w:r>
    </w:p>
    <w:p w:rsidR="00EF4DF1" w:rsidRPr="008A6A87" w:rsidRDefault="00EF4DF1" w:rsidP="000009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  <w:tab w:val="left" w:pos="92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F4DF1" w:rsidRPr="008A6A87" w:rsidSect="00B472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4845" w:rsidRDefault="00EE4845" w:rsidP="00EF4DF1">
      <w:pPr>
        <w:spacing w:after="0" w:line="240" w:lineRule="auto"/>
      </w:pPr>
      <w:r>
        <w:separator/>
      </w:r>
    </w:p>
  </w:endnote>
  <w:endnote w:type="continuationSeparator" w:id="1">
    <w:p w:rsidR="00EE4845" w:rsidRDefault="00EE4845" w:rsidP="00EF4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4845" w:rsidRDefault="00EE4845" w:rsidP="00EF4DF1">
      <w:pPr>
        <w:spacing w:after="0" w:line="240" w:lineRule="auto"/>
      </w:pPr>
      <w:r>
        <w:separator/>
      </w:r>
    </w:p>
  </w:footnote>
  <w:footnote w:type="continuationSeparator" w:id="1">
    <w:p w:rsidR="00EE4845" w:rsidRDefault="00EE4845" w:rsidP="00EF4DF1">
      <w:pPr>
        <w:spacing w:after="0" w:line="240" w:lineRule="auto"/>
      </w:pPr>
      <w:r>
        <w:continuationSeparator/>
      </w:r>
    </w:p>
  </w:footnote>
  <w:footnote w:id="2">
    <w:p w:rsidR="00EF4DF1" w:rsidRPr="00B8017C" w:rsidRDefault="00EF4DF1" w:rsidP="00EF4DF1">
      <w:pPr>
        <w:pStyle w:val="A3"/>
        <w:jc w:val="both"/>
        <w:rPr>
          <w:rFonts w:ascii="Times New Roman" w:eastAsia="Times New Roman" w:hAnsi="Times New Roman"/>
          <w:color w:val="auto"/>
          <w:lang w:val="uk-UA" w:eastAsia="uk-UA"/>
        </w:rPr>
      </w:pPr>
      <w:r w:rsidRPr="00C05689">
        <w:rPr>
          <w:rFonts w:ascii="Times New Roman" w:hAnsi="Times New Roman"/>
          <w:vertAlign w:val="superscript"/>
        </w:rPr>
        <w:footnoteRef/>
      </w:r>
      <w:r w:rsidRPr="00C05689">
        <w:rPr>
          <w:rFonts w:ascii="Times New Roman" w:hAnsi="Times New Roman"/>
          <w:lang w:val="en-US"/>
        </w:rPr>
        <w:t xml:space="preserve"> Regulation (EU) 2021/695 of the European Parliament and of the Council of 28 April 2021 establishing Horizon Europe – the Framework Programme for Research and Innovation, laying down its rules for participation and dissemination, and repealing Regulations (EU) No</w:t>
      </w:r>
      <w:r w:rsidRPr="00C05689">
        <w:rPr>
          <w:rFonts w:ascii="Times New Roman" w:hAnsi="Times New Roman" w:hint="cs"/>
          <w:lang w:val="en-US"/>
        </w:rPr>
        <w:t> </w:t>
      </w:r>
      <w:r w:rsidRPr="00C05689">
        <w:rPr>
          <w:rFonts w:ascii="Times New Roman" w:hAnsi="Times New Roman"/>
          <w:lang w:val="en-US"/>
        </w:rPr>
        <w:t>1290/2013 and (EU) No</w:t>
      </w:r>
      <w:r w:rsidRPr="00C05689">
        <w:rPr>
          <w:rFonts w:ascii="Times New Roman" w:hAnsi="Times New Roman" w:hint="cs"/>
          <w:lang w:val="en-US"/>
        </w:rPr>
        <w:t> </w:t>
      </w:r>
      <w:r w:rsidRPr="00C05689">
        <w:rPr>
          <w:rFonts w:ascii="Times New Roman" w:hAnsi="Times New Roman"/>
          <w:lang w:val="en-US"/>
        </w:rPr>
        <w:t xml:space="preserve">1291/2013 (Text with EEA relevance) </w:t>
      </w:r>
      <w:hyperlink r:id="rId1" w:history="1">
        <w:r w:rsidRPr="00C05689">
          <w:rPr>
            <w:rStyle w:val="10"/>
            <w:rFonts w:ascii="Times New Roman" w:hAnsi="Times New Roman"/>
            <w:lang w:val="en-US"/>
          </w:rPr>
          <w:t>https://eur-lex.europa.eu/legal-content/EN/ALL/?uri=CELEX:32021R0695</w:t>
        </w:r>
      </w:hyperlink>
    </w:p>
  </w:footnote>
  <w:footnote w:id="3">
    <w:p w:rsidR="00EF4DF1" w:rsidRDefault="00EF4DF1" w:rsidP="00EF4DF1">
      <w:pPr>
        <w:pStyle w:val="A3"/>
        <w:jc w:val="both"/>
        <w:rPr>
          <w:rFonts w:ascii="Times New Roman" w:eastAsia="Times New Roman" w:hAnsi="Times New Roman"/>
          <w:color w:val="auto"/>
          <w:lang w:val="uk-UA" w:eastAsia="uk-UA"/>
        </w:rPr>
      </w:pPr>
      <w:r w:rsidRPr="00C05689">
        <w:rPr>
          <w:rFonts w:ascii="Times New Roman" w:hAnsi="Times New Roman"/>
          <w:vertAlign w:val="superscript"/>
        </w:rPr>
        <w:footnoteRef/>
      </w:r>
      <w:r w:rsidRPr="00C05689">
        <w:rPr>
          <w:rFonts w:ascii="Times New Roman" w:hAnsi="Times New Roman"/>
          <w:lang w:val="en-US"/>
        </w:rPr>
        <w:t>G</w:t>
      </w:r>
      <w:r>
        <w:rPr>
          <w:rFonts w:ascii="Times New Roman" w:hAnsi="Times New Roman"/>
          <w:lang w:val="en-US"/>
        </w:rPr>
        <w:t xml:space="preserve">eneral </w:t>
      </w:r>
      <w:r w:rsidRPr="00C05689">
        <w:rPr>
          <w:rFonts w:ascii="Times New Roman" w:hAnsi="Times New Roman"/>
          <w:lang w:val="en-US"/>
        </w:rPr>
        <w:t>M</w:t>
      </w:r>
      <w:r>
        <w:rPr>
          <w:rFonts w:ascii="Times New Roman" w:hAnsi="Times New Roman"/>
          <w:lang w:val="en-US"/>
        </w:rPr>
        <w:t>odel</w:t>
      </w:r>
      <w:r w:rsidRPr="00C05689">
        <w:rPr>
          <w:rFonts w:ascii="Times New Roman" w:hAnsi="Times New Roman"/>
          <w:lang w:val="en-US"/>
        </w:rPr>
        <w:t>G</w:t>
      </w:r>
      <w:r>
        <w:rPr>
          <w:rFonts w:ascii="Times New Roman" w:hAnsi="Times New Roman"/>
          <w:lang w:val="en-US"/>
        </w:rPr>
        <w:t>rant</w:t>
      </w:r>
      <w:r w:rsidRPr="00C05689">
        <w:rPr>
          <w:rFonts w:ascii="Times New Roman" w:hAnsi="Times New Roman"/>
          <w:lang w:val="en-US"/>
        </w:rPr>
        <w:t>A</w:t>
      </w:r>
      <w:r>
        <w:rPr>
          <w:rFonts w:ascii="Times New Roman" w:hAnsi="Times New Roman"/>
          <w:lang w:val="en-US"/>
        </w:rPr>
        <w:t>greement</w:t>
      </w:r>
      <w:r w:rsidRPr="00C05689">
        <w:rPr>
          <w:rFonts w:ascii="Times New Roman" w:hAnsi="Times New Roman"/>
          <w:lang w:val="en-US"/>
        </w:rPr>
        <w:t>F</w:t>
      </w:r>
      <w:r>
        <w:rPr>
          <w:rFonts w:ascii="Times New Roman" w:hAnsi="Times New Roman"/>
          <w:lang w:val="en-US"/>
        </w:rPr>
        <w:t>or</w:t>
      </w:r>
      <w:r w:rsidRPr="00C05689">
        <w:rPr>
          <w:rFonts w:ascii="Times New Roman" w:hAnsi="Times New Roman"/>
          <w:lang w:val="en-US"/>
        </w:rPr>
        <w:t>T</w:t>
      </w:r>
      <w:r>
        <w:rPr>
          <w:rFonts w:ascii="Times New Roman" w:hAnsi="Times New Roman"/>
          <w:lang w:val="en-US"/>
        </w:rPr>
        <w:t>he</w:t>
      </w:r>
      <w:r w:rsidRPr="00C05689">
        <w:rPr>
          <w:rFonts w:ascii="Times New Roman" w:hAnsi="Times New Roman"/>
          <w:lang w:val="en-US"/>
        </w:rPr>
        <w:t>HORIZONEUROPEP</w:t>
      </w:r>
      <w:r>
        <w:rPr>
          <w:rFonts w:ascii="Times New Roman" w:hAnsi="Times New Roman"/>
          <w:lang w:val="en-US"/>
        </w:rPr>
        <w:t>rograme</w:t>
      </w:r>
      <w:r w:rsidRPr="00C05689">
        <w:rPr>
          <w:rFonts w:ascii="Times New Roman" w:hAnsi="Times New Roman"/>
          <w:lang w:val="uk-UA"/>
        </w:rPr>
        <w:t xml:space="preserve"> (</w:t>
      </w:r>
      <w:r w:rsidRPr="00C05689">
        <w:rPr>
          <w:rFonts w:ascii="Times New Roman" w:hAnsi="Times New Roman"/>
          <w:lang w:val="en-US"/>
        </w:rPr>
        <w:t>HORIZON</w:t>
      </w:r>
      <w:r w:rsidRPr="00C05689">
        <w:rPr>
          <w:rFonts w:ascii="Times New Roman" w:hAnsi="Times New Roman"/>
          <w:lang w:val="uk-UA"/>
        </w:rPr>
        <w:t>)&amp;</w:t>
      </w:r>
      <w:r w:rsidRPr="00C05689">
        <w:rPr>
          <w:rFonts w:ascii="Times New Roman" w:hAnsi="Times New Roman"/>
          <w:lang w:val="en-US"/>
        </w:rPr>
        <w:t>EURATOM</w:t>
      </w:r>
      <w:r>
        <w:rPr>
          <w:rFonts w:ascii="Times New Roman" w:hAnsi="Times New Roman"/>
          <w:lang w:val="en-US"/>
        </w:rPr>
        <w:t xml:space="preserve">Research and TrainingProgram </w:t>
      </w:r>
      <w:r w:rsidRPr="00C05689">
        <w:rPr>
          <w:rFonts w:ascii="Times New Roman" w:hAnsi="Times New Roman"/>
          <w:lang w:val="uk-UA"/>
        </w:rPr>
        <w:t>(</w:t>
      </w:r>
      <w:r w:rsidRPr="00C05689">
        <w:rPr>
          <w:rFonts w:ascii="Times New Roman" w:hAnsi="Times New Roman"/>
          <w:lang w:val="en-US"/>
        </w:rPr>
        <w:t>EURATOM</w:t>
      </w:r>
      <w:r w:rsidRPr="00C05689">
        <w:rPr>
          <w:rFonts w:ascii="Times New Roman" w:hAnsi="Times New Roman"/>
          <w:lang w:val="uk-UA"/>
        </w:rPr>
        <w:t>)2(</w:t>
      </w:r>
      <w:r w:rsidRPr="00C05689">
        <w:rPr>
          <w:rFonts w:ascii="Times New Roman" w:hAnsi="Times New Roman"/>
          <w:lang w:val="en-US"/>
        </w:rPr>
        <w:t>HEMGA</w:t>
      </w:r>
      <w:r w:rsidRPr="00C05689">
        <w:rPr>
          <w:rFonts w:ascii="Times New Roman" w:hAnsi="Times New Roman"/>
          <w:lang w:val="uk-UA"/>
        </w:rPr>
        <w:t xml:space="preserve"> —</w:t>
      </w:r>
      <w:r w:rsidRPr="00C05689">
        <w:rPr>
          <w:rFonts w:ascii="Times New Roman" w:hAnsi="Times New Roman"/>
          <w:lang w:val="en-US"/>
        </w:rPr>
        <w:t>MULTI</w:t>
      </w:r>
      <w:r w:rsidRPr="00C05689">
        <w:rPr>
          <w:rFonts w:ascii="Times New Roman" w:hAnsi="Times New Roman"/>
          <w:lang w:val="uk-UA"/>
        </w:rPr>
        <w:t>&amp;</w:t>
      </w:r>
      <w:r w:rsidRPr="00C05689">
        <w:rPr>
          <w:rFonts w:ascii="Times New Roman" w:hAnsi="Times New Roman"/>
          <w:lang w:val="en-US"/>
        </w:rPr>
        <w:t>MONO</w:t>
      </w:r>
      <w:r w:rsidRPr="00C05689">
        <w:rPr>
          <w:rFonts w:ascii="Times New Roman" w:hAnsi="Times New Roman"/>
          <w:lang w:val="uk-UA"/>
        </w:rPr>
        <w:t xml:space="preserve">) - </w:t>
      </w:r>
      <w:hyperlink r:id="rId2" w:history="1">
        <w:r w:rsidRPr="00C05689">
          <w:rPr>
            <w:rStyle w:val="10"/>
            <w:rFonts w:ascii="Times New Roman" w:hAnsi="Times New Roman"/>
            <w:lang w:val="en-GB"/>
          </w:rPr>
          <w:t>https</w:t>
        </w:r>
        <w:r w:rsidRPr="00C05689">
          <w:rPr>
            <w:rStyle w:val="10"/>
            <w:rFonts w:ascii="Times New Roman" w:hAnsi="Times New Roman"/>
            <w:lang w:val="uk-UA"/>
          </w:rPr>
          <w:t>://</w:t>
        </w:r>
        <w:r w:rsidRPr="00C05689">
          <w:rPr>
            <w:rStyle w:val="10"/>
            <w:rFonts w:ascii="Times New Roman" w:hAnsi="Times New Roman"/>
            <w:lang w:val="en-GB"/>
          </w:rPr>
          <w:t>ec</w:t>
        </w:r>
        <w:r w:rsidRPr="00C05689">
          <w:rPr>
            <w:rStyle w:val="10"/>
            <w:rFonts w:ascii="Times New Roman" w:hAnsi="Times New Roman"/>
            <w:lang w:val="uk-UA"/>
          </w:rPr>
          <w:t>.</w:t>
        </w:r>
        <w:r w:rsidRPr="00C05689">
          <w:rPr>
            <w:rStyle w:val="10"/>
            <w:rFonts w:ascii="Times New Roman" w:hAnsi="Times New Roman"/>
            <w:lang w:val="en-GB"/>
          </w:rPr>
          <w:t>europa</w:t>
        </w:r>
        <w:r w:rsidRPr="00C05689">
          <w:rPr>
            <w:rStyle w:val="10"/>
            <w:rFonts w:ascii="Times New Roman" w:hAnsi="Times New Roman"/>
            <w:lang w:val="uk-UA"/>
          </w:rPr>
          <w:t>.</w:t>
        </w:r>
        <w:r w:rsidRPr="00C05689">
          <w:rPr>
            <w:rStyle w:val="10"/>
            <w:rFonts w:ascii="Times New Roman" w:hAnsi="Times New Roman"/>
            <w:lang w:val="en-GB"/>
          </w:rPr>
          <w:t>eu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info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funding</w:t>
        </w:r>
        <w:r w:rsidRPr="00C05689">
          <w:rPr>
            <w:rStyle w:val="10"/>
            <w:rFonts w:ascii="Times New Roman" w:hAnsi="Times New Roman"/>
            <w:lang w:val="uk-UA"/>
          </w:rPr>
          <w:t>-</w:t>
        </w:r>
        <w:r w:rsidRPr="00C05689">
          <w:rPr>
            <w:rStyle w:val="10"/>
            <w:rFonts w:ascii="Times New Roman" w:hAnsi="Times New Roman"/>
            <w:lang w:val="en-GB"/>
          </w:rPr>
          <w:t>tenders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opportunities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docs</w:t>
        </w:r>
        <w:r w:rsidRPr="00C05689">
          <w:rPr>
            <w:rStyle w:val="10"/>
            <w:rFonts w:ascii="Times New Roman" w:hAnsi="Times New Roman"/>
            <w:lang w:val="uk-UA"/>
          </w:rPr>
          <w:t>/2021-2027/</w:t>
        </w:r>
        <w:r w:rsidRPr="00C05689">
          <w:rPr>
            <w:rStyle w:val="10"/>
            <w:rFonts w:ascii="Times New Roman" w:hAnsi="Times New Roman"/>
            <w:lang w:val="en-GB"/>
          </w:rPr>
          <w:t>common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agr</w:t>
        </w:r>
        <w:r w:rsidRPr="00C05689">
          <w:rPr>
            <w:rStyle w:val="10"/>
            <w:rFonts w:ascii="Times New Roman" w:hAnsi="Times New Roman"/>
            <w:lang w:val="uk-UA"/>
          </w:rPr>
          <w:t>-</w:t>
        </w:r>
        <w:r w:rsidRPr="00C05689">
          <w:rPr>
            <w:rStyle w:val="10"/>
            <w:rFonts w:ascii="Times New Roman" w:hAnsi="Times New Roman"/>
            <w:lang w:val="en-GB"/>
          </w:rPr>
          <w:t>contr</w:t>
        </w:r>
        <w:r w:rsidRPr="00C05689">
          <w:rPr>
            <w:rStyle w:val="10"/>
            <w:rFonts w:ascii="Times New Roman" w:hAnsi="Times New Roman"/>
            <w:lang w:val="uk-UA"/>
          </w:rPr>
          <w:t>/</w:t>
        </w:r>
        <w:r w:rsidRPr="00C05689">
          <w:rPr>
            <w:rStyle w:val="10"/>
            <w:rFonts w:ascii="Times New Roman" w:hAnsi="Times New Roman"/>
            <w:lang w:val="en-GB"/>
          </w:rPr>
          <w:t>general</w:t>
        </w:r>
        <w:r w:rsidRPr="00C05689">
          <w:rPr>
            <w:rStyle w:val="10"/>
            <w:rFonts w:ascii="Times New Roman" w:hAnsi="Times New Roman"/>
            <w:lang w:val="uk-UA"/>
          </w:rPr>
          <w:t>-</w:t>
        </w:r>
        <w:r w:rsidRPr="00C05689">
          <w:rPr>
            <w:rStyle w:val="10"/>
            <w:rFonts w:ascii="Times New Roman" w:hAnsi="Times New Roman"/>
            <w:lang w:val="en-GB"/>
          </w:rPr>
          <w:t>mga</w:t>
        </w:r>
        <w:r w:rsidRPr="00C05689">
          <w:rPr>
            <w:rStyle w:val="10"/>
            <w:rFonts w:ascii="Times New Roman" w:hAnsi="Times New Roman"/>
            <w:lang w:val="uk-UA"/>
          </w:rPr>
          <w:t>_</w:t>
        </w:r>
        <w:r w:rsidRPr="00C05689">
          <w:rPr>
            <w:rStyle w:val="10"/>
            <w:rFonts w:ascii="Times New Roman" w:hAnsi="Times New Roman"/>
            <w:lang w:val="en-GB"/>
          </w:rPr>
          <w:t>horizon</w:t>
        </w:r>
        <w:r w:rsidRPr="00C05689">
          <w:rPr>
            <w:rStyle w:val="10"/>
            <w:rFonts w:ascii="Times New Roman" w:hAnsi="Times New Roman"/>
            <w:lang w:val="uk-UA"/>
          </w:rPr>
          <w:t>-</w:t>
        </w:r>
        <w:r w:rsidRPr="00C05689">
          <w:rPr>
            <w:rStyle w:val="10"/>
            <w:rFonts w:ascii="Times New Roman" w:hAnsi="Times New Roman"/>
            <w:lang w:val="en-GB"/>
          </w:rPr>
          <w:t>euratom</w:t>
        </w:r>
        <w:r w:rsidRPr="00C05689">
          <w:rPr>
            <w:rStyle w:val="10"/>
            <w:rFonts w:ascii="Times New Roman" w:hAnsi="Times New Roman"/>
            <w:lang w:val="uk-UA"/>
          </w:rPr>
          <w:t>_</w:t>
        </w:r>
        <w:r w:rsidRPr="00C05689">
          <w:rPr>
            <w:rStyle w:val="10"/>
            <w:rFonts w:ascii="Times New Roman" w:hAnsi="Times New Roman"/>
            <w:lang w:val="en-GB"/>
          </w:rPr>
          <w:t>en</w:t>
        </w:r>
        <w:r w:rsidRPr="00C05689">
          <w:rPr>
            <w:rStyle w:val="10"/>
            <w:rFonts w:ascii="Times New Roman" w:hAnsi="Times New Roman"/>
            <w:lang w:val="uk-UA"/>
          </w:rPr>
          <w:t>.</w:t>
        </w:r>
        <w:r w:rsidRPr="00C05689">
          <w:rPr>
            <w:rStyle w:val="10"/>
            <w:rFonts w:ascii="Times New Roman" w:hAnsi="Times New Roman"/>
            <w:lang w:val="en-GB"/>
          </w:rPr>
          <w:t>pdf</w:t>
        </w:r>
      </w:hyperlink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51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firstLine="567"/>
      </w:pPr>
      <w:rPr>
        <w:rFonts w:hint="default"/>
        <w:b/>
        <w:strike w:val="0"/>
        <w:dstrike w:val="0"/>
        <w:color w:val="000000"/>
        <w:position w:val="0"/>
        <w:sz w:val="2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firstLine="624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firstLine="681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firstLine="738"/>
      </w:pPr>
      <w:rPr>
        <w:rFonts w:hint="default"/>
        <w:color w:val="000000"/>
        <w:position w:val="0"/>
        <w:sz w:val="24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firstLine="795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firstLine="852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firstLine="909"/>
      </w:pPr>
      <w:rPr>
        <w:rFonts w:hint="default"/>
        <w:color w:val="000000"/>
        <w:position w:val="0"/>
        <w:sz w:val="24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firstLine="966"/>
      </w:pPr>
      <w:rPr>
        <w:rFonts w:hint="default"/>
        <w:color w:val="000000"/>
        <w:position w:val="0"/>
        <w:sz w:val="24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6B6E"/>
    <w:rsid w:val="00000906"/>
    <w:rsid w:val="000D1BE3"/>
    <w:rsid w:val="001B6D5B"/>
    <w:rsid w:val="001C5609"/>
    <w:rsid w:val="00262830"/>
    <w:rsid w:val="005B0E07"/>
    <w:rsid w:val="00631FD2"/>
    <w:rsid w:val="007D21AB"/>
    <w:rsid w:val="008A6A87"/>
    <w:rsid w:val="00A14FF7"/>
    <w:rsid w:val="00B4729B"/>
    <w:rsid w:val="00BC5DAB"/>
    <w:rsid w:val="00CF3741"/>
    <w:rsid w:val="00D91894"/>
    <w:rsid w:val="00DD0AC0"/>
    <w:rsid w:val="00DD6B6E"/>
    <w:rsid w:val="00E81C4D"/>
    <w:rsid w:val="00EE4845"/>
    <w:rsid w:val="00EF4DF1"/>
    <w:rsid w:val="00FA6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B6E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у1"/>
    <w:rsid w:val="00EF4DF1"/>
    <w:pPr>
      <w:spacing w:after="0" w:line="240" w:lineRule="auto"/>
      <w:ind w:left="720"/>
    </w:pPr>
    <w:rPr>
      <w:rFonts w:ascii="Times New Roman" w:eastAsia="ヒラギノ角ゴ Pro W3" w:hAnsi="Times New Roman" w:cs="Times New Roman"/>
      <w:color w:val="000000"/>
      <w:sz w:val="24"/>
      <w:szCs w:val="20"/>
      <w:lang w:eastAsia="ru-RU"/>
    </w:rPr>
  </w:style>
  <w:style w:type="paragraph" w:customStyle="1" w:styleId="A3">
    <w:name w:val="Текст сноски A"/>
    <w:rsid w:val="00EF4DF1"/>
    <w:pPr>
      <w:spacing w:after="0" w:line="240" w:lineRule="auto"/>
    </w:pPr>
    <w:rPr>
      <w:rFonts w:ascii="Helvetica" w:eastAsia="ヒラギノ角ゴ Pro W3" w:hAnsi="Helvetica" w:cs="Times New Roman"/>
      <w:color w:val="000000"/>
      <w:sz w:val="20"/>
      <w:szCs w:val="20"/>
      <w:lang w:val="ru-RU" w:eastAsia="ru-RU"/>
    </w:rPr>
  </w:style>
  <w:style w:type="character" w:customStyle="1" w:styleId="10">
    <w:name w:val="Гіперпосилання1"/>
    <w:rsid w:val="00EF4DF1"/>
    <w:rPr>
      <w:color w:val="17469D"/>
      <w:sz w:val="22"/>
      <w:u w:val="single"/>
    </w:rPr>
  </w:style>
  <w:style w:type="paragraph" w:customStyle="1" w:styleId="11">
    <w:name w:val="Текст виноски1"/>
    <w:rsid w:val="00BC5DAB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0"/>
      <w:szCs w:val="20"/>
      <w:lang w:eastAsia="ru-RU"/>
    </w:rPr>
  </w:style>
  <w:style w:type="character" w:customStyle="1" w:styleId="12">
    <w:name w:val="Знак виноски1"/>
    <w:rsid w:val="00BC5DAB"/>
    <w:rPr>
      <w:color w:val="000000"/>
      <w:sz w:val="22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c.europa.eu/info/funding-tenders/opportunities/docs/2021-2027/common/agr-contr/general-mga_horizon-euratom_en.pdf" TargetMode="External"/><Relationship Id="rId1" Type="http://schemas.openxmlformats.org/officeDocument/2006/relationships/hyperlink" Target="https://eur-lex.europa.eu/legal-content/EN/ALL/?uri=CELEX:32021R069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5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Computor</dc:creator>
  <cp:lastModifiedBy>Computor</cp:lastModifiedBy>
  <cp:revision>6</cp:revision>
  <dcterms:created xsi:type="dcterms:W3CDTF">2022-04-18T14:38:00Z</dcterms:created>
  <dcterms:modified xsi:type="dcterms:W3CDTF">2022-04-19T21:06:00Z</dcterms:modified>
</cp:coreProperties>
</file>