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6A99" w:rsidRPr="00D26A99" w:rsidRDefault="00D26A99" w:rsidP="00D26A99">
      <w:pPr>
        <w:pStyle w:val="1"/>
        <w:spacing w:before="0"/>
        <w:jc w:val="center"/>
        <w:rPr>
          <w:rFonts w:ascii="Verdana" w:hAnsi="Verdana"/>
          <w:sz w:val="24"/>
          <w:szCs w:val="24"/>
          <w:lang w:val="ru-RU"/>
        </w:rPr>
      </w:pPr>
      <w:bookmarkStart w:id="0" w:name="_Toc352106071"/>
      <w:r w:rsidRPr="00D26A99">
        <w:rPr>
          <w:rFonts w:ascii="Verdana" w:hAnsi="Verdana"/>
          <w:sz w:val="24"/>
          <w:szCs w:val="24"/>
          <w:lang w:val="ru-RU"/>
        </w:rPr>
        <w:t>Теоретико-методичні засади формування</w:t>
      </w:r>
      <w:bookmarkEnd w:id="0"/>
    </w:p>
    <w:p w:rsidR="00D26A99" w:rsidRPr="00D26A99" w:rsidRDefault="00D26A99" w:rsidP="00D26A99">
      <w:pPr>
        <w:pStyle w:val="1"/>
        <w:spacing w:before="0"/>
        <w:jc w:val="center"/>
        <w:rPr>
          <w:rFonts w:ascii="Verdana" w:hAnsi="Verdana"/>
          <w:sz w:val="24"/>
          <w:szCs w:val="24"/>
          <w:lang w:val="ru-RU"/>
        </w:rPr>
      </w:pPr>
      <w:bookmarkStart w:id="1" w:name="_Toc352106072"/>
      <w:r w:rsidRPr="00D26A99">
        <w:rPr>
          <w:rFonts w:ascii="Verdana" w:hAnsi="Verdana"/>
          <w:sz w:val="24"/>
          <w:szCs w:val="24"/>
          <w:lang w:val="ru-RU"/>
        </w:rPr>
        <w:t>інтегрованої системи бюджетування</w:t>
      </w:r>
      <w:bookmarkEnd w:id="1"/>
    </w:p>
    <w:p w:rsidR="00D26A99" w:rsidRPr="00D26A99" w:rsidRDefault="00D26A99" w:rsidP="00D26A99">
      <w:pPr>
        <w:pStyle w:val="1"/>
        <w:spacing w:before="0"/>
        <w:jc w:val="center"/>
        <w:rPr>
          <w:rFonts w:ascii="Verdana" w:hAnsi="Verdana"/>
          <w:b w:val="0"/>
          <w:sz w:val="22"/>
          <w:szCs w:val="22"/>
          <w:lang w:val="ru-RU"/>
        </w:rPr>
      </w:pPr>
      <w:bookmarkStart w:id="2" w:name="_Toc352106073"/>
      <w:r w:rsidRPr="00D26A99">
        <w:rPr>
          <w:rFonts w:ascii="Verdana" w:hAnsi="Verdana"/>
          <w:b w:val="0"/>
          <w:sz w:val="22"/>
          <w:szCs w:val="22"/>
          <w:lang w:val="ru-RU"/>
        </w:rPr>
        <w:t>Поліщук С.В.</w:t>
      </w:r>
      <w:bookmarkEnd w:id="2"/>
    </w:p>
    <w:p w:rsidR="00D26A99" w:rsidRPr="000275C2" w:rsidRDefault="00D26A99" w:rsidP="00D26A99">
      <w:pPr>
        <w:spacing w:after="0" w:line="240" w:lineRule="auto"/>
        <w:jc w:val="center"/>
        <w:rPr>
          <w:rFonts w:ascii="Verdana" w:hAnsi="Verdana"/>
          <w:b/>
        </w:rPr>
      </w:pPr>
      <w:r w:rsidRPr="000275C2">
        <w:rPr>
          <w:rFonts w:ascii="Verdana" w:hAnsi="Verdana"/>
          <w:b/>
        </w:rPr>
        <w:t>Національній технічний університет Україні «КПІ»</w:t>
      </w:r>
    </w:p>
    <w:p w:rsidR="00D26A99" w:rsidRPr="000275C2" w:rsidRDefault="00D26A99" w:rsidP="00D26A99">
      <w:pPr>
        <w:pStyle w:val="afd"/>
        <w:spacing w:after="0" w:line="240" w:lineRule="auto"/>
        <w:ind w:firstLine="567"/>
        <w:jc w:val="both"/>
        <w:rPr>
          <w:rFonts w:ascii="Verdana" w:hAnsi="Verdana"/>
          <w:sz w:val="18"/>
          <w:szCs w:val="18"/>
        </w:rPr>
      </w:pPr>
      <w:r w:rsidRPr="000275C2">
        <w:rPr>
          <w:rFonts w:ascii="Verdana" w:hAnsi="Verdana"/>
          <w:sz w:val="18"/>
          <w:szCs w:val="18"/>
        </w:rPr>
        <w:t>Сучасний стан підприємств машинобудування, робить актуальним дослідження проблеми створення сполучної ланки між стратегічним управлінням плануванням і бюджетуванням, об'єднанням цих двох концепцій у єдину систему з метою покращення та прискорення реалізації стратегічних рішень у площині бюджетів і навпаки. Як елемент інтеграції між бюджетом і стратегією на думку фахівців, з якими ми погоджуємося [1-2], може бути використано  методологію збалансованої системи показників (ЗСП) і процесного підходу.</w:t>
      </w:r>
    </w:p>
    <w:p w:rsidR="00D26A99" w:rsidRPr="000275C2" w:rsidRDefault="00D26A99" w:rsidP="00D26A99">
      <w:pPr>
        <w:pStyle w:val="afd"/>
        <w:spacing w:after="0" w:line="240" w:lineRule="auto"/>
        <w:ind w:firstLine="567"/>
        <w:jc w:val="both"/>
        <w:rPr>
          <w:rFonts w:ascii="Verdana" w:hAnsi="Verdana"/>
          <w:sz w:val="18"/>
          <w:szCs w:val="18"/>
        </w:rPr>
      </w:pPr>
      <w:r w:rsidRPr="000275C2">
        <w:rPr>
          <w:rFonts w:ascii="Verdana" w:hAnsi="Verdana"/>
          <w:sz w:val="18"/>
          <w:szCs w:val="18"/>
        </w:rPr>
        <w:t xml:space="preserve">Збалансована система показників в першу чергу концентрує свою увагу на поліпшенні функціонування бізнес-процесів підприємства, тому найбільший ступінь інтеграції бюджетування і ЗСП можна забезпечити завдяки організації бюджетування на підприємстві завдяки  процесно-орієнтованому підходу. Процес бюджетування, який узгоджений з стратегією дозволить перетворити загальні стратегічні напрямки розвитку підприємства в структуру конкретних бюджетів і кошторисів, зрозумілих для кожного працівника, виконання яких сприятиме досягненню стратегічних цілей і довгостроковому розвитку підприємства. Таким чином, зазначене поєднання може бути визначено як [3],  інтегрована система бюджетування, що представляє собою систему трансформації та інтерпретації стратегічних цілей компанії в бюджетні плани із заданими у кількісному та грошовому виразі показниками для ефективнішого розподілу ресурсів, організації, контролю, мотивації та направлена на забезпечення довгострокового розвитку. </w:t>
      </w:r>
    </w:p>
    <w:p w:rsidR="00D26A99" w:rsidRPr="000275C2" w:rsidRDefault="00D26A99" w:rsidP="00D26A99">
      <w:pPr>
        <w:pStyle w:val="afd"/>
        <w:spacing w:after="0" w:line="240" w:lineRule="auto"/>
        <w:ind w:firstLine="567"/>
        <w:jc w:val="both"/>
        <w:rPr>
          <w:rFonts w:ascii="Verdana" w:hAnsi="Verdana"/>
          <w:sz w:val="18"/>
          <w:szCs w:val="18"/>
        </w:rPr>
      </w:pPr>
      <w:r w:rsidRPr="000275C2">
        <w:rPr>
          <w:rFonts w:ascii="Verdana" w:hAnsi="Verdana"/>
          <w:sz w:val="18"/>
          <w:szCs w:val="18"/>
        </w:rPr>
        <w:t xml:space="preserve">Засади формування інтегрованої системи бюджетування пропонується розглядати в аспекті наступних етапів. Етап перший формування стратегії та визначення її ключових показників; в рамках цього етапу визначаються стратегічні напрямки, узгоджуються цілі, проводиться аналіз зв’язків між цілями та фіксуються показники щодо кожної визначеної стратегічної цілі. Другий етап – формування процесного бюджетування реалізується в наступних складових елементах: виділення бізнес-процесів, визначення необхідності в ресурсах, узгодження показників стратегічних цілей для кожного процесу. Третій етап започатковує формування операційних бюджетів підприємства. На четвертому етапі операційні бюджети поєднуються в зведений бюджет підприємства. На п’ятому етапі започатковуються шляхи регламентації та контролю і аналізу інтегрованої системи бюджетування. </w:t>
      </w:r>
    </w:p>
    <w:p w:rsidR="00D26A99" w:rsidRPr="000275C2" w:rsidRDefault="00D26A99" w:rsidP="00D26A99">
      <w:pPr>
        <w:pStyle w:val="afd"/>
        <w:spacing w:after="0" w:line="240" w:lineRule="auto"/>
        <w:ind w:firstLine="567"/>
        <w:jc w:val="both"/>
        <w:rPr>
          <w:rFonts w:ascii="Verdana" w:hAnsi="Verdana"/>
          <w:sz w:val="18"/>
          <w:szCs w:val="18"/>
        </w:rPr>
      </w:pPr>
      <w:r w:rsidRPr="000275C2">
        <w:rPr>
          <w:rFonts w:ascii="Verdana" w:hAnsi="Verdana"/>
          <w:sz w:val="18"/>
          <w:szCs w:val="18"/>
        </w:rPr>
        <w:t xml:space="preserve">Імплементація контуру стратегічного управління в системі бюджетування дає змогу визначити стратегічні орієнтири, започаткувати програми по досягненню таких стратегічних цілей та відобразити у системі бюджетування. Зазначене поєднання дає змогу отримати нову економічну категорію, підвищити якість управління та отримати значні переваги від поєднання систем. </w:t>
      </w:r>
    </w:p>
    <w:p w:rsidR="00D26A99" w:rsidRPr="000275C2" w:rsidRDefault="00D26A99" w:rsidP="00D26A99">
      <w:pPr>
        <w:pStyle w:val="afd"/>
        <w:spacing w:after="0" w:line="240" w:lineRule="auto"/>
        <w:ind w:firstLine="567"/>
        <w:jc w:val="both"/>
        <w:rPr>
          <w:rFonts w:ascii="Verdana" w:hAnsi="Verdana"/>
          <w:sz w:val="18"/>
          <w:szCs w:val="18"/>
        </w:rPr>
      </w:pPr>
      <w:r w:rsidRPr="000275C2">
        <w:rPr>
          <w:rFonts w:ascii="Verdana" w:hAnsi="Verdana"/>
          <w:sz w:val="18"/>
          <w:szCs w:val="18"/>
        </w:rPr>
        <w:t>На наш погляд, очевидними перевагами поєднання систем  будуть: можливість реалізувати стратегічні ініціативи при економії ресурсів підприємства; наявність взаємопов'язаних планів на всіх рівнях управління, як по підрозділах, так і по підприємства в цілому; можливість трансформації стратегічних цілей в конкретні плани заходів із заданими в кількісному вираженні бюджетними показниками;розподіл ресурсів відповідно до вироблених стратегічними напрямками розвитку; розширення діапазону використовуваних показників (фінансові та нефінансові) для оцінки результатів діяльності та ступеня; досягнення поставлених цілей.</w:t>
      </w:r>
    </w:p>
    <w:p w:rsidR="00D26A99" w:rsidRPr="000275C2" w:rsidRDefault="00D26A99" w:rsidP="00D26A99">
      <w:pPr>
        <w:pStyle w:val="afd"/>
        <w:spacing w:after="0" w:line="240" w:lineRule="auto"/>
        <w:ind w:firstLine="567"/>
        <w:jc w:val="both"/>
        <w:rPr>
          <w:rFonts w:ascii="Verdana" w:hAnsi="Verdana"/>
          <w:sz w:val="18"/>
          <w:szCs w:val="18"/>
        </w:rPr>
      </w:pPr>
      <w:r w:rsidRPr="000275C2">
        <w:rPr>
          <w:rFonts w:ascii="Verdana" w:hAnsi="Verdana"/>
          <w:sz w:val="18"/>
          <w:szCs w:val="18"/>
        </w:rPr>
        <w:t xml:space="preserve">Інтегрована система бюджетування  являє собою  першим  кроком  до  втілення  в  життя стратегічного  плану  підприємства, головним завданням якого є забезпечення виконання  цільової стратегії. Тому  головні задачі  стратегічного  менеджменту  «зійти» до  рівня  конкретних  технік  і перевести під час недосконалі стратегічні плани в площину конкретних цілей, заходів щодо їхнього досягнення й показників їхнього виконання. </w:t>
      </w:r>
    </w:p>
    <w:p w:rsidR="00D26A99" w:rsidRPr="000275C2" w:rsidRDefault="00D26A99" w:rsidP="00D26A99">
      <w:pPr>
        <w:pStyle w:val="afd"/>
        <w:spacing w:after="0" w:line="240" w:lineRule="auto"/>
        <w:ind w:firstLine="567"/>
        <w:jc w:val="both"/>
        <w:rPr>
          <w:rFonts w:ascii="Verdana" w:hAnsi="Verdana"/>
          <w:sz w:val="18"/>
          <w:szCs w:val="18"/>
        </w:rPr>
      </w:pPr>
      <w:r w:rsidRPr="000275C2">
        <w:rPr>
          <w:rFonts w:ascii="Verdana" w:hAnsi="Verdana"/>
          <w:sz w:val="18"/>
          <w:szCs w:val="18"/>
        </w:rPr>
        <w:t xml:space="preserve">Інтегрована система бюджетування повинна стати основним інструментом кількісного планування та моделювання на підприємствах стратегічних заходів. Наявність такої моделі дозволяє не тільки проаналізувати стратегічні заходи зі всіма основними фінансовими характеристиками, але також побачити періоди коли будуть виникати ті чи інші фінансові параметри (витрати, платежі, активи). </w:t>
      </w:r>
    </w:p>
    <w:p w:rsidR="00D26A99" w:rsidRPr="000275C2" w:rsidRDefault="00D26A99" w:rsidP="00D26A99">
      <w:pPr>
        <w:pStyle w:val="afd"/>
        <w:spacing w:after="0" w:line="240" w:lineRule="auto"/>
        <w:ind w:firstLine="567"/>
        <w:jc w:val="both"/>
        <w:rPr>
          <w:rFonts w:ascii="Verdana" w:hAnsi="Verdana"/>
          <w:sz w:val="18"/>
          <w:szCs w:val="18"/>
        </w:rPr>
      </w:pPr>
      <w:r w:rsidRPr="000275C2">
        <w:rPr>
          <w:rFonts w:ascii="Verdana" w:hAnsi="Verdana"/>
          <w:sz w:val="18"/>
          <w:szCs w:val="18"/>
        </w:rPr>
        <w:t xml:space="preserve">У підсумку при використанні інтегрованої системи бюджетування буде видно, за рахунок чого можливе поліпшення фінансово-економічних показників та індикаторів стратегічних цілей ЗСП, так як буде зрозуміло, які заходи передбачається виконати і як це позначиться на фінансово-економічному стані підприємства. </w:t>
      </w:r>
    </w:p>
    <w:p w:rsidR="00D26A99" w:rsidRPr="000275C2" w:rsidRDefault="00D26A99" w:rsidP="00D26A99">
      <w:pPr>
        <w:pStyle w:val="afd"/>
        <w:spacing w:after="0" w:line="240" w:lineRule="auto"/>
        <w:ind w:firstLine="567"/>
        <w:jc w:val="both"/>
        <w:rPr>
          <w:rFonts w:ascii="Verdana" w:hAnsi="Verdana"/>
          <w:b/>
          <w:sz w:val="18"/>
          <w:szCs w:val="18"/>
        </w:rPr>
      </w:pPr>
      <w:r w:rsidRPr="000275C2">
        <w:rPr>
          <w:rFonts w:ascii="Verdana" w:hAnsi="Verdana"/>
          <w:b/>
          <w:sz w:val="18"/>
          <w:szCs w:val="18"/>
        </w:rPr>
        <w:t>Список літератури:</w:t>
      </w:r>
    </w:p>
    <w:p w:rsidR="00D26A99" w:rsidRPr="000275C2" w:rsidRDefault="00D26A99" w:rsidP="00D26A99">
      <w:pPr>
        <w:pStyle w:val="afd"/>
        <w:spacing w:after="0" w:line="240" w:lineRule="auto"/>
        <w:ind w:firstLine="284"/>
        <w:jc w:val="both"/>
        <w:rPr>
          <w:rFonts w:ascii="Verdana" w:hAnsi="Verdana"/>
          <w:sz w:val="18"/>
          <w:szCs w:val="18"/>
        </w:rPr>
      </w:pPr>
      <w:r w:rsidRPr="000275C2">
        <w:rPr>
          <w:rFonts w:ascii="Verdana" w:hAnsi="Verdana"/>
          <w:sz w:val="18"/>
          <w:szCs w:val="18"/>
        </w:rPr>
        <w:t>1. Білобловський С.А. Бюджетування виходячи з потреб ринку (АВВ-технологія) – новітні управлінські технології / Білобловський С.А. // Економіка. Фінанси. Право. – 2006. – № 5. – С. 11–12.</w:t>
      </w:r>
    </w:p>
    <w:p w:rsidR="00D26A99" w:rsidRPr="000275C2" w:rsidRDefault="00D26A99" w:rsidP="00D26A99">
      <w:pPr>
        <w:pStyle w:val="afd"/>
        <w:spacing w:after="0" w:line="240" w:lineRule="auto"/>
        <w:ind w:firstLine="284"/>
        <w:jc w:val="both"/>
        <w:rPr>
          <w:rFonts w:ascii="Verdana" w:hAnsi="Verdana"/>
          <w:sz w:val="18"/>
          <w:szCs w:val="18"/>
        </w:rPr>
      </w:pPr>
      <w:r w:rsidRPr="000275C2">
        <w:rPr>
          <w:rFonts w:ascii="Verdana" w:hAnsi="Verdana"/>
          <w:sz w:val="18"/>
          <w:szCs w:val="18"/>
        </w:rPr>
        <w:t>2. Онищенко С.В. Упровадження бюджетування на вітчизняних підприємствах / С.В. Онищенко // Фінанси України. – 2003. – № 4. – С. 45–50.</w:t>
      </w:r>
    </w:p>
    <w:p w:rsidR="001C18CD" w:rsidRPr="00D26A99" w:rsidRDefault="00D26A99" w:rsidP="00D26A99">
      <w:pPr>
        <w:rPr>
          <w:szCs w:val="18"/>
        </w:rPr>
      </w:pPr>
      <w:r w:rsidRPr="000275C2">
        <w:rPr>
          <w:rFonts w:ascii="Verdana" w:hAnsi="Verdana"/>
          <w:sz w:val="18"/>
          <w:szCs w:val="18"/>
        </w:rPr>
        <w:t>3. Поліщук С.В. Проблеми та перспективи інтеграції бюджетування та стратегічного управління/ С.В. Поліщук/ Ефективна Економіка.-2013.-№2</w:t>
      </w:r>
    </w:p>
    <w:sectPr w:rsidR="001C18CD" w:rsidRPr="00D26A99" w:rsidSect="007E50FE">
      <w:footerReference w:type="default" r:id="rId7"/>
      <w:pgSz w:w="11906" w:h="16838"/>
      <w:pgMar w:top="1134"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5C6E" w:rsidRDefault="00A25C6E" w:rsidP="00842066">
      <w:pPr>
        <w:spacing w:after="0" w:line="240" w:lineRule="auto"/>
      </w:pPr>
      <w:r>
        <w:separator/>
      </w:r>
    </w:p>
  </w:endnote>
  <w:endnote w:type="continuationSeparator" w:id="1">
    <w:p w:rsidR="00A25C6E" w:rsidRDefault="00A25C6E"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D26A99">
        <w:pPr>
          <w:pStyle w:val="af7"/>
        </w:pPr>
        <w:r>
          <w:t>70</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5C6E" w:rsidRDefault="00A25C6E" w:rsidP="00842066">
      <w:pPr>
        <w:spacing w:after="0" w:line="240" w:lineRule="auto"/>
      </w:pPr>
      <w:r>
        <w:separator/>
      </w:r>
    </w:p>
  </w:footnote>
  <w:footnote w:type="continuationSeparator" w:id="1">
    <w:p w:rsidR="00A25C6E" w:rsidRDefault="00A25C6E"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01E60FDD"/>
    <w:multiLevelType w:val="hybridMultilevel"/>
    <w:tmpl w:val="1432160C"/>
    <w:lvl w:ilvl="0" w:tplc="68307B14">
      <w:start w:val="2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D360B40"/>
    <w:multiLevelType w:val="hybridMultilevel"/>
    <w:tmpl w:val="802486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DA943D5"/>
    <w:multiLevelType w:val="hybridMultilevel"/>
    <w:tmpl w:val="F04090AE"/>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14006FB3"/>
    <w:multiLevelType w:val="hybridMultilevel"/>
    <w:tmpl w:val="0E82EEB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nsid w:val="15800E72"/>
    <w:multiLevelType w:val="hybridMultilevel"/>
    <w:tmpl w:val="9FE0EB90"/>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74A1EBE"/>
    <w:multiLevelType w:val="hybridMultilevel"/>
    <w:tmpl w:val="662E8EB0"/>
    <w:lvl w:ilvl="0" w:tplc="EF9275C4">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7">
    <w:nsid w:val="1CCE4D53"/>
    <w:multiLevelType w:val="hybridMultilevel"/>
    <w:tmpl w:val="1BCEF694"/>
    <w:lvl w:ilvl="0" w:tplc="EEA4BF0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E567984"/>
    <w:multiLevelType w:val="hybridMultilevel"/>
    <w:tmpl w:val="13E4643C"/>
    <w:lvl w:ilvl="0" w:tplc="7E761C24">
      <w:start w:val="1"/>
      <w:numFmt w:val="decimal"/>
      <w:lvlText w:val="%1."/>
      <w:lvlJc w:val="left"/>
      <w:pPr>
        <w:ind w:left="1437" w:hanging="87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24A87308"/>
    <w:multiLevelType w:val="hybridMultilevel"/>
    <w:tmpl w:val="B44C69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1">
    <w:nsid w:val="318F7DA7"/>
    <w:multiLevelType w:val="hybridMultilevel"/>
    <w:tmpl w:val="E370BADC"/>
    <w:lvl w:ilvl="0" w:tplc="234C5BCA">
      <w:start w:val="1"/>
      <w:numFmt w:val="decimal"/>
      <w:lvlText w:val="%1)"/>
      <w:lvlJc w:val="left"/>
      <w:pPr>
        <w:tabs>
          <w:tab w:val="num" w:pos="1800"/>
        </w:tabs>
        <w:ind w:left="1800" w:hanging="108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2">
    <w:nsid w:val="34502506"/>
    <w:multiLevelType w:val="hybridMultilevel"/>
    <w:tmpl w:val="2396A854"/>
    <w:lvl w:ilvl="0" w:tplc="04190001">
      <w:start w:val="1"/>
      <w:numFmt w:val="bullet"/>
      <w:lvlText w:val=""/>
      <w:lvlJc w:val="left"/>
      <w:pPr>
        <w:ind w:left="1138" w:hanging="360"/>
      </w:pPr>
      <w:rPr>
        <w:rFonts w:ascii="Symbol" w:hAnsi="Symbol" w:hint="default"/>
      </w:rPr>
    </w:lvl>
    <w:lvl w:ilvl="1" w:tplc="04190003" w:tentative="1">
      <w:start w:val="1"/>
      <w:numFmt w:val="bullet"/>
      <w:lvlText w:val="o"/>
      <w:lvlJc w:val="left"/>
      <w:pPr>
        <w:ind w:left="1858" w:hanging="360"/>
      </w:pPr>
      <w:rPr>
        <w:rFonts w:ascii="Courier New" w:hAnsi="Courier New" w:cs="Courier New" w:hint="default"/>
      </w:rPr>
    </w:lvl>
    <w:lvl w:ilvl="2" w:tplc="04190005" w:tentative="1">
      <w:start w:val="1"/>
      <w:numFmt w:val="bullet"/>
      <w:lvlText w:val=""/>
      <w:lvlJc w:val="left"/>
      <w:pPr>
        <w:ind w:left="2578" w:hanging="360"/>
      </w:pPr>
      <w:rPr>
        <w:rFonts w:ascii="Wingdings" w:hAnsi="Wingdings" w:hint="default"/>
      </w:rPr>
    </w:lvl>
    <w:lvl w:ilvl="3" w:tplc="04190001" w:tentative="1">
      <w:start w:val="1"/>
      <w:numFmt w:val="bullet"/>
      <w:lvlText w:val=""/>
      <w:lvlJc w:val="left"/>
      <w:pPr>
        <w:ind w:left="3298" w:hanging="360"/>
      </w:pPr>
      <w:rPr>
        <w:rFonts w:ascii="Symbol" w:hAnsi="Symbol" w:hint="default"/>
      </w:rPr>
    </w:lvl>
    <w:lvl w:ilvl="4" w:tplc="04190003" w:tentative="1">
      <w:start w:val="1"/>
      <w:numFmt w:val="bullet"/>
      <w:lvlText w:val="o"/>
      <w:lvlJc w:val="left"/>
      <w:pPr>
        <w:ind w:left="4018" w:hanging="360"/>
      </w:pPr>
      <w:rPr>
        <w:rFonts w:ascii="Courier New" w:hAnsi="Courier New" w:cs="Courier New" w:hint="default"/>
      </w:rPr>
    </w:lvl>
    <w:lvl w:ilvl="5" w:tplc="04190005" w:tentative="1">
      <w:start w:val="1"/>
      <w:numFmt w:val="bullet"/>
      <w:lvlText w:val=""/>
      <w:lvlJc w:val="left"/>
      <w:pPr>
        <w:ind w:left="4738" w:hanging="360"/>
      </w:pPr>
      <w:rPr>
        <w:rFonts w:ascii="Wingdings" w:hAnsi="Wingdings" w:hint="default"/>
      </w:rPr>
    </w:lvl>
    <w:lvl w:ilvl="6" w:tplc="04190001" w:tentative="1">
      <w:start w:val="1"/>
      <w:numFmt w:val="bullet"/>
      <w:lvlText w:val=""/>
      <w:lvlJc w:val="left"/>
      <w:pPr>
        <w:ind w:left="5458" w:hanging="360"/>
      </w:pPr>
      <w:rPr>
        <w:rFonts w:ascii="Symbol" w:hAnsi="Symbol" w:hint="default"/>
      </w:rPr>
    </w:lvl>
    <w:lvl w:ilvl="7" w:tplc="04190003" w:tentative="1">
      <w:start w:val="1"/>
      <w:numFmt w:val="bullet"/>
      <w:lvlText w:val="o"/>
      <w:lvlJc w:val="left"/>
      <w:pPr>
        <w:ind w:left="6178" w:hanging="360"/>
      </w:pPr>
      <w:rPr>
        <w:rFonts w:ascii="Courier New" w:hAnsi="Courier New" w:cs="Courier New" w:hint="default"/>
      </w:rPr>
    </w:lvl>
    <w:lvl w:ilvl="8" w:tplc="04190005" w:tentative="1">
      <w:start w:val="1"/>
      <w:numFmt w:val="bullet"/>
      <w:lvlText w:val=""/>
      <w:lvlJc w:val="left"/>
      <w:pPr>
        <w:ind w:left="6898" w:hanging="360"/>
      </w:pPr>
      <w:rPr>
        <w:rFonts w:ascii="Wingdings" w:hAnsi="Wingdings" w:hint="default"/>
      </w:rPr>
    </w:lvl>
  </w:abstractNum>
  <w:abstractNum w:abstractNumId="13">
    <w:nsid w:val="34612BCF"/>
    <w:multiLevelType w:val="hybridMultilevel"/>
    <w:tmpl w:val="B61CC96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nsid w:val="39CA4194"/>
    <w:multiLevelType w:val="hybridMultilevel"/>
    <w:tmpl w:val="2C3EA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nsid w:val="45ED62E2"/>
    <w:multiLevelType w:val="hybridMultilevel"/>
    <w:tmpl w:val="385805D8"/>
    <w:lvl w:ilvl="0" w:tplc="DC7656CC">
      <w:numFmt w:val="bullet"/>
      <w:lvlText w:val="-"/>
      <w:lvlJc w:val="left"/>
      <w:pPr>
        <w:ind w:left="927" w:hanging="360"/>
      </w:pPr>
      <w:rPr>
        <w:rFonts w:ascii="Verdana" w:eastAsia="Calibri" w:hAnsi="Verdana" w:cs="Aria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7">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18">
    <w:nsid w:val="4B9F511F"/>
    <w:multiLevelType w:val="hybridMultilevel"/>
    <w:tmpl w:val="C1346D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4D2B424A"/>
    <w:multiLevelType w:val="hybridMultilevel"/>
    <w:tmpl w:val="BC5001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1">
    <w:nsid w:val="536C2C2B"/>
    <w:multiLevelType w:val="hybridMultilevel"/>
    <w:tmpl w:val="58146662"/>
    <w:lvl w:ilvl="0" w:tplc="D996D0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596A1359"/>
    <w:multiLevelType w:val="hybridMultilevel"/>
    <w:tmpl w:val="BE5A01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5A1E695B"/>
    <w:multiLevelType w:val="hybridMultilevel"/>
    <w:tmpl w:val="059EE366"/>
    <w:lvl w:ilvl="0" w:tplc="2976212C">
      <w:start w:val="1"/>
      <w:numFmt w:val="decimal"/>
      <w:lvlText w:val="%1."/>
      <w:lvlJc w:val="left"/>
      <w:pPr>
        <w:ind w:left="284" w:firstLine="283"/>
      </w:pPr>
      <w:rPr>
        <w:rFonts w:ascii="Verdana" w:eastAsia="Calibri" w:hAnsi="Verdana" w:cs="Arial"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4">
    <w:nsid w:val="66F92432"/>
    <w:multiLevelType w:val="hybridMultilevel"/>
    <w:tmpl w:val="AA7E118C"/>
    <w:lvl w:ilvl="0" w:tplc="04BE4F4C">
      <w:start w:val="1"/>
      <w:numFmt w:val="decimal"/>
      <w:lvlText w:val="%1."/>
      <w:lvlJc w:val="left"/>
      <w:pPr>
        <w:ind w:left="-207" w:hanging="360"/>
      </w:pPr>
      <w:rPr>
        <w:rFonts w:ascii="Calibri" w:hAnsi="Calibri" w:hint="default"/>
        <w:sz w:val="22"/>
      </w:rPr>
    </w:lvl>
    <w:lvl w:ilvl="1" w:tplc="04190019">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25">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7">
    <w:nsid w:val="74BF12CB"/>
    <w:multiLevelType w:val="hybridMultilevel"/>
    <w:tmpl w:val="60B209F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nsid w:val="77844FF1"/>
    <w:multiLevelType w:val="hybridMultilevel"/>
    <w:tmpl w:val="1CF2D9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AF54DFA"/>
    <w:multiLevelType w:val="hybridMultilevel"/>
    <w:tmpl w:val="95D6DF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5"/>
  </w:num>
  <w:num w:numId="2">
    <w:abstractNumId w:val="10"/>
  </w:num>
  <w:num w:numId="3">
    <w:abstractNumId w:val="17"/>
  </w:num>
  <w:num w:numId="4">
    <w:abstractNumId w:val="26"/>
  </w:num>
  <w:num w:numId="5">
    <w:abstractNumId w:val="20"/>
  </w:num>
  <w:num w:numId="6">
    <w:abstractNumId w:val="0"/>
  </w:num>
  <w:num w:numId="7">
    <w:abstractNumId w:val="25"/>
  </w:num>
  <w:num w:numId="8">
    <w:abstractNumId w:val="5"/>
  </w:num>
  <w:num w:numId="9">
    <w:abstractNumId w:val="28"/>
  </w:num>
  <w:num w:numId="10">
    <w:abstractNumId w:val="14"/>
  </w:num>
  <w:num w:numId="11">
    <w:abstractNumId w:val="11"/>
  </w:num>
  <w:num w:numId="12">
    <w:abstractNumId w:val="3"/>
  </w:num>
  <w:num w:numId="13">
    <w:abstractNumId w:val="27"/>
  </w:num>
  <w:num w:numId="14">
    <w:abstractNumId w:val="22"/>
  </w:num>
  <w:num w:numId="15">
    <w:abstractNumId w:val="8"/>
  </w:num>
  <w:num w:numId="16">
    <w:abstractNumId w:val="18"/>
  </w:num>
  <w:num w:numId="17">
    <w:abstractNumId w:val="2"/>
  </w:num>
  <w:num w:numId="18">
    <w:abstractNumId w:val="6"/>
  </w:num>
  <w:num w:numId="19">
    <w:abstractNumId w:val="16"/>
  </w:num>
  <w:num w:numId="20">
    <w:abstractNumId w:val="23"/>
  </w:num>
  <w:num w:numId="21">
    <w:abstractNumId w:val="7"/>
  </w:num>
  <w:num w:numId="22">
    <w:abstractNumId w:val="19"/>
  </w:num>
  <w:num w:numId="23">
    <w:abstractNumId w:val="24"/>
  </w:num>
  <w:num w:numId="24">
    <w:abstractNumId w:val="13"/>
  </w:num>
  <w:num w:numId="25">
    <w:abstractNumId w:val="9"/>
  </w:num>
  <w:num w:numId="26">
    <w:abstractNumId w:val="4"/>
  </w:num>
  <w:num w:numId="27">
    <w:abstractNumId w:val="29"/>
  </w:num>
  <w:num w:numId="28">
    <w:abstractNumId w:val="1"/>
  </w:num>
  <w:num w:numId="29">
    <w:abstractNumId w:val="21"/>
  </w:num>
  <w:num w:numId="30">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67DDC"/>
    <w:rsid w:val="000840AC"/>
    <w:rsid w:val="000A4DF5"/>
    <w:rsid w:val="000A68DB"/>
    <w:rsid w:val="000B59C8"/>
    <w:rsid w:val="00162A35"/>
    <w:rsid w:val="001C18CD"/>
    <w:rsid w:val="001C4033"/>
    <w:rsid w:val="002C3B8A"/>
    <w:rsid w:val="002F1C3B"/>
    <w:rsid w:val="002F6A61"/>
    <w:rsid w:val="00300FFD"/>
    <w:rsid w:val="00336DE6"/>
    <w:rsid w:val="00343BCA"/>
    <w:rsid w:val="00397084"/>
    <w:rsid w:val="00404BAA"/>
    <w:rsid w:val="0045151F"/>
    <w:rsid w:val="00485B02"/>
    <w:rsid w:val="004C3C43"/>
    <w:rsid w:val="00500F25"/>
    <w:rsid w:val="00512354"/>
    <w:rsid w:val="00540221"/>
    <w:rsid w:val="005A2078"/>
    <w:rsid w:val="00607A49"/>
    <w:rsid w:val="00651076"/>
    <w:rsid w:val="006573BB"/>
    <w:rsid w:val="006A7249"/>
    <w:rsid w:val="006B27E3"/>
    <w:rsid w:val="00716B2C"/>
    <w:rsid w:val="007240F2"/>
    <w:rsid w:val="007353A6"/>
    <w:rsid w:val="00745BAB"/>
    <w:rsid w:val="00777798"/>
    <w:rsid w:val="00793DEB"/>
    <w:rsid w:val="007C4E99"/>
    <w:rsid w:val="007E50FE"/>
    <w:rsid w:val="00800172"/>
    <w:rsid w:val="00814DB4"/>
    <w:rsid w:val="00826639"/>
    <w:rsid w:val="00842066"/>
    <w:rsid w:val="00845D20"/>
    <w:rsid w:val="008D5547"/>
    <w:rsid w:val="00944C4B"/>
    <w:rsid w:val="009604D0"/>
    <w:rsid w:val="00961D19"/>
    <w:rsid w:val="009772C4"/>
    <w:rsid w:val="00977C49"/>
    <w:rsid w:val="0098493A"/>
    <w:rsid w:val="009A0D1B"/>
    <w:rsid w:val="009D434A"/>
    <w:rsid w:val="009E7F0F"/>
    <w:rsid w:val="00A15681"/>
    <w:rsid w:val="00A25C6E"/>
    <w:rsid w:val="00A52C1E"/>
    <w:rsid w:val="00AA4557"/>
    <w:rsid w:val="00B078E6"/>
    <w:rsid w:val="00B17F3E"/>
    <w:rsid w:val="00B26518"/>
    <w:rsid w:val="00B66B59"/>
    <w:rsid w:val="00BC0205"/>
    <w:rsid w:val="00BD6F9F"/>
    <w:rsid w:val="00BE66C9"/>
    <w:rsid w:val="00C055CA"/>
    <w:rsid w:val="00C25F2A"/>
    <w:rsid w:val="00C431F4"/>
    <w:rsid w:val="00C43FFD"/>
    <w:rsid w:val="00C646CF"/>
    <w:rsid w:val="00C65DB8"/>
    <w:rsid w:val="00C85B4E"/>
    <w:rsid w:val="00CD3499"/>
    <w:rsid w:val="00CE2709"/>
    <w:rsid w:val="00D26A99"/>
    <w:rsid w:val="00D329AE"/>
    <w:rsid w:val="00D66D06"/>
    <w:rsid w:val="00DA2709"/>
    <w:rsid w:val="00DD53BA"/>
    <w:rsid w:val="00DE6B1D"/>
    <w:rsid w:val="00DF3CE7"/>
    <w:rsid w:val="00E113BA"/>
    <w:rsid w:val="00E236A9"/>
    <w:rsid w:val="00E45840"/>
    <w:rsid w:val="00E476B8"/>
    <w:rsid w:val="00E71C27"/>
    <w:rsid w:val="00EA15B8"/>
    <w:rsid w:val="00F31707"/>
    <w:rsid w:val="00FA222E"/>
    <w:rsid w:val="00FA59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semiHidden/>
    <w:unhideWhenUsed/>
    <w:rsid w:val="00D26A99"/>
    <w:pPr>
      <w:spacing w:after="120"/>
    </w:pPr>
  </w:style>
  <w:style w:type="character" w:customStyle="1" w:styleId="afe">
    <w:name w:val="Основной текст Знак"/>
    <w:basedOn w:val="a0"/>
    <w:link w:val="afd"/>
    <w:uiPriority w:val="99"/>
    <w:semiHidden/>
    <w:rsid w:val="00D26A99"/>
    <w:rPr>
      <w:rFonts w:ascii="Calibri" w:eastAsia="Calibri" w:hAnsi="Calibri" w:cs="Times New Roman"/>
      <w:lang w:val="uk-UA"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748</Words>
  <Characters>4270</Characters>
  <Application>Microsoft Office Word</Application>
  <DocSecurity>0</DocSecurity>
  <Lines>35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5008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2013-10-09T09:05:00Z</dcterms:created>
  <dcterms:modified xsi:type="dcterms:W3CDTF">2013-10-09T09:05:00Z</dcterms:modified>
</cp:coreProperties>
</file>