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458" w:rsidRPr="006B725A" w:rsidRDefault="00FE7458" w:rsidP="00FE7458">
      <w:pPr>
        <w:jc w:val="center"/>
        <w:rPr>
          <w:bCs/>
          <w:iCs/>
          <w:lang w:val="uk-UA"/>
        </w:rPr>
      </w:pPr>
      <w:r w:rsidRPr="006B725A">
        <w:rPr>
          <w:bCs/>
          <w:iCs/>
          <w:lang w:val="uk-UA"/>
        </w:rPr>
        <w:t xml:space="preserve">Трус І.М., </w:t>
      </w:r>
      <w:proofErr w:type="spellStart"/>
      <w:r w:rsidRPr="006B725A">
        <w:rPr>
          <w:bCs/>
          <w:iCs/>
          <w:lang w:val="uk-UA"/>
        </w:rPr>
        <w:t>к.т.н</w:t>
      </w:r>
      <w:proofErr w:type="spellEnd"/>
      <w:r w:rsidRPr="006B725A">
        <w:rPr>
          <w:bCs/>
          <w:iCs/>
          <w:lang w:val="uk-UA"/>
        </w:rPr>
        <w:t xml:space="preserve">., Гомеля М.Д, </w:t>
      </w:r>
      <w:proofErr w:type="spellStart"/>
      <w:r w:rsidRPr="006B725A">
        <w:rPr>
          <w:bCs/>
          <w:iCs/>
          <w:lang w:val="uk-UA"/>
        </w:rPr>
        <w:t>д.т.н</w:t>
      </w:r>
      <w:proofErr w:type="spellEnd"/>
      <w:r w:rsidRPr="006B725A">
        <w:rPr>
          <w:bCs/>
          <w:iCs/>
          <w:lang w:val="uk-UA"/>
        </w:rPr>
        <w:t xml:space="preserve">., проф.,  </w:t>
      </w:r>
      <w:proofErr w:type="spellStart"/>
      <w:r w:rsidRPr="006B725A">
        <w:rPr>
          <w:bCs/>
          <w:iCs/>
          <w:lang w:val="uk-UA"/>
        </w:rPr>
        <w:t>Крисенко</w:t>
      </w:r>
      <w:proofErr w:type="spellEnd"/>
      <w:r w:rsidRPr="006B725A">
        <w:rPr>
          <w:bCs/>
          <w:iCs/>
          <w:lang w:val="uk-UA"/>
        </w:rPr>
        <w:t xml:space="preserve"> Т.В., </w:t>
      </w:r>
      <w:proofErr w:type="spellStart"/>
      <w:r w:rsidRPr="006B725A">
        <w:rPr>
          <w:bCs/>
          <w:iCs/>
          <w:lang w:val="uk-UA"/>
        </w:rPr>
        <w:t>к.т.н</w:t>
      </w:r>
      <w:proofErr w:type="spellEnd"/>
      <w:r w:rsidRPr="006B725A">
        <w:rPr>
          <w:bCs/>
          <w:iCs/>
          <w:lang w:val="uk-UA"/>
        </w:rPr>
        <w:t xml:space="preserve">., </w:t>
      </w:r>
      <w:proofErr w:type="spellStart"/>
      <w:r w:rsidRPr="006B725A">
        <w:rPr>
          <w:bCs/>
          <w:iCs/>
          <w:lang w:val="uk-UA"/>
        </w:rPr>
        <w:t>доц</w:t>
      </w:r>
      <w:proofErr w:type="spellEnd"/>
      <w:r w:rsidRPr="006B725A">
        <w:rPr>
          <w:bCs/>
          <w:iCs/>
          <w:lang w:val="uk-UA"/>
        </w:rPr>
        <w:t xml:space="preserve">.,Воробйова В.І., </w:t>
      </w:r>
      <w:proofErr w:type="spellStart"/>
      <w:r w:rsidRPr="006B725A">
        <w:rPr>
          <w:bCs/>
          <w:iCs/>
          <w:lang w:val="uk-UA"/>
        </w:rPr>
        <w:t>к.т.н</w:t>
      </w:r>
      <w:proofErr w:type="spellEnd"/>
      <w:r w:rsidRPr="006B725A">
        <w:rPr>
          <w:bCs/>
          <w:iCs/>
          <w:lang w:val="uk-UA"/>
        </w:rPr>
        <w:t>.</w:t>
      </w:r>
    </w:p>
    <w:p w:rsidR="00FE7458" w:rsidRPr="006B725A" w:rsidRDefault="00FE7458" w:rsidP="00FE7458">
      <w:pPr>
        <w:jc w:val="center"/>
        <w:rPr>
          <w:iCs/>
          <w:lang w:val="uk-UA"/>
        </w:rPr>
      </w:pPr>
      <w:r w:rsidRPr="006B725A">
        <w:rPr>
          <w:iCs/>
          <w:lang w:val="uk-UA"/>
        </w:rPr>
        <w:t>Національний технічний університет України «Київський політехнічний інститут імені Ігоря Сікорського»</w:t>
      </w:r>
    </w:p>
    <w:p w:rsidR="00FE7458" w:rsidRPr="006B725A" w:rsidRDefault="00FE7458" w:rsidP="00FE7458">
      <w:pPr>
        <w:jc w:val="center"/>
        <w:rPr>
          <w:b/>
          <w:caps/>
          <w:sz w:val="26"/>
          <w:szCs w:val="26"/>
          <w:lang w:val="uk-UA"/>
        </w:rPr>
      </w:pPr>
    </w:p>
    <w:p w:rsidR="00FE7458" w:rsidRDefault="00FE7458" w:rsidP="00FE7458">
      <w:pPr>
        <w:jc w:val="center"/>
        <w:rPr>
          <w:b/>
          <w:caps/>
          <w:sz w:val="26"/>
          <w:szCs w:val="26"/>
          <w:lang w:val="uk-UA"/>
        </w:rPr>
      </w:pPr>
      <w:r>
        <w:rPr>
          <w:b/>
          <w:caps/>
          <w:sz w:val="26"/>
          <w:szCs w:val="26"/>
          <w:lang w:val="uk-UA"/>
        </w:rPr>
        <w:t>Іонообмінне очищення води від нітратів при створенні енергоефективних технологій демінералізації води</w:t>
      </w:r>
    </w:p>
    <w:p w:rsidR="00FE7458" w:rsidRDefault="00FE7458" w:rsidP="00FE7458">
      <w:pPr>
        <w:ind w:firstLine="709"/>
        <w:jc w:val="both"/>
        <w:rPr>
          <w:sz w:val="26"/>
          <w:szCs w:val="26"/>
          <w:lang w:val="uk-UA"/>
        </w:rPr>
      </w:pPr>
      <w:r>
        <w:rPr>
          <w:sz w:val="26"/>
          <w:szCs w:val="26"/>
          <w:lang w:val="uk-UA"/>
        </w:rPr>
        <w:t xml:space="preserve">Останнім часом відбувається значне забруднення водного басейну, що є досить важливою екологічною проблемою. В багатьох регіонах, особливо промислових, населення споживає воду з високим рівнем солей. Антропогенна діяльність призводить до підвищення рівня мінералізації багатьох водойм, найбільшого негативного впливу зазнають маловодні річки. Забруднення води нітратами відбувається внаслідок як антропогенних, так і природних факторів, тому дана екологічна проблема потребує негайного вирішення [1]. Підприємства по виробництву азотних добрив є одними з найбільших забруднювачів нітратами, які досить широко використовуються в якості мінеральних добрив у сільському господарстві. Велика кількість нітратів потрапляє у водойми при скиді очищених комунально-побутових стічних вод. Нітрати ускладнюють проблему водозабезпечення населення якісною водою внаслідок перевищення допустимого рівня. Також високі концентрації даних забруднювачів призводять до значного негативного впливу на поверхневі водойми, оскільки вони призводять до посилення </w:t>
      </w:r>
      <w:proofErr w:type="spellStart"/>
      <w:r>
        <w:rPr>
          <w:sz w:val="26"/>
          <w:szCs w:val="26"/>
          <w:lang w:val="uk-UA"/>
        </w:rPr>
        <w:t>евтрофікації</w:t>
      </w:r>
      <w:proofErr w:type="spellEnd"/>
      <w:r>
        <w:rPr>
          <w:sz w:val="26"/>
          <w:szCs w:val="26"/>
          <w:lang w:val="uk-UA"/>
        </w:rPr>
        <w:t xml:space="preserve"> водойм, що викликає порушення процесів розвитку існуючих біоценозів та зміну параметрів екосистеми.</w:t>
      </w:r>
    </w:p>
    <w:p w:rsidR="00FE7458" w:rsidRDefault="00FE7458" w:rsidP="00FE7458">
      <w:pPr>
        <w:ind w:firstLine="709"/>
        <w:jc w:val="both"/>
        <w:rPr>
          <w:sz w:val="26"/>
          <w:szCs w:val="26"/>
          <w:lang w:val="uk-UA"/>
        </w:rPr>
      </w:pPr>
      <w:r>
        <w:rPr>
          <w:sz w:val="26"/>
          <w:szCs w:val="26"/>
          <w:lang w:val="uk-UA"/>
        </w:rPr>
        <w:t xml:space="preserve">Існуючі на сьогодні методи очищення води мають ряд недоліків. Зокрема, слід відмітити, що біологічний розклад нітратів проходить досить повільно, до того ж даний метод має обмеження при застосуванні для питної води, оскільки відбувається бактеріальне забруднення води [2]. При електрохімічному відновленні нітратів [3] відбувається їх розклад з утворенням токсичних речовин – нітритів та аміаку, до того ж даний метод є досить </w:t>
      </w:r>
      <w:proofErr w:type="spellStart"/>
      <w:r>
        <w:rPr>
          <w:sz w:val="26"/>
          <w:szCs w:val="26"/>
          <w:lang w:val="uk-UA"/>
        </w:rPr>
        <w:t>енергозатратним</w:t>
      </w:r>
      <w:proofErr w:type="spellEnd"/>
      <w:r>
        <w:rPr>
          <w:sz w:val="26"/>
          <w:szCs w:val="26"/>
          <w:lang w:val="uk-UA"/>
        </w:rPr>
        <w:t xml:space="preserve">. Перешкодою для широкого впровадження </w:t>
      </w:r>
      <w:proofErr w:type="spellStart"/>
      <w:r>
        <w:rPr>
          <w:sz w:val="26"/>
          <w:szCs w:val="26"/>
          <w:lang w:val="uk-UA"/>
        </w:rPr>
        <w:t>баромембранних</w:t>
      </w:r>
      <w:proofErr w:type="spellEnd"/>
      <w:r>
        <w:rPr>
          <w:sz w:val="26"/>
          <w:szCs w:val="26"/>
          <w:lang w:val="uk-UA"/>
        </w:rPr>
        <w:t xml:space="preserve"> методів є високі вимоги до попередньої підготовки води та невирішеність умов ефективної переробки концентратів, що при цьому утворюються [2]. Тому досить перспективним методом очищення води від нітратів є іонний обмін, оскільки він є досить простим та недорогим способом, до якого не висуваються жорсткі умови попередньої підготовки води.</w:t>
      </w:r>
    </w:p>
    <w:p w:rsidR="00FE7458" w:rsidRDefault="00FE7458" w:rsidP="00FE7458">
      <w:pPr>
        <w:ind w:firstLine="709"/>
        <w:jc w:val="both"/>
        <w:rPr>
          <w:sz w:val="26"/>
          <w:szCs w:val="26"/>
          <w:lang w:val="uk-UA"/>
        </w:rPr>
      </w:pPr>
      <w:r>
        <w:rPr>
          <w:sz w:val="26"/>
          <w:szCs w:val="26"/>
          <w:lang w:val="uk-UA"/>
        </w:rPr>
        <w:t xml:space="preserve">Процеси очищення води від нітратів вивчали при використанні </w:t>
      </w:r>
      <w:proofErr w:type="spellStart"/>
      <w:r>
        <w:rPr>
          <w:sz w:val="26"/>
          <w:szCs w:val="26"/>
          <w:lang w:val="uk-UA"/>
        </w:rPr>
        <w:t>низькоосновного</w:t>
      </w:r>
      <w:proofErr w:type="spellEnd"/>
      <w:r>
        <w:rPr>
          <w:sz w:val="26"/>
          <w:szCs w:val="26"/>
          <w:lang w:val="uk-UA"/>
        </w:rPr>
        <w:t xml:space="preserve"> аніоніту DOWEX </w:t>
      </w:r>
      <w:proofErr w:type="spellStart"/>
      <w:r>
        <w:rPr>
          <w:sz w:val="26"/>
          <w:szCs w:val="26"/>
          <w:lang w:val="uk-UA"/>
        </w:rPr>
        <w:t>Marathon</w:t>
      </w:r>
      <w:proofErr w:type="spellEnd"/>
      <w:r>
        <w:rPr>
          <w:sz w:val="26"/>
          <w:szCs w:val="26"/>
          <w:lang w:val="uk-UA"/>
        </w:rPr>
        <w:t xml:space="preserve"> WBA в С</w:t>
      </w:r>
      <w:r>
        <w:rPr>
          <w:sz w:val="26"/>
          <w:szCs w:val="26"/>
          <w:lang w:val="en-GB"/>
        </w:rPr>
        <w:t>l</w:t>
      </w:r>
      <w:r>
        <w:rPr>
          <w:sz w:val="26"/>
          <w:szCs w:val="26"/>
          <w:vertAlign w:val="superscript"/>
          <w:lang w:val="uk-UA"/>
        </w:rPr>
        <w:t>-</w:t>
      </w:r>
      <w:r>
        <w:rPr>
          <w:sz w:val="26"/>
          <w:szCs w:val="26"/>
          <w:lang w:val="uk-UA"/>
        </w:rPr>
        <w:t xml:space="preserve"> формі. Як середовище використовували модельні розчини із вмістом нітратів 2,7-38,7 мг-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результати сорбції представлені на рисунку 1.</w:t>
      </w:r>
    </w:p>
    <w:p w:rsidR="00FE7458" w:rsidRDefault="00FE7458" w:rsidP="00FE7458">
      <w:pPr>
        <w:ind w:firstLine="540"/>
        <w:jc w:val="both"/>
        <w:rPr>
          <w:sz w:val="26"/>
          <w:szCs w:val="26"/>
          <w:lang w:val="uk-UA"/>
        </w:rPr>
      </w:pPr>
      <w:r>
        <w:rPr>
          <w:sz w:val="26"/>
          <w:szCs w:val="26"/>
          <w:lang w:val="uk-UA"/>
        </w:rPr>
        <w:t xml:space="preserve">При використанні </w:t>
      </w:r>
      <w:proofErr w:type="spellStart"/>
      <w:r>
        <w:rPr>
          <w:sz w:val="26"/>
          <w:szCs w:val="26"/>
          <w:lang w:val="uk-UA"/>
        </w:rPr>
        <w:t>низькоосновного</w:t>
      </w:r>
      <w:proofErr w:type="spellEnd"/>
      <w:r>
        <w:rPr>
          <w:sz w:val="26"/>
          <w:szCs w:val="26"/>
          <w:lang w:val="uk-UA"/>
        </w:rPr>
        <w:t xml:space="preserve"> аніоніту </w:t>
      </w:r>
      <w:proofErr w:type="spellStart"/>
      <w:r>
        <w:rPr>
          <w:sz w:val="26"/>
          <w:szCs w:val="26"/>
          <w:lang w:val="uk-UA"/>
        </w:rPr>
        <w:t>Dowex</w:t>
      </w:r>
      <w:proofErr w:type="spellEnd"/>
      <w:r>
        <w:rPr>
          <w:sz w:val="26"/>
          <w:szCs w:val="26"/>
          <w:lang w:val="uk-UA"/>
        </w:rPr>
        <w:t xml:space="preserve"> </w:t>
      </w:r>
      <w:proofErr w:type="spellStart"/>
      <w:r>
        <w:rPr>
          <w:sz w:val="26"/>
          <w:szCs w:val="26"/>
          <w:lang w:val="uk-UA"/>
        </w:rPr>
        <w:t>Maraton</w:t>
      </w:r>
      <w:proofErr w:type="spellEnd"/>
      <w:r>
        <w:rPr>
          <w:sz w:val="26"/>
          <w:szCs w:val="26"/>
          <w:lang w:val="uk-UA"/>
        </w:rPr>
        <w:t xml:space="preserve"> WBA в </w:t>
      </w:r>
      <w:proofErr w:type="spellStart"/>
      <w:r>
        <w:rPr>
          <w:sz w:val="26"/>
          <w:szCs w:val="26"/>
        </w:rPr>
        <w:t>Cl</w:t>
      </w:r>
      <w:proofErr w:type="spellEnd"/>
      <w:r>
        <w:rPr>
          <w:sz w:val="26"/>
          <w:szCs w:val="26"/>
          <w:vertAlign w:val="superscript"/>
          <w:lang w:val="uk-UA"/>
        </w:rPr>
        <w:t xml:space="preserve">- </w:t>
      </w:r>
      <w:r>
        <w:rPr>
          <w:sz w:val="26"/>
          <w:szCs w:val="26"/>
          <w:lang w:val="uk-UA"/>
        </w:rPr>
        <w:t xml:space="preserve"> формі при сорбції нітратів з концентрацією 3,2 мг-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xml:space="preserve"> було встановлено, що ПОДЄ становить 1,014 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що є цілком задовільним показником (рис.1 а).</w:t>
      </w:r>
    </w:p>
    <w:p w:rsidR="00FE7458" w:rsidRDefault="00FE7458" w:rsidP="00FE7458">
      <w:pPr>
        <w:ind w:firstLine="540"/>
        <w:jc w:val="both"/>
        <w:rPr>
          <w:sz w:val="26"/>
          <w:szCs w:val="26"/>
          <w:lang w:val="uk-UA"/>
        </w:rPr>
      </w:pPr>
      <w:r>
        <w:rPr>
          <w:sz w:val="26"/>
          <w:szCs w:val="26"/>
          <w:lang w:val="uk-UA"/>
        </w:rPr>
        <w:t>При використанні насичених розчинів з концентрацією</w:t>
      </w:r>
      <w:r>
        <w:rPr>
          <w:sz w:val="26"/>
          <w:szCs w:val="26"/>
        </w:rPr>
        <w:t xml:space="preserve"> </w:t>
      </w:r>
      <w:proofErr w:type="spellStart"/>
      <w:r>
        <w:rPr>
          <w:sz w:val="26"/>
          <w:szCs w:val="26"/>
        </w:rPr>
        <w:t>NaN</w:t>
      </w:r>
      <w:proofErr w:type="spellEnd"/>
      <w:r>
        <w:rPr>
          <w:sz w:val="26"/>
          <w:szCs w:val="26"/>
          <w:lang w:val="en-US"/>
        </w:rPr>
        <w:t>O</w:t>
      </w:r>
      <w:r>
        <w:rPr>
          <w:sz w:val="26"/>
          <w:szCs w:val="26"/>
          <w:vertAlign w:val="subscript"/>
          <w:lang w:val="uk-UA"/>
        </w:rPr>
        <w:t>3</w:t>
      </w:r>
      <w:r>
        <w:rPr>
          <w:sz w:val="26"/>
          <w:szCs w:val="26"/>
          <w:lang w:val="uk-UA"/>
        </w:rPr>
        <w:t xml:space="preserve"> 38,7 мг-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xml:space="preserve"> повна обмінна динамічна ємність для даного аніоніту становила</w:t>
      </w:r>
      <w:r>
        <w:rPr>
          <w:sz w:val="26"/>
          <w:szCs w:val="26"/>
        </w:rPr>
        <w:t xml:space="preserve"> </w:t>
      </w:r>
      <w:r>
        <w:rPr>
          <w:sz w:val="26"/>
          <w:szCs w:val="26"/>
          <w:lang w:val="uk-UA"/>
        </w:rPr>
        <w:t>1,733 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xml:space="preserve">. В даних умовах висока обмінна ємність аніоніту при сорбції нітратів з концентрованих розчинів обумовлена </w:t>
      </w:r>
      <w:proofErr w:type="spellStart"/>
      <w:r>
        <w:rPr>
          <w:sz w:val="26"/>
          <w:szCs w:val="26"/>
          <w:lang w:val="uk-UA"/>
        </w:rPr>
        <w:t>надеквівалентною</w:t>
      </w:r>
      <w:proofErr w:type="spellEnd"/>
      <w:r>
        <w:rPr>
          <w:sz w:val="26"/>
          <w:szCs w:val="26"/>
          <w:lang w:val="uk-UA"/>
        </w:rPr>
        <w:t xml:space="preserve"> сорбцією. Це явище не має суттєвого значення, так як реальною є перспектива використання аніонітів для сорбції нітратів з розведених розчинів. При цьому досягнення значення робочої ємності аніонітів по нітратах на рівні 0,8-0,9 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xml:space="preserve"> може бути цілком задовільним результатом.</w:t>
      </w:r>
    </w:p>
    <w:p w:rsidR="00FE7458" w:rsidRDefault="00FE7458" w:rsidP="00FE7458">
      <w:pPr>
        <w:jc w:val="center"/>
        <w:rPr>
          <w:sz w:val="26"/>
          <w:szCs w:val="26"/>
        </w:rPr>
      </w:pPr>
      <w:r>
        <w:rPr>
          <w:noProof/>
          <w:sz w:val="26"/>
          <w:szCs w:val="26"/>
        </w:rPr>
        <w:lastRenderedPageBreak/>
        <w:drawing>
          <wp:inline distT="0" distB="0" distL="0" distR="0">
            <wp:extent cx="3886200" cy="226695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FE7458" w:rsidRDefault="00FE7458" w:rsidP="00FE7458">
      <w:pPr>
        <w:jc w:val="center"/>
        <w:rPr>
          <w:sz w:val="26"/>
          <w:szCs w:val="26"/>
          <w:lang w:val="uk-UA"/>
        </w:rPr>
      </w:pPr>
      <w:r>
        <w:rPr>
          <w:sz w:val="26"/>
          <w:szCs w:val="26"/>
          <w:lang w:val="uk-UA"/>
        </w:rPr>
        <w:t>а</w:t>
      </w:r>
    </w:p>
    <w:p w:rsidR="00FE7458" w:rsidRDefault="00FE7458" w:rsidP="00FE7458">
      <w:pPr>
        <w:jc w:val="center"/>
        <w:rPr>
          <w:sz w:val="26"/>
          <w:szCs w:val="26"/>
        </w:rPr>
      </w:pPr>
      <w:r>
        <w:rPr>
          <w:noProof/>
          <w:sz w:val="26"/>
          <w:szCs w:val="26"/>
        </w:rPr>
        <w:drawing>
          <wp:inline distT="0" distB="0" distL="0" distR="0">
            <wp:extent cx="3886200" cy="226695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E7458" w:rsidRDefault="00FE7458" w:rsidP="00FE7458">
      <w:pPr>
        <w:jc w:val="center"/>
        <w:rPr>
          <w:sz w:val="26"/>
          <w:szCs w:val="26"/>
          <w:lang w:val="uk-UA"/>
        </w:rPr>
      </w:pPr>
      <w:r>
        <w:rPr>
          <w:sz w:val="26"/>
          <w:szCs w:val="26"/>
          <w:lang w:val="uk-UA"/>
        </w:rPr>
        <w:t>б</w:t>
      </w:r>
    </w:p>
    <w:p w:rsidR="00FE7458" w:rsidRDefault="00FE7458" w:rsidP="00FE7458">
      <w:pPr>
        <w:ind w:firstLine="540"/>
        <w:jc w:val="both"/>
        <w:rPr>
          <w:sz w:val="26"/>
          <w:szCs w:val="26"/>
          <w:lang w:val="uk-UA"/>
        </w:rPr>
      </w:pPr>
      <w:r>
        <w:rPr>
          <w:sz w:val="26"/>
          <w:szCs w:val="26"/>
          <w:lang w:val="uk-UA"/>
        </w:rPr>
        <w:t xml:space="preserve">Рисунок 1 – Вихідні криві сорбції нітратів на аніоніті </w:t>
      </w:r>
      <w:r>
        <w:rPr>
          <w:sz w:val="26"/>
          <w:szCs w:val="26"/>
          <w:lang w:val="en-US"/>
        </w:rPr>
        <w:t>D</w:t>
      </w:r>
      <w:proofErr w:type="spellStart"/>
      <w:r>
        <w:rPr>
          <w:sz w:val="26"/>
          <w:szCs w:val="26"/>
        </w:rPr>
        <w:t>owex</w:t>
      </w:r>
      <w:proofErr w:type="spellEnd"/>
      <w:r>
        <w:rPr>
          <w:sz w:val="26"/>
          <w:szCs w:val="26"/>
          <w:lang w:val="uk-UA"/>
        </w:rPr>
        <w:t xml:space="preserve"> </w:t>
      </w:r>
      <w:proofErr w:type="spellStart"/>
      <w:r>
        <w:rPr>
          <w:sz w:val="26"/>
          <w:szCs w:val="26"/>
        </w:rPr>
        <w:t>Maraton</w:t>
      </w:r>
      <w:proofErr w:type="spellEnd"/>
      <w:r>
        <w:rPr>
          <w:sz w:val="26"/>
          <w:szCs w:val="26"/>
          <w:lang w:val="uk-UA"/>
        </w:rPr>
        <w:t xml:space="preserve"> </w:t>
      </w:r>
      <w:r>
        <w:rPr>
          <w:sz w:val="26"/>
          <w:szCs w:val="26"/>
          <w:lang w:val="en-US"/>
        </w:rPr>
        <w:t>WBA</w:t>
      </w:r>
      <w:r>
        <w:rPr>
          <w:sz w:val="26"/>
          <w:szCs w:val="26"/>
          <w:lang w:val="uk-UA"/>
        </w:rPr>
        <w:t xml:space="preserve"> (</w:t>
      </w:r>
      <w:r>
        <w:rPr>
          <w:sz w:val="26"/>
          <w:szCs w:val="26"/>
        </w:rPr>
        <w:t>V</w:t>
      </w:r>
      <w:proofErr w:type="spellStart"/>
      <w:r>
        <w:rPr>
          <w:sz w:val="26"/>
          <w:szCs w:val="26"/>
          <w:vertAlign w:val="subscript"/>
          <w:lang w:val="en-US"/>
        </w:rPr>
        <w:t>i</w:t>
      </w:r>
      <w:proofErr w:type="spellEnd"/>
      <w:r>
        <w:rPr>
          <w:sz w:val="26"/>
          <w:szCs w:val="26"/>
          <w:lang w:val="uk-UA"/>
        </w:rPr>
        <w:t>=10 см</w:t>
      </w:r>
      <w:r>
        <w:rPr>
          <w:sz w:val="26"/>
          <w:szCs w:val="26"/>
          <w:vertAlign w:val="superscript"/>
          <w:lang w:val="uk-UA"/>
        </w:rPr>
        <w:t>3</w:t>
      </w:r>
      <w:r>
        <w:rPr>
          <w:sz w:val="26"/>
          <w:szCs w:val="26"/>
          <w:lang w:val="uk-UA"/>
        </w:rPr>
        <w:t xml:space="preserve">) в  </w:t>
      </w:r>
      <w:proofErr w:type="spellStart"/>
      <w:r>
        <w:rPr>
          <w:sz w:val="26"/>
          <w:szCs w:val="26"/>
        </w:rPr>
        <w:t>Cl</w:t>
      </w:r>
      <w:proofErr w:type="spellEnd"/>
      <w:r>
        <w:rPr>
          <w:sz w:val="26"/>
          <w:szCs w:val="26"/>
          <w:vertAlign w:val="superscript"/>
          <w:lang w:val="uk-UA"/>
        </w:rPr>
        <w:t xml:space="preserve">- </w:t>
      </w:r>
      <w:r>
        <w:rPr>
          <w:sz w:val="26"/>
          <w:szCs w:val="26"/>
          <w:lang w:val="uk-UA"/>
        </w:rPr>
        <w:t xml:space="preserve"> формі при фільтруванні розчинів </w:t>
      </w:r>
      <w:proofErr w:type="spellStart"/>
      <w:r>
        <w:rPr>
          <w:sz w:val="26"/>
          <w:szCs w:val="26"/>
        </w:rPr>
        <w:t>NaN</w:t>
      </w:r>
      <w:proofErr w:type="spellEnd"/>
      <w:r>
        <w:rPr>
          <w:sz w:val="26"/>
          <w:szCs w:val="26"/>
          <w:lang w:val="en-US"/>
        </w:rPr>
        <w:t>O</w:t>
      </w:r>
      <w:r>
        <w:rPr>
          <w:sz w:val="26"/>
          <w:szCs w:val="26"/>
          <w:vertAlign w:val="subscript"/>
          <w:lang w:val="uk-UA"/>
        </w:rPr>
        <w:t>3</w:t>
      </w:r>
      <w:r>
        <w:rPr>
          <w:sz w:val="26"/>
          <w:szCs w:val="26"/>
          <w:lang w:val="uk-UA"/>
        </w:rPr>
        <w:t xml:space="preserve"> з концентрацією 3,2 мг-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 xml:space="preserve"> (а) та 38,7 мг-</w:t>
      </w:r>
      <w:proofErr w:type="spellStart"/>
      <w:r>
        <w:rPr>
          <w:sz w:val="26"/>
          <w:szCs w:val="26"/>
          <w:lang w:val="uk-UA"/>
        </w:rPr>
        <w:t>екв</w:t>
      </w:r>
      <w:proofErr w:type="spellEnd"/>
      <w:r>
        <w:rPr>
          <w:sz w:val="26"/>
          <w:szCs w:val="26"/>
          <w:lang w:val="uk-UA"/>
        </w:rPr>
        <w:t>/дм</w:t>
      </w:r>
      <w:r>
        <w:rPr>
          <w:sz w:val="26"/>
          <w:szCs w:val="26"/>
          <w:vertAlign w:val="superscript"/>
          <w:lang w:val="uk-UA"/>
        </w:rPr>
        <w:t>3</w:t>
      </w:r>
      <w:r>
        <w:rPr>
          <w:sz w:val="26"/>
          <w:szCs w:val="26"/>
          <w:lang w:val="uk-UA"/>
        </w:rPr>
        <w:t>(б)</w:t>
      </w:r>
    </w:p>
    <w:p w:rsidR="00FE7458" w:rsidRDefault="00FE7458" w:rsidP="00FE7458">
      <w:pPr>
        <w:ind w:firstLine="540"/>
        <w:jc w:val="both"/>
        <w:rPr>
          <w:sz w:val="26"/>
          <w:szCs w:val="26"/>
          <w:lang w:val="uk-UA"/>
        </w:rPr>
      </w:pPr>
    </w:p>
    <w:p w:rsidR="00FE7458" w:rsidRDefault="00FE7458" w:rsidP="00FE7458">
      <w:pPr>
        <w:ind w:firstLine="540"/>
        <w:jc w:val="both"/>
        <w:rPr>
          <w:sz w:val="26"/>
          <w:szCs w:val="26"/>
          <w:lang w:val="uk-UA"/>
        </w:rPr>
      </w:pPr>
      <w:r>
        <w:rPr>
          <w:sz w:val="26"/>
          <w:szCs w:val="26"/>
          <w:lang w:val="uk-UA"/>
        </w:rPr>
        <w:t xml:space="preserve">Таким чином в результаті проведених досліджень по вилученню з води нітратів показано, що </w:t>
      </w:r>
      <w:proofErr w:type="spellStart"/>
      <w:r>
        <w:rPr>
          <w:sz w:val="26"/>
          <w:szCs w:val="26"/>
          <w:lang w:val="uk-UA"/>
        </w:rPr>
        <w:t>низькоосновний</w:t>
      </w:r>
      <w:proofErr w:type="spellEnd"/>
      <w:r>
        <w:rPr>
          <w:sz w:val="26"/>
          <w:szCs w:val="26"/>
          <w:lang w:val="uk-UA"/>
        </w:rPr>
        <w:t xml:space="preserve"> аніоніт </w:t>
      </w:r>
      <w:proofErr w:type="spellStart"/>
      <w:r>
        <w:rPr>
          <w:sz w:val="26"/>
          <w:szCs w:val="26"/>
        </w:rPr>
        <w:t>Dowex</w:t>
      </w:r>
      <w:proofErr w:type="spellEnd"/>
      <w:r>
        <w:rPr>
          <w:sz w:val="26"/>
          <w:szCs w:val="26"/>
          <w:lang w:val="uk-UA"/>
        </w:rPr>
        <w:t xml:space="preserve"> </w:t>
      </w:r>
      <w:proofErr w:type="spellStart"/>
      <w:r>
        <w:rPr>
          <w:sz w:val="26"/>
          <w:szCs w:val="26"/>
        </w:rPr>
        <w:t>Maraton</w:t>
      </w:r>
      <w:proofErr w:type="spellEnd"/>
      <w:r>
        <w:rPr>
          <w:sz w:val="26"/>
          <w:szCs w:val="26"/>
          <w:lang w:val="uk-UA"/>
        </w:rPr>
        <w:t xml:space="preserve"> </w:t>
      </w:r>
      <w:r>
        <w:rPr>
          <w:sz w:val="26"/>
          <w:szCs w:val="26"/>
        </w:rPr>
        <w:t>WBA</w:t>
      </w:r>
      <w:r>
        <w:rPr>
          <w:sz w:val="26"/>
          <w:szCs w:val="26"/>
          <w:lang w:val="uk-UA"/>
        </w:rPr>
        <w:t xml:space="preserve"> забезпечує ступінь вилучення нітратів на рівні 90 %. Встановлено, що ефективність сорбції </w:t>
      </w:r>
      <w:proofErr w:type="spellStart"/>
      <w:r>
        <w:rPr>
          <w:sz w:val="26"/>
          <w:szCs w:val="26"/>
          <w:lang w:val="uk-UA"/>
        </w:rPr>
        <w:t>низькоосновного</w:t>
      </w:r>
      <w:proofErr w:type="spellEnd"/>
      <w:r>
        <w:rPr>
          <w:sz w:val="26"/>
          <w:szCs w:val="26"/>
          <w:lang w:val="uk-UA"/>
        </w:rPr>
        <w:t xml:space="preserve"> аніоніту вище в </w:t>
      </w:r>
      <w:proofErr w:type="spellStart"/>
      <w:r>
        <w:rPr>
          <w:sz w:val="26"/>
          <w:szCs w:val="26"/>
          <w:lang w:val="uk-UA"/>
        </w:rPr>
        <w:t>хлоридній</w:t>
      </w:r>
      <w:proofErr w:type="spellEnd"/>
      <w:r>
        <w:rPr>
          <w:sz w:val="26"/>
          <w:szCs w:val="26"/>
          <w:lang w:val="uk-UA"/>
        </w:rPr>
        <w:t xml:space="preserve"> формі, в основній формі сорбція нітратів не відбувається. </w:t>
      </w:r>
    </w:p>
    <w:p w:rsidR="00FE7458" w:rsidRDefault="00FE7458" w:rsidP="00FE7458">
      <w:pPr>
        <w:ind w:firstLine="540"/>
        <w:jc w:val="both"/>
        <w:rPr>
          <w:sz w:val="26"/>
          <w:szCs w:val="26"/>
          <w:lang w:val="uk-UA"/>
        </w:rPr>
      </w:pPr>
      <w:r>
        <w:rPr>
          <w:sz w:val="26"/>
          <w:szCs w:val="26"/>
          <w:lang w:val="uk-UA"/>
        </w:rPr>
        <w:t>Література</w:t>
      </w:r>
    </w:p>
    <w:p w:rsidR="00FE7458" w:rsidRDefault="00FE7458" w:rsidP="00FE7458">
      <w:pPr>
        <w:pStyle w:val="ListParagraph"/>
        <w:numPr>
          <w:ilvl w:val="0"/>
          <w:numId w:val="1"/>
        </w:numPr>
        <w:spacing w:after="0" w:line="240" w:lineRule="auto"/>
        <w:ind w:leftChars="125" w:left="300" w:firstLine="0"/>
        <w:jc w:val="both"/>
        <w:rPr>
          <w:sz w:val="26"/>
          <w:szCs w:val="26"/>
          <w:lang w:val="en-US"/>
        </w:rPr>
      </w:pPr>
      <w:proofErr w:type="spellStart"/>
      <w:r>
        <w:rPr>
          <w:bCs/>
          <w:iCs/>
          <w:spacing w:val="10"/>
          <w:sz w:val="26"/>
          <w:szCs w:val="26"/>
          <w:lang w:val="en-US"/>
        </w:rPr>
        <w:t>Piatek</w:t>
      </w:r>
      <w:proofErr w:type="spellEnd"/>
      <w:r>
        <w:rPr>
          <w:bCs/>
          <w:iCs/>
          <w:spacing w:val="10"/>
          <w:sz w:val="26"/>
          <w:szCs w:val="26"/>
          <w:lang w:val="en-US"/>
        </w:rPr>
        <w:t xml:space="preserve"> K.</w:t>
      </w:r>
      <w:r>
        <w:rPr>
          <w:bCs/>
          <w:iCs/>
          <w:spacing w:val="10"/>
          <w:sz w:val="26"/>
          <w:szCs w:val="26"/>
        </w:rPr>
        <w:t>В</w:t>
      </w:r>
      <w:r>
        <w:rPr>
          <w:bCs/>
          <w:i/>
          <w:iCs/>
          <w:spacing w:val="10"/>
          <w:sz w:val="26"/>
          <w:szCs w:val="26"/>
          <w:lang w:val="en-US"/>
        </w:rPr>
        <w:t xml:space="preserve">. </w:t>
      </w:r>
      <w:r>
        <w:rPr>
          <w:bCs/>
          <w:sz w:val="26"/>
          <w:szCs w:val="26"/>
          <w:lang w:val="en-US"/>
        </w:rPr>
        <w:t xml:space="preserve">Sources of nitrate in snowmelt discharge: evidence from water chemistry and stable isotopes of nitrate / </w:t>
      </w:r>
      <w:r>
        <w:rPr>
          <w:bCs/>
          <w:iCs/>
          <w:spacing w:val="10"/>
          <w:sz w:val="26"/>
          <w:szCs w:val="26"/>
          <w:lang w:val="en-US"/>
        </w:rPr>
        <w:t xml:space="preserve">Kathryn </w:t>
      </w:r>
      <w:r>
        <w:rPr>
          <w:bCs/>
          <w:iCs/>
          <w:spacing w:val="10"/>
          <w:sz w:val="26"/>
          <w:szCs w:val="26"/>
        </w:rPr>
        <w:t>В</w:t>
      </w:r>
      <w:r>
        <w:rPr>
          <w:bCs/>
          <w:iCs/>
          <w:spacing w:val="10"/>
          <w:sz w:val="26"/>
          <w:szCs w:val="26"/>
          <w:lang w:val="en-US"/>
        </w:rPr>
        <w:t xml:space="preserve">. </w:t>
      </w:r>
      <w:proofErr w:type="spellStart"/>
      <w:r>
        <w:rPr>
          <w:bCs/>
          <w:iCs/>
          <w:spacing w:val="10"/>
          <w:sz w:val="26"/>
          <w:szCs w:val="26"/>
          <w:lang w:val="en-US"/>
        </w:rPr>
        <w:t>Piatek</w:t>
      </w:r>
      <w:proofErr w:type="spellEnd"/>
      <w:r>
        <w:rPr>
          <w:bCs/>
          <w:iCs/>
          <w:spacing w:val="10"/>
          <w:sz w:val="26"/>
          <w:szCs w:val="26"/>
          <w:lang w:val="en-US"/>
        </w:rPr>
        <w:t xml:space="preserve">, Myron </w:t>
      </w:r>
      <w:r>
        <w:rPr>
          <w:bCs/>
          <w:iCs/>
          <w:spacing w:val="50"/>
          <w:sz w:val="26"/>
          <w:szCs w:val="26"/>
          <w:lang w:val="en-US"/>
        </w:rPr>
        <w:t xml:space="preserve">J. </w:t>
      </w:r>
      <w:r>
        <w:rPr>
          <w:bCs/>
          <w:iCs/>
          <w:spacing w:val="10"/>
          <w:sz w:val="26"/>
          <w:szCs w:val="26"/>
          <w:lang w:val="en-US"/>
        </w:rPr>
        <w:t>Mitchell, Steven R. Silva, Carol Kendal //</w:t>
      </w:r>
      <w:r>
        <w:rPr>
          <w:bCs/>
          <w:i/>
          <w:iCs/>
          <w:spacing w:val="10"/>
          <w:sz w:val="26"/>
          <w:szCs w:val="26"/>
          <w:lang w:val="en-US"/>
        </w:rPr>
        <w:t xml:space="preserve"> </w:t>
      </w:r>
      <w:r>
        <w:rPr>
          <w:bCs/>
          <w:iCs/>
          <w:spacing w:val="10"/>
          <w:sz w:val="26"/>
          <w:szCs w:val="26"/>
          <w:lang w:val="en-US"/>
        </w:rPr>
        <w:t xml:space="preserve">Water, Air, and Soil </w:t>
      </w:r>
      <w:proofErr w:type="spellStart"/>
      <w:r>
        <w:rPr>
          <w:bCs/>
          <w:iCs/>
          <w:spacing w:val="10"/>
          <w:sz w:val="26"/>
          <w:szCs w:val="26"/>
          <w:lang w:val="en-US"/>
        </w:rPr>
        <w:t>Pollut</w:t>
      </w:r>
      <w:proofErr w:type="spellEnd"/>
      <w:r>
        <w:rPr>
          <w:bCs/>
          <w:iCs/>
          <w:spacing w:val="10"/>
          <w:sz w:val="26"/>
          <w:szCs w:val="26"/>
          <w:lang w:val="en-US"/>
        </w:rPr>
        <w:t xml:space="preserve">. </w:t>
      </w:r>
      <w:r>
        <w:rPr>
          <w:iCs/>
          <w:sz w:val="26"/>
          <w:szCs w:val="26"/>
          <w:lang w:val="en-US"/>
        </w:rPr>
        <w:t>–</w:t>
      </w:r>
      <w:r>
        <w:rPr>
          <w:bCs/>
          <w:iCs/>
          <w:spacing w:val="10"/>
          <w:sz w:val="26"/>
          <w:szCs w:val="26"/>
          <w:lang w:val="en-US"/>
        </w:rPr>
        <w:t xml:space="preserve"> </w:t>
      </w:r>
      <w:r>
        <w:rPr>
          <w:bCs/>
          <w:sz w:val="26"/>
          <w:szCs w:val="26"/>
          <w:lang w:val="en-US"/>
        </w:rPr>
        <w:t xml:space="preserve">2005. </w:t>
      </w:r>
      <w:r>
        <w:rPr>
          <w:iCs/>
          <w:sz w:val="26"/>
          <w:szCs w:val="26"/>
          <w:lang w:val="en-US"/>
        </w:rPr>
        <w:t>–</w:t>
      </w:r>
      <w:r>
        <w:rPr>
          <w:bCs/>
          <w:sz w:val="26"/>
          <w:szCs w:val="26"/>
          <w:lang w:val="en-US"/>
        </w:rPr>
        <w:t xml:space="preserve"> 165, № 1</w:t>
      </w:r>
      <w:r>
        <w:rPr>
          <w:iCs/>
          <w:sz w:val="26"/>
          <w:szCs w:val="26"/>
          <w:lang w:val="en-US"/>
        </w:rPr>
        <w:t>–</w:t>
      </w:r>
      <w:r>
        <w:rPr>
          <w:bCs/>
          <w:sz w:val="26"/>
          <w:szCs w:val="26"/>
          <w:lang w:val="en-US"/>
        </w:rPr>
        <w:t>4</w:t>
      </w:r>
      <w:r>
        <w:rPr>
          <w:bCs/>
          <w:sz w:val="26"/>
          <w:szCs w:val="26"/>
          <w:lang w:val="uk-UA"/>
        </w:rPr>
        <w:t xml:space="preserve">. </w:t>
      </w:r>
      <w:r>
        <w:rPr>
          <w:iCs/>
          <w:sz w:val="26"/>
          <w:szCs w:val="26"/>
          <w:lang w:val="en-US"/>
        </w:rPr>
        <w:t>–</w:t>
      </w:r>
      <w:r>
        <w:rPr>
          <w:iCs/>
          <w:sz w:val="26"/>
          <w:szCs w:val="26"/>
          <w:lang w:val="uk-UA"/>
        </w:rPr>
        <w:t xml:space="preserve"> </w:t>
      </w:r>
      <w:r>
        <w:rPr>
          <w:bCs/>
          <w:sz w:val="26"/>
          <w:szCs w:val="26"/>
          <w:lang w:val="en-US"/>
        </w:rPr>
        <w:t>P. 13</w:t>
      </w:r>
      <w:r>
        <w:rPr>
          <w:iCs/>
          <w:sz w:val="26"/>
          <w:szCs w:val="26"/>
          <w:lang w:val="en-US"/>
        </w:rPr>
        <w:t>–</w:t>
      </w:r>
      <w:r>
        <w:rPr>
          <w:bCs/>
          <w:sz w:val="26"/>
          <w:szCs w:val="26"/>
          <w:lang w:val="en-US"/>
        </w:rPr>
        <w:t>35.</w:t>
      </w:r>
    </w:p>
    <w:p w:rsidR="00FE7458" w:rsidRDefault="00FE7458" w:rsidP="00FE7458">
      <w:pPr>
        <w:pStyle w:val="ListParagraph"/>
        <w:numPr>
          <w:ilvl w:val="0"/>
          <w:numId w:val="1"/>
        </w:numPr>
        <w:spacing w:after="0" w:line="240" w:lineRule="auto"/>
        <w:ind w:leftChars="125" w:left="300" w:firstLine="0"/>
        <w:rPr>
          <w:iCs/>
          <w:sz w:val="26"/>
          <w:szCs w:val="26"/>
        </w:rPr>
      </w:pPr>
      <w:r>
        <w:rPr>
          <w:iCs/>
          <w:spacing w:val="10"/>
          <w:sz w:val="26"/>
          <w:szCs w:val="26"/>
        </w:rPr>
        <w:t xml:space="preserve">Иевлева </w:t>
      </w:r>
      <w:r>
        <w:rPr>
          <w:sz w:val="26"/>
          <w:szCs w:val="26"/>
        </w:rPr>
        <w:t>О.</w:t>
      </w:r>
      <w:r>
        <w:rPr>
          <w:spacing w:val="40"/>
          <w:sz w:val="26"/>
          <w:szCs w:val="26"/>
        </w:rPr>
        <w:t xml:space="preserve">С. </w:t>
      </w:r>
      <w:r>
        <w:rPr>
          <w:sz w:val="26"/>
          <w:szCs w:val="26"/>
        </w:rPr>
        <w:t>Методы удаления нитратов из природных и питьевых вод / О.</w:t>
      </w:r>
      <w:r>
        <w:rPr>
          <w:spacing w:val="40"/>
          <w:sz w:val="26"/>
          <w:szCs w:val="26"/>
        </w:rPr>
        <w:t xml:space="preserve">С. </w:t>
      </w:r>
      <w:r>
        <w:rPr>
          <w:iCs/>
          <w:spacing w:val="10"/>
          <w:sz w:val="26"/>
          <w:szCs w:val="26"/>
        </w:rPr>
        <w:t>Иевлева</w:t>
      </w:r>
      <w:r>
        <w:rPr>
          <w:iCs/>
          <w:spacing w:val="40"/>
          <w:sz w:val="26"/>
          <w:szCs w:val="26"/>
        </w:rPr>
        <w:t>,</w:t>
      </w:r>
      <w:r>
        <w:rPr>
          <w:iCs/>
          <w:sz w:val="26"/>
          <w:szCs w:val="26"/>
        </w:rPr>
        <w:t xml:space="preserve"> </w:t>
      </w:r>
      <w:r>
        <w:rPr>
          <w:iCs/>
          <w:spacing w:val="10"/>
          <w:sz w:val="26"/>
          <w:szCs w:val="26"/>
        </w:rPr>
        <w:t xml:space="preserve">В.В. </w:t>
      </w:r>
      <w:r>
        <w:rPr>
          <w:iCs/>
          <w:spacing w:val="-10"/>
          <w:sz w:val="26"/>
          <w:szCs w:val="26"/>
        </w:rPr>
        <w:t>Гонча</w:t>
      </w:r>
      <w:r>
        <w:rPr>
          <w:iCs/>
          <w:spacing w:val="10"/>
          <w:sz w:val="26"/>
          <w:szCs w:val="26"/>
        </w:rPr>
        <w:t>рук // Химия и техно</w:t>
      </w:r>
      <w:r>
        <w:rPr>
          <w:iCs/>
          <w:sz w:val="26"/>
          <w:szCs w:val="26"/>
        </w:rPr>
        <w:t>логия</w:t>
      </w:r>
      <w:r>
        <w:rPr>
          <w:iCs/>
          <w:spacing w:val="10"/>
          <w:sz w:val="26"/>
          <w:szCs w:val="26"/>
        </w:rPr>
        <w:t xml:space="preserve"> воды. – </w:t>
      </w:r>
      <w:r>
        <w:rPr>
          <w:iCs/>
          <w:sz w:val="26"/>
          <w:szCs w:val="26"/>
        </w:rPr>
        <w:t xml:space="preserve">2006. </w:t>
      </w:r>
      <w:r>
        <w:rPr>
          <w:iCs/>
          <w:spacing w:val="10"/>
          <w:sz w:val="26"/>
          <w:szCs w:val="26"/>
        </w:rPr>
        <w:t>–</w:t>
      </w:r>
      <w:r>
        <w:rPr>
          <w:iCs/>
          <w:sz w:val="26"/>
          <w:szCs w:val="26"/>
        </w:rPr>
        <w:t xml:space="preserve"> 28, № 3. </w:t>
      </w:r>
      <w:r>
        <w:rPr>
          <w:iCs/>
          <w:spacing w:val="10"/>
          <w:sz w:val="26"/>
          <w:szCs w:val="26"/>
        </w:rPr>
        <w:t>–</w:t>
      </w:r>
      <w:r>
        <w:rPr>
          <w:iCs/>
          <w:sz w:val="26"/>
          <w:szCs w:val="26"/>
        </w:rPr>
        <w:t xml:space="preserve"> </w:t>
      </w:r>
      <w:r>
        <w:rPr>
          <w:iCs/>
          <w:sz w:val="26"/>
          <w:szCs w:val="26"/>
          <w:lang w:val="en-US"/>
        </w:rPr>
        <w:t>C</w:t>
      </w:r>
      <w:r>
        <w:rPr>
          <w:iCs/>
          <w:sz w:val="26"/>
          <w:szCs w:val="26"/>
        </w:rPr>
        <w:t>. 56</w:t>
      </w:r>
      <w:r>
        <w:rPr>
          <w:iCs/>
          <w:spacing w:val="10"/>
          <w:sz w:val="26"/>
          <w:szCs w:val="26"/>
        </w:rPr>
        <w:t>–</w:t>
      </w:r>
      <w:r>
        <w:rPr>
          <w:iCs/>
          <w:sz w:val="26"/>
          <w:szCs w:val="26"/>
        </w:rPr>
        <w:t>273.</w:t>
      </w:r>
    </w:p>
    <w:p w:rsidR="00FE7458" w:rsidRDefault="00FE7458" w:rsidP="00FE7458">
      <w:pPr>
        <w:pStyle w:val="ListParagraph"/>
        <w:numPr>
          <w:ilvl w:val="0"/>
          <w:numId w:val="1"/>
        </w:numPr>
        <w:spacing w:after="0" w:line="240" w:lineRule="auto"/>
        <w:ind w:leftChars="125" w:left="300" w:firstLine="0"/>
        <w:jc w:val="both"/>
        <w:rPr>
          <w:iCs/>
          <w:sz w:val="26"/>
          <w:szCs w:val="26"/>
          <w:lang w:val="uk-UA"/>
        </w:rPr>
      </w:pPr>
      <w:proofErr w:type="spellStart"/>
      <w:r>
        <w:rPr>
          <w:iCs/>
          <w:sz w:val="26"/>
          <w:szCs w:val="26"/>
          <w:lang w:val="en-US"/>
        </w:rPr>
        <w:t>Polatides</w:t>
      </w:r>
      <w:proofErr w:type="spellEnd"/>
      <w:r>
        <w:rPr>
          <w:iCs/>
          <w:sz w:val="26"/>
          <w:szCs w:val="26"/>
          <w:lang w:val="en-US"/>
        </w:rPr>
        <w:t xml:space="preserve"> C. Electrochemical removal of nitrate ion from aqueous solution by pulsing potential electrolysis / C. </w:t>
      </w:r>
      <w:proofErr w:type="spellStart"/>
      <w:r>
        <w:rPr>
          <w:iCs/>
          <w:sz w:val="26"/>
          <w:szCs w:val="26"/>
          <w:lang w:val="en-US"/>
        </w:rPr>
        <w:t>Polatides</w:t>
      </w:r>
      <w:proofErr w:type="spellEnd"/>
      <w:r>
        <w:rPr>
          <w:iCs/>
          <w:sz w:val="26"/>
          <w:szCs w:val="26"/>
          <w:lang w:val="en-US"/>
        </w:rPr>
        <w:t xml:space="preserve">, M. </w:t>
      </w:r>
      <w:proofErr w:type="spellStart"/>
      <w:r>
        <w:rPr>
          <w:iCs/>
          <w:sz w:val="26"/>
          <w:szCs w:val="26"/>
          <w:lang w:val="en-US"/>
        </w:rPr>
        <w:t>Dortsiou</w:t>
      </w:r>
      <w:proofErr w:type="spellEnd"/>
      <w:r>
        <w:rPr>
          <w:iCs/>
          <w:sz w:val="26"/>
          <w:szCs w:val="26"/>
          <w:vertAlign w:val="subscript"/>
          <w:lang w:val="en-US"/>
        </w:rPr>
        <w:t>,</w:t>
      </w:r>
      <w:r>
        <w:rPr>
          <w:iCs/>
          <w:sz w:val="26"/>
          <w:szCs w:val="26"/>
          <w:lang w:val="en-US"/>
        </w:rPr>
        <w:t xml:space="preserve"> G. </w:t>
      </w:r>
      <w:proofErr w:type="spellStart"/>
      <w:r>
        <w:rPr>
          <w:iCs/>
          <w:sz w:val="26"/>
          <w:szCs w:val="26"/>
          <w:lang w:val="en-US"/>
        </w:rPr>
        <w:t>Kyriacou</w:t>
      </w:r>
      <w:proofErr w:type="spellEnd"/>
      <w:r>
        <w:rPr>
          <w:iCs/>
          <w:sz w:val="26"/>
          <w:szCs w:val="26"/>
          <w:lang w:val="en-US"/>
        </w:rPr>
        <w:t xml:space="preserve"> // </w:t>
      </w:r>
      <w:proofErr w:type="spellStart"/>
      <w:r>
        <w:rPr>
          <w:iCs/>
          <w:sz w:val="26"/>
          <w:szCs w:val="26"/>
          <w:lang w:val="en-US"/>
        </w:rPr>
        <w:t>Electrochim</w:t>
      </w:r>
      <w:proofErr w:type="spellEnd"/>
      <w:r>
        <w:rPr>
          <w:iCs/>
          <w:sz w:val="26"/>
          <w:szCs w:val="26"/>
          <w:lang w:val="en-US"/>
        </w:rPr>
        <w:t xml:space="preserve">. </w:t>
      </w:r>
      <w:proofErr w:type="spellStart"/>
      <w:r>
        <w:rPr>
          <w:iCs/>
          <w:sz w:val="26"/>
          <w:szCs w:val="26"/>
          <w:lang w:val="en-US"/>
        </w:rPr>
        <w:t>acta</w:t>
      </w:r>
      <w:proofErr w:type="spellEnd"/>
      <w:r>
        <w:rPr>
          <w:iCs/>
          <w:sz w:val="26"/>
          <w:szCs w:val="26"/>
          <w:lang w:val="en-US"/>
        </w:rPr>
        <w:t>. – 2005. – 50, № 25–26. – P. 5237–5241.</w:t>
      </w:r>
    </w:p>
    <w:p w:rsidR="000D69BE" w:rsidRPr="00FE7458" w:rsidRDefault="000D69BE">
      <w:pPr>
        <w:rPr>
          <w:lang w:val="uk-UA"/>
        </w:rPr>
      </w:pPr>
      <w:bookmarkStart w:id="0" w:name="_GoBack"/>
      <w:bookmarkEnd w:id="0"/>
    </w:p>
    <w:sectPr w:rsidR="000D69BE" w:rsidRPr="00FE74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8F580B"/>
    <w:multiLevelType w:val="multilevel"/>
    <w:tmpl w:val="278F580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458"/>
    <w:rsid w:val="000D69BE"/>
    <w:rsid w:val="00FE74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5CC621-4E37-4A10-A0E7-5F2C478C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745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FE7458"/>
    <w:pPr>
      <w:spacing w:after="200" w:line="276" w:lineRule="auto"/>
      <w:ind w:left="720"/>
      <w:contextualSpacing/>
    </w:pPr>
    <w:rPr>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Application%20Data\Microsoft\Excel\RIS_2%20(version%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1054;&#1076;&#1077;&#1089;&#1072;%20&#1089;&#1090;&#1072;&#1090;&#1090;&#1103;\RIS_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6773865417729"/>
          <c:y val="5.1400554097404502E-2"/>
          <c:w val="0.80265682125354199"/>
          <c:h val="0.82605314960629905"/>
        </c:manualLayout>
      </c:layout>
      <c:scatterChart>
        <c:scatterStyle val="lineMarker"/>
        <c:varyColors val="0"/>
        <c:ser>
          <c:idx val="1"/>
          <c:order val="0"/>
          <c:tx>
            <c:strRef>
              <c:f>2</c:f>
              <c:strCache>
                <c:ptCount val="1"/>
                <c:pt idx="0">
                  <c:v>2</c:v>
                </c:pt>
              </c:strCache>
            </c:strRef>
          </c:tx>
          <c:spPr>
            <a:ln w="25400">
              <a:noFill/>
            </a:ln>
            <a:effectLst/>
          </c:spPr>
          <c:marker>
            <c:symbol val="square"/>
            <c:size val="3"/>
            <c:spPr>
              <a:solidFill>
                <a:srgbClr val="000000"/>
              </a:solidFill>
              <a:ln>
                <a:solidFill>
                  <a:sysClr val="windowText" lastClr="000000"/>
                </a:solidFill>
              </a:ln>
              <a:effectLst/>
            </c:spPr>
          </c:marker>
          <c:trendline>
            <c:spPr>
              <a:ln w="9525" cap="flat" cmpd="sng" algn="ctr">
                <a:solidFill>
                  <a:srgbClr val="000000"/>
                </a:solidFill>
                <a:prstDash val="solid"/>
              </a:ln>
              <a:effectLst/>
            </c:spPr>
            <c:trendlineType val="log"/>
            <c:dispRSqr val="0"/>
            <c:dispEq val="0"/>
          </c:trendline>
          <c:trendline>
            <c:spPr>
              <a:ln w="9525" cap="flat" cmpd="sng" algn="ctr">
                <a:solidFill>
                  <a:srgbClr val="000000"/>
                </a:solidFill>
                <a:prstDash val="solid"/>
              </a:ln>
              <a:effectLst/>
            </c:spPr>
            <c:trendlineType val="poly"/>
            <c:order val="4"/>
            <c:dispRSqr val="1"/>
            <c:dispEq val="1"/>
            <c:trendlineLbl>
              <c:layout>
                <c:manualLayout>
                  <c:x val="-0.21185847604424299"/>
                  <c:y val="0.20396288965749401"/>
                </c:manualLayout>
              </c:layout>
              <c:tx>
                <c:rich>
                  <a:bodyPr rot="0" spcFirstLastPara="0" vertOverflow="ellipsis" horzOverflow="overflow" vert="horz" wrap="square" anchor="ctr" anchorCtr="1"/>
                  <a:lstStyle/>
                  <a:p>
                    <a:pPr algn="ctr">
                      <a:defRPr sz="1000" b="0">
                        <a:solidFill>
                          <a:srgbClr val="000000"/>
                        </a:solidFill>
                        <a:latin typeface="+mn-lt"/>
                        <a:ea typeface="+mn-ea"/>
                        <a:cs typeface="+mn-cs"/>
                      </a:defRPr>
                    </a:pPr>
                    <a:r>
                      <a:rPr lang="en-US" sz="700" baseline="0">
                        <a:latin typeface="Times New Roman" pitchFamily="18" charset="0"/>
                        <a:cs typeface="Times New Roman" pitchFamily="18" charset="0"/>
                      </a:rPr>
                      <a:t>y = -0,049x</a:t>
                    </a:r>
                    <a:r>
                      <a:rPr lang="en-US" sz="700" baseline="30000">
                        <a:latin typeface="Times New Roman" pitchFamily="18" charset="0"/>
                        <a:cs typeface="Times New Roman" pitchFamily="18" charset="0"/>
                      </a:rPr>
                      <a:t>4</a:t>
                    </a:r>
                    <a:r>
                      <a:rPr lang="en-US" sz="700" baseline="0">
                        <a:latin typeface="Times New Roman" pitchFamily="18" charset="0"/>
                        <a:cs typeface="Times New Roman" pitchFamily="18" charset="0"/>
                      </a:rPr>
                      <a:t> + 0,386x</a:t>
                    </a:r>
                    <a:r>
                      <a:rPr lang="en-US" sz="700" baseline="30000">
                        <a:latin typeface="Times New Roman" pitchFamily="18" charset="0"/>
                        <a:cs typeface="Times New Roman" pitchFamily="18" charset="0"/>
                      </a:rPr>
                      <a:t>3</a:t>
                    </a:r>
                    <a:r>
                      <a:rPr lang="en-US" sz="700" baseline="0">
                        <a:latin typeface="Times New Roman" pitchFamily="18" charset="0"/>
                        <a:cs typeface="Times New Roman" pitchFamily="18" charset="0"/>
                      </a:rPr>
                      <a:t> - 0,680x</a:t>
                    </a:r>
                    <a:r>
                      <a:rPr lang="en-US" sz="700" baseline="30000">
                        <a:latin typeface="Times New Roman" pitchFamily="18" charset="0"/>
                        <a:cs typeface="Times New Roman" pitchFamily="18" charset="0"/>
                      </a:rPr>
                      <a:t>2</a:t>
                    </a:r>
                    <a:r>
                      <a:rPr lang="en-US" sz="700" baseline="0">
                        <a:latin typeface="Times New Roman" pitchFamily="18" charset="0"/>
                        <a:cs typeface="Times New Roman" pitchFamily="18" charset="0"/>
                      </a:rPr>
                      <a:t> + 0,426x - 0,027
R² = 0,994</a:t>
                    </a:r>
                    <a:endParaRPr lang="en-US" sz="700">
                      <a:latin typeface="Times New Roman" pitchFamily="18" charset="0"/>
                      <a:cs typeface="Times New Roman" pitchFamily="18" charset="0"/>
                    </a:endParaRPr>
                  </a:p>
                </c:rich>
              </c:tx>
              <c:numFmt formatCode="General" sourceLinked="0"/>
              <c:spPr>
                <a:noFill/>
                <a:ln>
                  <a:noFill/>
                </a:ln>
                <a:effectLst/>
              </c:spPr>
            </c:trendlineLbl>
          </c:trendline>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Лист1!$E$3:$E$12</c:f>
              <c:numCache>
                <c:formatCode>General</c:formatCode>
                <c:ptCount val="10"/>
                <c:pt idx="0">
                  <c:v>3.0645161290322599E-3</c:v>
                </c:pt>
                <c:pt idx="1">
                  <c:v>3.8709677419354999E-3</c:v>
                </c:pt>
                <c:pt idx="2">
                  <c:v>1.9516129032258099E-2</c:v>
                </c:pt>
                <c:pt idx="3">
                  <c:v>0.20241935483870999</c:v>
                </c:pt>
                <c:pt idx="4">
                  <c:v>0.51854838709677398</c:v>
                </c:pt>
                <c:pt idx="5">
                  <c:v>0.84096774193548396</c:v>
                </c:pt>
                <c:pt idx="6">
                  <c:v>1.4258064516129001</c:v>
                </c:pt>
                <c:pt idx="7">
                  <c:v>2.5080645161290298</c:v>
                </c:pt>
                <c:pt idx="8">
                  <c:v>2.9758064516128999</c:v>
                </c:pt>
                <c:pt idx="9">
                  <c:v>3.2258064516129101</c:v>
                </c:pt>
              </c:numCache>
            </c:numRef>
          </c:yVal>
          <c:smooth val="0"/>
          <c:extLst>
            <c:ext xmlns:c16="http://schemas.microsoft.com/office/drawing/2014/chart" uri="{C3380CC4-5D6E-409C-BE32-E72D297353CC}">
              <c16:uniqueId val="{00000000-A87A-48F8-8018-424090CFE674}"/>
            </c:ext>
          </c:extLst>
        </c:ser>
        <c:dLbls>
          <c:showLegendKey val="0"/>
          <c:showVal val="0"/>
          <c:showCatName val="0"/>
          <c:showSerName val="0"/>
          <c:showPercent val="0"/>
          <c:showBubbleSize val="0"/>
        </c:dLbls>
        <c:axId val="52957184"/>
        <c:axId val="52959104"/>
      </c:scatterChart>
      <c:valAx>
        <c:axId val="52957184"/>
        <c:scaling>
          <c:orientation val="minMax"/>
          <c:max val="4.9000000000000004"/>
          <c:min val="0"/>
        </c:scaling>
        <c:delete val="0"/>
        <c:axPos val="b"/>
        <c:title>
          <c:tx>
            <c:rich>
              <a:bodyPr vertOverflow="ellipsis" anchor="ctr" anchorCtr="1"/>
              <a:lstStyle/>
              <a:p>
                <a:pPr algn="ctr">
                  <a:defRPr sz="1000" b="1">
                    <a:solidFill>
                      <a:srgbClr val="000000"/>
                    </a:solidFill>
                    <a:latin typeface="+mn-lt"/>
                    <a:ea typeface="+mn-ea"/>
                    <a:cs typeface="+mn-cs"/>
                  </a:defRPr>
                </a:pPr>
                <a:r>
                  <a:rPr lang="en-US">
                    <a:latin typeface="Times New Roman" pitchFamily="18" charset="0"/>
                    <a:cs typeface="Times New Roman" pitchFamily="18" charset="0"/>
                  </a:rPr>
                  <a:t>V,</a:t>
                </a:r>
                <a:r>
                  <a:rPr lang="en-US" baseline="0">
                    <a:latin typeface="Times New Roman" pitchFamily="18" charset="0"/>
                    <a:cs typeface="Times New Roman" pitchFamily="18" charset="0"/>
                  </a:rPr>
                  <a:t> </a:t>
                </a:r>
                <a:r>
                  <a:rPr lang="uk-UA" baseline="0">
                    <a:latin typeface="Times New Roman" pitchFamily="18" charset="0"/>
                    <a:cs typeface="Times New Roman" pitchFamily="18" charset="0"/>
                  </a:rPr>
                  <a:t>дм</a:t>
                </a:r>
                <a:r>
                  <a:rPr lang="uk-UA" baseline="30000">
                    <a:latin typeface="Times New Roman" pitchFamily="18" charset="0"/>
                    <a:cs typeface="Times New Roman" pitchFamily="18" charset="0"/>
                  </a:rPr>
                  <a:t>3</a:t>
                </a:r>
                <a:endParaRPr lang="ru-RU" baseline="30000">
                  <a:latin typeface="Times New Roman" pitchFamily="18" charset="0"/>
                  <a:cs typeface="Times New Roman" pitchFamily="18" charset="0"/>
                </a:endParaRPr>
              </a:p>
            </c:rich>
          </c:tx>
          <c:layout>
            <c:manualLayout>
              <c:xMode val="edge"/>
              <c:yMode val="edge"/>
              <c:x val="0.89082162132967302"/>
              <c:y val="0.89761173726825305"/>
            </c:manualLayout>
          </c:layout>
          <c:overlay val="0"/>
          <c:spPr>
            <a:noFill/>
            <a:ln>
              <a:noFill/>
            </a:ln>
            <a:effectLst/>
          </c:spPr>
        </c:title>
        <c:numFmt formatCode="General" sourceLinked="1"/>
        <c:majorTickMark val="out"/>
        <c:minorTickMark val="none"/>
        <c:tickLblPos val="nextTo"/>
        <c:spPr>
          <a:noFill/>
          <a:ln>
            <a:solidFill>
              <a:srgbClr val="808080">
                <a:lumMod val="50000"/>
                <a:lumOff val="50000"/>
              </a:srgbClr>
            </a:solidFill>
          </a:ln>
          <a:effectLst/>
        </c:spPr>
        <c:txPr>
          <a:bodyPr rot="0" spcFirstLastPara="0" vertOverflow="ellipsis" horzOverflow="overflow" vert="horz" wrap="square" anchor="ctr" anchorCtr="1"/>
          <a:lstStyle/>
          <a:p>
            <a:pPr>
              <a:defRPr sz="900" b="0" i="0" u="none" strike="noStrike" baseline="0">
                <a:solidFill>
                  <a:srgbClr val="000000"/>
                </a:solidFill>
                <a:latin typeface="Times New Roman"/>
                <a:ea typeface="Times New Roman"/>
                <a:cs typeface="Times New Roman"/>
              </a:defRPr>
            </a:pPr>
            <a:endParaRPr lang="ru-RU"/>
          </a:p>
        </c:txPr>
        <c:crossAx val="52959104"/>
        <c:crosses val="autoZero"/>
        <c:crossBetween val="midCat"/>
        <c:majorUnit val="1"/>
      </c:valAx>
      <c:valAx>
        <c:axId val="52959104"/>
        <c:scaling>
          <c:orientation val="minMax"/>
          <c:max val="3.4"/>
          <c:min val="0"/>
        </c:scaling>
        <c:delete val="0"/>
        <c:axPos val="l"/>
        <c:majorGridlines>
          <c:spPr>
            <a:ln>
              <a:solidFill>
                <a:sysClr val="window" lastClr="FFFFFF"/>
              </a:solidFill>
            </a:ln>
            <a:effectLst/>
          </c:spPr>
        </c:majorGridlines>
        <c:title>
          <c:tx>
            <c:rich>
              <a:bodyPr rot="-5400000" vertOverflow="ellipsis" vert="horz" anchor="ctr" anchorCtr="1"/>
              <a:lstStyle/>
              <a:p>
                <a:pPr algn="ctr">
                  <a:defRPr sz="1000" b="1">
                    <a:solidFill>
                      <a:srgbClr val="000000"/>
                    </a:solidFill>
                    <a:latin typeface="+mn-lt"/>
                    <a:ea typeface="+mn-ea"/>
                    <a:cs typeface="+mn-cs"/>
                  </a:defRPr>
                </a:pPr>
                <a:r>
                  <a:rPr lang="ru-RU">
                    <a:latin typeface="Times New Roman" pitchFamily="18" charset="0"/>
                    <a:cs typeface="Times New Roman" pitchFamily="18" charset="0"/>
                  </a:rPr>
                  <a:t>С</a:t>
                </a:r>
                <a:r>
                  <a:rPr lang="ru-RU" baseline="0">
                    <a:latin typeface="Times New Roman" pitchFamily="18" charset="0"/>
                    <a:cs typeface="Times New Roman" pitchFamily="18" charset="0"/>
                  </a:rPr>
                  <a:t> (</a:t>
                </a:r>
                <a:r>
                  <a:rPr lang="en-US" baseline="0">
                    <a:latin typeface="Times New Roman" pitchFamily="18" charset="0"/>
                    <a:cs typeface="Times New Roman" pitchFamily="18" charset="0"/>
                  </a:rPr>
                  <a:t>NO</a:t>
                </a:r>
                <a:r>
                  <a:rPr lang="en-US" baseline="-25000">
                    <a:latin typeface="Times New Roman" pitchFamily="18" charset="0"/>
                    <a:cs typeface="Times New Roman" pitchFamily="18" charset="0"/>
                  </a:rPr>
                  <a:t>3</a:t>
                </a:r>
                <a:r>
                  <a:rPr lang="en-US" baseline="30000">
                    <a:latin typeface="Times New Roman" pitchFamily="18" charset="0"/>
                    <a:cs typeface="Times New Roman" pitchFamily="18" charset="0"/>
                  </a:rPr>
                  <a:t>-</a:t>
                </a:r>
                <a:r>
                  <a:rPr lang="en-US" baseline="0">
                    <a:latin typeface="Times New Roman" pitchFamily="18" charset="0"/>
                    <a:cs typeface="Times New Roman" pitchFamily="18" charset="0"/>
                  </a:rPr>
                  <a:t>), </a:t>
                </a:r>
                <a:r>
                  <a:rPr lang="uk-UA" baseline="0">
                    <a:latin typeface="Times New Roman" pitchFamily="18" charset="0"/>
                    <a:cs typeface="Times New Roman" pitchFamily="18" charset="0"/>
                  </a:rPr>
                  <a:t>мг-екв/дм</a:t>
                </a:r>
                <a:r>
                  <a:rPr lang="uk-UA" baseline="30000">
                    <a:latin typeface="Times New Roman" pitchFamily="18" charset="0"/>
                    <a:cs typeface="Times New Roman" pitchFamily="18" charset="0"/>
                  </a:rPr>
                  <a:t>3</a:t>
                </a:r>
                <a:endParaRPr lang="ru-RU" baseline="30000">
                  <a:latin typeface="Times New Roman" pitchFamily="18" charset="0"/>
                  <a:cs typeface="Times New Roman" pitchFamily="18" charset="0"/>
                </a:endParaRPr>
              </a:p>
            </c:rich>
          </c:tx>
          <c:overlay val="0"/>
          <c:spPr>
            <a:noFill/>
            <a:ln>
              <a:noFill/>
            </a:ln>
            <a:effectLst/>
          </c:spPr>
        </c:title>
        <c:numFmt formatCode="General" sourceLinked="1"/>
        <c:majorTickMark val="out"/>
        <c:minorTickMark val="none"/>
        <c:tickLblPos val="nextTo"/>
        <c:spPr>
          <a:noFill/>
          <a:ln>
            <a:solidFill>
              <a:srgbClr val="808080">
                <a:lumMod val="50000"/>
                <a:lumOff val="50000"/>
              </a:srgbClr>
            </a:solidFill>
          </a:ln>
          <a:effectLst/>
        </c:spPr>
        <c:txPr>
          <a:bodyPr rot="-60000000" spcFirstLastPara="0" vertOverflow="ellipsis" horzOverflow="overflow" vert="horz" wrap="square" anchor="ctr" anchorCtr="1"/>
          <a:lstStyle/>
          <a:p>
            <a:pPr>
              <a:defRPr sz="900" b="0">
                <a:solidFill>
                  <a:srgbClr val="000000"/>
                </a:solidFill>
                <a:latin typeface="Times New Roman" pitchFamily="18" charset="0"/>
                <a:cs typeface="Times New Roman" pitchFamily="18" charset="0"/>
              </a:defRPr>
            </a:pPr>
            <a:endParaRPr lang="ru-RU"/>
          </a:p>
        </c:txPr>
        <c:crossAx val="52957184"/>
        <c:crosses val="autoZero"/>
        <c:crossBetween val="midCat"/>
        <c:majorUnit val="0.5"/>
      </c:valAx>
      <c:spPr>
        <a:solidFill>
          <a:srgbClr val="FFFFFF"/>
        </a:solidFill>
        <a:ln>
          <a:noFill/>
        </a:ln>
        <a:effectLst/>
      </c:spPr>
    </c:plotArea>
    <c:plotVisOnly val="1"/>
    <c:dispBlanksAs val="gap"/>
    <c:showDLblsOverMax val="0"/>
  </c:chart>
  <c:spPr>
    <a:solidFill>
      <a:srgbClr val="FFFFFF"/>
    </a:solidFill>
    <a:ln w="9525" cap="flat" cmpd="sng" algn="ctr">
      <a:solidFill>
        <a:srgbClr val="FFFFFF"/>
      </a:solidFill>
      <a:prstDash val="solid"/>
    </a:ln>
    <a:effectLst/>
  </c:spPr>
  <c:txPr>
    <a:bodyPr rot="0" spcFirstLastPara="0" vertOverflow="ellipsis" horzOverflow="overflow" vert="horz" wrap="square" anchor="ctr" anchorCtr="1"/>
    <a:lstStyle/>
    <a:p>
      <a:pPr>
        <a:defRPr lang="en-US"/>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974628171478894E-2"/>
          <c:y val="5.1400554097404502E-2"/>
          <c:w val="0.81245603674540701"/>
          <c:h val="0.82605314960629905"/>
        </c:manualLayout>
      </c:layout>
      <c:scatterChart>
        <c:scatterStyle val="lineMarker"/>
        <c:varyColors val="0"/>
        <c:ser>
          <c:idx val="1"/>
          <c:order val="0"/>
          <c:tx>
            <c:strRef>
              <c:f>2</c:f>
              <c:strCache>
                <c:ptCount val="1"/>
                <c:pt idx="0">
                  <c:v>2</c:v>
                </c:pt>
              </c:strCache>
            </c:strRef>
          </c:tx>
          <c:spPr>
            <a:ln w="25400">
              <a:noFill/>
            </a:ln>
            <a:effectLst/>
          </c:spPr>
          <c:marker>
            <c:symbol val="square"/>
            <c:size val="5"/>
            <c:spPr>
              <a:solidFill>
                <a:sysClr val="windowText" lastClr="000000"/>
              </a:solidFill>
              <a:ln>
                <a:solidFill>
                  <a:sysClr val="windowText" lastClr="000000"/>
                </a:solidFill>
              </a:ln>
              <a:effectLst/>
            </c:spPr>
          </c:marker>
          <c:trendline>
            <c:spPr>
              <a:ln w="9525" cap="flat" cmpd="sng" algn="ctr">
                <a:solidFill>
                  <a:srgbClr val="000000"/>
                </a:solidFill>
                <a:prstDash val="solid"/>
              </a:ln>
              <a:effectLst/>
            </c:spPr>
            <c:trendlineType val="poly"/>
            <c:order val="4"/>
            <c:dispRSqr val="1"/>
            <c:dispEq val="1"/>
            <c:trendlineLbl>
              <c:layout>
                <c:manualLayout>
                  <c:x val="-0.21149286132602499"/>
                  <c:y val="0.171843000706042"/>
                </c:manualLayout>
              </c:layout>
              <c:tx>
                <c:rich>
                  <a:bodyPr rot="0" spcFirstLastPara="0" vertOverflow="ellipsis" horzOverflow="overflow" vert="horz" wrap="square" anchor="ctr" anchorCtr="1"/>
                  <a:lstStyle/>
                  <a:p>
                    <a:pPr algn="ctr">
                      <a:defRPr sz="1000" b="0">
                        <a:solidFill>
                          <a:srgbClr val="000000"/>
                        </a:solidFill>
                        <a:latin typeface="+mn-lt"/>
                        <a:ea typeface="+mn-ea"/>
                        <a:cs typeface="+mn-cs"/>
                      </a:defRPr>
                    </a:pPr>
                    <a:r>
                      <a:rPr lang="en-US" sz="700" baseline="0">
                        <a:latin typeface="Times New Roman" pitchFamily="18" charset="0"/>
                        <a:cs typeface="Times New Roman" pitchFamily="18" charset="0"/>
                      </a:rPr>
                      <a:t>y = -462,8x</a:t>
                    </a:r>
                    <a:r>
                      <a:rPr lang="en-US" sz="700" baseline="30000">
                        <a:latin typeface="Times New Roman" pitchFamily="18" charset="0"/>
                        <a:cs typeface="Times New Roman" pitchFamily="18" charset="0"/>
                      </a:rPr>
                      <a:t>4</a:t>
                    </a:r>
                    <a:r>
                      <a:rPr lang="en-US" sz="700" baseline="0">
                        <a:latin typeface="Times New Roman" pitchFamily="18" charset="0"/>
                        <a:cs typeface="Times New Roman" pitchFamily="18" charset="0"/>
                      </a:rPr>
                      <a:t> + 724,4x</a:t>
                    </a:r>
                    <a:r>
                      <a:rPr lang="en-US" sz="700" baseline="30000">
                        <a:latin typeface="Times New Roman" pitchFamily="18" charset="0"/>
                        <a:cs typeface="Times New Roman" pitchFamily="18" charset="0"/>
                      </a:rPr>
                      <a:t>3</a:t>
                    </a:r>
                    <a:r>
                      <a:rPr lang="en-US" sz="700" baseline="0">
                        <a:latin typeface="Times New Roman" pitchFamily="18" charset="0"/>
                        <a:cs typeface="Times New Roman" pitchFamily="18" charset="0"/>
                      </a:rPr>
                      <a:t> - 269,1x</a:t>
                    </a:r>
                    <a:r>
                      <a:rPr lang="en-US" sz="700" baseline="30000">
                        <a:latin typeface="Times New Roman" pitchFamily="18" charset="0"/>
                        <a:cs typeface="Times New Roman" pitchFamily="18" charset="0"/>
                      </a:rPr>
                      <a:t>2</a:t>
                    </a:r>
                    <a:r>
                      <a:rPr lang="en-US" sz="700" baseline="0">
                        <a:latin typeface="Times New Roman" pitchFamily="18" charset="0"/>
                        <a:cs typeface="Times New Roman" pitchFamily="18" charset="0"/>
                      </a:rPr>
                      <a:t> + 28,60x - 0,193
R² = 0,995</a:t>
                    </a:r>
                    <a:endParaRPr lang="en-US" sz="700">
                      <a:latin typeface="Times New Roman" pitchFamily="18" charset="0"/>
                      <a:cs typeface="Times New Roman" pitchFamily="18" charset="0"/>
                    </a:endParaRPr>
                  </a:p>
                </c:rich>
              </c:tx>
              <c:numFmt formatCode="General" sourceLinked="0"/>
              <c:spPr>
                <a:noFill/>
                <a:ln>
                  <a:noFill/>
                </a:ln>
                <a:effectLst/>
              </c:spPr>
            </c:trendlineLbl>
          </c:trendline>
          <c:xVal>
            <c:numRef>
              <c:f>Лист1!$A$39:$A$48</c:f>
              <c:numCache>
                <c:formatCode>General</c:formatCode>
                <c:ptCount val="10"/>
                <c:pt idx="0">
                  <c:v>0</c:v>
                </c:pt>
                <c:pt idx="1">
                  <c:v>0.1</c:v>
                </c:pt>
                <c:pt idx="2">
                  <c:v>0.2</c:v>
                </c:pt>
                <c:pt idx="3">
                  <c:v>0.3</c:v>
                </c:pt>
                <c:pt idx="4">
                  <c:v>0.4</c:v>
                </c:pt>
                <c:pt idx="5">
                  <c:v>0.5</c:v>
                </c:pt>
                <c:pt idx="6">
                  <c:v>0.60000000000000098</c:v>
                </c:pt>
                <c:pt idx="7">
                  <c:v>0.70000000000000095</c:v>
                </c:pt>
                <c:pt idx="8">
                  <c:v>0.8</c:v>
                </c:pt>
                <c:pt idx="9">
                  <c:v>0.9</c:v>
                </c:pt>
              </c:numCache>
            </c:numRef>
          </c:xVal>
          <c:yVal>
            <c:numRef>
              <c:f>Лист1!$F$39:$F$48</c:f>
              <c:numCache>
                <c:formatCode>General</c:formatCode>
                <c:ptCount val="10"/>
                <c:pt idx="0">
                  <c:v>0</c:v>
                </c:pt>
                <c:pt idx="1">
                  <c:v>4.8387096774193603E-2</c:v>
                </c:pt>
                <c:pt idx="2">
                  <c:v>0.12903225806451599</c:v>
                </c:pt>
                <c:pt idx="3">
                  <c:v>0.445161290322581</c:v>
                </c:pt>
                <c:pt idx="4">
                  <c:v>3.0596774193548302</c:v>
                </c:pt>
                <c:pt idx="5">
                  <c:v>6.7080645161290304</c:v>
                </c:pt>
                <c:pt idx="6">
                  <c:v>17.238709677419301</c:v>
                </c:pt>
                <c:pt idx="7">
                  <c:v>26.456451612903201</c:v>
                </c:pt>
                <c:pt idx="8">
                  <c:v>30.645161290322601</c:v>
                </c:pt>
                <c:pt idx="9">
                  <c:v>38.709677419354797</c:v>
                </c:pt>
              </c:numCache>
            </c:numRef>
          </c:yVal>
          <c:smooth val="0"/>
          <c:extLst>
            <c:ext xmlns:c16="http://schemas.microsoft.com/office/drawing/2014/chart" uri="{C3380CC4-5D6E-409C-BE32-E72D297353CC}">
              <c16:uniqueId val="{00000000-8808-4041-AFE1-941A571F786A}"/>
            </c:ext>
          </c:extLst>
        </c:ser>
        <c:dLbls>
          <c:showLegendKey val="0"/>
          <c:showVal val="0"/>
          <c:showCatName val="0"/>
          <c:showSerName val="0"/>
          <c:showPercent val="0"/>
          <c:showBubbleSize val="0"/>
        </c:dLbls>
        <c:axId val="60068224"/>
        <c:axId val="60070144"/>
      </c:scatterChart>
      <c:valAx>
        <c:axId val="60068224"/>
        <c:scaling>
          <c:orientation val="minMax"/>
          <c:max val="0.93"/>
          <c:min val="0"/>
        </c:scaling>
        <c:delete val="0"/>
        <c:axPos val="b"/>
        <c:title>
          <c:tx>
            <c:rich>
              <a:bodyPr vertOverflow="ellipsis" anchor="ctr" anchorCtr="1"/>
              <a:lstStyle/>
              <a:p>
                <a:pPr algn="ctr">
                  <a:defRPr sz="1000" b="1">
                    <a:solidFill>
                      <a:srgbClr val="000000"/>
                    </a:solidFill>
                    <a:latin typeface="+mn-lt"/>
                    <a:ea typeface="+mn-ea"/>
                    <a:cs typeface="+mn-cs"/>
                  </a:defRPr>
                </a:pPr>
                <a:r>
                  <a:rPr lang="en-US">
                    <a:latin typeface="Times New Roman" pitchFamily="18" charset="0"/>
                    <a:cs typeface="Times New Roman" pitchFamily="18" charset="0"/>
                  </a:rPr>
                  <a:t>V,</a:t>
                </a:r>
                <a:r>
                  <a:rPr lang="en-US" baseline="0">
                    <a:latin typeface="Times New Roman" pitchFamily="18" charset="0"/>
                    <a:cs typeface="Times New Roman" pitchFamily="18" charset="0"/>
                  </a:rPr>
                  <a:t> </a:t>
                </a:r>
                <a:r>
                  <a:rPr lang="uk-UA" baseline="0">
                    <a:latin typeface="Times New Roman" pitchFamily="18" charset="0"/>
                    <a:cs typeface="Times New Roman" pitchFamily="18" charset="0"/>
                  </a:rPr>
                  <a:t>дм</a:t>
                </a:r>
                <a:r>
                  <a:rPr lang="uk-UA" baseline="30000">
                    <a:latin typeface="Times New Roman" pitchFamily="18" charset="0"/>
                    <a:cs typeface="Times New Roman" pitchFamily="18" charset="0"/>
                  </a:rPr>
                  <a:t>3</a:t>
                </a:r>
                <a:endParaRPr lang="ru-RU" baseline="30000">
                  <a:latin typeface="Times New Roman" pitchFamily="18" charset="0"/>
                  <a:cs typeface="Times New Roman" pitchFamily="18" charset="0"/>
                </a:endParaRPr>
              </a:p>
            </c:rich>
          </c:tx>
          <c:layout>
            <c:manualLayout>
              <c:xMode val="edge"/>
              <c:yMode val="edge"/>
              <c:x val="0.90400123765017504"/>
              <c:y val="0.91435185185185197"/>
            </c:manualLayout>
          </c:layout>
          <c:overlay val="0"/>
          <c:spPr>
            <a:noFill/>
            <a:ln>
              <a:noFill/>
            </a:ln>
            <a:effectLst/>
          </c:spPr>
        </c:title>
        <c:numFmt formatCode="General" sourceLinked="1"/>
        <c:majorTickMark val="out"/>
        <c:minorTickMark val="none"/>
        <c:tickLblPos val="nextTo"/>
        <c:spPr>
          <a:noFill/>
          <a:ln>
            <a:solidFill>
              <a:srgbClr val="808080">
                <a:lumMod val="50000"/>
                <a:lumOff val="50000"/>
              </a:srgbClr>
            </a:solidFill>
          </a:ln>
          <a:effectLst/>
        </c:spPr>
        <c:txPr>
          <a:bodyPr rot="0" spcFirstLastPara="0" vertOverflow="ellipsis" horzOverflow="overflow" vert="horz" wrap="square" anchor="ctr" anchorCtr="1"/>
          <a:lstStyle/>
          <a:p>
            <a:pPr>
              <a:defRPr sz="1000" b="0" i="0" u="none" strike="noStrike" baseline="0">
                <a:solidFill>
                  <a:srgbClr val="000000"/>
                </a:solidFill>
                <a:latin typeface="Times New Roman"/>
                <a:ea typeface="Times New Roman"/>
                <a:cs typeface="Times New Roman"/>
              </a:defRPr>
            </a:pPr>
            <a:endParaRPr lang="ru-RU"/>
          </a:p>
        </c:txPr>
        <c:crossAx val="60070144"/>
        <c:crosses val="autoZero"/>
        <c:crossBetween val="midCat"/>
        <c:majorUnit val="1"/>
      </c:valAx>
      <c:valAx>
        <c:axId val="60070144"/>
        <c:scaling>
          <c:orientation val="minMax"/>
          <c:max val="41"/>
          <c:min val="0"/>
        </c:scaling>
        <c:delete val="0"/>
        <c:axPos val="l"/>
        <c:majorGridlines>
          <c:spPr>
            <a:ln>
              <a:solidFill>
                <a:sysClr val="window" lastClr="FFFFFF"/>
              </a:solidFill>
            </a:ln>
            <a:effectLst/>
          </c:spPr>
        </c:majorGridlines>
        <c:title>
          <c:tx>
            <c:rich>
              <a:bodyPr rot="-5400000" vertOverflow="ellipsis" vert="horz" anchor="ctr" anchorCtr="1"/>
              <a:lstStyle/>
              <a:p>
                <a:pPr algn="ctr">
                  <a:defRPr sz="1000" b="1">
                    <a:solidFill>
                      <a:srgbClr val="000000"/>
                    </a:solidFill>
                    <a:latin typeface="+mn-lt"/>
                    <a:ea typeface="+mn-ea"/>
                    <a:cs typeface="+mn-cs"/>
                  </a:defRPr>
                </a:pPr>
                <a:r>
                  <a:rPr lang="ru-RU">
                    <a:latin typeface="Times New Roman" pitchFamily="18" charset="0"/>
                    <a:cs typeface="Times New Roman" pitchFamily="18" charset="0"/>
                  </a:rPr>
                  <a:t>С</a:t>
                </a:r>
                <a:r>
                  <a:rPr lang="ru-RU" baseline="0">
                    <a:latin typeface="Times New Roman" pitchFamily="18" charset="0"/>
                    <a:cs typeface="Times New Roman" pitchFamily="18" charset="0"/>
                  </a:rPr>
                  <a:t> (</a:t>
                </a:r>
                <a:r>
                  <a:rPr lang="en-US" baseline="0">
                    <a:latin typeface="Times New Roman" pitchFamily="18" charset="0"/>
                    <a:cs typeface="Times New Roman" pitchFamily="18" charset="0"/>
                  </a:rPr>
                  <a:t>NO</a:t>
                </a:r>
                <a:r>
                  <a:rPr lang="en-US" baseline="-25000">
                    <a:latin typeface="Times New Roman" pitchFamily="18" charset="0"/>
                    <a:cs typeface="Times New Roman" pitchFamily="18" charset="0"/>
                  </a:rPr>
                  <a:t>3</a:t>
                </a:r>
                <a:r>
                  <a:rPr lang="en-US" baseline="30000">
                    <a:latin typeface="Times New Roman" pitchFamily="18" charset="0"/>
                    <a:cs typeface="Times New Roman" pitchFamily="18" charset="0"/>
                  </a:rPr>
                  <a:t>-</a:t>
                </a:r>
                <a:r>
                  <a:rPr lang="en-US" baseline="0">
                    <a:latin typeface="Times New Roman" pitchFamily="18" charset="0"/>
                    <a:cs typeface="Times New Roman" pitchFamily="18" charset="0"/>
                  </a:rPr>
                  <a:t>), </a:t>
                </a:r>
                <a:r>
                  <a:rPr lang="uk-UA" baseline="0">
                    <a:latin typeface="Times New Roman" pitchFamily="18" charset="0"/>
                    <a:cs typeface="Times New Roman" pitchFamily="18" charset="0"/>
                  </a:rPr>
                  <a:t>мг-екв/дм</a:t>
                </a:r>
                <a:r>
                  <a:rPr lang="uk-UA" baseline="30000">
                    <a:latin typeface="Times New Roman" pitchFamily="18" charset="0"/>
                    <a:cs typeface="Times New Roman" pitchFamily="18" charset="0"/>
                  </a:rPr>
                  <a:t>3</a:t>
                </a:r>
                <a:endParaRPr lang="ru-RU" baseline="30000">
                  <a:latin typeface="Times New Roman" pitchFamily="18" charset="0"/>
                  <a:cs typeface="Times New Roman" pitchFamily="18" charset="0"/>
                </a:endParaRPr>
              </a:p>
            </c:rich>
          </c:tx>
          <c:overlay val="0"/>
          <c:spPr>
            <a:noFill/>
            <a:ln>
              <a:noFill/>
            </a:ln>
            <a:effectLst/>
          </c:spPr>
        </c:title>
        <c:numFmt formatCode="General" sourceLinked="1"/>
        <c:majorTickMark val="out"/>
        <c:minorTickMark val="none"/>
        <c:tickLblPos val="nextTo"/>
        <c:spPr>
          <a:noFill/>
          <a:ln>
            <a:solidFill>
              <a:srgbClr val="808080">
                <a:lumMod val="50000"/>
                <a:lumOff val="50000"/>
              </a:srgbClr>
            </a:solidFill>
          </a:ln>
          <a:effectLst/>
        </c:spPr>
        <c:txPr>
          <a:bodyPr rot="-60000000" spcFirstLastPara="0" vertOverflow="ellipsis" horzOverflow="overflow" vert="horz" wrap="square" anchor="ctr" anchorCtr="1"/>
          <a:lstStyle/>
          <a:p>
            <a:pPr>
              <a:defRPr sz="1000" b="0">
                <a:solidFill>
                  <a:srgbClr val="000000"/>
                </a:solidFill>
                <a:latin typeface="Times New Roman" pitchFamily="18" charset="0"/>
                <a:cs typeface="Times New Roman" pitchFamily="18" charset="0"/>
              </a:defRPr>
            </a:pPr>
            <a:endParaRPr lang="ru-RU"/>
          </a:p>
        </c:txPr>
        <c:crossAx val="60068224"/>
        <c:crosses val="autoZero"/>
        <c:crossBetween val="midCat"/>
        <c:majorUnit val="10"/>
      </c:valAx>
      <c:spPr>
        <a:solidFill>
          <a:srgbClr val="FFFFFF"/>
        </a:solidFill>
        <a:ln>
          <a:noFill/>
        </a:ln>
        <a:effectLst/>
      </c:spPr>
    </c:plotArea>
    <c:plotVisOnly val="1"/>
    <c:dispBlanksAs val="gap"/>
    <c:showDLblsOverMax val="0"/>
  </c:chart>
  <c:spPr>
    <a:solidFill>
      <a:srgbClr val="FFFFFF"/>
    </a:solidFill>
    <a:ln w="9525" cap="flat" cmpd="sng" algn="ctr">
      <a:solidFill>
        <a:srgbClr val="FFFFFF"/>
      </a:solidFill>
      <a:prstDash val="solid"/>
    </a:ln>
    <a:effectLst/>
  </c:spPr>
  <c:txPr>
    <a:bodyPr rot="0" spcFirstLastPara="0" vertOverflow="ellipsis" horzOverflow="overflow" vert="horz" wrap="square" anchor="ctr" anchorCtr="1"/>
    <a:lstStyle/>
    <a:p>
      <a:pPr>
        <a:defRPr lang="en-US"/>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666</Words>
  <Characters>3801</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Носачева</dc:creator>
  <cp:keywords/>
  <dc:description/>
  <cp:lastModifiedBy>Юлия Носачева</cp:lastModifiedBy>
  <cp:revision>1</cp:revision>
  <dcterms:created xsi:type="dcterms:W3CDTF">2018-05-13T15:12:00Z</dcterms:created>
  <dcterms:modified xsi:type="dcterms:W3CDTF">2018-05-13T15:13:00Z</dcterms:modified>
</cp:coreProperties>
</file>