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263" w:rsidRPr="002E2263" w:rsidRDefault="002E2263" w:rsidP="002E2263">
      <w:pPr>
        <w:pStyle w:val="3"/>
        <w:spacing w:before="0" w:line="240" w:lineRule="auto"/>
        <w:jc w:val="center"/>
        <w:rPr>
          <w:rFonts w:ascii="Verdana" w:hAnsi="Verdana"/>
          <w:color w:val="auto"/>
          <w:sz w:val="24"/>
          <w:szCs w:val="24"/>
          <w:lang w:val="ru-RU"/>
        </w:rPr>
      </w:pPr>
      <w:bookmarkStart w:id="0" w:name="_Toc352106233"/>
      <w:r w:rsidRPr="002E2263">
        <w:rPr>
          <w:rFonts w:ascii="Verdana" w:hAnsi="Verdana"/>
          <w:color w:val="auto"/>
          <w:sz w:val="24"/>
          <w:szCs w:val="24"/>
          <w:lang w:val="ru-RU"/>
        </w:rPr>
        <w:t>Оцінка попиту українських домогосподарств на агреговані групи продовольчих товарів</w:t>
      </w:r>
      <w:bookmarkEnd w:id="0"/>
    </w:p>
    <w:p w:rsidR="002E2263" w:rsidRPr="002E2263" w:rsidRDefault="002E2263" w:rsidP="002E2263">
      <w:pPr>
        <w:pStyle w:val="3"/>
        <w:spacing w:before="0" w:line="240" w:lineRule="auto"/>
        <w:jc w:val="center"/>
        <w:rPr>
          <w:rFonts w:ascii="Verdana" w:hAnsi="Verdana"/>
          <w:b w:val="0"/>
          <w:color w:val="auto"/>
          <w:lang w:val="ru-RU"/>
        </w:rPr>
      </w:pPr>
      <w:bookmarkStart w:id="1" w:name="_Toc352106234"/>
      <w:r w:rsidRPr="002E2263">
        <w:rPr>
          <w:rFonts w:ascii="Verdana" w:hAnsi="Verdana"/>
          <w:b w:val="0"/>
          <w:color w:val="auto"/>
          <w:lang w:val="ru-RU"/>
        </w:rPr>
        <w:t>Суворова А.О.</w:t>
      </w:r>
      <w:bookmarkEnd w:id="1"/>
    </w:p>
    <w:p w:rsidR="002E2263" w:rsidRPr="000275C2" w:rsidRDefault="002E2263" w:rsidP="002E2263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2E2263" w:rsidRPr="000275C2" w:rsidRDefault="002E2263" w:rsidP="002E2263">
      <w:pPr>
        <w:spacing w:after="0" w:line="240" w:lineRule="auto"/>
        <w:jc w:val="center"/>
        <w:rPr>
          <w:rFonts w:ascii="Verdana" w:hAnsi="Verdana"/>
          <w:i/>
        </w:rPr>
      </w:pPr>
      <w:r w:rsidRPr="000275C2">
        <w:rPr>
          <w:rFonts w:ascii="Verdana" w:hAnsi="Verdana"/>
          <w:i/>
          <w:lang w:val="fr-FR"/>
        </w:rPr>
        <w:t>E-mail:</w:t>
      </w:r>
      <w:r w:rsidRPr="000275C2">
        <w:rPr>
          <w:rFonts w:ascii="Verdana" w:hAnsi="Verdana"/>
          <w:i/>
        </w:rPr>
        <w:t xml:space="preserve"> 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  <w:lang w:val="fr-FR"/>
          </w:rPr>
          <w:t>ans.msbx@gmail.com</w:t>
        </w:r>
      </w:hyperlink>
    </w:p>
    <w:p w:rsidR="002E2263" w:rsidRPr="000275C2" w:rsidRDefault="002E2263" w:rsidP="002E2263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Оцінка споживацьких витрат домогосподарств є одним з визначальних факторів впливу на формування попиту на продовольчі товари [1]. В даній роботі здійснюється оцінка та аналіз попиту домогосподарств як єдиного агента, тому отримуємо кількісні оцінки структури споживання на макрорівні. </w:t>
      </w:r>
      <w:r w:rsidRPr="000275C2">
        <w:rPr>
          <w:rStyle w:val="hps"/>
          <w:rFonts w:ascii="Verdana" w:hAnsi="Verdana"/>
          <w:sz w:val="18"/>
          <w:szCs w:val="18"/>
        </w:rPr>
        <w:t xml:space="preserve">Достатньо результативну оцінку попиту дає </w:t>
      </w:r>
      <w:r w:rsidRPr="000275C2">
        <w:rPr>
          <w:rStyle w:val="hps"/>
          <w:rFonts w:ascii="Verdana" w:hAnsi="Verdana"/>
          <w:sz w:val="18"/>
          <w:szCs w:val="18"/>
          <w:lang w:val="en-US"/>
        </w:rPr>
        <w:t>AIDS</w:t>
      </w:r>
      <w:r w:rsidRPr="000275C2">
        <w:rPr>
          <w:rStyle w:val="hps"/>
          <w:rFonts w:ascii="Verdana" w:hAnsi="Verdana"/>
          <w:sz w:val="18"/>
          <w:szCs w:val="18"/>
        </w:rPr>
        <w:t xml:space="preserve"> модель споживання </w:t>
      </w:r>
      <w:r w:rsidRPr="000275C2">
        <w:rPr>
          <w:rFonts w:ascii="Verdana" w:hAnsi="Verdana"/>
          <w:sz w:val="18"/>
          <w:szCs w:val="18"/>
        </w:rPr>
        <w:t>(</w:t>
      </w:r>
      <w:r w:rsidRPr="000275C2">
        <w:rPr>
          <w:rStyle w:val="hps"/>
          <w:rFonts w:ascii="Verdana" w:hAnsi="Verdana"/>
          <w:sz w:val="18"/>
          <w:szCs w:val="18"/>
          <w:lang w:val="en-US"/>
        </w:rPr>
        <w:t>Almost</w:t>
      </w:r>
      <w:r w:rsidRPr="000275C2">
        <w:rPr>
          <w:rStyle w:val="hps"/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en-US"/>
        </w:rPr>
        <w:t>Ideal</w:t>
      </w:r>
      <w:r w:rsidRPr="000275C2">
        <w:rPr>
          <w:rStyle w:val="hps"/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en-US"/>
        </w:rPr>
        <w:t>Demand</w:t>
      </w:r>
      <w:r w:rsidRPr="000275C2">
        <w:rPr>
          <w:rStyle w:val="hps"/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en-US"/>
        </w:rPr>
        <w:t>System</w:t>
      </w:r>
      <w:r w:rsidRPr="000275C2">
        <w:rPr>
          <w:rStyle w:val="hps"/>
          <w:rFonts w:ascii="Verdana" w:hAnsi="Verdana"/>
          <w:sz w:val="18"/>
          <w:szCs w:val="18"/>
        </w:rPr>
        <w:t xml:space="preserve"> - майже ідеальна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</w:rPr>
        <w:t>система споживання).</w:t>
      </w:r>
      <w:r w:rsidRPr="000275C2">
        <w:rPr>
          <w:rFonts w:ascii="Verdana" w:hAnsi="Verdana"/>
          <w:sz w:val="18"/>
          <w:szCs w:val="18"/>
        </w:rPr>
        <w:t xml:space="preserve"> Вона є теоретично обґрунтованою та відносно простою в оцінці завдяки тому, що допускає лінійне наближення [2].</w:t>
      </w:r>
    </w:p>
    <w:p w:rsidR="002E2263" w:rsidRPr="000275C2" w:rsidRDefault="002E2263" w:rsidP="002E2263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Лінеаризована форма моделі </w:t>
      </w:r>
      <w:r w:rsidRPr="000275C2">
        <w:rPr>
          <w:rFonts w:ascii="Verdana" w:hAnsi="Verdana"/>
          <w:sz w:val="18"/>
          <w:szCs w:val="18"/>
          <w:lang w:val="en-US"/>
        </w:rPr>
        <w:t>AIDS</w:t>
      </w:r>
      <w:r w:rsidRPr="000275C2">
        <w:rPr>
          <w:rFonts w:ascii="Verdana" w:hAnsi="Verdana"/>
          <w:sz w:val="18"/>
          <w:szCs w:val="18"/>
        </w:rPr>
        <w:t xml:space="preserve"> (</w:t>
      </w:r>
      <w:r w:rsidRPr="000275C2">
        <w:rPr>
          <w:rFonts w:ascii="Verdana" w:hAnsi="Verdana"/>
          <w:sz w:val="18"/>
          <w:szCs w:val="18"/>
          <w:lang w:val="en-US"/>
        </w:rPr>
        <w:t>LA</w:t>
      </w:r>
      <w:r w:rsidRPr="000275C2">
        <w:rPr>
          <w:rFonts w:ascii="Verdana" w:hAnsi="Verdana"/>
          <w:sz w:val="18"/>
          <w:szCs w:val="18"/>
        </w:rPr>
        <w:t>/</w:t>
      </w:r>
      <w:r w:rsidRPr="000275C2">
        <w:rPr>
          <w:rFonts w:ascii="Verdana" w:hAnsi="Verdana"/>
          <w:sz w:val="18"/>
          <w:szCs w:val="18"/>
          <w:lang w:val="en-US"/>
        </w:rPr>
        <w:t>AIDS</w:t>
      </w:r>
      <w:r w:rsidRPr="000275C2">
        <w:rPr>
          <w:rFonts w:ascii="Verdana" w:hAnsi="Verdana"/>
          <w:sz w:val="18"/>
          <w:szCs w:val="18"/>
        </w:rPr>
        <w:t>) є досить простою для оцінки завдяки достатньо гнучкій функціональній формі з точки зору обмежень та має прозору інтерпретацію коефіцієнтів, що й зумовило використання її як базової для підвищення ефективності оцінки [3].</w:t>
      </w:r>
    </w:p>
    <w:p w:rsidR="002E2263" w:rsidRPr="000275C2" w:rsidRDefault="002E2263" w:rsidP="002E2263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Оцінка функції споживацького попиту є достатньо складним завданням, так як виникає необхідність враховувати залежність від територіального розташування домогосподарств, їх доходів, різниці цін на товари в кожному регіоні країни. З цією метою проводиться агрегування товарів по групам [1, 2]. При агрегуванні основним критерієм вибору товарів для включення була близькість даних товарів по ролі в споживчому кошику. В результаті маємо 7 груп товарів [1]: група 1 – «Бакалійні товари та хлібобулочні вироби»; група 2 – «Овочі та фрукти»; група 3 – «М’ясо та м’ясні продукти»; група 4 – «Молоко та молочні продукти»; група 5 – «Кондитерські вироби»; група 6 – «Алкоголь»; група 7 – «Безалкогольні напої».</w:t>
      </w:r>
    </w:p>
    <w:p w:rsidR="002E2263" w:rsidRPr="000275C2" w:rsidRDefault="002E2263" w:rsidP="002E2263">
      <w:pPr>
        <w:spacing w:after="0" w:line="240" w:lineRule="auto"/>
        <w:ind w:firstLine="567"/>
        <w:jc w:val="both"/>
        <w:rPr>
          <w:rStyle w:val="hps"/>
          <w:rFonts w:ascii="Verdana" w:eastAsia="Times New Roman" w:hAnsi="Verdana"/>
          <w:sz w:val="18"/>
          <w:szCs w:val="18"/>
        </w:rPr>
      </w:pPr>
      <w:r w:rsidRPr="000275C2">
        <w:rPr>
          <w:rStyle w:val="hps"/>
          <w:rFonts w:ascii="Verdana" w:eastAsia="Times New Roman" w:hAnsi="Verdana"/>
          <w:sz w:val="18"/>
          <w:szCs w:val="18"/>
        </w:rPr>
        <w:t>В результаті отримуємо динаміку змін долей витрат домогосподарств на агреговані групи товарів.</w:t>
      </w:r>
    </w:p>
    <w:p w:rsidR="002E2263" w:rsidRPr="000275C2" w:rsidRDefault="002E2263" w:rsidP="002E2263">
      <w:pPr>
        <w:spacing w:after="0" w:line="240" w:lineRule="auto"/>
        <w:ind w:firstLine="567"/>
        <w:jc w:val="right"/>
        <w:rPr>
          <w:rStyle w:val="hps"/>
          <w:rFonts w:ascii="Verdana" w:eastAsia="Times New Roman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Рис. 1</w:t>
      </w:r>
    </w:p>
    <w:p w:rsidR="002E2263" w:rsidRPr="000275C2" w:rsidRDefault="002E2263" w:rsidP="002E2263">
      <w:pPr>
        <w:spacing w:after="0" w:line="240" w:lineRule="auto"/>
        <w:ind w:firstLine="567"/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  <w:lang w:val="ru-RU" w:eastAsia="ru-RU"/>
        </w:rPr>
        <w:drawing>
          <wp:inline distT="0" distB="0" distL="0" distR="0">
            <wp:extent cx="3419613" cy="1929225"/>
            <wp:effectExtent l="6089" t="6110" r="3298" b="7765"/>
            <wp:docPr id="1" name="Диаграмма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2E2263" w:rsidRPr="000275C2" w:rsidRDefault="002E2263" w:rsidP="002E2263">
      <w:pPr>
        <w:spacing w:after="0" w:line="240" w:lineRule="auto"/>
        <w:ind w:firstLine="567"/>
        <w:jc w:val="center"/>
        <w:rPr>
          <w:rFonts w:ascii="Verdana" w:hAnsi="Verdana"/>
          <w:i/>
          <w:noProof/>
          <w:sz w:val="18"/>
          <w:szCs w:val="18"/>
        </w:rPr>
      </w:pPr>
      <w:r w:rsidRPr="000275C2">
        <w:rPr>
          <w:rFonts w:ascii="Verdana" w:hAnsi="Verdana"/>
          <w:i/>
          <w:noProof/>
          <w:sz w:val="18"/>
          <w:szCs w:val="18"/>
        </w:rPr>
        <w:t>Джерело: складено автором на основі даних [4].</w:t>
      </w:r>
    </w:p>
    <w:p w:rsidR="002E2263" w:rsidRPr="000275C2" w:rsidRDefault="002E2263" w:rsidP="002E2263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Проаналізувавши динаміку змін , спостерігаємо такі тенденції: 1) зростання долі споживчих витрат на м’ясо та м’ясні продукти, овочі, фрукти; 2) зменшення долі витрат бакалійні товари, хлібобулочні та макаронні вироби, кондитерські вироби; 3) відносну стабільність витрат на молоко та молочні продукти, алкогольні та безалкогольні напої.</w:t>
      </w:r>
    </w:p>
    <w:p w:rsidR="002E2263" w:rsidRPr="000275C2" w:rsidRDefault="002E2263" w:rsidP="002E2263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Отже структура витрат є досить типовою для українського споживача і в значній мірі залежить від росту доходів домогосподарств та ринкових цін. Долі витрати на м’ясо та м’ясні продукти, кондитерські вироби знаходяться на першому місці. Вагому частку у споживчому кошику займають витрати овочі та фрукти, бакалію, хлібобулочні вироби, молоко та молочні продукти.</w:t>
      </w:r>
    </w:p>
    <w:p w:rsidR="002E2263" w:rsidRPr="000275C2" w:rsidRDefault="002E2263" w:rsidP="002E2263">
      <w:pPr>
        <w:spacing w:after="0" w:line="240" w:lineRule="auto"/>
        <w:ind w:firstLine="567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Література</w:t>
      </w:r>
    </w:p>
    <w:p w:rsidR="002E2263" w:rsidRPr="000275C2" w:rsidRDefault="002E2263" w:rsidP="002E2263">
      <w:pPr>
        <w:pStyle w:val="ab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284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  <w:lang w:val="uk-UA"/>
        </w:rPr>
        <w:t xml:space="preserve">Бондарев А.А. </w:t>
      </w:r>
      <w:r w:rsidRPr="002E2263">
        <w:rPr>
          <w:rFonts w:ascii="Verdana" w:hAnsi="Verdana"/>
          <w:sz w:val="18"/>
          <w:szCs w:val="18"/>
          <w:lang w:val="ru-RU"/>
        </w:rPr>
        <w:t xml:space="preserve">Оценивание функций спроса для групп продовольственных товаров в российской экономике за 1999-2004 гг./ Бондарев А. А. – М.: ИЭПП, 2008. –: ил. – (Научные труды / Ин-т экономики переходного перио-да. </w:t>
      </w:r>
      <w:r w:rsidRPr="000275C2">
        <w:rPr>
          <w:rFonts w:ascii="Verdana" w:hAnsi="Verdana"/>
          <w:sz w:val="18"/>
          <w:szCs w:val="18"/>
        </w:rPr>
        <w:t>№ 118Р). –166 с.</w:t>
      </w:r>
    </w:p>
    <w:p w:rsidR="002E2263" w:rsidRPr="000275C2" w:rsidRDefault="002E2263" w:rsidP="002E2263">
      <w:pPr>
        <w:pStyle w:val="ab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Deaton A., Muellbauer J. An Almost Ideal Demand System // The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Fonts w:ascii="Verdana" w:hAnsi="Verdana"/>
          <w:sz w:val="18"/>
          <w:szCs w:val="18"/>
        </w:rPr>
        <w:t>American Economic Review. Vol. 70. –Jun., 1980. – №. 3.– P. 312–336.</w:t>
      </w:r>
    </w:p>
    <w:p w:rsidR="002E2263" w:rsidRPr="000275C2" w:rsidRDefault="002E2263" w:rsidP="002E2263">
      <w:pPr>
        <w:pStyle w:val="ab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Alston J.M., Foster K.A., Gree R.D. Estimating Elasticities with the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Fonts w:ascii="Verdana" w:hAnsi="Verdana"/>
          <w:sz w:val="18"/>
          <w:szCs w:val="18"/>
        </w:rPr>
        <w:t>Linear Approximate Almost Ideal Demand System: Some Monte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Fonts w:ascii="Verdana" w:hAnsi="Verdana"/>
          <w:sz w:val="18"/>
          <w:szCs w:val="18"/>
        </w:rPr>
        <w:t>Carlo Results // The Review of Economics and Statistics. Vol. 76. – May., 1994.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Fonts w:ascii="Verdana" w:hAnsi="Verdana"/>
          <w:sz w:val="18"/>
          <w:szCs w:val="18"/>
        </w:rPr>
        <w:t>– №. 2. – P. 351–356.</w:t>
      </w:r>
    </w:p>
    <w:p w:rsidR="002E2263" w:rsidRPr="002E2263" w:rsidRDefault="002E2263" w:rsidP="002E2263">
      <w:pPr>
        <w:pStyle w:val="ab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Verdana" w:hAnsi="Verdana"/>
          <w:sz w:val="18"/>
          <w:szCs w:val="18"/>
          <w:lang w:val="ru-RU"/>
        </w:rPr>
      </w:pPr>
      <w:r w:rsidRPr="000275C2">
        <w:rPr>
          <w:rFonts w:ascii="Verdana" w:hAnsi="Verdana"/>
          <w:sz w:val="18"/>
          <w:szCs w:val="18"/>
          <w:lang w:val="uk-UA"/>
        </w:rPr>
        <w:t>Державна служба статистики України. Україна у цифрах 2011</w:t>
      </w:r>
      <w:r w:rsidRPr="002E2263">
        <w:rPr>
          <w:rFonts w:ascii="Verdana" w:hAnsi="Verdana"/>
          <w:sz w:val="18"/>
          <w:szCs w:val="18"/>
          <w:lang w:val="ru-RU"/>
        </w:rPr>
        <w:t xml:space="preserve"> / </w:t>
      </w:r>
      <w:r w:rsidRPr="000275C2">
        <w:rPr>
          <w:rFonts w:ascii="Verdana" w:hAnsi="Verdana"/>
          <w:sz w:val="18"/>
          <w:szCs w:val="18"/>
          <w:lang w:val="uk-UA"/>
        </w:rPr>
        <w:t xml:space="preserve">Осауленко О. Е. </w:t>
      </w:r>
      <w:r w:rsidRPr="002E2263">
        <w:rPr>
          <w:rFonts w:ascii="Verdana" w:hAnsi="Verdana"/>
          <w:sz w:val="18"/>
          <w:szCs w:val="18"/>
          <w:lang w:val="ru-RU"/>
        </w:rPr>
        <w:t>//</w:t>
      </w:r>
      <w:r w:rsidRPr="000275C2">
        <w:rPr>
          <w:rFonts w:ascii="Verdana" w:hAnsi="Verdana"/>
          <w:sz w:val="18"/>
          <w:szCs w:val="18"/>
          <w:lang w:val="uk-UA"/>
        </w:rPr>
        <w:t xml:space="preserve"> Статистичний збірник. – К.: Київ,</w:t>
      </w:r>
      <w:r w:rsidRPr="002E2263">
        <w:rPr>
          <w:rFonts w:ascii="Verdana" w:hAnsi="Verdana"/>
          <w:sz w:val="18"/>
          <w:szCs w:val="18"/>
          <w:lang w:val="ru-RU"/>
        </w:rPr>
        <w:t xml:space="preserve"> </w:t>
      </w:r>
      <w:r w:rsidRPr="000275C2">
        <w:rPr>
          <w:rFonts w:ascii="Verdana" w:hAnsi="Verdana"/>
          <w:sz w:val="18"/>
          <w:szCs w:val="18"/>
          <w:lang w:val="uk-UA"/>
        </w:rPr>
        <w:t xml:space="preserve">2012 </w:t>
      </w:r>
      <w:r w:rsidRPr="002E2263">
        <w:rPr>
          <w:rFonts w:ascii="Verdana" w:hAnsi="Verdana"/>
          <w:sz w:val="18"/>
          <w:szCs w:val="18"/>
          <w:lang w:val="ru-RU"/>
        </w:rPr>
        <w:t>–</w:t>
      </w:r>
      <w:r w:rsidRPr="000275C2">
        <w:rPr>
          <w:rFonts w:ascii="Verdana" w:hAnsi="Verdana"/>
          <w:sz w:val="18"/>
          <w:szCs w:val="18"/>
          <w:lang w:val="uk-UA"/>
        </w:rPr>
        <w:t xml:space="preserve"> 251с.</w:t>
      </w:r>
    </w:p>
    <w:p w:rsidR="00F91554" w:rsidRPr="002E2263" w:rsidRDefault="00F91554" w:rsidP="00A93575">
      <w:pPr>
        <w:rPr>
          <w:lang w:val="ru-RU"/>
        </w:rPr>
      </w:pPr>
    </w:p>
    <w:sectPr w:rsidR="00F91554" w:rsidRPr="002E2263" w:rsidSect="00987B23">
      <w:footerReference w:type="default" r:id="rId9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1001" w:rsidRDefault="00E71001" w:rsidP="00842066">
      <w:pPr>
        <w:spacing w:after="0" w:line="240" w:lineRule="auto"/>
      </w:pPr>
      <w:r>
        <w:separator/>
      </w:r>
    </w:p>
  </w:endnote>
  <w:endnote w:type="continuationSeparator" w:id="1">
    <w:p w:rsidR="00E71001" w:rsidRDefault="00E71001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B25E9B">
        <w:pPr>
          <w:pStyle w:val="af7"/>
        </w:pPr>
        <w:r>
          <w:t>1</w:t>
        </w:r>
        <w:r w:rsidR="00A93575">
          <w:t>5</w:t>
        </w:r>
        <w:r w:rsidR="002E2263">
          <w:t>2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1001" w:rsidRDefault="00E71001" w:rsidP="00842066">
      <w:pPr>
        <w:spacing w:after="0" w:line="240" w:lineRule="auto"/>
      </w:pPr>
      <w:r>
        <w:separator/>
      </w:r>
    </w:p>
  </w:footnote>
  <w:footnote w:type="continuationSeparator" w:id="1">
    <w:p w:rsidR="00E71001" w:rsidRDefault="00E71001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4F99"/>
    <w:multiLevelType w:val="multilevel"/>
    <w:tmpl w:val="F294AF3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6958C1"/>
    <w:multiLevelType w:val="hybridMultilevel"/>
    <w:tmpl w:val="D046C8BE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">
    <w:nsid w:val="0EA9112A"/>
    <w:multiLevelType w:val="hybridMultilevel"/>
    <w:tmpl w:val="4F4EB4CE"/>
    <w:lvl w:ilvl="0" w:tplc="0419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2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8" w:hanging="360"/>
      </w:pPr>
      <w:rPr>
        <w:rFonts w:ascii="Wingdings" w:hAnsi="Wingdings" w:hint="default"/>
      </w:rPr>
    </w:lvl>
  </w:abstractNum>
  <w:abstractNum w:abstractNumId="3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5">
    <w:nsid w:val="1ED33C35"/>
    <w:multiLevelType w:val="hybridMultilevel"/>
    <w:tmpl w:val="014AED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9D3AE3"/>
    <w:multiLevelType w:val="hybridMultilevel"/>
    <w:tmpl w:val="C9766180"/>
    <w:lvl w:ilvl="0" w:tplc="8DC64F32">
      <w:start w:val="1"/>
      <w:numFmt w:val="decimal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9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B17D7E"/>
    <w:multiLevelType w:val="hybridMultilevel"/>
    <w:tmpl w:val="51161F1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3DA06191"/>
    <w:multiLevelType w:val="hybridMultilevel"/>
    <w:tmpl w:val="532C34F2"/>
    <w:lvl w:ilvl="0" w:tplc="A6BACF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C9D6339"/>
    <w:multiLevelType w:val="hybridMultilevel"/>
    <w:tmpl w:val="B4DE2F56"/>
    <w:lvl w:ilvl="0" w:tplc="919C726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E13A5E"/>
    <w:multiLevelType w:val="hybridMultilevel"/>
    <w:tmpl w:val="F312934A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6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7">
    <w:nsid w:val="5D5A05F9"/>
    <w:multiLevelType w:val="hybridMultilevel"/>
    <w:tmpl w:val="F7E48B02"/>
    <w:lvl w:ilvl="0" w:tplc="5CE2C26E">
      <w:start w:val="1"/>
      <w:numFmt w:val="decimal"/>
      <w:lvlText w:val="%1."/>
      <w:lvlJc w:val="left"/>
      <w:pPr>
        <w:ind w:left="1426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46" w:hanging="360"/>
      </w:pPr>
    </w:lvl>
    <w:lvl w:ilvl="2" w:tplc="0409001B" w:tentative="1">
      <w:start w:val="1"/>
      <w:numFmt w:val="lowerRoman"/>
      <w:lvlText w:val="%3."/>
      <w:lvlJc w:val="right"/>
      <w:pPr>
        <w:ind w:left="2866" w:hanging="180"/>
      </w:pPr>
    </w:lvl>
    <w:lvl w:ilvl="3" w:tplc="0409000F" w:tentative="1">
      <w:start w:val="1"/>
      <w:numFmt w:val="decimal"/>
      <w:lvlText w:val="%4."/>
      <w:lvlJc w:val="left"/>
      <w:pPr>
        <w:ind w:left="3586" w:hanging="360"/>
      </w:pPr>
    </w:lvl>
    <w:lvl w:ilvl="4" w:tplc="04090019" w:tentative="1">
      <w:start w:val="1"/>
      <w:numFmt w:val="lowerLetter"/>
      <w:lvlText w:val="%5."/>
      <w:lvlJc w:val="left"/>
      <w:pPr>
        <w:ind w:left="4306" w:hanging="360"/>
      </w:pPr>
    </w:lvl>
    <w:lvl w:ilvl="5" w:tplc="0409001B" w:tentative="1">
      <w:start w:val="1"/>
      <w:numFmt w:val="lowerRoman"/>
      <w:lvlText w:val="%6."/>
      <w:lvlJc w:val="right"/>
      <w:pPr>
        <w:ind w:left="5026" w:hanging="180"/>
      </w:pPr>
    </w:lvl>
    <w:lvl w:ilvl="6" w:tplc="0409000F" w:tentative="1">
      <w:start w:val="1"/>
      <w:numFmt w:val="decimal"/>
      <w:lvlText w:val="%7."/>
      <w:lvlJc w:val="left"/>
      <w:pPr>
        <w:ind w:left="5746" w:hanging="360"/>
      </w:pPr>
    </w:lvl>
    <w:lvl w:ilvl="7" w:tplc="04090019" w:tentative="1">
      <w:start w:val="1"/>
      <w:numFmt w:val="lowerLetter"/>
      <w:lvlText w:val="%8."/>
      <w:lvlJc w:val="left"/>
      <w:pPr>
        <w:ind w:left="6466" w:hanging="360"/>
      </w:pPr>
    </w:lvl>
    <w:lvl w:ilvl="8" w:tplc="040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8">
    <w:nsid w:val="63201D2D"/>
    <w:multiLevelType w:val="hybridMultilevel"/>
    <w:tmpl w:val="AD4848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5D320F"/>
    <w:multiLevelType w:val="multilevel"/>
    <w:tmpl w:val="39AE5C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8B7103E"/>
    <w:multiLevelType w:val="hybridMultilevel"/>
    <w:tmpl w:val="B9186552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1">
    <w:nsid w:val="69B520F5"/>
    <w:multiLevelType w:val="multilevel"/>
    <w:tmpl w:val="E0A0D4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Verdana" w:eastAsia="Times New Roman" w:hAnsi="Verdana" w:cs="Arial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7054166"/>
    <w:multiLevelType w:val="hybridMultilevel"/>
    <w:tmpl w:val="2EBAE80C"/>
    <w:lvl w:ilvl="0" w:tplc="0419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3">
    <w:nsid w:val="7BAC35F2"/>
    <w:multiLevelType w:val="hybridMultilevel"/>
    <w:tmpl w:val="94FE549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4"/>
  </w:num>
  <w:num w:numId="2">
    <w:abstractNumId w:val="12"/>
  </w:num>
  <w:num w:numId="3">
    <w:abstractNumId w:val="16"/>
  </w:num>
  <w:num w:numId="4">
    <w:abstractNumId w:val="7"/>
  </w:num>
  <w:num w:numId="5">
    <w:abstractNumId w:val="9"/>
  </w:num>
  <w:num w:numId="6">
    <w:abstractNumId w:val="3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</w:num>
  <w:num w:numId="10">
    <w:abstractNumId w:val="11"/>
  </w:num>
  <w:num w:numId="11">
    <w:abstractNumId w:val="5"/>
  </w:num>
  <w:num w:numId="12">
    <w:abstractNumId w:val="8"/>
  </w:num>
  <w:num w:numId="13">
    <w:abstractNumId w:val="17"/>
  </w:num>
  <w:num w:numId="14">
    <w:abstractNumId w:val="1"/>
  </w:num>
  <w:num w:numId="15">
    <w:abstractNumId w:val="20"/>
  </w:num>
  <w:num w:numId="16">
    <w:abstractNumId w:val="2"/>
  </w:num>
  <w:num w:numId="17">
    <w:abstractNumId w:val="22"/>
  </w:num>
  <w:num w:numId="18">
    <w:abstractNumId w:val="15"/>
  </w:num>
  <w:num w:numId="19">
    <w:abstractNumId w:val="23"/>
  </w:num>
  <w:num w:numId="20">
    <w:abstractNumId w:val="19"/>
  </w:num>
  <w:num w:numId="21">
    <w:abstractNumId w:val="21"/>
  </w:num>
  <w:num w:numId="22">
    <w:abstractNumId w:val="0"/>
  </w:num>
  <w:num w:numId="23">
    <w:abstractNumId w:val="14"/>
  </w:num>
  <w:num w:numId="24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01A31"/>
    <w:rsid w:val="00020619"/>
    <w:rsid w:val="000222F0"/>
    <w:rsid w:val="00067DDC"/>
    <w:rsid w:val="000840AC"/>
    <w:rsid w:val="0009520C"/>
    <w:rsid w:val="000A4DF5"/>
    <w:rsid w:val="000A68DB"/>
    <w:rsid w:val="000B4355"/>
    <w:rsid w:val="000B59C8"/>
    <w:rsid w:val="000E0576"/>
    <w:rsid w:val="000E33ED"/>
    <w:rsid w:val="000F2AC6"/>
    <w:rsid w:val="000F5DBB"/>
    <w:rsid w:val="00105C83"/>
    <w:rsid w:val="00117351"/>
    <w:rsid w:val="00162A35"/>
    <w:rsid w:val="001752C1"/>
    <w:rsid w:val="001C18CD"/>
    <w:rsid w:val="001C4033"/>
    <w:rsid w:val="001E180B"/>
    <w:rsid w:val="001F6300"/>
    <w:rsid w:val="001F6A01"/>
    <w:rsid w:val="00202F3C"/>
    <w:rsid w:val="002073DB"/>
    <w:rsid w:val="00207D46"/>
    <w:rsid w:val="00211E3C"/>
    <w:rsid w:val="002156DF"/>
    <w:rsid w:val="0021694B"/>
    <w:rsid w:val="0022232B"/>
    <w:rsid w:val="002372C3"/>
    <w:rsid w:val="0024284B"/>
    <w:rsid w:val="00253813"/>
    <w:rsid w:val="00256C18"/>
    <w:rsid w:val="0026782E"/>
    <w:rsid w:val="002C00BE"/>
    <w:rsid w:val="002C3B8A"/>
    <w:rsid w:val="002E2263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06A0A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5E3BD6"/>
    <w:rsid w:val="00604573"/>
    <w:rsid w:val="00607A49"/>
    <w:rsid w:val="00615805"/>
    <w:rsid w:val="00651076"/>
    <w:rsid w:val="006518EC"/>
    <w:rsid w:val="006573BB"/>
    <w:rsid w:val="006A7249"/>
    <w:rsid w:val="006B27E3"/>
    <w:rsid w:val="007059D9"/>
    <w:rsid w:val="00716B2C"/>
    <w:rsid w:val="007240F2"/>
    <w:rsid w:val="00726EBB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0948"/>
    <w:rsid w:val="007E342D"/>
    <w:rsid w:val="007E50FE"/>
    <w:rsid w:val="00800172"/>
    <w:rsid w:val="0080609A"/>
    <w:rsid w:val="00814DB4"/>
    <w:rsid w:val="00826639"/>
    <w:rsid w:val="00842066"/>
    <w:rsid w:val="00845D20"/>
    <w:rsid w:val="00884BD8"/>
    <w:rsid w:val="008A300E"/>
    <w:rsid w:val="008D5547"/>
    <w:rsid w:val="00900632"/>
    <w:rsid w:val="00923CCC"/>
    <w:rsid w:val="00925A57"/>
    <w:rsid w:val="00926C33"/>
    <w:rsid w:val="0092709B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0EB4"/>
    <w:rsid w:val="009D2A18"/>
    <w:rsid w:val="009D434A"/>
    <w:rsid w:val="009E7F0F"/>
    <w:rsid w:val="009F51F2"/>
    <w:rsid w:val="00A1334D"/>
    <w:rsid w:val="00A15681"/>
    <w:rsid w:val="00A30455"/>
    <w:rsid w:val="00A52C1E"/>
    <w:rsid w:val="00A909B3"/>
    <w:rsid w:val="00A93575"/>
    <w:rsid w:val="00A9671B"/>
    <w:rsid w:val="00AA3EFD"/>
    <w:rsid w:val="00AA4557"/>
    <w:rsid w:val="00AD1AD3"/>
    <w:rsid w:val="00AF21E6"/>
    <w:rsid w:val="00B078E6"/>
    <w:rsid w:val="00B1060C"/>
    <w:rsid w:val="00B10D8C"/>
    <w:rsid w:val="00B17F3E"/>
    <w:rsid w:val="00B2180B"/>
    <w:rsid w:val="00B25E9B"/>
    <w:rsid w:val="00B26518"/>
    <w:rsid w:val="00B50F3E"/>
    <w:rsid w:val="00B55E76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2FD8"/>
    <w:rsid w:val="00C97DA1"/>
    <w:rsid w:val="00CA64E8"/>
    <w:rsid w:val="00CB3F13"/>
    <w:rsid w:val="00CD017A"/>
    <w:rsid w:val="00CD3499"/>
    <w:rsid w:val="00CE2014"/>
    <w:rsid w:val="00CE2709"/>
    <w:rsid w:val="00CE4BD2"/>
    <w:rsid w:val="00CF3B92"/>
    <w:rsid w:val="00D14B36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0E8A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001"/>
    <w:rsid w:val="00E71C27"/>
    <w:rsid w:val="00E72D5A"/>
    <w:rsid w:val="00EA15B8"/>
    <w:rsid w:val="00EE266D"/>
    <w:rsid w:val="00EE2BF5"/>
    <w:rsid w:val="00EE6C47"/>
    <w:rsid w:val="00EF2753"/>
    <w:rsid w:val="00EF6895"/>
    <w:rsid w:val="00F17A96"/>
    <w:rsid w:val="00F31707"/>
    <w:rsid w:val="00F331EF"/>
    <w:rsid w:val="00F5173E"/>
    <w:rsid w:val="00F66438"/>
    <w:rsid w:val="00F91554"/>
    <w:rsid w:val="00FA0F1F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  <w:style w:type="character" w:customStyle="1" w:styleId="10pt">
    <w:name w:val="Основний текст + 10 pt"/>
    <w:rsid w:val="0080609A"/>
    <w:rPr>
      <w:rFonts w:ascii="Times New Roman" w:hAnsi="Times New Roman" w:cs="Times New Roman"/>
      <w:spacing w:val="0"/>
      <w:sz w:val="20"/>
      <w:szCs w:val="20"/>
    </w:rPr>
  </w:style>
  <w:style w:type="table" w:styleId="aff3">
    <w:name w:val="Table Grid"/>
    <w:basedOn w:val="a1"/>
    <w:uiPriority w:val="59"/>
    <w:rsid w:val="009D0EB4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uk-UA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4">
    <w:name w:val="footnote text"/>
    <w:basedOn w:val="a"/>
    <w:link w:val="aff5"/>
    <w:uiPriority w:val="99"/>
    <w:semiHidden/>
    <w:rsid w:val="009D0EB4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5">
    <w:name w:val="Текст сноски Знак"/>
    <w:basedOn w:val="a0"/>
    <w:link w:val="aff4"/>
    <w:uiPriority w:val="99"/>
    <w:semiHidden/>
    <w:rsid w:val="009D0EB4"/>
    <w:rPr>
      <w:rFonts w:ascii="Times New Roman" w:eastAsia="Times New Roman" w:hAnsi="Times New Roman" w:cs="Times New Roman"/>
      <w:sz w:val="20"/>
      <w:szCs w:val="20"/>
      <w:lang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ettings" Target="settings.xml"/><Relationship Id="rId7" Type="http://schemas.openxmlformats.org/officeDocument/2006/relationships/hyperlink" Target="mailto:ans.msbx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IV=2\&#1057;&#1090;&#1072;&#1090;&#1100;&#1103;\&#1072;&#1075;&#1088;&#1077;&#1075;&#1086;&#1074;&#1072;&#1085;&#1110;_&#1094;&#1110;&#1085;&#1080;.xlsx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lang="uk-UA">
                <a:latin typeface="Verdana" pitchFamily="34" charset="0"/>
                <a:ea typeface="Verdana" pitchFamily="34" charset="0"/>
                <a:cs typeface="Verdana" pitchFamily="34" charset="0"/>
              </a:defRPr>
            </a:pPr>
            <a:r>
              <a:rPr lang="uk-UA" sz="800" b="1" i="0" u="none" strike="noStrike" baseline="0">
                <a:latin typeface="Verdana" pitchFamily="34" charset="0"/>
                <a:ea typeface="Verdana" pitchFamily="34" charset="0"/>
                <a:cs typeface="Verdana" pitchFamily="34" charset="0"/>
              </a:rPr>
              <a:t>Динаміка зміни долей витрат на агреговані групи в загальних витратах на харчові продукти (2007-2011 рр.)</a:t>
            </a:r>
            <a:endParaRPr lang="ru-RU" sz="1800">
              <a:latin typeface="Verdana" pitchFamily="34" charset="0"/>
              <a:ea typeface="Verdana" pitchFamily="34" charset="0"/>
              <a:cs typeface="Verdana" pitchFamily="34" charset="0"/>
            </a:endParaRPr>
          </a:p>
        </c:rich>
      </c:tx>
    </c:title>
    <c:plotArea>
      <c:layout/>
      <c:lineChart>
        <c:grouping val="standard"/>
        <c:ser>
          <c:idx val="0"/>
          <c:order val="0"/>
          <c:tx>
            <c:strRef>
              <c:f>Лист1!$A$8</c:f>
              <c:strCache>
                <c:ptCount val="1"/>
                <c:pt idx="0">
                  <c:v>Група 1</c:v>
                </c:pt>
              </c:strCache>
            </c:strRef>
          </c:tx>
          <c:cat>
            <c:numRef>
              <c:f>Лист1!$B$1:$F$1</c:f>
              <c:numCache>
                <c:formatCode>General</c:formatCode>
                <c:ptCount val="5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</c:numCache>
            </c:numRef>
          </c:cat>
          <c:val>
            <c:numRef>
              <c:f>Лист1!$B$8:$F$8</c:f>
              <c:numCache>
                <c:formatCode>General</c:formatCode>
                <c:ptCount val="5"/>
                <c:pt idx="0">
                  <c:v>17.560853683104767</c:v>
                </c:pt>
                <c:pt idx="1">
                  <c:v>15.910313759045147</c:v>
                </c:pt>
                <c:pt idx="2">
                  <c:v>16.015953617527668</c:v>
                </c:pt>
                <c:pt idx="3">
                  <c:v>14.705171566041118</c:v>
                </c:pt>
                <c:pt idx="4">
                  <c:v>13.51990666316067</c:v>
                </c:pt>
              </c:numCache>
            </c:numRef>
          </c:val>
        </c:ser>
        <c:ser>
          <c:idx val="1"/>
          <c:order val="1"/>
          <c:tx>
            <c:strRef>
              <c:f>Лист1!$A$9</c:f>
              <c:strCache>
                <c:ptCount val="1"/>
                <c:pt idx="0">
                  <c:v>Група 2</c:v>
                </c:pt>
              </c:strCache>
            </c:strRef>
          </c:tx>
          <c:cat>
            <c:numRef>
              <c:f>Лист1!$B$1:$F$1</c:f>
              <c:numCache>
                <c:formatCode>General</c:formatCode>
                <c:ptCount val="5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</c:numCache>
            </c:numRef>
          </c:cat>
          <c:val>
            <c:numRef>
              <c:f>Лист1!$B$9:$F$9</c:f>
              <c:numCache>
                <c:formatCode>General</c:formatCode>
                <c:ptCount val="5"/>
                <c:pt idx="0">
                  <c:v>7.5232733272719701</c:v>
                </c:pt>
                <c:pt idx="1">
                  <c:v>6.8973616875212294</c:v>
                </c:pt>
                <c:pt idx="2">
                  <c:v>8.0815957400200933</c:v>
                </c:pt>
                <c:pt idx="3">
                  <c:v>9.7707669608703789</c:v>
                </c:pt>
                <c:pt idx="4">
                  <c:v>9.2079582116377239</c:v>
                </c:pt>
              </c:numCache>
            </c:numRef>
          </c:val>
        </c:ser>
        <c:ser>
          <c:idx val="2"/>
          <c:order val="2"/>
          <c:tx>
            <c:strRef>
              <c:f>Лист1!$A$10</c:f>
              <c:strCache>
                <c:ptCount val="1"/>
                <c:pt idx="0">
                  <c:v>Група 3</c:v>
                </c:pt>
              </c:strCache>
            </c:strRef>
          </c:tx>
          <c:cat>
            <c:numRef>
              <c:f>Лист1!$B$1:$F$1</c:f>
              <c:numCache>
                <c:formatCode>General</c:formatCode>
                <c:ptCount val="5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</c:numCache>
            </c:numRef>
          </c:cat>
          <c:val>
            <c:numRef>
              <c:f>Лист1!$B$10:$F$10</c:f>
              <c:numCache>
                <c:formatCode>General</c:formatCode>
                <c:ptCount val="5"/>
                <c:pt idx="0">
                  <c:v>22.955810854365819</c:v>
                </c:pt>
                <c:pt idx="1">
                  <c:v>27.184582498884211</c:v>
                </c:pt>
                <c:pt idx="2">
                  <c:v>29.901419036507267</c:v>
                </c:pt>
                <c:pt idx="3">
                  <c:v>30.372567882331598</c:v>
                </c:pt>
                <c:pt idx="4">
                  <c:v>32.001331742959422</c:v>
                </c:pt>
              </c:numCache>
            </c:numRef>
          </c:val>
        </c:ser>
        <c:ser>
          <c:idx val="3"/>
          <c:order val="3"/>
          <c:tx>
            <c:strRef>
              <c:f>Лист1!$A$11</c:f>
              <c:strCache>
                <c:ptCount val="1"/>
                <c:pt idx="0">
                  <c:v>Група 4</c:v>
                </c:pt>
              </c:strCache>
            </c:strRef>
          </c:tx>
          <c:cat>
            <c:numRef>
              <c:f>Лист1!$B$1:$F$1</c:f>
              <c:numCache>
                <c:formatCode>General</c:formatCode>
                <c:ptCount val="5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</c:numCache>
            </c:numRef>
          </c:cat>
          <c:val>
            <c:numRef>
              <c:f>Лист1!$B$11:$F$11</c:f>
              <c:numCache>
                <c:formatCode>General</c:formatCode>
                <c:ptCount val="5"/>
                <c:pt idx="0">
                  <c:v>10.807210020554443</c:v>
                </c:pt>
                <c:pt idx="1">
                  <c:v>12.880578273098756</c:v>
                </c:pt>
                <c:pt idx="2">
                  <c:v>11.17004778966222</c:v>
                </c:pt>
                <c:pt idx="3">
                  <c:v>11.136888032832632</c:v>
                </c:pt>
                <c:pt idx="4">
                  <c:v>10.921875088500308</c:v>
                </c:pt>
              </c:numCache>
            </c:numRef>
          </c:val>
        </c:ser>
        <c:ser>
          <c:idx val="4"/>
          <c:order val="4"/>
          <c:tx>
            <c:strRef>
              <c:f>Лист1!$A$12</c:f>
              <c:strCache>
                <c:ptCount val="1"/>
                <c:pt idx="0">
                  <c:v>Група 5</c:v>
                </c:pt>
              </c:strCache>
            </c:strRef>
          </c:tx>
          <c:cat>
            <c:numRef>
              <c:f>Лист1!$B$1:$F$1</c:f>
              <c:numCache>
                <c:formatCode>General</c:formatCode>
                <c:ptCount val="5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</c:numCache>
            </c:numRef>
          </c:cat>
          <c:val>
            <c:numRef>
              <c:f>Лист1!$B$12:$F$12</c:f>
              <c:numCache>
                <c:formatCode>General</c:formatCode>
                <c:ptCount val="5"/>
                <c:pt idx="0">
                  <c:v>29.794271363303384</c:v>
                </c:pt>
                <c:pt idx="1">
                  <c:v>26.590338597195135</c:v>
                </c:pt>
                <c:pt idx="2">
                  <c:v>24.512977511103561</c:v>
                </c:pt>
                <c:pt idx="3">
                  <c:v>24.986922462095887</c:v>
                </c:pt>
                <c:pt idx="4">
                  <c:v>24.476479692200087</c:v>
                </c:pt>
              </c:numCache>
            </c:numRef>
          </c:val>
        </c:ser>
        <c:ser>
          <c:idx val="5"/>
          <c:order val="5"/>
          <c:tx>
            <c:strRef>
              <c:f>Лист1!$A$13</c:f>
              <c:strCache>
                <c:ptCount val="1"/>
                <c:pt idx="0">
                  <c:v>Група 6</c:v>
                </c:pt>
              </c:strCache>
            </c:strRef>
          </c:tx>
          <c:cat>
            <c:numRef>
              <c:f>Лист1!$B$1:$F$1</c:f>
              <c:numCache>
                <c:formatCode>General</c:formatCode>
                <c:ptCount val="5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</c:numCache>
            </c:numRef>
          </c:cat>
          <c:val>
            <c:numRef>
              <c:f>Лист1!$B$13:$F$13</c:f>
              <c:numCache>
                <c:formatCode>General</c:formatCode>
                <c:ptCount val="5"/>
                <c:pt idx="0">
                  <c:v>9.4686193196184227</c:v>
                </c:pt>
                <c:pt idx="1">
                  <c:v>8.9646660183968745</c:v>
                </c:pt>
                <c:pt idx="2">
                  <c:v>8.7319107397458406</c:v>
                </c:pt>
                <c:pt idx="3">
                  <c:v>7.5350836512406953</c:v>
                </c:pt>
                <c:pt idx="4">
                  <c:v>8.3291971764007755</c:v>
                </c:pt>
              </c:numCache>
            </c:numRef>
          </c:val>
        </c:ser>
        <c:ser>
          <c:idx val="6"/>
          <c:order val="6"/>
          <c:tx>
            <c:strRef>
              <c:f>Лист1!$A$14</c:f>
              <c:strCache>
                <c:ptCount val="1"/>
                <c:pt idx="0">
                  <c:v>Група 7</c:v>
                </c:pt>
              </c:strCache>
            </c:strRef>
          </c:tx>
          <c:cat>
            <c:numRef>
              <c:f>Лист1!$B$1:$F$1</c:f>
              <c:numCache>
                <c:formatCode>General</c:formatCode>
                <c:ptCount val="5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</c:numCache>
            </c:numRef>
          </c:cat>
          <c:val>
            <c:numRef>
              <c:f>Лист1!$B$14:$F$14</c:f>
              <c:numCache>
                <c:formatCode>General</c:formatCode>
                <c:ptCount val="5"/>
                <c:pt idx="0">
                  <c:v>1.8899614317811442</c:v>
                </c:pt>
                <c:pt idx="1">
                  <c:v>1.5721591658586227</c:v>
                </c:pt>
                <c:pt idx="2">
                  <c:v>1.5860955654332627</c:v>
                </c:pt>
                <c:pt idx="3">
                  <c:v>1.4925994445876039</c:v>
                </c:pt>
                <c:pt idx="4">
                  <c:v>1.5432514251410943</c:v>
                </c:pt>
              </c:numCache>
            </c:numRef>
          </c:val>
        </c:ser>
        <c:marker val="1"/>
        <c:axId val="140904704"/>
        <c:axId val="140918784"/>
      </c:lineChart>
      <c:catAx>
        <c:axId val="140904704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uk-UA" sz="800">
                <a:latin typeface="Verdana" pitchFamily="34" charset="0"/>
                <a:ea typeface="Verdana" pitchFamily="34" charset="0"/>
                <a:cs typeface="Verdana" pitchFamily="34" charset="0"/>
              </a:defRPr>
            </a:pPr>
            <a:endParaRPr lang="ru-RU"/>
          </a:p>
        </c:txPr>
        <c:crossAx val="140918784"/>
        <c:crosses val="autoZero"/>
        <c:auto val="1"/>
        <c:lblAlgn val="ctr"/>
        <c:lblOffset val="100"/>
      </c:catAx>
      <c:valAx>
        <c:axId val="140918784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lang="uk-UA">
                    <a:latin typeface="Verdana" pitchFamily="34" charset="0"/>
                    <a:ea typeface="Verdana" pitchFamily="34" charset="0"/>
                    <a:cs typeface="Verdana" pitchFamily="34" charset="0"/>
                  </a:defRPr>
                </a:pPr>
                <a:r>
                  <a:rPr lang="uk-UA" sz="800">
                    <a:latin typeface="Verdana" pitchFamily="34" charset="0"/>
                    <a:ea typeface="Verdana" pitchFamily="34" charset="0"/>
                    <a:cs typeface="Verdana" pitchFamily="34" charset="0"/>
                  </a:rPr>
                  <a:t>Долі</a:t>
                </a:r>
                <a:r>
                  <a:rPr lang="uk-UA" sz="800" baseline="0">
                    <a:latin typeface="Verdana" pitchFamily="34" charset="0"/>
                    <a:ea typeface="Verdana" pitchFamily="34" charset="0"/>
                    <a:cs typeface="Verdana" pitchFamily="34" charset="0"/>
                  </a:rPr>
                  <a:t> витрат на групи товарів у %</a:t>
                </a:r>
                <a:endParaRPr lang="ru-RU" sz="800">
                  <a:latin typeface="Verdana" pitchFamily="34" charset="0"/>
                  <a:ea typeface="Verdana" pitchFamily="34" charset="0"/>
                  <a:cs typeface="Verdana" pitchFamily="34" charset="0"/>
                </a:endParaRPr>
              </a:p>
            </c:rich>
          </c:tx>
        </c:title>
        <c:numFmt formatCode="General" sourceLinked="1"/>
        <c:majorTickMark val="none"/>
        <c:tickLblPos val="nextTo"/>
        <c:txPr>
          <a:bodyPr/>
          <a:lstStyle/>
          <a:p>
            <a:pPr>
              <a:defRPr lang="uk-UA" sz="800">
                <a:latin typeface="Verdana" pitchFamily="34" charset="0"/>
                <a:ea typeface="Verdana" pitchFamily="34" charset="0"/>
                <a:cs typeface="Verdana" pitchFamily="34" charset="0"/>
              </a:defRPr>
            </a:pPr>
            <a:endParaRPr lang="ru-RU"/>
          </a:p>
        </c:txPr>
        <c:crossAx val="140904704"/>
        <c:crosses val="autoZero"/>
        <c:crossBetween val="between"/>
      </c:valAx>
    </c:plotArea>
    <c:legend>
      <c:legendPos val="r"/>
      <c:txPr>
        <a:bodyPr/>
        <a:lstStyle/>
        <a:p>
          <a:pPr>
            <a:defRPr lang="uk-UA" sz="800">
              <a:latin typeface="Verdana" pitchFamily="34" charset="0"/>
              <a:ea typeface="Verdana" pitchFamily="34" charset="0"/>
              <a:cs typeface="Verdana" pitchFamily="34" charset="0"/>
            </a:defRPr>
          </a:pPr>
          <a:endParaRPr lang="ru-RU"/>
        </a:p>
      </c:txPr>
    </c:legend>
    <c:plotVisOnly val="1"/>
    <c:dispBlanksAs val="gap"/>
  </c:chart>
  <c:externalData r:id="rId2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490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2013-10-22T08:05:00Z</dcterms:created>
  <dcterms:modified xsi:type="dcterms:W3CDTF">2013-10-22T08:05:00Z</dcterms:modified>
</cp:coreProperties>
</file>