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7572C3" w14:textId="77777777" w:rsidR="001C6AA0" w:rsidRPr="00FC26CD" w:rsidRDefault="001C6AA0" w:rsidP="001C6AA0">
      <w:pPr>
        <w:widowControl w:val="0"/>
        <w:ind w:left="-567" w:firstLine="567"/>
        <w:jc w:val="center"/>
        <w:rPr>
          <w:b/>
          <w:bCs/>
          <w:sz w:val="28"/>
          <w:szCs w:val="20"/>
        </w:rPr>
      </w:pPr>
      <w:r w:rsidRPr="00FC26CD">
        <w:rPr>
          <w:b/>
          <w:bCs/>
          <w:sz w:val="28"/>
          <w:szCs w:val="20"/>
        </w:rPr>
        <w:t>НАЦІОНАЛЬНИЙ ТЕХНІЧНИЙ УНІВЕРСИТЕТ УКРАЇНИ</w:t>
      </w:r>
    </w:p>
    <w:p w14:paraId="1CC052CC" w14:textId="77777777" w:rsidR="001C6AA0" w:rsidRPr="00FC26CD" w:rsidRDefault="001C6AA0" w:rsidP="001C6AA0">
      <w:pPr>
        <w:widowControl w:val="0"/>
        <w:ind w:left="-567" w:firstLine="567"/>
        <w:jc w:val="center"/>
        <w:rPr>
          <w:b/>
          <w:bCs/>
          <w:sz w:val="28"/>
          <w:szCs w:val="20"/>
        </w:rPr>
      </w:pPr>
      <w:r w:rsidRPr="00FC26CD">
        <w:rPr>
          <w:b/>
          <w:bCs/>
          <w:sz w:val="28"/>
          <w:szCs w:val="20"/>
        </w:rPr>
        <w:t>“КИЇВСЬКИЙ ПОЛІТЕХНІЧНИЙ ІНСТИТУТ ІМ</w:t>
      </w:r>
      <w:r>
        <w:rPr>
          <w:b/>
          <w:bCs/>
          <w:sz w:val="28"/>
          <w:szCs w:val="20"/>
          <w:lang w:val="uk-UA"/>
        </w:rPr>
        <w:t>.</w:t>
      </w:r>
      <w:r w:rsidRPr="00FC26CD">
        <w:rPr>
          <w:b/>
          <w:bCs/>
          <w:sz w:val="28"/>
          <w:szCs w:val="20"/>
        </w:rPr>
        <w:t xml:space="preserve"> ІГОРЯ </w:t>
      </w:r>
      <w:bookmarkStart w:id="0" w:name="_GoBack"/>
      <w:bookmarkEnd w:id="0"/>
      <w:r w:rsidRPr="00FC26CD">
        <w:rPr>
          <w:b/>
          <w:bCs/>
          <w:sz w:val="28"/>
          <w:szCs w:val="20"/>
        </w:rPr>
        <w:t>СІКОРСЬКОГО”</w:t>
      </w:r>
    </w:p>
    <w:p w14:paraId="1935192E" w14:textId="77777777" w:rsidR="001C6AA0" w:rsidRPr="00FC26CD" w:rsidRDefault="001C6AA0" w:rsidP="001C6AA0">
      <w:pPr>
        <w:widowControl w:val="0"/>
        <w:ind w:left="-567" w:firstLine="567"/>
        <w:jc w:val="center"/>
        <w:rPr>
          <w:b/>
          <w:bCs/>
          <w:sz w:val="28"/>
          <w:szCs w:val="20"/>
        </w:rPr>
      </w:pPr>
      <w:r w:rsidRPr="00FC26CD">
        <w:rPr>
          <w:b/>
          <w:bCs/>
          <w:sz w:val="28"/>
          <w:szCs w:val="20"/>
        </w:rPr>
        <w:t>Факультет соціології і права</w:t>
      </w:r>
    </w:p>
    <w:p w14:paraId="2513AE9D" w14:textId="77777777" w:rsidR="001C6AA0" w:rsidRPr="007511D4" w:rsidRDefault="001C6AA0" w:rsidP="001C6AA0">
      <w:pPr>
        <w:jc w:val="center"/>
        <w:rPr>
          <w:rFonts w:eastAsia="Calibri" w:cs="Microsoft Uighur"/>
          <w:b/>
          <w:sz w:val="28"/>
          <w:szCs w:val="28"/>
          <w:lang w:val="uk-UA" w:eastAsia="en-US" w:bidi="ug-CN"/>
        </w:rPr>
      </w:pPr>
      <w:r w:rsidRPr="007511D4">
        <w:rPr>
          <w:rFonts w:eastAsia="Calibri" w:cs="Microsoft Uighur"/>
          <w:b/>
          <w:sz w:val="28"/>
          <w:szCs w:val="28"/>
          <w:lang w:val="uk-UA" w:eastAsia="en-US" w:bidi="ug-CN"/>
        </w:rPr>
        <w:t>Кафедра господарського та адміністративного права</w:t>
      </w:r>
    </w:p>
    <w:p w14:paraId="7F1E79A6" w14:textId="77777777" w:rsidR="001C6AA0" w:rsidRPr="007511D4" w:rsidRDefault="001C6AA0" w:rsidP="001C6AA0">
      <w:pPr>
        <w:spacing w:line="360" w:lineRule="auto"/>
        <w:ind w:firstLine="540"/>
        <w:jc w:val="both"/>
        <w:rPr>
          <w:rFonts w:eastAsia="Calibri" w:cs="Microsoft Uighur"/>
          <w:sz w:val="28"/>
          <w:szCs w:val="28"/>
          <w:lang w:val="uk-UA" w:eastAsia="en-US" w:bidi="ug-CN"/>
        </w:rPr>
      </w:pPr>
      <w:r w:rsidRPr="007511D4">
        <w:rPr>
          <w:rFonts w:eastAsia="Calibri" w:cs="Microsoft Uighur"/>
          <w:sz w:val="28"/>
          <w:szCs w:val="28"/>
          <w:lang w:val="uk-UA" w:eastAsia="en-US" w:bidi="ug-CN"/>
        </w:rPr>
        <w:t xml:space="preserve">“На правах рукопису” </w:t>
      </w:r>
      <w:r w:rsidRPr="007511D4">
        <w:rPr>
          <w:rFonts w:eastAsia="Calibri" w:cs="Microsoft Uighur"/>
          <w:sz w:val="28"/>
          <w:szCs w:val="28"/>
          <w:lang w:val="uk-UA" w:eastAsia="en-US" w:bidi="ug-CN"/>
        </w:rPr>
        <w:tab/>
      </w:r>
      <w:r w:rsidRPr="007511D4">
        <w:rPr>
          <w:rFonts w:eastAsia="Calibri" w:cs="Microsoft Uighur"/>
          <w:sz w:val="28"/>
          <w:szCs w:val="28"/>
          <w:lang w:val="uk-UA" w:eastAsia="en-US" w:bidi="ug-CN"/>
        </w:rPr>
        <w:tab/>
      </w:r>
      <w:r w:rsidRPr="007511D4">
        <w:rPr>
          <w:rFonts w:eastAsia="Calibri" w:cs="Microsoft Uighur"/>
          <w:sz w:val="28"/>
          <w:szCs w:val="28"/>
          <w:lang w:val="uk-UA" w:eastAsia="en-US" w:bidi="ug-CN"/>
        </w:rPr>
        <w:tab/>
      </w:r>
      <w:r w:rsidRPr="007511D4">
        <w:rPr>
          <w:rFonts w:eastAsia="Calibri" w:cs="Microsoft Uighur"/>
          <w:sz w:val="28"/>
          <w:szCs w:val="28"/>
          <w:lang w:val="uk-UA" w:eastAsia="en-US" w:bidi="ug-CN"/>
        </w:rPr>
        <w:tab/>
      </w:r>
      <w:r w:rsidRPr="007511D4">
        <w:rPr>
          <w:rFonts w:eastAsia="Calibri" w:cs="Microsoft Uighur"/>
          <w:sz w:val="28"/>
          <w:szCs w:val="28"/>
          <w:lang w:val="uk-UA" w:eastAsia="en-US" w:bidi="ug-CN"/>
        </w:rPr>
        <w:tab/>
        <w:t xml:space="preserve">“До захисту допущено” </w:t>
      </w:r>
    </w:p>
    <w:p w14:paraId="4F2DD37C" w14:textId="77777777" w:rsidR="001C6AA0" w:rsidRPr="007511D4" w:rsidRDefault="001C6AA0" w:rsidP="001C6AA0">
      <w:pPr>
        <w:spacing w:line="360" w:lineRule="auto"/>
        <w:ind w:left="4248" w:hanging="3708"/>
        <w:jc w:val="both"/>
        <w:rPr>
          <w:rFonts w:eastAsia="Calibri" w:cs="Microsoft Uighur"/>
          <w:sz w:val="28"/>
          <w:szCs w:val="28"/>
          <w:lang w:val="uk-UA" w:eastAsia="en-US" w:bidi="ug-CN"/>
        </w:rPr>
      </w:pPr>
      <w:r w:rsidRPr="00493F33">
        <w:rPr>
          <w:rFonts w:eastAsia="Calibri" w:cs="Microsoft Uighur"/>
          <w:sz w:val="28"/>
          <w:szCs w:val="28"/>
          <w:lang w:val="uk-UA" w:eastAsia="en-US" w:bidi="ug-CN"/>
        </w:rPr>
        <w:t>УДК   ____________</w:t>
      </w:r>
      <w:r w:rsidRPr="007511D4">
        <w:rPr>
          <w:rFonts w:eastAsia="Calibri" w:cs="Microsoft Uighur"/>
          <w:sz w:val="28"/>
          <w:szCs w:val="28"/>
          <w:lang w:val="uk-UA" w:eastAsia="en-US" w:bidi="ug-CN"/>
        </w:rPr>
        <w:tab/>
      </w:r>
      <w:r w:rsidRPr="007511D4">
        <w:rPr>
          <w:rFonts w:eastAsia="Calibri" w:cs="Microsoft Uighur"/>
          <w:sz w:val="28"/>
          <w:szCs w:val="28"/>
          <w:lang w:val="uk-UA" w:eastAsia="en-US" w:bidi="ug-CN"/>
        </w:rPr>
        <w:tab/>
      </w:r>
      <w:r w:rsidRPr="007511D4">
        <w:rPr>
          <w:rFonts w:eastAsia="Calibri" w:cs="Microsoft Uighur"/>
          <w:sz w:val="28"/>
          <w:szCs w:val="28"/>
          <w:lang w:val="uk-UA" w:eastAsia="en-US" w:bidi="ug-CN"/>
        </w:rPr>
        <w:tab/>
      </w:r>
      <w:r w:rsidRPr="007511D4">
        <w:rPr>
          <w:rFonts w:eastAsia="Calibri" w:cs="Microsoft Uighur"/>
          <w:sz w:val="28"/>
          <w:szCs w:val="28"/>
          <w:lang w:val="uk-UA" w:eastAsia="en-US" w:bidi="ug-CN"/>
        </w:rPr>
        <w:tab/>
      </w:r>
      <w:r w:rsidRPr="007511D4">
        <w:rPr>
          <w:rFonts w:eastAsia="Calibri" w:cs="Microsoft Uighur"/>
          <w:sz w:val="28"/>
          <w:szCs w:val="28"/>
          <w:lang w:val="uk-UA" w:eastAsia="en-US" w:bidi="ug-CN"/>
        </w:rPr>
        <w:tab/>
        <w:t xml:space="preserve">Завідувач кафедри </w:t>
      </w:r>
    </w:p>
    <w:p w14:paraId="2C171164" w14:textId="35F99B24" w:rsidR="001C6AA0" w:rsidRPr="007511D4" w:rsidRDefault="008B06AF" w:rsidP="001C6AA0">
      <w:pPr>
        <w:spacing w:line="360" w:lineRule="auto"/>
        <w:ind w:left="5664" w:firstLine="708"/>
        <w:jc w:val="both"/>
        <w:rPr>
          <w:rFonts w:eastAsia="Calibri" w:cs="Microsoft Uighur"/>
          <w:sz w:val="28"/>
          <w:szCs w:val="28"/>
          <w:lang w:val="uk-UA" w:eastAsia="en-US" w:bidi="ug-CN"/>
        </w:rPr>
      </w:pPr>
      <w:r>
        <w:rPr>
          <w:rFonts w:eastAsia="Calibri" w:cs="Microsoft Uighur"/>
          <w:sz w:val="28"/>
          <w:szCs w:val="28"/>
          <w:lang w:val="uk-UA" w:eastAsia="en-US" w:bidi="ug-CN"/>
        </w:rPr>
        <w:t>__________ O.O.Кравчук</w:t>
      </w:r>
      <w:r w:rsidR="001C6AA0" w:rsidRPr="007511D4">
        <w:rPr>
          <w:rFonts w:eastAsia="Calibri" w:cs="Microsoft Uighur"/>
          <w:sz w:val="28"/>
          <w:szCs w:val="28"/>
          <w:lang w:val="uk-UA" w:eastAsia="en-US" w:bidi="ug-CN"/>
        </w:rPr>
        <w:t xml:space="preserve"> </w:t>
      </w:r>
    </w:p>
    <w:p w14:paraId="0C02FEE6" w14:textId="77777777" w:rsidR="001C6AA0" w:rsidRPr="007511D4" w:rsidRDefault="001C6AA0" w:rsidP="001C6AA0">
      <w:pPr>
        <w:spacing w:line="360" w:lineRule="auto"/>
        <w:ind w:left="5664"/>
        <w:jc w:val="both"/>
        <w:rPr>
          <w:rFonts w:eastAsia="Calibri" w:cs="Microsoft Uighur"/>
          <w:sz w:val="28"/>
          <w:szCs w:val="28"/>
          <w:lang w:val="uk-UA" w:eastAsia="en-US" w:bidi="ug-CN"/>
        </w:rPr>
      </w:pPr>
      <w:r w:rsidRPr="007511D4">
        <w:rPr>
          <w:rFonts w:eastAsia="Calibri" w:cs="Microsoft Uighur"/>
          <w:sz w:val="28"/>
          <w:szCs w:val="28"/>
          <w:lang w:val="uk-UA" w:eastAsia="en-US" w:bidi="ug-CN"/>
        </w:rPr>
        <w:t>“___”_____________ 201</w:t>
      </w:r>
      <w:r>
        <w:rPr>
          <w:rFonts w:eastAsia="Calibri" w:cs="Microsoft Uighur"/>
          <w:sz w:val="28"/>
          <w:szCs w:val="28"/>
          <w:lang w:val="uk-UA" w:eastAsia="en-US" w:bidi="ug-CN"/>
        </w:rPr>
        <w:t>8</w:t>
      </w:r>
      <w:r w:rsidRPr="007511D4">
        <w:rPr>
          <w:rFonts w:eastAsia="Calibri" w:cs="Microsoft Uighur"/>
          <w:sz w:val="28"/>
          <w:szCs w:val="28"/>
          <w:lang w:val="uk-UA" w:eastAsia="en-US" w:bidi="ug-CN"/>
        </w:rPr>
        <w:t xml:space="preserve"> р. </w:t>
      </w:r>
    </w:p>
    <w:p w14:paraId="69F981AA" w14:textId="77777777" w:rsidR="001C6AA0" w:rsidRPr="00FC26CD" w:rsidRDefault="001C6AA0" w:rsidP="001C6AA0">
      <w:pPr>
        <w:widowControl w:val="0"/>
        <w:spacing w:line="360" w:lineRule="auto"/>
        <w:ind w:firstLine="851"/>
        <w:jc w:val="center"/>
        <w:rPr>
          <w:sz w:val="28"/>
          <w:szCs w:val="20"/>
          <w:lang w:val="uk-UA"/>
        </w:rPr>
      </w:pPr>
    </w:p>
    <w:p w14:paraId="23F034DF" w14:textId="77777777" w:rsidR="001C6AA0" w:rsidRPr="00530A3C" w:rsidRDefault="001C6AA0" w:rsidP="001C6AA0">
      <w:pPr>
        <w:widowControl w:val="0"/>
        <w:spacing w:line="360" w:lineRule="auto"/>
        <w:ind w:firstLine="851"/>
        <w:jc w:val="center"/>
        <w:rPr>
          <w:b/>
          <w:sz w:val="28"/>
          <w:szCs w:val="20"/>
          <w:lang w:val="uk-UA"/>
        </w:rPr>
      </w:pPr>
    </w:p>
    <w:p w14:paraId="512907E2" w14:textId="77777777" w:rsidR="001C6AA0" w:rsidRPr="00530A3C" w:rsidRDefault="001C6AA0" w:rsidP="001C6AA0">
      <w:pPr>
        <w:widowControl w:val="0"/>
        <w:spacing w:line="360" w:lineRule="auto"/>
        <w:ind w:firstLine="851"/>
        <w:jc w:val="center"/>
        <w:rPr>
          <w:b/>
          <w:sz w:val="32"/>
          <w:szCs w:val="32"/>
        </w:rPr>
      </w:pPr>
    </w:p>
    <w:p w14:paraId="2E203DC6" w14:textId="77777777" w:rsidR="001C6AA0" w:rsidRPr="00FC26CD" w:rsidRDefault="001C6AA0" w:rsidP="001C6AA0">
      <w:pPr>
        <w:widowControl w:val="0"/>
        <w:spacing w:line="360" w:lineRule="auto"/>
        <w:ind w:firstLine="851"/>
        <w:jc w:val="center"/>
        <w:rPr>
          <w:b/>
          <w:sz w:val="28"/>
          <w:szCs w:val="28"/>
        </w:rPr>
      </w:pPr>
      <w:bookmarkStart w:id="1" w:name="_Toc399608728"/>
      <w:bookmarkStart w:id="2" w:name="_Toc401090982"/>
      <w:bookmarkStart w:id="3" w:name="_Toc401093496"/>
      <w:r w:rsidRPr="00FC26CD">
        <w:rPr>
          <w:b/>
          <w:sz w:val="28"/>
          <w:szCs w:val="28"/>
          <w:lang w:val="uk-UA"/>
        </w:rPr>
        <w:t>Магістерська</w:t>
      </w:r>
      <w:r w:rsidRPr="00FC26CD">
        <w:rPr>
          <w:b/>
          <w:sz w:val="28"/>
          <w:szCs w:val="28"/>
        </w:rPr>
        <w:t xml:space="preserve"> робота</w:t>
      </w:r>
      <w:bookmarkEnd w:id="1"/>
      <w:bookmarkEnd w:id="2"/>
      <w:bookmarkEnd w:id="3"/>
    </w:p>
    <w:p w14:paraId="25EE9226" w14:textId="77777777" w:rsidR="001C6AA0" w:rsidRPr="00530A3C" w:rsidRDefault="001C6AA0" w:rsidP="001C6AA0">
      <w:pPr>
        <w:ind w:firstLine="851"/>
        <w:jc w:val="center"/>
        <w:rPr>
          <w:sz w:val="28"/>
          <w:szCs w:val="28"/>
          <w:lang w:val="uk-UA"/>
        </w:rPr>
      </w:pPr>
      <w:r w:rsidRPr="00FC26CD">
        <w:rPr>
          <w:rFonts w:hint="eastAsia"/>
          <w:sz w:val="28"/>
          <w:szCs w:val="28"/>
        </w:rPr>
        <w:t>зі</w:t>
      </w:r>
      <w:r w:rsidRPr="00FC26CD">
        <w:rPr>
          <w:sz w:val="28"/>
          <w:szCs w:val="28"/>
        </w:rPr>
        <w:t xml:space="preserve"> </w:t>
      </w:r>
      <w:r w:rsidRPr="00FC26CD">
        <w:rPr>
          <w:rFonts w:hint="eastAsia"/>
          <w:sz w:val="28"/>
          <w:szCs w:val="28"/>
        </w:rPr>
        <w:t>спеціальності</w:t>
      </w:r>
      <w:r w:rsidRPr="00FC26CD">
        <w:rPr>
          <w:sz w:val="28"/>
          <w:szCs w:val="28"/>
        </w:rPr>
        <w:t xml:space="preserve"> 081 </w:t>
      </w:r>
      <w:r w:rsidRPr="00FC26CD">
        <w:rPr>
          <w:rFonts w:hint="eastAsia"/>
          <w:sz w:val="28"/>
          <w:szCs w:val="28"/>
        </w:rPr>
        <w:t>“Право”</w:t>
      </w:r>
    </w:p>
    <w:p w14:paraId="4C697EA4" w14:textId="77777777" w:rsidR="001C6AA0" w:rsidRPr="00530A3C" w:rsidRDefault="001C6AA0" w:rsidP="001C6AA0">
      <w:pPr>
        <w:ind w:firstLine="851"/>
        <w:jc w:val="center"/>
        <w:rPr>
          <w:sz w:val="16"/>
        </w:rPr>
      </w:pPr>
    </w:p>
    <w:p w14:paraId="062C3452" w14:textId="043B2BC2" w:rsidR="001C6AA0" w:rsidRPr="007511D4" w:rsidRDefault="001C6AA0" w:rsidP="001C6AA0">
      <w:pPr>
        <w:ind w:firstLine="851"/>
        <w:jc w:val="center"/>
        <w:rPr>
          <w:b/>
          <w:sz w:val="28"/>
          <w:szCs w:val="28"/>
        </w:rPr>
      </w:pPr>
      <w:r w:rsidRPr="007511D4">
        <w:rPr>
          <w:sz w:val="28"/>
          <w:szCs w:val="28"/>
        </w:rPr>
        <w:t>на тему:</w:t>
      </w:r>
      <w:r w:rsidR="005E7022">
        <w:rPr>
          <w:sz w:val="28"/>
          <w:szCs w:val="28"/>
          <w:lang w:val="uk-UA"/>
        </w:rPr>
        <w:t xml:space="preserve"> «</w:t>
      </w:r>
      <w:r w:rsidRPr="007511D4">
        <w:rPr>
          <w:b/>
          <w:sz w:val="28"/>
          <w:szCs w:val="28"/>
        </w:rPr>
        <w:t xml:space="preserve"> </w:t>
      </w:r>
      <w:r w:rsidR="005E7022">
        <w:rPr>
          <w:b/>
          <w:bCs/>
          <w:sz w:val="28"/>
          <w:szCs w:val="28"/>
          <w:lang w:val="uk-UA"/>
        </w:rPr>
        <w:t>Інститут відводу судді: українські та зарубіжні реалії»</w:t>
      </w:r>
    </w:p>
    <w:p w14:paraId="68DFDFFD" w14:textId="77777777" w:rsidR="001C6AA0" w:rsidRPr="00530A3C" w:rsidRDefault="001C6AA0" w:rsidP="001C6AA0">
      <w:pPr>
        <w:widowControl w:val="0"/>
        <w:spacing w:line="360" w:lineRule="auto"/>
        <w:ind w:firstLine="851"/>
        <w:jc w:val="center"/>
        <w:rPr>
          <w:b/>
          <w:sz w:val="28"/>
          <w:szCs w:val="20"/>
          <w:lang w:val="uk-UA"/>
        </w:rPr>
      </w:pPr>
    </w:p>
    <w:p w14:paraId="33162ADD" w14:textId="77777777" w:rsidR="005E7022" w:rsidRDefault="005E7022" w:rsidP="001C6AA0">
      <w:pPr>
        <w:widowControl w:val="0"/>
        <w:ind w:firstLine="284"/>
        <w:jc w:val="both"/>
        <w:rPr>
          <w:sz w:val="28"/>
          <w:szCs w:val="20"/>
          <w:lang w:val="uk-UA"/>
        </w:rPr>
      </w:pPr>
    </w:p>
    <w:p w14:paraId="175F220E" w14:textId="77777777" w:rsidR="005E7022" w:rsidRDefault="001C6AA0" w:rsidP="005E7022">
      <w:pPr>
        <w:widowControl w:val="0"/>
        <w:ind w:firstLine="284"/>
        <w:jc w:val="both"/>
        <w:rPr>
          <w:sz w:val="28"/>
          <w:szCs w:val="20"/>
          <w:lang w:val="uk-UA"/>
        </w:rPr>
      </w:pPr>
      <w:r w:rsidRPr="00530A3C">
        <w:rPr>
          <w:sz w:val="28"/>
          <w:szCs w:val="20"/>
          <w:lang w:val="uk-UA"/>
        </w:rPr>
        <w:t xml:space="preserve">Виконала: </w:t>
      </w:r>
      <w:r w:rsidRPr="005E7022">
        <w:rPr>
          <w:sz w:val="28"/>
          <w:szCs w:val="20"/>
          <w:u w:val="single"/>
          <w:lang w:val="uk-UA"/>
        </w:rPr>
        <w:t xml:space="preserve">студентка </w:t>
      </w:r>
      <w:r w:rsidR="005E7022" w:rsidRPr="005E7022">
        <w:rPr>
          <w:sz w:val="28"/>
          <w:szCs w:val="20"/>
          <w:u w:val="single"/>
          <w:lang w:val="en-US"/>
        </w:rPr>
        <w:t>VI</w:t>
      </w:r>
      <w:r w:rsidRPr="005E7022">
        <w:rPr>
          <w:sz w:val="28"/>
          <w:szCs w:val="20"/>
          <w:u w:val="single"/>
        </w:rPr>
        <w:t xml:space="preserve"> </w:t>
      </w:r>
      <w:r w:rsidRPr="005E7022">
        <w:rPr>
          <w:sz w:val="28"/>
          <w:szCs w:val="20"/>
          <w:u w:val="single"/>
          <w:lang w:val="uk-UA"/>
        </w:rPr>
        <w:t xml:space="preserve">курсу, </w:t>
      </w:r>
      <w:r w:rsidR="005E7022" w:rsidRPr="005E7022">
        <w:rPr>
          <w:sz w:val="28"/>
          <w:szCs w:val="20"/>
          <w:u w:val="single"/>
          <w:lang w:val="uk-UA"/>
        </w:rPr>
        <w:t>групи СП-72мп</w:t>
      </w:r>
      <w:r>
        <w:rPr>
          <w:sz w:val="28"/>
          <w:szCs w:val="20"/>
          <w:lang w:val="uk-UA"/>
        </w:rPr>
        <w:t xml:space="preserve">                                 </w:t>
      </w:r>
    </w:p>
    <w:p w14:paraId="09FA9720" w14:textId="5C765087" w:rsidR="001C6AA0" w:rsidRPr="005E7022" w:rsidRDefault="005E7022" w:rsidP="005E7022">
      <w:pPr>
        <w:widowControl w:val="0"/>
        <w:ind w:firstLine="284"/>
        <w:jc w:val="both"/>
        <w:rPr>
          <w:sz w:val="28"/>
          <w:szCs w:val="20"/>
          <w:lang w:val="uk-UA"/>
        </w:rPr>
      </w:pPr>
      <w:r w:rsidRPr="005E7022">
        <w:rPr>
          <w:sz w:val="28"/>
          <w:szCs w:val="20"/>
          <w:u w:val="single"/>
          <w:lang w:val="uk-UA"/>
        </w:rPr>
        <w:t xml:space="preserve"> Шевченко К.І.</w:t>
      </w:r>
      <w:r>
        <w:rPr>
          <w:sz w:val="28"/>
          <w:szCs w:val="20"/>
          <w:lang w:val="uk-UA"/>
        </w:rPr>
        <w:t xml:space="preserve">                                                                                       </w:t>
      </w:r>
      <w:r w:rsidR="001C6AA0">
        <w:rPr>
          <w:sz w:val="28"/>
          <w:szCs w:val="20"/>
          <w:lang w:val="uk-UA"/>
        </w:rPr>
        <w:t xml:space="preserve">  ____________</w:t>
      </w:r>
    </w:p>
    <w:p w14:paraId="6D846E7B" w14:textId="77777777" w:rsidR="001C6AA0" w:rsidRPr="00530A3C" w:rsidRDefault="001C6AA0" w:rsidP="001C6AA0">
      <w:pPr>
        <w:widowControl w:val="0"/>
        <w:ind w:firstLine="284"/>
        <w:jc w:val="both"/>
        <w:rPr>
          <w:sz w:val="28"/>
          <w:szCs w:val="20"/>
          <w:lang w:val="uk-UA"/>
        </w:rPr>
      </w:pPr>
    </w:p>
    <w:p w14:paraId="549D2322" w14:textId="77777777" w:rsidR="005E7022" w:rsidRDefault="005E7022" w:rsidP="005E7022">
      <w:pPr>
        <w:widowControl w:val="0"/>
        <w:ind w:firstLine="284"/>
        <w:jc w:val="both"/>
        <w:rPr>
          <w:sz w:val="28"/>
          <w:szCs w:val="20"/>
          <w:lang w:val="uk-UA"/>
        </w:rPr>
      </w:pPr>
    </w:p>
    <w:p w14:paraId="6F7AFFB2" w14:textId="06CBD453" w:rsidR="001C6AA0" w:rsidRPr="00530A3C" w:rsidRDefault="001C6AA0" w:rsidP="005E7022">
      <w:pPr>
        <w:widowControl w:val="0"/>
        <w:ind w:firstLine="284"/>
        <w:jc w:val="both"/>
        <w:rPr>
          <w:sz w:val="28"/>
          <w:szCs w:val="20"/>
          <w:lang w:val="uk-UA"/>
        </w:rPr>
      </w:pPr>
      <w:r>
        <w:rPr>
          <w:sz w:val="28"/>
          <w:szCs w:val="20"/>
          <w:lang w:val="uk-UA"/>
        </w:rPr>
        <w:t>Науковий к</w:t>
      </w:r>
      <w:r w:rsidRPr="00530A3C">
        <w:rPr>
          <w:sz w:val="28"/>
          <w:szCs w:val="20"/>
          <w:lang w:val="uk-UA"/>
        </w:rPr>
        <w:t xml:space="preserve">ерівник </w:t>
      </w:r>
      <w:r w:rsidR="005E7022">
        <w:rPr>
          <w:sz w:val="28"/>
          <w:szCs w:val="20"/>
          <w:lang w:val="uk-UA"/>
        </w:rPr>
        <w:t xml:space="preserve">: </w:t>
      </w:r>
      <w:r w:rsidR="005E7022" w:rsidRPr="005E7022">
        <w:rPr>
          <w:sz w:val="28"/>
          <w:szCs w:val="20"/>
          <w:u w:val="single"/>
          <w:lang w:val="uk-UA"/>
        </w:rPr>
        <w:t>Подоляк С.А.</w:t>
      </w:r>
      <w:r w:rsidR="005E7022">
        <w:rPr>
          <w:sz w:val="28"/>
          <w:szCs w:val="20"/>
          <w:lang w:val="uk-UA"/>
        </w:rPr>
        <w:t xml:space="preserve">  </w:t>
      </w:r>
      <w:r>
        <w:rPr>
          <w:sz w:val="28"/>
          <w:szCs w:val="20"/>
          <w:lang w:val="uk-UA"/>
        </w:rPr>
        <w:t xml:space="preserve">                                                     _____________</w:t>
      </w:r>
    </w:p>
    <w:p w14:paraId="5CB04500" w14:textId="77777777" w:rsidR="001C6AA0" w:rsidRDefault="001C6AA0" w:rsidP="001C6AA0">
      <w:pPr>
        <w:widowControl w:val="0"/>
        <w:ind w:firstLine="284"/>
        <w:jc w:val="both"/>
        <w:rPr>
          <w:sz w:val="28"/>
          <w:szCs w:val="20"/>
          <w:lang w:val="uk-UA"/>
        </w:rPr>
      </w:pPr>
    </w:p>
    <w:p w14:paraId="4332DAD9" w14:textId="77777777" w:rsidR="005E7022" w:rsidRDefault="005E7022" w:rsidP="005E7022">
      <w:pPr>
        <w:widowControl w:val="0"/>
        <w:ind w:firstLine="284"/>
        <w:jc w:val="both"/>
        <w:rPr>
          <w:sz w:val="28"/>
          <w:szCs w:val="20"/>
          <w:lang w:val="uk-UA"/>
        </w:rPr>
      </w:pPr>
    </w:p>
    <w:p w14:paraId="3DFFEDC6" w14:textId="4DAB6447" w:rsidR="001C6AA0" w:rsidRPr="00530A3C" w:rsidRDefault="001C6AA0" w:rsidP="005E7022">
      <w:pPr>
        <w:widowControl w:val="0"/>
        <w:ind w:firstLine="284"/>
        <w:jc w:val="both"/>
        <w:rPr>
          <w:sz w:val="28"/>
          <w:szCs w:val="20"/>
          <w:lang w:val="uk-UA"/>
        </w:rPr>
      </w:pPr>
      <w:r w:rsidRPr="00530A3C">
        <w:rPr>
          <w:sz w:val="28"/>
          <w:szCs w:val="20"/>
          <w:lang w:val="uk-UA"/>
        </w:rPr>
        <w:t>Реце</w:t>
      </w:r>
      <w:r w:rsidR="005E7022">
        <w:rPr>
          <w:sz w:val="28"/>
          <w:szCs w:val="20"/>
          <w:lang w:val="uk-UA"/>
        </w:rPr>
        <w:t xml:space="preserve">нзент:  </w:t>
      </w:r>
      <w:r w:rsidR="005E7022" w:rsidRPr="005E7022">
        <w:rPr>
          <w:sz w:val="28"/>
          <w:szCs w:val="20"/>
          <w:u w:val="single"/>
          <w:lang w:val="uk-UA"/>
        </w:rPr>
        <w:t>Єгорова В.С.</w:t>
      </w:r>
      <w:r w:rsidR="005E7022">
        <w:rPr>
          <w:sz w:val="28"/>
          <w:szCs w:val="20"/>
          <w:lang w:val="uk-UA"/>
        </w:rPr>
        <w:t xml:space="preserve">                       </w:t>
      </w:r>
      <w:r>
        <w:rPr>
          <w:sz w:val="28"/>
          <w:szCs w:val="20"/>
          <w:lang w:val="uk-UA"/>
        </w:rPr>
        <w:t xml:space="preserve">                                                _____________</w:t>
      </w:r>
    </w:p>
    <w:p w14:paraId="1E51A178" w14:textId="01B40145" w:rsidR="001C6AA0" w:rsidRDefault="001C6AA0" w:rsidP="001C6AA0">
      <w:pPr>
        <w:widowControl w:val="0"/>
        <w:spacing w:line="360" w:lineRule="auto"/>
        <w:ind w:firstLine="284"/>
        <w:jc w:val="both"/>
        <w:rPr>
          <w:sz w:val="28"/>
          <w:szCs w:val="20"/>
          <w:lang w:val="uk-UA"/>
        </w:rPr>
      </w:pPr>
    </w:p>
    <w:p w14:paraId="03F5C40E" w14:textId="61721AA2" w:rsidR="005E7022" w:rsidRPr="00530A3C" w:rsidRDefault="005E7022" w:rsidP="005E7022">
      <w:pPr>
        <w:widowControl w:val="0"/>
        <w:spacing w:line="360" w:lineRule="auto"/>
        <w:jc w:val="both"/>
        <w:rPr>
          <w:sz w:val="28"/>
          <w:szCs w:val="20"/>
          <w:lang w:val="uk-UA"/>
        </w:rPr>
      </w:pPr>
    </w:p>
    <w:p w14:paraId="3CAC3895" w14:textId="77777777" w:rsidR="001C6AA0" w:rsidRPr="007511D4" w:rsidRDefault="001C6AA0" w:rsidP="001C6AA0">
      <w:pPr>
        <w:widowControl w:val="0"/>
        <w:spacing w:line="360" w:lineRule="auto"/>
        <w:ind w:left="4678" w:firstLine="283"/>
        <w:jc w:val="both"/>
        <w:rPr>
          <w:lang w:val="uk-UA"/>
        </w:rPr>
      </w:pPr>
      <w:r w:rsidRPr="007511D4">
        <w:rPr>
          <w:lang w:val="uk-UA"/>
        </w:rPr>
        <w:t>Засвідчую, що у цій магістерській роботі</w:t>
      </w:r>
    </w:p>
    <w:p w14:paraId="36038A9D" w14:textId="77777777" w:rsidR="001C6AA0" w:rsidRPr="007511D4" w:rsidRDefault="001C6AA0" w:rsidP="001C6AA0">
      <w:pPr>
        <w:widowControl w:val="0"/>
        <w:spacing w:line="360" w:lineRule="auto"/>
        <w:ind w:left="4678" w:firstLine="283"/>
        <w:jc w:val="both"/>
        <w:rPr>
          <w:lang w:val="uk-UA"/>
        </w:rPr>
      </w:pPr>
      <w:r w:rsidRPr="007511D4">
        <w:rPr>
          <w:lang w:val="uk-UA"/>
        </w:rPr>
        <w:t>Немає запозичень з праць інших авторів без відповідних посилань</w:t>
      </w:r>
    </w:p>
    <w:p w14:paraId="40E984BF" w14:textId="77777777" w:rsidR="001C6AA0" w:rsidRPr="007511D4" w:rsidRDefault="001C6AA0" w:rsidP="001C6AA0">
      <w:pPr>
        <w:widowControl w:val="0"/>
        <w:spacing w:line="360" w:lineRule="auto"/>
        <w:ind w:left="4678" w:firstLine="283"/>
        <w:jc w:val="both"/>
        <w:rPr>
          <w:lang w:val="uk-UA"/>
        </w:rPr>
      </w:pPr>
      <w:r w:rsidRPr="007511D4">
        <w:rPr>
          <w:lang w:val="uk-UA"/>
        </w:rPr>
        <w:t>Студент ________________</w:t>
      </w:r>
    </w:p>
    <w:p w14:paraId="599679D0" w14:textId="77777777" w:rsidR="001C6AA0" w:rsidRPr="00530A3C" w:rsidRDefault="001C6AA0" w:rsidP="001C6AA0">
      <w:pPr>
        <w:ind w:firstLine="851"/>
        <w:jc w:val="right"/>
        <w:rPr>
          <w:sz w:val="16"/>
        </w:rPr>
      </w:pPr>
    </w:p>
    <w:p w14:paraId="7CCC0603" w14:textId="77777777" w:rsidR="001C6AA0" w:rsidRPr="00530A3C" w:rsidRDefault="001C6AA0" w:rsidP="001C6AA0">
      <w:pPr>
        <w:ind w:firstLine="851"/>
        <w:rPr>
          <w:sz w:val="20"/>
        </w:rPr>
      </w:pPr>
    </w:p>
    <w:p w14:paraId="3A0F9F0C" w14:textId="77777777" w:rsidR="001C6AA0" w:rsidRPr="00530A3C" w:rsidRDefault="001C6AA0" w:rsidP="001C6AA0">
      <w:pPr>
        <w:ind w:firstLine="851"/>
        <w:rPr>
          <w:sz w:val="20"/>
        </w:rPr>
      </w:pPr>
    </w:p>
    <w:p w14:paraId="04554FE0" w14:textId="77777777" w:rsidR="001C6AA0" w:rsidRDefault="001C6AA0" w:rsidP="001C6AA0">
      <w:pPr>
        <w:ind w:firstLine="851"/>
        <w:rPr>
          <w:sz w:val="20"/>
        </w:rPr>
      </w:pPr>
    </w:p>
    <w:p w14:paraId="57E606E9" w14:textId="77777777" w:rsidR="001C6AA0" w:rsidRDefault="001C6AA0" w:rsidP="001C6AA0">
      <w:pPr>
        <w:ind w:firstLine="851"/>
        <w:rPr>
          <w:sz w:val="20"/>
        </w:rPr>
      </w:pPr>
    </w:p>
    <w:p w14:paraId="2EA3FDE0" w14:textId="77777777" w:rsidR="001C6AA0" w:rsidRDefault="001C6AA0" w:rsidP="001C6AA0">
      <w:pPr>
        <w:ind w:firstLine="851"/>
        <w:rPr>
          <w:sz w:val="20"/>
        </w:rPr>
      </w:pPr>
    </w:p>
    <w:p w14:paraId="765576D7" w14:textId="3EDA3870" w:rsidR="001C6AA0" w:rsidRPr="00530A3C" w:rsidRDefault="001C6AA0" w:rsidP="001C6AA0">
      <w:pPr>
        <w:ind w:firstLine="851"/>
        <w:rPr>
          <w:sz w:val="20"/>
        </w:rPr>
      </w:pPr>
    </w:p>
    <w:p w14:paraId="47BD0A05" w14:textId="77777777" w:rsidR="001C6AA0" w:rsidRPr="00530A3C" w:rsidRDefault="001C6AA0" w:rsidP="001C6AA0">
      <w:pPr>
        <w:ind w:firstLine="851"/>
        <w:jc w:val="center"/>
        <w:rPr>
          <w:noProof/>
          <w:sz w:val="28"/>
          <w:szCs w:val="28"/>
          <w:lang w:val="uk-UA"/>
        </w:rPr>
      </w:pPr>
      <w:r>
        <w:rPr>
          <w:sz w:val="28"/>
          <w:szCs w:val="28"/>
          <w:lang w:val="uk-UA"/>
        </w:rPr>
        <w:t xml:space="preserve">Київ – </w:t>
      </w:r>
      <w:r w:rsidRPr="00530A3C">
        <w:rPr>
          <w:noProof/>
          <w:sz w:val="28"/>
          <w:szCs w:val="28"/>
        </w:rPr>
        <w:t>201</w:t>
      </w:r>
      <w:r>
        <w:rPr>
          <w:noProof/>
          <w:sz w:val="28"/>
          <w:szCs w:val="28"/>
          <w:lang w:val="uk-UA"/>
        </w:rPr>
        <w:t>8 рік</w:t>
      </w:r>
    </w:p>
    <w:p w14:paraId="3A363BA8" w14:textId="77777777" w:rsidR="001C6AA0" w:rsidRPr="00530A3C" w:rsidRDefault="001C6AA0" w:rsidP="001C6AA0">
      <w:pPr>
        <w:ind w:firstLine="851"/>
        <w:jc w:val="center"/>
        <w:rPr>
          <w:b/>
          <w:sz w:val="28"/>
          <w:szCs w:val="28"/>
        </w:rPr>
      </w:pPr>
      <w:r w:rsidRPr="00530A3C">
        <w:rPr>
          <w:b/>
          <w:noProof/>
          <w:sz w:val="28"/>
          <w:lang w:val="uk-UA"/>
        </w:rPr>
        <w:br w:type="page"/>
      </w:r>
      <w:r w:rsidRPr="00530A3C">
        <w:rPr>
          <w:b/>
          <w:sz w:val="28"/>
          <w:szCs w:val="28"/>
        </w:rPr>
        <w:lastRenderedPageBreak/>
        <w:t>ЗМІСТ</w:t>
      </w:r>
    </w:p>
    <w:p w14:paraId="4D9B6DB4" w14:textId="40FFC9C8" w:rsidR="001C6AA0" w:rsidRDefault="001C6AA0" w:rsidP="001C6AA0">
      <w:pPr>
        <w:ind w:firstLine="851"/>
        <w:jc w:val="center"/>
        <w:rPr>
          <w:sz w:val="28"/>
          <w:szCs w:val="28"/>
        </w:rPr>
      </w:pPr>
    </w:p>
    <w:p w14:paraId="2FECC31E" w14:textId="77777777" w:rsidR="00DD4441" w:rsidRPr="001F5928" w:rsidRDefault="00DD4441" w:rsidP="001C6AA0">
      <w:pPr>
        <w:ind w:firstLine="851"/>
        <w:jc w:val="center"/>
        <w:rPr>
          <w:sz w:val="28"/>
          <w:szCs w:val="28"/>
        </w:rPr>
      </w:pPr>
    </w:p>
    <w:p w14:paraId="7F9E1E2A" w14:textId="068B9ABD" w:rsidR="009157D9" w:rsidRDefault="009157D9">
      <w:pPr>
        <w:pStyle w:val="11"/>
        <w:rPr>
          <w:rFonts w:asciiTheme="minorHAnsi" w:eastAsiaTheme="minorEastAsia" w:hAnsiTheme="minorHAnsi" w:cstheme="minorBidi"/>
          <w:noProof/>
          <w:sz w:val="22"/>
          <w:szCs w:val="22"/>
          <w:lang w:val="uk-UA" w:eastAsia="uk-UA"/>
        </w:rPr>
      </w:pPr>
      <w:r>
        <w:rPr>
          <w:noProof/>
          <w:color w:val="000000"/>
          <w:szCs w:val="28"/>
          <w:lang w:val="uk-UA"/>
        </w:rPr>
        <w:fldChar w:fldCharType="begin"/>
      </w:r>
      <w:r>
        <w:rPr>
          <w:noProof/>
          <w:color w:val="000000"/>
          <w:szCs w:val="28"/>
          <w:lang w:val="uk-UA"/>
        </w:rPr>
        <w:instrText xml:space="preserve"> TOC \o "1-3" \h \z \u </w:instrText>
      </w:r>
      <w:r>
        <w:rPr>
          <w:noProof/>
          <w:color w:val="000000"/>
          <w:szCs w:val="28"/>
          <w:lang w:val="uk-UA"/>
        </w:rPr>
        <w:fldChar w:fldCharType="separate"/>
      </w:r>
      <w:hyperlink w:anchor="_Toc532751454" w:history="1">
        <w:r w:rsidRPr="005346BA">
          <w:rPr>
            <w:rStyle w:val="a5"/>
            <w:rFonts w:eastAsia="Calibri"/>
            <w:bCs/>
            <w:noProof/>
            <w:kern w:val="32"/>
            <w:lang w:val="x-none" w:eastAsia="x-none"/>
          </w:rPr>
          <w:t xml:space="preserve">ПЕРЕЛІК </w:t>
        </w:r>
        <w:r w:rsidRPr="005346BA">
          <w:rPr>
            <w:rStyle w:val="a5"/>
            <w:rFonts w:eastAsia="Calibri"/>
            <w:bCs/>
            <w:noProof/>
            <w:kern w:val="32"/>
            <w:lang w:eastAsia="x-none"/>
          </w:rPr>
          <w:t>УМОВНИХ СКОРОЧЕНЬ</w:t>
        </w:r>
        <w:r>
          <w:rPr>
            <w:noProof/>
            <w:webHidden/>
          </w:rPr>
          <w:tab/>
        </w:r>
        <w:r>
          <w:rPr>
            <w:noProof/>
            <w:webHidden/>
          </w:rPr>
          <w:fldChar w:fldCharType="begin"/>
        </w:r>
        <w:r>
          <w:rPr>
            <w:noProof/>
            <w:webHidden/>
          </w:rPr>
          <w:instrText xml:space="preserve"> PAGEREF _Toc532751454 \h </w:instrText>
        </w:r>
        <w:r>
          <w:rPr>
            <w:noProof/>
            <w:webHidden/>
          </w:rPr>
        </w:r>
        <w:r>
          <w:rPr>
            <w:noProof/>
            <w:webHidden/>
          </w:rPr>
          <w:fldChar w:fldCharType="separate"/>
        </w:r>
        <w:r>
          <w:rPr>
            <w:noProof/>
            <w:webHidden/>
          </w:rPr>
          <w:t>3</w:t>
        </w:r>
        <w:r>
          <w:rPr>
            <w:noProof/>
            <w:webHidden/>
          </w:rPr>
          <w:fldChar w:fldCharType="end"/>
        </w:r>
      </w:hyperlink>
    </w:p>
    <w:p w14:paraId="6FF82EFC" w14:textId="5EB6BDBF" w:rsidR="009157D9" w:rsidRDefault="00CD6AB8">
      <w:pPr>
        <w:pStyle w:val="11"/>
        <w:rPr>
          <w:rFonts w:asciiTheme="minorHAnsi" w:eastAsiaTheme="minorEastAsia" w:hAnsiTheme="minorHAnsi" w:cstheme="minorBidi"/>
          <w:noProof/>
          <w:sz w:val="22"/>
          <w:szCs w:val="22"/>
          <w:lang w:val="uk-UA" w:eastAsia="uk-UA"/>
        </w:rPr>
      </w:pPr>
      <w:hyperlink w:anchor="_Toc532751455" w:history="1">
        <w:r w:rsidR="009157D9" w:rsidRPr="005346BA">
          <w:rPr>
            <w:rStyle w:val="a5"/>
            <w:b/>
            <w:noProof/>
            <w:lang w:val="uk-UA"/>
          </w:rPr>
          <w:t>ВСТУП</w:t>
        </w:r>
        <w:r w:rsidR="009157D9">
          <w:rPr>
            <w:noProof/>
            <w:webHidden/>
          </w:rPr>
          <w:tab/>
        </w:r>
        <w:r w:rsidR="009157D9">
          <w:rPr>
            <w:noProof/>
            <w:webHidden/>
          </w:rPr>
          <w:fldChar w:fldCharType="begin"/>
        </w:r>
        <w:r w:rsidR="009157D9">
          <w:rPr>
            <w:noProof/>
            <w:webHidden/>
          </w:rPr>
          <w:instrText xml:space="preserve"> PAGEREF _Toc532751455 \h </w:instrText>
        </w:r>
        <w:r w:rsidR="009157D9">
          <w:rPr>
            <w:noProof/>
            <w:webHidden/>
          </w:rPr>
        </w:r>
        <w:r w:rsidR="009157D9">
          <w:rPr>
            <w:noProof/>
            <w:webHidden/>
          </w:rPr>
          <w:fldChar w:fldCharType="separate"/>
        </w:r>
        <w:r w:rsidR="009157D9">
          <w:rPr>
            <w:noProof/>
            <w:webHidden/>
          </w:rPr>
          <w:t>4</w:t>
        </w:r>
        <w:r w:rsidR="009157D9">
          <w:rPr>
            <w:noProof/>
            <w:webHidden/>
          </w:rPr>
          <w:fldChar w:fldCharType="end"/>
        </w:r>
      </w:hyperlink>
    </w:p>
    <w:p w14:paraId="1F2F71F5" w14:textId="6B70591E" w:rsidR="009157D9" w:rsidRDefault="00CD6AB8">
      <w:pPr>
        <w:pStyle w:val="11"/>
        <w:rPr>
          <w:rFonts w:asciiTheme="minorHAnsi" w:eastAsiaTheme="minorEastAsia" w:hAnsiTheme="minorHAnsi" w:cstheme="minorBidi"/>
          <w:noProof/>
          <w:sz w:val="22"/>
          <w:szCs w:val="22"/>
          <w:lang w:val="uk-UA" w:eastAsia="uk-UA"/>
        </w:rPr>
      </w:pPr>
      <w:hyperlink w:anchor="_Toc532751456" w:history="1">
        <w:r w:rsidR="009157D9" w:rsidRPr="005346BA">
          <w:rPr>
            <w:rStyle w:val="a5"/>
            <w:bCs/>
            <w:noProof/>
            <w:kern w:val="32"/>
          </w:rPr>
          <w:t>РОЗДІЛ 1. ГЕНЕЗА СТАНОВЛЕННЯ ТА РОЗВИТКУ ІНСТИТУТУ ВІДВОДУ СУДДІ В ГОСПОДАРСЬКОМУ СУДОЧИНСТВІ</w:t>
        </w:r>
        <w:r w:rsidR="009157D9">
          <w:rPr>
            <w:noProof/>
            <w:webHidden/>
          </w:rPr>
          <w:tab/>
        </w:r>
        <w:r w:rsidR="009157D9">
          <w:rPr>
            <w:noProof/>
            <w:webHidden/>
          </w:rPr>
          <w:fldChar w:fldCharType="begin"/>
        </w:r>
        <w:r w:rsidR="009157D9">
          <w:rPr>
            <w:noProof/>
            <w:webHidden/>
          </w:rPr>
          <w:instrText xml:space="preserve"> PAGEREF _Toc532751456 \h </w:instrText>
        </w:r>
        <w:r w:rsidR="009157D9">
          <w:rPr>
            <w:noProof/>
            <w:webHidden/>
          </w:rPr>
        </w:r>
        <w:r w:rsidR="009157D9">
          <w:rPr>
            <w:noProof/>
            <w:webHidden/>
          </w:rPr>
          <w:fldChar w:fldCharType="separate"/>
        </w:r>
        <w:r w:rsidR="009157D9">
          <w:rPr>
            <w:noProof/>
            <w:webHidden/>
          </w:rPr>
          <w:t>8</w:t>
        </w:r>
        <w:r w:rsidR="009157D9">
          <w:rPr>
            <w:noProof/>
            <w:webHidden/>
          </w:rPr>
          <w:fldChar w:fldCharType="end"/>
        </w:r>
      </w:hyperlink>
    </w:p>
    <w:p w14:paraId="7A3399F2" w14:textId="3D13FC7C" w:rsidR="009157D9" w:rsidRDefault="00CD6AB8">
      <w:pPr>
        <w:pStyle w:val="11"/>
        <w:rPr>
          <w:rFonts w:asciiTheme="minorHAnsi" w:eastAsiaTheme="minorEastAsia" w:hAnsiTheme="minorHAnsi" w:cstheme="minorBidi"/>
          <w:noProof/>
          <w:sz w:val="22"/>
          <w:szCs w:val="22"/>
          <w:lang w:val="uk-UA" w:eastAsia="uk-UA"/>
        </w:rPr>
      </w:pPr>
      <w:hyperlink w:anchor="_Toc532751457" w:history="1">
        <w:r w:rsidR="009157D9" w:rsidRPr="005346BA">
          <w:rPr>
            <w:rStyle w:val="a5"/>
            <w:bCs/>
            <w:noProof/>
            <w:kern w:val="32"/>
          </w:rPr>
          <w:t>1.1. Історія розвитку правового інституту відводу судді в Україні та в різних країнах світу</w:t>
        </w:r>
        <w:r w:rsidR="009157D9">
          <w:rPr>
            <w:noProof/>
            <w:webHidden/>
          </w:rPr>
          <w:tab/>
        </w:r>
        <w:r w:rsidR="009157D9">
          <w:rPr>
            <w:noProof/>
            <w:webHidden/>
          </w:rPr>
          <w:fldChar w:fldCharType="begin"/>
        </w:r>
        <w:r w:rsidR="009157D9">
          <w:rPr>
            <w:noProof/>
            <w:webHidden/>
          </w:rPr>
          <w:instrText xml:space="preserve"> PAGEREF _Toc532751457 \h </w:instrText>
        </w:r>
        <w:r w:rsidR="009157D9">
          <w:rPr>
            <w:noProof/>
            <w:webHidden/>
          </w:rPr>
        </w:r>
        <w:r w:rsidR="009157D9">
          <w:rPr>
            <w:noProof/>
            <w:webHidden/>
          </w:rPr>
          <w:fldChar w:fldCharType="separate"/>
        </w:r>
        <w:r w:rsidR="009157D9">
          <w:rPr>
            <w:noProof/>
            <w:webHidden/>
          </w:rPr>
          <w:t>8</w:t>
        </w:r>
        <w:r w:rsidR="009157D9">
          <w:rPr>
            <w:noProof/>
            <w:webHidden/>
          </w:rPr>
          <w:fldChar w:fldCharType="end"/>
        </w:r>
      </w:hyperlink>
    </w:p>
    <w:p w14:paraId="28A5BFDE" w14:textId="5B11F7F8" w:rsidR="009157D9" w:rsidRDefault="00CD6AB8">
      <w:pPr>
        <w:pStyle w:val="11"/>
        <w:rPr>
          <w:rFonts w:asciiTheme="minorHAnsi" w:eastAsiaTheme="minorEastAsia" w:hAnsiTheme="minorHAnsi" w:cstheme="minorBidi"/>
          <w:noProof/>
          <w:sz w:val="22"/>
          <w:szCs w:val="22"/>
          <w:lang w:val="uk-UA" w:eastAsia="uk-UA"/>
        </w:rPr>
      </w:pPr>
      <w:hyperlink w:anchor="_Toc532751458" w:history="1">
        <w:r w:rsidR="009157D9" w:rsidRPr="005346BA">
          <w:rPr>
            <w:rStyle w:val="a5"/>
            <w:bCs/>
            <w:noProof/>
            <w:kern w:val="32"/>
          </w:rPr>
          <w:t>1.2. Відвід судді як правова гарантія принципу законності: понятійно-категоріальний апарат</w:t>
        </w:r>
        <w:r w:rsidR="009157D9">
          <w:rPr>
            <w:noProof/>
            <w:webHidden/>
          </w:rPr>
          <w:tab/>
        </w:r>
        <w:r w:rsidR="009157D9">
          <w:rPr>
            <w:noProof/>
            <w:webHidden/>
          </w:rPr>
          <w:fldChar w:fldCharType="begin"/>
        </w:r>
        <w:r w:rsidR="009157D9">
          <w:rPr>
            <w:noProof/>
            <w:webHidden/>
          </w:rPr>
          <w:instrText xml:space="preserve"> PAGEREF _Toc532751458 \h </w:instrText>
        </w:r>
        <w:r w:rsidR="009157D9">
          <w:rPr>
            <w:noProof/>
            <w:webHidden/>
          </w:rPr>
        </w:r>
        <w:r w:rsidR="009157D9">
          <w:rPr>
            <w:noProof/>
            <w:webHidden/>
          </w:rPr>
          <w:fldChar w:fldCharType="separate"/>
        </w:r>
        <w:r w:rsidR="009157D9">
          <w:rPr>
            <w:noProof/>
            <w:webHidden/>
          </w:rPr>
          <w:t>20</w:t>
        </w:r>
        <w:r w:rsidR="009157D9">
          <w:rPr>
            <w:noProof/>
            <w:webHidden/>
          </w:rPr>
          <w:fldChar w:fldCharType="end"/>
        </w:r>
      </w:hyperlink>
    </w:p>
    <w:p w14:paraId="79BE714D" w14:textId="797CA360" w:rsidR="009157D9" w:rsidRDefault="00CD6AB8">
      <w:pPr>
        <w:pStyle w:val="11"/>
        <w:rPr>
          <w:rFonts w:asciiTheme="minorHAnsi" w:eastAsiaTheme="minorEastAsia" w:hAnsiTheme="minorHAnsi" w:cstheme="minorBidi"/>
          <w:noProof/>
          <w:sz w:val="22"/>
          <w:szCs w:val="22"/>
          <w:lang w:val="uk-UA" w:eastAsia="uk-UA"/>
        </w:rPr>
      </w:pPr>
      <w:hyperlink w:anchor="_Toc532751459" w:history="1">
        <w:r w:rsidR="009157D9" w:rsidRPr="005346BA">
          <w:rPr>
            <w:rStyle w:val="a5"/>
            <w:b/>
            <w:noProof/>
            <w:lang w:val="uk-UA"/>
          </w:rPr>
          <w:t>Висновки до першого розділу</w:t>
        </w:r>
        <w:r w:rsidR="009157D9">
          <w:rPr>
            <w:noProof/>
            <w:webHidden/>
          </w:rPr>
          <w:tab/>
        </w:r>
        <w:r w:rsidR="009157D9">
          <w:rPr>
            <w:noProof/>
            <w:webHidden/>
          </w:rPr>
          <w:fldChar w:fldCharType="begin"/>
        </w:r>
        <w:r w:rsidR="009157D9">
          <w:rPr>
            <w:noProof/>
            <w:webHidden/>
          </w:rPr>
          <w:instrText xml:space="preserve"> PAGEREF _Toc532751459 \h </w:instrText>
        </w:r>
        <w:r w:rsidR="009157D9">
          <w:rPr>
            <w:noProof/>
            <w:webHidden/>
          </w:rPr>
        </w:r>
        <w:r w:rsidR="009157D9">
          <w:rPr>
            <w:noProof/>
            <w:webHidden/>
          </w:rPr>
          <w:fldChar w:fldCharType="separate"/>
        </w:r>
        <w:r w:rsidR="009157D9">
          <w:rPr>
            <w:noProof/>
            <w:webHidden/>
          </w:rPr>
          <w:t>25</w:t>
        </w:r>
        <w:r w:rsidR="009157D9">
          <w:rPr>
            <w:noProof/>
            <w:webHidden/>
          </w:rPr>
          <w:fldChar w:fldCharType="end"/>
        </w:r>
      </w:hyperlink>
    </w:p>
    <w:p w14:paraId="1A0D8605" w14:textId="09D09877" w:rsidR="009157D9" w:rsidRDefault="00CD6AB8">
      <w:pPr>
        <w:pStyle w:val="11"/>
        <w:rPr>
          <w:rFonts w:asciiTheme="minorHAnsi" w:eastAsiaTheme="minorEastAsia" w:hAnsiTheme="minorHAnsi" w:cstheme="minorBidi"/>
          <w:noProof/>
          <w:sz w:val="22"/>
          <w:szCs w:val="22"/>
          <w:lang w:val="uk-UA" w:eastAsia="uk-UA"/>
        </w:rPr>
      </w:pPr>
      <w:hyperlink w:anchor="_Toc532751460" w:history="1">
        <w:r w:rsidR="009157D9" w:rsidRPr="005346BA">
          <w:rPr>
            <w:rStyle w:val="a5"/>
            <w:noProof/>
          </w:rPr>
          <w:t>РОЗДІЛ 2. СУЧАСНІ ТЕНДЕНЦІЇ РОЗВИТКУ ІНСТИТУТУ ВІДВОДУ СУДДІ В УКРАЇНІ</w:t>
        </w:r>
        <w:r w:rsidR="009157D9">
          <w:rPr>
            <w:noProof/>
            <w:webHidden/>
          </w:rPr>
          <w:tab/>
        </w:r>
        <w:r w:rsidR="009157D9">
          <w:rPr>
            <w:noProof/>
            <w:webHidden/>
          </w:rPr>
          <w:fldChar w:fldCharType="begin"/>
        </w:r>
        <w:r w:rsidR="009157D9">
          <w:rPr>
            <w:noProof/>
            <w:webHidden/>
          </w:rPr>
          <w:instrText xml:space="preserve"> PAGEREF _Toc532751460 \h </w:instrText>
        </w:r>
        <w:r w:rsidR="009157D9">
          <w:rPr>
            <w:noProof/>
            <w:webHidden/>
          </w:rPr>
        </w:r>
        <w:r w:rsidR="009157D9">
          <w:rPr>
            <w:noProof/>
            <w:webHidden/>
          </w:rPr>
          <w:fldChar w:fldCharType="separate"/>
        </w:r>
        <w:r w:rsidR="009157D9">
          <w:rPr>
            <w:noProof/>
            <w:webHidden/>
          </w:rPr>
          <w:t>26</w:t>
        </w:r>
        <w:r w:rsidR="009157D9">
          <w:rPr>
            <w:noProof/>
            <w:webHidden/>
          </w:rPr>
          <w:fldChar w:fldCharType="end"/>
        </w:r>
      </w:hyperlink>
    </w:p>
    <w:p w14:paraId="13DB28CA" w14:textId="1C153E6B" w:rsidR="009157D9" w:rsidRDefault="00CD6AB8">
      <w:pPr>
        <w:pStyle w:val="11"/>
        <w:rPr>
          <w:rFonts w:asciiTheme="minorHAnsi" w:eastAsiaTheme="minorEastAsia" w:hAnsiTheme="minorHAnsi" w:cstheme="minorBidi"/>
          <w:noProof/>
          <w:sz w:val="22"/>
          <w:szCs w:val="22"/>
          <w:lang w:val="uk-UA" w:eastAsia="uk-UA"/>
        </w:rPr>
      </w:pPr>
      <w:hyperlink w:anchor="_Toc532751461" w:history="1">
        <w:r w:rsidR="009157D9" w:rsidRPr="005346BA">
          <w:rPr>
            <w:rStyle w:val="a5"/>
            <w:bCs/>
            <w:noProof/>
            <w:kern w:val="32"/>
          </w:rPr>
          <w:t>2.1. Інститут відводу судді у господарському процесуальному праві України: порівняльний аспект, механізм відводу судді</w:t>
        </w:r>
        <w:r w:rsidR="009157D9">
          <w:rPr>
            <w:noProof/>
            <w:webHidden/>
          </w:rPr>
          <w:tab/>
        </w:r>
        <w:r w:rsidR="009157D9">
          <w:rPr>
            <w:noProof/>
            <w:webHidden/>
          </w:rPr>
          <w:fldChar w:fldCharType="begin"/>
        </w:r>
        <w:r w:rsidR="009157D9">
          <w:rPr>
            <w:noProof/>
            <w:webHidden/>
          </w:rPr>
          <w:instrText xml:space="preserve"> PAGEREF _Toc532751461 \h </w:instrText>
        </w:r>
        <w:r w:rsidR="009157D9">
          <w:rPr>
            <w:noProof/>
            <w:webHidden/>
          </w:rPr>
        </w:r>
        <w:r w:rsidR="009157D9">
          <w:rPr>
            <w:noProof/>
            <w:webHidden/>
          </w:rPr>
          <w:fldChar w:fldCharType="separate"/>
        </w:r>
        <w:r w:rsidR="009157D9">
          <w:rPr>
            <w:noProof/>
            <w:webHidden/>
          </w:rPr>
          <w:t>26</w:t>
        </w:r>
        <w:r w:rsidR="009157D9">
          <w:rPr>
            <w:noProof/>
            <w:webHidden/>
          </w:rPr>
          <w:fldChar w:fldCharType="end"/>
        </w:r>
      </w:hyperlink>
    </w:p>
    <w:p w14:paraId="59B87EFC" w14:textId="370874F1" w:rsidR="009157D9" w:rsidRDefault="00CD6AB8">
      <w:pPr>
        <w:pStyle w:val="11"/>
        <w:rPr>
          <w:rFonts w:asciiTheme="minorHAnsi" w:eastAsiaTheme="minorEastAsia" w:hAnsiTheme="minorHAnsi" w:cstheme="minorBidi"/>
          <w:noProof/>
          <w:sz w:val="22"/>
          <w:szCs w:val="22"/>
          <w:lang w:val="uk-UA" w:eastAsia="uk-UA"/>
        </w:rPr>
      </w:pPr>
      <w:hyperlink w:anchor="_Toc532751462" w:history="1">
        <w:r w:rsidR="009157D9" w:rsidRPr="005346BA">
          <w:rPr>
            <w:rStyle w:val="a5"/>
            <w:bCs/>
            <w:noProof/>
            <w:kern w:val="32"/>
          </w:rPr>
          <w:t>2.2. Характеристика підстав для відводу суддів та сучасних результатів розгляду судами заяв про відвід/самовідвід суддів в Україні</w:t>
        </w:r>
        <w:r w:rsidR="009157D9">
          <w:rPr>
            <w:noProof/>
            <w:webHidden/>
          </w:rPr>
          <w:tab/>
        </w:r>
        <w:r w:rsidR="009157D9">
          <w:rPr>
            <w:noProof/>
            <w:webHidden/>
          </w:rPr>
          <w:fldChar w:fldCharType="begin"/>
        </w:r>
        <w:r w:rsidR="009157D9">
          <w:rPr>
            <w:noProof/>
            <w:webHidden/>
          </w:rPr>
          <w:instrText xml:space="preserve"> PAGEREF _Toc532751462 \h </w:instrText>
        </w:r>
        <w:r w:rsidR="009157D9">
          <w:rPr>
            <w:noProof/>
            <w:webHidden/>
          </w:rPr>
        </w:r>
        <w:r w:rsidR="009157D9">
          <w:rPr>
            <w:noProof/>
            <w:webHidden/>
          </w:rPr>
          <w:fldChar w:fldCharType="separate"/>
        </w:r>
        <w:r w:rsidR="009157D9">
          <w:rPr>
            <w:noProof/>
            <w:webHidden/>
          </w:rPr>
          <w:t>49</w:t>
        </w:r>
        <w:r w:rsidR="009157D9">
          <w:rPr>
            <w:noProof/>
            <w:webHidden/>
          </w:rPr>
          <w:fldChar w:fldCharType="end"/>
        </w:r>
      </w:hyperlink>
    </w:p>
    <w:p w14:paraId="15EC6CD4" w14:textId="40A593B0" w:rsidR="009157D9" w:rsidRDefault="00CD6AB8">
      <w:pPr>
        <w:pStyle w:val="11"/>
        <w:rPr>
          <w:rFonts w:asciiTheme="minorHAnsi" w:eastAsiaTheme="minorEastAsia" w:hAnsiTheme="minorHAnsi" w:cstheme="minorBidi"/>
          <w:noProof/>
          <w:sz w:val="22"/>
          <w:szCs w:val="22"/>
          <w:lang w:val="uk-UA" w:eastAsia="uk-UA"/>
        </w:rPr>
      </w:pPr>
      <w:hyperlink w:anchor="_Toc532751463" w:history="1">
        <w:r w:rsidR="009157D9" w:rsidRPr="005346BA">
          <w:rPr>
            <w:rStyle w:val="a5"/>
            <w:bCs/>
            <w:noProof/>
            <w:kern w:val="32"/>
          </w:rPr>
          <w:t>2.3. Дружба в соціальній мережі як новітня підстава для відводу судді</w:t>
        </w:r>
        <w:r w:rsidR="009157D9">
          <w:rPr>
            <w:noProof/>
            <w:webHidden/>
          </w:rPr>
          <w:tab/>
        </w:r>
        <w:r w:rsidR="009157D9">
          <w:rPr>
            <w:noProof/>
            <w:webHidden/>
          </w:rPr>
          <w:fldChar w:fldCharType="begin"/>
        </w:r>
        <w:r w:rsidR="009157D9">
          <w:rPr>
            <w:noProof/>
            <w:webHidden/>
          </w:rPr>
          <w:instrText xml:space="preserve"> PAGEREF _Toc532751463 \h </w:instrText>
        </w:r>
        <w:r w:rsidR="009157D9">
          <w:rPr>
            <w:noProof/>
            <w:webHidden/>
          </w:rPr>
        </w:r>
        <w:r w:rsidR="009157D9">
          <w:rPr>
            <w:noProof/>
            <w:webHidden/>
          </w:rPr>
          <w:fldChar w:fldCharType="separate"/>
        </w:r>
        <w:r w:rsidR="009157D9">
          <w:rPr>
            <w:noProof/>
            <w:webHidden/>
          </w:rPr>
          <w:t>58</w:t>
        </w:r>
        <w:r w:rsidR="009157D9">
          <w:rPr>
            <w:noProof/>
            <w:webHidden/>
          </w:rPr>
          <w:fldChar w:fldCharType="end"/>
        </w:r>
      </w:hyperlink>
    </w:p>
    <w:p w14:paraId="2A17CE58" w14:textId="78DD7326" w:rsidR="009157D9" w:rsidRDefault="00CD6AB8">
      <w:pPr>
        <w:pStyle w:val="11"/>
        <w:rPr>
          <w:rFonts w:asciiTheme="minorHAnsi" w:eastAsiaTheme="minorEastAsia" w:hAnsiTheme="minorHAnsi" w:cstheme="minorBidi"/>
          <w:noProof/>
          <w:sz w:val="22"/>
          <w:szCs w:val="22"/>
          <w:lang w:val="uk-UA" w:eastAsia="uk-UA"/>
        </w:rPr>
      </w:pPr>
      <w:hyperlink w:anchor="_Toc532751464" w:history="1">
        <w:r w:rsidR="009157D9" w:rsidRPr="005346BA">
          <w:rPr>
            <w:rStyle w:val="a5"/>
            <w:b/>
            <w:noProof/>
            <w:lang w:val="uk-UA"/>
          </w:rPr>
          <w:t>Висновки до другого розділу</w:t>
        </w:r>
        <w:r w:rsidR="009157D9">
          <w:rPr>
            <w:noProof/>
            <w:webHidden/>
          </w:rPr>
          <w:tab/>
        </w:r>
        <w:r w:rsidR="009157D9">
          <w:rPr>
            <w:noProof/>
            <w:webHidden/>
          </w:rPr>
          <w:fldChar w:fldCharType="begin"/>
        </w:r>
        <w:r w:rsidR="009157D9">
          <w:rPr>
            <w:noProof/>
            <w:webHidden/>
          </w:rPr>
          <w:instrText xml:space="preserve"> PAGEREF _Toc532751464 \h </w:instrText>
        </w:r>
        <w:r w:rsidR="009157D9">
          <w:rPr>
            <w:noProof/>
            <w:webHidden/>
          </w:rPr>
        </w:r>
        <w:r w:rsidR="009157D9">
          <w:rPr>
            <w:noProof/>
            <w:webHidden/>
          </w:rPr>
          <w:fldChar w:fldCharType="separate"/>
        </w:r>
        <w:r w:rsidR="009157D9">
          <w:rPr>
            <w:noProof/>
            <w:webHidden/>
          </w:rPr>
          <w:t>72</w:t>
        </w:r>
        <w:r w:rsidR="009157D9">
          <w:rPr>
            <w:noProof/>
            <w:webHidden/>
          </w:rPr>
          <w:fldChar w:fldCharType="end"/>
        </w:r>
      </w:hyperlink>
    </w:p>
    <w:p w14:paraId="6E53CAD3" w14:textId="682C91EB" w:rsidR="009157D9" w:rsidRDefault="00CD6AB8">
      <w:pPr>
        <w:pStyle w:val="11"/>
        <w:rPr>
          <w:rFonts w:asciiTheme="minorHAnsi" w:eastAsiaTheme="minorEastAsia" w:hAnsiTheme="minorHAnsi" w:cstheme="minorBidi"/>
          <w:noProof/>
          <w:sz w:val="22"/>
          <w:szCs w:val="22"/>
          <w:lang w:val="uk-UA" w:eastAsia="uk-UA"/>
        </w:rPr>
      </w:pPr>
      <w:hyperlink w:anchor="_Toc532751465" w:history="1">
        <w:r w:rsidR="009157D9" w:rsidRPr="005346BA">
          <w:rPr>
            <w:rStyle w:val="a5"/>
            <w:bCs/>
            <w:noProof/>
            <w:kern w:val="32"/>
          </w:rPr>
          <w:t>РОЗДІЛ 3. УДОСКОНАЛЕННЯ ПРАВОВОГО РЕГУЛЮВАННЯ (ДОСВІД  КРАЇН ЄС) ТА ПЕРСПЕКТИВИ РОЗВИТКУ ІНСТИТУТУ ВІДВОДУ СУДДІ</w:t>
        </w:r>
        <w:r w:rsidR="009157D9">
          <w:rPr>
            <w:noProof/>
            <w:webHidden/>
          </w:rPr>
          <w:tab/>
        </w:r>
        <w:r w:rsidR="009157D9">
          <w:rPr>
            <w:noProof/>
            <w:webHidden/>
          </w:rPr>
          <w:fldChar w:fldCharType="begin"/>
        </w:r>
        <w:r w:rsidR="009157D9">
          <w:rPr>
            <w:noProof/>
            <w:webHidden/>
          </w:rPr>
          <w:instrText xml:space="preserve"> PAGEREF _Toc532751465 \h </w:instrText>
        </w:r>
        <w:r w:rsidR="009157D9">
          <w:rPr>
            <w:noProof/>
            <w:webHidden/>
          </w:rPr>
        </w:r>
        <w:r w:rsidR="009157D9">
          <w:rPr>
            <w:noProof/>
            <w:webHidden/>
          </w:rPr>
          <w:fldChar w:fldCharType="separate"/>
        </w:r>
        <w:r w:rsidR="009157D9">
          <w:rPr>
            <w:noProof/>
            <w:webHidden/>
          </w:rPr>
          <w:t>74</w:t>
        </w:r>
        <w:r w:rsidR="009157D9">
          <w:rPr>
            <w:noProof/>
            <w:webHidden/>
          </w:rPr>
          <w:fldChar w:fldCharType="end"/>
        </w:r>
      </w:hyperlink>
    </w:p>
    <w:p w14:paraId="1F98FE16" w14:textId="042C54F8" w:rsidR="009157D9" w:rsidRDefault="00CD6AB8">
      <w:pPr>
        <w:pStyle w:val="11"/>
        <w:rPr>
          <w:rFonts w:asciiTheme="minorHAnsi" w:eastAsiaTheme="minorEastAsia" w:hAnsiTheme="minorHAnsi" w:cstheme="minorBidi"/>
          <w:noProof/>
          <w:sz w:val="22"/>
          <w:szCs w:val="22"/>
          <w:lang w:val="uk-UA" w:eastAsia="uk-UA"/>
        </w:rPr>
      </w:pPr>
      <w:hyperlink w:anchor="_Toc532751466" w:history="1">
        <w:r w:rsidR="009157D9" w:rsidRPr="005346BA">
          <w:rPr>
            <w:rStyle w:val="a5"/>
            <w:bCs/>
            <w:noProof/>
            <w:kern w:val="32"/>
          </w:rPr>
          <w:t>3.1. Стан дотримання загальних засад відводу судді в господарському судочинстві</w:t>
        </w:r>
        <w:r w:rsidR="009157D9">
          <w:rPr>
            <w:noProof/>
            <w:webHidden/>
          </w:rPr>
          <w:tab/>
        </w:r>
        <w:r w:rsidR="009157D9">
          <w:rPr>
            <w:noProof/>
            <w:webHidden/>
          </w:rPr>
          <w:fldChar w:fldCharType="begin"/>
        </w:r>
        <w:r w:rsidR="009157D9">
          <w:rPr>
            <w:noProof/>
            <w:webHidden/>
          </w:rPr>
          <w:instrText xml:space="preserve"> PAGEREF _Toc532751466 \h </w:instrText>
        </w:r>
        <w:r w:rsidR="009157D9">
          <w:rPr>
            <w:noProof/>
            <w:webHidden/>
          </w:rPr>
        </w:r>
        <w:r w:rsidR="009157D9">
          <w:rPr>
            <w:noProof/>
            <w:webHidden/>
          </w:rPr>
          <w:fldChar w:fldCharType="separate"/>
        </w:r>
        <w:r w:rsidR="009157D9">
          <w:rPr>
            <w:noProof/>
            <w:webHidden/>
          </w:rPr>
          <w:t>74</w:t>
        </w:r>
        <w:r w:rsidR="009157D9">
          <w:rPr>
            <w:noProof/>
            <w:webHidden/>
          </w:rPr>
          <w:fldChar w:fldCharType="end"/>
        </w:r>
      </w:hyperlink>
    </w:p>
    <w:p w14:paraId="4B58482A" w14:textId="0D3C6E1B" w:rsidR="009157D9" w:rsidRDefault="00CD6AB8">
      <w:pPr>
        <w:pStyle w:val="11"/>
        <w:rPr>
          <w:rFonts w:asciiTheme="minorHAnsi" w:eastAsiaTheme="minorEastAsia" w:hAnsiTheme="minorHAnsi" w:cstheme="minorBidi"/>
          <w:noProof/>
          <w:sz w:val="22"/>
          <w:szCs w:val="22"/>
          <w:lang w:val="uk-UA" w:eastAsia="uk-UA"/>
        </w:rPr>
      </w:pPr>
      <w:hyperlink w:anchor="_Toc532751467" w:history="1">
        <w:r w:rsidR="009157D9" w:rsidRPr="005346BA">
          <w:rPr>
            <w:rStyle w:val="a5"/>
            <w:bCs/>
            <w:noProof/>
            <w:kern w:val="32"/>
          </w:rPr>
          <w:t>3.2. Перспективи та напрямки вдосконалення інституту відводу суддів в господарському процесі</w:t>
        </w:r>
        <w:r w:rsidR="009157D9">
          <w:rPr>
            <w:noProof/>
            <w:webHidden/>
          </w:rPr>
          <w:tab/>
        </w:r>
        <w:r w:rsidR="009157D9">
          <w:rPr>
            <w:noProof/>
            <w:webHidden/>
          </w:rPr>
          <w:fldChar w:fldCharType="begin"/>
        </w:r>
        <w:r w:rsidR="009157D9">
          <w:rPr>
            <w:noProof/>
            <w:webHidden/>
          </w:rPr>
          <w:instrText xml:space="preserve"> PAGEREF _Toc532751467 \h </w:instrText>
        </w:r>
        <w:r w:rsidR="009157D9">
          <w:rPr>
            <w:noProof/>
            <w:webHidden/>
          </w:rPr>
        </w:r>
        <w:r w:rsidR="009157D9">
          <w:rPr>
            <w:noProof/>
            <w:webHidden/>
          </w:rPr>
          <w:fldChar w:fldCharType="separate"/>
        </w:r>
        <w:r w:rsidR="009157D9">
          <w:rPr>
            <w:noProof/>
            <w:webHidden/>
          </w:rPr>
          <w:t>82</w:t>
        </w:r>
        <w:r w:rsidR="009157D9">
          <w:rPr>
            <w:noProof/>
            <w:webHidden/>
          </w:rPr>
          <w:fldChar w:fldCharType="end"/>
        </w:r>
      </w:hyperlink>
    </w:p>
    <w:p w14:paraId="14D5599D" w14:textId="018593CE" w:rsidR="009157D9" w:rsidRDefault="00CD6AB8">
      <w:pPr>
        <w:pStyle w:val="11"/>
        <w:rPr>
          <w:rFonts w:asciiTheme="minorHAnsi" w:eastAsiaTheme="minorEastAsia" w:hAnsiTheme="minorHAnsi" w:cstheme="minorBidi"/>
          <w:noProof/>
          <w:sz w:val="22"/>
          <w:szCs w:val="22"/>
          <w:lang w:val="uk-UA" w:eastAsia="uk-UA"/>
        </w:rPr>
      </w:pPr>
      <w:hyperlink w:anchor="_Toc532751468" w:history="1">
        <w:r w:rsidR="009157D9" w:rsidRPr="005346BA">
          <w:rPr>
            <w:rStyle w:val="a5"/>
            <w:bCs/>
            <w:noProof/>
            <w:kern w:val="32"/>
          </w:rPr>
          <w:t>3.3. Зарубіжний досвід правового регулювання інституту відводу та самовідводу: можливості імплементації в Україні</w:t>
        </w:r>
        <w:r w:rsidR="009157D9">
          <w:rPr>
            <w:noProof/>
            <w:webHidden/>
          </w:rPr>
          <w:tab/>
        </w:r>
        <w:r w:rsidR="009157D9">
          <w:rPr>
            <w:noProof/>
            <w:webHidden/>
          </w:rPr>
          <w:fldChar w:fldCharType="begin"/>
        </w:r>
        <w:r w:rsidR="009157D9">
          <w:rPr>
            <w:noProof/>
            <w:webHidden/>
          </w:rPr>
          <w:instrText xml:space="preserve"> PAGEREF _Toc532751468 \h </w:instrText>
        </w:r>
        <w:r w:rsidR="009157D9">
          <w:rPr>
            <w:noProof/>
            <w:webHidden/>
          </w:rPr>
        </w:r>
        <w:r w:rsidR="009157D9">
          <w:rPr>
            <w:noProof/>
            <w:webHidden/>
          </w:rPr>
          <w:fldChar w:fldCharType="separate"/>
        </w:r>
        <w:r w:rsidR="009157D9">
          <w:rPr>
            <w:noProof/>
            <w:webHidden/>
          </w:rPr>
          <w:t>97</w:t>
        </w:r>
        <w:r w:rsidR="009157D9">
          <w:rPr>
            <w:noProof/>
            <w:webHidden/>
          </w:rPr>
          <w:fldChar w:fldCharType="end"/>
        </w:r>
      </w:hyperlink>
    </w:p>
    <w:p w14:paraId="57DB9428" w14:textId="6F2E1627" w:rsidR="009157D9" w:rsidRDefault="00CD6AB8">
      <w:pPr>
        <w:pStyle w:val="11"/>
        <w:rPr>
          <w:rFonts w:asciiTheme="minorHAnsi" w:eastAsiaTheme="minorEastAsia" w:hAnsiTheme="minorHAnsi" w:cstheme="minorBidi"/>
          <w:noProof/>
          <w:sz w:val="22"/>
          <w:szCs w:val="22"/>
          <w:lang w:val="uk-UA" w:eastAsia="uk-UA"/>
        </w:rPr>
      </w:pPr>
      <w:hyperlink w:anchor="_Toc532751469" w:history="1">
        <w:r w:rsidR="009157D9" w:rsidRPr="005346BA">
          <w:rPr>
            <w:rStyle w:val="a5"/>
            <w:b/>
            <w:noProof/>
            <w:lang w:val="uk-UA"/>
          </w:rPr>
          <w:t>Висновки до третього розділу</w:t>
        </w:r>
        <w:r w:rsidR="009157D9">
          <w:rPr>
            <w:noProof/>
            <w:webHidden/>
          </w:rPr>
          <w:tab/>
        </w:r>
        <w:r w:rsidR="009157D9">
          <w:rPr>
            <w:noProof/>
            <w:webHidden/>
          </w:rPr>
          <w:fldChar w:fldCharType="begin"/>
        </w:r>
        <w:r w:rsidR="009157D9">
          <w:rPr>
            <w:noProof/>
            <w:webHidden/>
          </w:rPr>
          <w:instrText xml:space="preserve"> PAGEREF _Toc532751469 \h </w:instrText>
        </w:r>
        <w:r w:rsidR="009157D9">
          <w:rPr>
            <w:noProof/>
            <w:webHidden/>
          </w:rPr>
        </w:r>
        <w:r w:rsidR="009157D9">
          <w:rPr>
            <w:noProof/>
            <w:webHidden/>
          </w:rPr>
          <w:fldChar w:fldCharType="separate"/>
        </w:r>
        <w:r w:rsidR="009157D9">
          <w:rPr>
            <w:noProof/>
            <w:webHidden/>
          </w:rPr>
          <w:t>104</w:t>
        </w:r>
        <w:r w:rsidR="009157D9">
          <w:rPr>
            <w:noProof/>
            <w:webHidden/>
          </w:rPr>
          <w:fldChar w:fldCharType="end"/>
        </w:r>
      </w:hyperlink>
    </w:p>
    <w:p w14:paraId="1DCF9E3F" w14:textId="78820B7B" w:rsidR="009157D9" w:rsidRDefault="00CD6AB8">
      <w:pPr>
        <w:pStyle w:val="11"/>
        <w:rPr>
          <w:rFonts w:asciiTheme="minorHAnsi" w:eastAsiaTheme="minorEastAsia" w:hAnsiTheme="minorHAnsi" w:cstheme="minorBidi"/>
          <w:noProof/>
          <w:sz w:val="22"/>
          <w:szCs w:val="22"/>
          <w:lang w:val="uk-UA" w:eastAsia="uk-UA"/>
        </w:rPr>
      </w:pPr>
      <w:hyperlink w:anchor="_Toc532751470" w:history="1">
        <w:r w:rsidR="009157D9" w:rsidRPr="005346BA">
          <w:rPr>
            <w:rStyle w:val="a5"/>
            <w:bCs/>
            <w:noProof/>
            <w:kern w:val="32"/>
          </w:rPr>
          <w:t>ВИСНОВКИ</w:t>
        </w:r>
        <w:r w:rsidR="009157D9">
          <w:rPr>
            <w:noProof/>
            <w:webHidden/>
          </w:rPr>
          <w:tab/>
        </w:r>
        <w:r w:rsidR="009157D9">
          <w:rPr>
            <w:noProof/>
            <w:webHidden/>
          </w:rPr>
          <w:fldChar w:fldCharType="begin"/>
        </w:r>
        <w:r w:rsidR="009157D9">
          <w:rPr>
            <w:noProof/>
            <w:webHidden/>
          </w:rPr>
          <w:instrText xml:space="preserve"> PAGEREF _Toc532751470 \h </w:instrText>
        </w:r>
        <w:r w:rsidR="009157D9">
          <w:rPr>
            <w:noProof/>
            <w:webHidden/>
          </w:rPr>
        </w:r>
        <w:r w:rsidR="009157D9">
          <w:rPr>
            <w:noProof/>
            <w:webHidden/>
          </w:rPr>
          <w:fldChar w:fldCharType="separate"/>
        </w:r>
        <w:r w:rsidR="009157D9">
          <w:rPr>
            <w:noProof/>
            <w:webHidden/>
          </w:rPr>
          <w:t>106</w:t>
        </w:r>
        <w:r w:rsidR="009157D9">
          <w:rPr>
            <w:noProof/>
            <w:webHidden/>
          </w:rPr>
          <w:fldChar w:fldCharType="end"/>
        </w:r>
      </w:hyperlink>
    </w:p>
    <w:p w14:paraId="40F696F3" w14:textId="726CEE8F" w:rsidR="009157D9" w:rsidRDefault="00CD6AB8">
      <w:pPr>
        <w:pStyle w:val="11"/>
        <w:rPr>
          <w:rFonts w:asciiTheme="minorHAnsi" w:eastAsiaTheme="minorEastAsia" w:hAnsiTheme="minorHAnsi" w:cstheme="minorBidi"/>
          <w:noProof/>
          <w:sz w:val="22"/>
          <w:szCs w:val="22"/>
          <w:lang w:val="uk-UA" w:eastAsia="uk-UA"/>
        </w:rPr>
      </w:pPr>
      <w:hyperlink w:anchor="_Toc532751471" w:history="1">
        <w:r w:rsidR="009157D9" w:rsidRPr="005346BA">
          <w:rPr>
            <w:rStyle w:val="a5"/>
            <w:noProof/>
          </w:rPr>
          <w:t>СПИСОК ВИКОРИСТАНИХ ДЖЕРЕЛ</w:t>
        </w:r>
        <w:r w:rsidR="009157D9">
          <w:rPr>
            <w:noProof/>
            <w:webHidden/>
          </w:rPr>
          <w:tab/>
        </w:r>
        <w:r w:rsidR="009157D9">
          <w:rPr>
            <w:noProof/>
            <w:webHidden/>
          </w:rPr>
          <w:fldChar w:fldCharType="begin"/>
        </w:r>
        <w:r w:rsidR="009157D9">
          <w:rPr>
            <w:noProof/>
            <w:webHidden/>
          </w:rPr>
          <w:instrText xml:space="preserve"> PAGEREF _Toc532751471 \h </w:instrText>
        </w:r>
        <w:r w:rsidR="009157D9">
          <w:rPr>
            <w:noProof/>
            <w:webHidden/>
          </w:rPr>
        </w:r>
        <w:r w:rsidR="009157D9">
          <w:rPr>
            <w:noProof/>
            <w:webHidden/>
          </w:rPr>
          <w:fldChar w:fldCharType="separate"/>
        </w:r>
        <w:r w:rsidR="009157D9">
          <w:rPr>
            <w:noProof/>
            <w:webHidden/>
          </w:rPr>
          <w:t>113</w:t>
        </w:r>
        <w:r w:rsidR="009157D9">
          <w:rPr>
            <w:noProof/>
            <w:webHidden/>
          </w:rPr>
          <w:fldChar w:fldCharType="end"/>
        </w:r>
      </w:hyperlink>
    </w:p>
    <w:p w14:paraId="4F09CDBB" w14:textId="68AC97E9" w:rsidR="009157D9" w:rsidRDefault="00CD6AB8">
      <w:pPr>
        <w:pStyle w:val="11"/>
        <w:rPr>
          <w:rFonts w:asciiTheme="minorHAnsi" w:eastAsiaTheme="minorEastAsia" w:hAnsiTheme="minorHAnsi" w:cstheme="minorBidi"/>
          <w:noProof/>
          <w:sz w:val="22"/>
          <w:szCs w:val="22"/>
          <w:lang w:val="uk-UA" w:eastAsia="uk-UA"/>
        </w:rPr>
      </w:pPr>
      <w:hyperlink w:anchor="_Toc532751472" w:history="1">
        <w:r w:rsidR="009157D9" w:rsidRPr="005346BA">
          <w:rPr>
            <w:rStyle w:val="a5"/>
            <w:b/>
            <w:bCs/>
            <w:noProof/>
            <w:kern w:val="32"/>
            <w:lang w:val="uk-UA"/>
          </w:rPr>
          <w:t>ДОДАТКИ</w:t>
        </w:r>
        <w:r w:rsidR="009157D9">
          <w:rPr>
            <w:noProof/>
            <w:webHidden/>
          </w:rPr>
          <w:tab/>
        </w:r>
        <w:r w:rsidR="009157D9">
          <w:rPr>
            <w:noProof/>
            <w:webHidden/>
          </w:rPr>
          <w:fldChar w:fldCharType="begin"/>
        </w:r>
        <w:r w:rsidR="009157D9">
          <w:rPr>
            <w:noProof/>
            <w:webHidden/>
          </w:rPr>
          <w:instrText xml:space="preserve"> PAGEREF _Toc532751472 \h </w:instrText>
        </w:r>
        <w:r w:rsidR="009157D9">
          <w:rPr>
            <w:noProof/>
            <w:webHidden/>
          </w:rPr>
        </w:r>
        <w:r w:rsidR="009157D9">
          <w:rPr>
            <w:noProof/>
            <w:webHidden/>
          </w:rPr>
          <w:fldChar w:fldCharType="separate"/>
        </w:r>
        <w:r w:rsidR="009157D9">
          <w:rPr>
            <w:noProof/>
            <w:webHidden/>
          </w:rPr>
          <w:t>124</w:t>
        </w:r>
        <w:r w:rsidR="009157D9">
          <w:rPr>
            <w:noProof/>
            <w:webHidden/>
          </w:rPr>
          <w:fldChar w:fldCharType="end"/>
        </w:r>
      </w:hyperlink>
    </w:p>
    <w:p w14:paraId="78949531" w14:textId="77EB6B12" w:rsidR="001C6AA0" w:rsidRPr="001F5928" w:rsidRDefault="009157D9" w:rsidP="001C6AA0">
      <w:pPr>
        <w:tabs>
          <w:tab w:val="right" w:leader="dot" w:pos="9911"/>
        </w:tabs>
        <w:ind w:left="284" w:hanging="284"/>
        <w:rPr>
          <w:noProof/>
          <w:color w:val="000000"/>
          <w:sz w:val="28"/>
          <w:szCs w:val="28"/>
          <w:lang w:val="uk-UA"/>
        </w:rPr>
      </w:pPr>
      <w:r>
        <w:rPr>
          <w:noProof/>
          <w:color w:val="000000"/>
          <w:sz w:val="28"/>
          <w:szCs w:val="28"/>
          <w:lang w:val="uk-UA"/>
        </w:rPr>
        <w:fldChar w:fldCharType="end"/>
      </w:r>
    </w:p>
    <w:p w14:paraId="772C6ECF" w14:textId="77777777" w:rsidR="001C6AA0" w:rsidRPr="004B08CC" w:rsidRDefault="001C6AA0" w:rsidP="001C6AA0">
      <w:pPr>
        <w:pStyle w:val="1"/>
        <w:rPr>
          <w:rFonts w:eastAsia="Calibri"/>
          <w:bCs/>
          <w:noProof w:val="0"/>
          <w:kern w:val="32"/>
          <w:szCs w:val="28"/>
          <w:lang w:eastAsia="x-none"/>
        </w:rPr>
      </w:pPr>
      <w:r w:rsidRPr="00530A3C">
        <w:br w:type="page"/>
      </w:r>
      <w:bookmarkStart w:id="4" w:name="_Toc529503426"/>
      <w:bookmarkStart w:id="5" w:name="_Toc532751454"/>
      <w:r w:rsidRPr="004B08CC">
        <w:rPr>
          <w:rFonts w:eastAsia="Calibri"/>
          <w:bCs/>
          <w:noProof w:val="0"/>
          <w:kern w:val="32"/>
          <w:szCs w:val="28"/>
          <w:lang w:val="x-none" w:eastAsia="x-none"/>
        </w:rPr>
        <w:lastRenderedPageBreak/>
        <w:t xml:space="preserve">ПЕРЕЛІК </w:t>
      </w:r>
      <w:r>
        <w:rPr>
          <w:rFonts w:eastAsia="Calibri"/>
          <w:bCs/>
          <w:noProof w:val="0"/>
          <w:kern w:val="32"/>
          <w:szCs w:val="28"/>
          <w:lang w:eastAsia="x-none"/>
        </w:rPr>
        <w:t xml:space="preserve">УМОВНИХ </w:t>
      </w:r>
      <w:r w:rsidRPr="004B08CC">
        <w:rPr>
          <w:rFonts w:eastAsia="Calibri"/>
          <w:bCs/>
          <w:noProof w:val="0"/>
          <w:kern w:val="32"/>
          <w:szCs w:val="28"/>
          <w:lang w:eastAsia="x-none"/>
        </w:rPr>
        <w:t>СКОРОЧЕНЬ</w:t>
      </w:r>
      <w:bookmarkEnd w:id="4"/>
      <w:bookmarkEnd w:id="5"/>
      <w:r>
        <w:rPr>
          <w:rFonts w:eastAsia="Calibri"/>
          <w:bCs/>
          <w:noProof w:val="0"/>
          <w:kern w:val="32"/>
          <w:szCs w:val="28"/>
          <w:lang w:eastAsia="x-none"/>
        </w:rPr>
        <w:t xml:space="preserve"> </w:t>
      </w:r>
    </w:p>
    <w:p w14:paraId="7EA3FEB2" w14:textId="77777777" w:rsidR="001C6AA0" w:rsidRPr="004B08CC" w:rsidRDefault="001C6AA0" w:rsidP="001C6AA0">
      <w:pPr>
        <w:spacing w:line="360" w:lineRule="auto"/>
        <w:ind w:firstLine="709"/>
        <w:jc w:val="both"/>
        <w:rPr>
          <w:rFonts w:eastAsia="Calibri" w:cs="Microsoft Uighur"/>
          <w:sz w:val="28"/>
          <w:szCs w:val="28"/>
          <w:lang w:val="uk-UA"/>
        </w:rPr>
      </w:pPr>
    </w:p>
    <w:p w14:paraId="746EEA79" w14:textId="77777777" w:rsidR="001C6AA0" w:rsidRPr="004B08CC" w:rsidRDefault="001C6AA0" w:rsidP="001C6AA0">
      <w:pPr>
        <w:spacing w:line="360" w:lineRule="auto"/>
        <w:ind w:firstLine="709"/>
        <w:jc w:val="both"/>
        <w:rPr>
          <w:rFonts w:eastAsia="Calibri" w:cs="Microsoft Uighur"/>
          <w:sz w:val="28"/>
          <w:szCs w:val="28"/>
          <w:lang w:val="uk-UA"/>
        </w:rPr>
      </w:pPr>
    </w:p>
    <w:p w14:paraId="5E260EE1" w14:textId="77777777" w:rsidR="001C6AA0" w:rsidRDefault="001C6AA0" w:rsidP="001C6AA0">
      <w:pPr>
        <w:spacing w:line="360" w:lineRule="auto"/>
        <w:ind w:firstLine="709"/>
        <w:jc w:val="both"/>
        <w:rPr>
          <w:rFonts w:eastAsia="Calibri" w:cs="Microsoft Uighur"/>
          <w:sz w:val="28"/>
          <w:szCs w:val="28"/>
          <w:lang w:val="uk-UA" w:eastAsia="en-US" w:bidi="ug-CN"/>
        </w:rPr>
      </w:pPr>
      <w:r>
        <w:rPr>
          <w:rFonts w:eastAsia="Calibri" w:cs="Microsoft Uighur"/>
          <w:sz w:val="28"/>
          <w:szCs w:val="28"/>
          <w:lang w:val="uk-UA" w:eastAsia="en-US" w:bidi="ug-CN"/>
        </w:rPr>
        <w:t>ГПК України</w:t>
      </w:r>
      <w:r w:rsidRPr="004B08CC">
        <w:rPr>
          <w:rFonts w:eastAsia="Calibri" w:cs="Microsoft Uighur"/>
          <w:sz w:val="28"/>
          <w:szCs w:val="28"/>
          <w:lang w:val="uk-UA" w:eastAsia="en-US" w:bidi="ug-CN"/>
        </w:rPr>
        <w:t xml:space="preserve"> – Господарський процесуальний кодекс України</w:t>
      </w:r>
      <w:r>
        <w:rPr>
          <w:rFonts w:eastAsia="Calibri" w:cs="Microsoft Uighur"/>
          <w:sz w:val="28"/>
          <w:szCs w:val="28"/>
          <w:lang w:val="uk-UA" w:eastAsia="en-US" w:bidi="ug-CN"/>
        </w:rPr>
        <w:t xml:space="preserve"> (Редакція від </w:t>
      </w:r>
      <w:r w:rsidRPr="00493F33">
        <w:rPr>
          <w:rFonts w:eastAsia="Calibri" w:cs="Microsoft Uighur"/>
          <w:sz w:val="28"/>
          <w:szCs w:val="28"/>
          <w:lang w:val="uk-UA" w:eastAsia="en-US" w:bidi="ug-CN"/>
        </w:rPr>
        <w:t>28.08.2018</w:t>
      </w:r>
      <w:r>
        <w:rPr>
          <w:rFonts w:eastAsia="Calibri" w:cs="Microsoft Uighur"/>
          <w:sz w:val="28"/>
          <w:szCs w:val="28"/>
          <w:lang w:val="uk-UA" w:eastAsia="en-US" w:bidi="ug-CN"/>
        </w:rPr>
        <w:t xml:space="preserve"> р. № </w:t>
      </w:r>
      <w:r w:rsidRPr="00493F33">
        <w:rPr>
          <w:rFonts w:eastAsia="Calibri" w:cs="Microsoft Uighur"/>
          <w:sz w:val="28"/>
          <w:szCs w:val="28"/>
          <w:lang w:val="uk-UA" w:eastAsia="en-US" w:bidi="ug-CN"/>
        </w:rPr>
        <w:t>1798-XII</w:t>
      </w:r>
      <w:r>
        <w:rPr>
          <w:rFonts w:eastAsia="Calibri" w:cs="Microsoft Uighur"/>
          <w:sz w:val="28"/>
          <w:szCs w:val="28"/>
          <w:lang w:val="uk-UA" w:eastAsia="en-US" w:bidi="ug-CN"/>
        </w:rPr>
        <w:t>)</w:t>
      </w:r>
    </w:p>
    <w:p w14:paraId="7515AF5E" w14:textId="77777777" w:rsidR="001C6AA0" w:rsidRPr="004B08CC" w:rsidRDefault="001C6AA0" w:rsidP="001C6AA0">
      <w:pPr>
        <w:spacing w:line="360" w:lineRule="auto"/>
        <w:ind w:firstLine="709"/>
        <w:jc w:val="both"/>
        <w:rPr>
          <w:rFonts w:eastAsia="Calibri" w:cs="Microsoft Uighur"/>
          <w:sz w:val="28"/>
          <w:szCs w:val="28"/>
          <w:lang w:val="uk-UA" w:eastAsia="en-US" w:bidi="ug-CN"/>
        </w:rPr>
      </w:pPr>
      <w:r>
        <w:rPr>
          <w:rFonts w:eastAsia="Calibri" w:cs="Microsoft Uighur"/>
          <w:sz w:val="28"/>
          <w:szCs w:val="28"/>
          <w:lang w:val="uk-UA" w:eastAsia="en-US" w:bidi="ug-CN"/>
        </w:rPr>
        <w:t xml:space="preserve">ЄСПЛ – </w:t>
      </w:r>
      <w:r w:rsidRPr="005B2787">
        <w:rPr>
          <w:rFonts w:eastAsia="Calibri" w:cs="Microsoft Uighur"/>
          <w:sz w:val="28"/>
          <w:szCs w:val="28"/>
          <w:lang w:val="uk-UA" w:eastAsia="en-US" w:bidi="ug-CN"/>
        </w:rPr>
        <w:t>Європейськ</w:t>
      </w:r>
      <w:r>
        <w:rPr>
          <w:rFonts w:eastAsia="Calibri" w:cs="Microsoft Uighur"/>
          <w:sz w:val="28"/>
          <w:szCs w:val="28"/>
          <w:lang w:val="uk-UA" w:eastAsia="en-US" w:bidi="ug-CN"/>
        </w:rPr>
        <w:t>ий суд</w:t>
      </w:r>
      <w:r w:rsidRPr="005B2787">
        <w:rPr>
          <w:rFonts w:eastAsia="Calibri" w:cs="Microsoft Uighur"/>
          <w:sz w:val="28"/>
          <w:szCs w:val="28"/>
          <w:lang w:val="uk-UA" w:eastAsia="en-US" w:bidi="ug-CN"/>
        </w:rPr>
        <w:t xml:space="preserve"> з прав людини </w:t>
      </w:r>
    </w:p>
    <w:p w14:paraId="5BF59CFC" w14:textId="77777777" w:rsidR="001C6AA0" w:rsidRPr="004B08CC" w:rsidRDefault="001C6AA0" w:rsidP="001C6AA0">
      <w:pPr>
        <w:spacing w:line="360" w:lineRule="auto"/>
        <w:ind w:firstLine="709"/>
        <w:jc w:val="both"/>
        <w:rPr>
          <w:rFonts w:eastAsia="Calibri" w:cs="Microsoft Uighur"/>
          <w:sz w:val="28"/>
          <w:szCs w:val="28"/>
          <w:lang w:val="uk-UA" w:eastAsia="en-US" w:bidi="ug-CN"/>
        </w:rPr>
      </w:pPr>
      <w:r w:rsidRPr="004B08CC">
        <w:rPr>
          <w:rFonts w:eastAsia="Calibri" w:cs="Microsoft Uighur"/>
          <w:sz w:val="28"/>
          <w:szCs w:val="28"/>
          <w:lang w:val="uk-UA" w:eastAsia="en-US" w:bidi="ug-CN"/>
        </w:rPr>
        <w:t>ЗМІ – засоби масової інформації</w:t>
      </w:r>
    </w:p>
    <w:p w14:paraId="789468DA" w14:textId="77777777" w:rsidR="001C6AA0" w:rsidRPr="004B08CC" w:rsidRDefault="001C6AA0" w:rsidP="001C6AA0">
      <w:pPr>
        <w:spacing w:line="360" w:lineRule="auto"/>
        <w:ind w:firstLine="709"/>
        <w:jc w:val="both"/>
        <w:rPr>
          <w:rFonts w:eastAsia="Calibri" w:cs="Microsoft Uighur"/>
          <w:sz w:val="28"/>
          <w:szCs w:val="28"/>
          <w:lang w:val="uk-UA" w:eastAsia="en-US" w:bidi="ug-CN"/>
        </w:rPr>
      </w:pPr>
      <w:r w:rsidRPr="004B08CC">
        <w:rPr>
          <w:rFonts w:eastAsia="Calibri" w:cs="Microsoft Uighur"/>
          <w:sz w:val="28"/>
          <w:szCs w:val="28"/>
          <w:lang w:val="uk-UA" w:eastAsia="en-US" w:bidi="ug-CN"/>
        </w:rPr>
        <w:t xml:space="preserve">ЗУ </w:t>
      </w:r>
      <w:r w:rsidRPr="004B08CC">
        <w:rPr>
          <w:rFonts w:eastAsia="Calibri" w:cs="Microsoft Uighur"/>
          <w:color w:val="000000"/>
          <w:sz w:val="28"/>
          <w:szCs w:val="28"/>
          <w:lang w:val="uk-UA" w:eastAsia="en-US" w:bidi="ug-CN"/>
        </w:rPr>
        <w:t xml:space="preserve">– </w:t>
      </w:r>
      <w:r w:rsidRPr="004B08CC">
        <w:rPr>
          <w:rFonts w:eastAsia="Calibri" w:cs="Microsoft Uighur"/>
          <w:sz w:val="28"/>
          <w:szCs w:val="28"/>
          <w:lang w:val="uk-UA" w:eastAsia="en-US" w:bidi="ug-CN"/>
        </w:rPr>
        <w:t>Закон України</w:t>
      </w:r>
    </w:p>
    <w:p w14:paraId="70877651" w14:textId="77777777" w:rsidR="001C6AA0" w:rsidRPr="004B08CC" w:rsidRDefault="001C6AA0" w:rsidP="001C6AA0">
      <w:pPr>
        <w:spacing w:line="360" w:lineRule="auto"/>
        <w:ind w:firstLine="709"/>
        <w:jc w:val="both"/>
        <w:rPr>
          <w:rFonts w:eastAsia="Calibri" w:cs="Microsoft Uighur"/>
          <w:sz w:val="28"/>
          <w:szCs w:val="28"/>
          <w:lang w:val="uk-UA" w:eastAsia="en-US" w:bidi="ug-CN"/>
        </w:rPr>
      </w:pPr>
      <w:r w:rsidRPr="004B08CC">
        <w:rPr>
          <w:rFonts w:eastAsia="Calibri" w:cs="Microsoft Uighur"/>
          <w:sz w:val="28"/>
          <w:szCs w:val="28"/>
          <w:lang w:val="uk-UA" w:eastAsia="en-US" w:bidi="ug-CN"/>
        </w:rPr>
        <w:t xml:space="preserve">п. </w:t>
      </w:r>
      <w:r w:rsidRPr="004B08CC">
        <w:rPr>
          <w:rFonts w:eastAsia="Calibri" w:cs="Microsoft Uighur"/>
          <w:color w:val="000000"/>
          <w:sz w:val="28"/>
          <w:szCs w:val="28"/>
          <w:lang w:val="uk-UA" w:eastAsia="en-US" w:bidi="ug-CN"/>
        </w:rPr>
        <w:t xml:space="preserve">– </w:t>
      </w:r>
      <w:r w:rsidRPr="004B08CC">
        <w:rPr>
          <w:rFonts w:eastAsia="Calibri" w:cs="Microsoft Uighur"/>
          <w:sz w:val="28"/>
          <w:szCs w:val="28"/>
          <w:lang w:val="uk-UA" w:eastAsia="en-US" w:bidi="ug-CN"/>
        </w:rPr>
        <w:t>пункт</w:t>
      </w:r>
    </w:p>
    <w:p w14:paraId="17D2FCD6" w14:textId="77777777" w:rsidR="001C6AA0" w:rsidRPr="004B08CC" w:rsidRDefault="001C6AA0" w:rsidP="001C6AA0">
      <w:pPr>
        <w:spacing w:line="360" w:lineRule="auto"/>
        <w:ind w:firstLine="709"/>
        <w:jc w:val="both"/>
        <w:rPr>
          <w:rFonts w:eastAsia="Calibri" w:cs="Microsoft Uighur"/>
          <w:sz w:val="28"/>
          <w:szCs w:val="28"/>
          <w:lang w:val="uk-UA" w:eastAsia="en-US" w:bidi="ug-CN"/>
        </w:rPr>
      </w:pPr>
      <w:r w:rsidRPr="004B08CC">
        <w:rPr>
          <w:rFonts w:eastAsia="Calibri" w:cs="Microsoft Uighur"/>
          <w:sz w:val="28"/>
          <w:szCs w:val="28"/>
          <w:lang w:val="uk-UA" w:eastAsia="en-US" w:bidi="ug-CN"/>
        </w:rPr>
        <w:t xml:space="preserve">р. </w:t>
      </w:r>
      <w:r w:rsidRPr="004B08CC">
        <w:rPr>
          <w:rFonts w:eastAsia="Calibri" w:cs="Microsoft Uighur"/>
          <w:color w:val="000000"/>
          <w:sz w:val="28"/>
          <w:szCs w:val="28"/>
          <w:lang w:val="uk-UA" w:eastAsia="en-US" w:bidi="ug-CN"/>
        </w:rPr>
        <w:t xml:space="preserve">– </w:t>
      </w:r>
      <w:r w:rsidRPr="004B08CC">
        <w:rPr>
          <w:rFonts w:eastAsia="Calibri" w:cs="Microsoft Uighur"/>
          <w:sz w:val="28"/>
          <w:szCs w:val="28"/>
          <w:lang w:val="uk-UA" w:eastAsia="en-US" w:bidi="ug-CN"/>
        </w:rPr>
        <w:t>рік</w:t>
      </w:r>
    </w:p>
    <w:p w14:paraId="143A5784" w14:textId="77777777" w:rsidR="001C6AA0" w:rsidRPr="004B08CC" w:rsidRDefault="001C6AA0" w:rsidP="001C6AA0">
      <w:pPr>
        <w:spacing w:line="360" w:lineRule="auto"/>
        <w:ind w:firstLine="709"/>
        <w:jc w:val="both"/>
        <w:rPr>
          <w:rFonts w:eastAsia="Calibri" w:cs="Microsoft Uighur"/>
          <w:sz w:val="28"/>
          <w:szCs w:val="28"/>
          <w:lang w:val="uk-UA" w:eastAsia="en-US" w:bidi="ug-CN"/>
        </w:rPr>
      </w:pPr>
      <w:r w:rsidRPr="004B08CC">
        <w:rPr>
          <w:rFonts w:eastAsia="Calibri" w:cs="Microsoft Uighur"/>
          <w:sz w:val="28"/>
          <w:szCs w:val="28"/>
          <w:lang w:val="uk-UA" w:eastAsia="en-US" w:bidi="ug-CN"/>
        </w:rPr>
        <w:t xml:space="preserve">ст. </w:t>
      </w:r>
      <w:r w:rsidRPr="004B08CC">
        <w:rPr>
          <w:rFonts w:eastAsia="Calibri" w:cs="Microsoft Uighur"/>
          <w:color w:val="000000"/>
          <w:sz w:val="28"/>
          <w:szCs w:val="28"/>
          <w:lang w:val="uk-UA" w:eastAsia="en-US" w:bidi="ug-CN"/>
        </w:rPr>
        <w:t xml:space="preserve">– </w:t>
      </w:r>
      <w:r w:rsidRPr="004B08CC">
        <w:rPr>
          <w:rFonts w:eastAsia="Calibri" w:cs="Microsoft Uighur"/>
          <w:sz w:val="28"/>
          <w:szCs w:val="28"/>
          <w:lang w:val="uk-UA" w:eastAsia="en-US" w:bidi="ug-CN"/>
        </w:rPr>
        <w:t>стаття</w:t>
      </w:r>
    </w:p>
    <w:p w14:paraId="1D3C1828" w14:textId="77777777" w:rsidR="001C6AA0" w:rsidRPr="004B08CC" w:rsidRDefault="001C6AA0" w:rsidP="001C6AA0">
      <w:pPr>
        <w:spacing w:line="360" w:lineRule="auto"/>
        <w:ind w:firstLine="709"/>
        <w:jc w:val="both"/>
        <w:rPr>
          <w:rFonts w:eastAsia="Calibri" w:cs="Microsoft Uighur"/>
          <w:sz w:val="28"/>
          <w:szCs w:val="28"/>
          <w:lang w:val="uk-UA" w:eastAsia="en-US" w:bidi="ug-CN"/>
        </w:rPr>
      </w:pPr>
    </w:p>
    <w:p w14:paraId="7CC152B4" w14:textId="7F87DD33" w:rsidR="001C6AA0" w:rsidRPr="003E3851" w:rsidRDefault="001C6AA0" w:rsidP="009157D9">
      <w:pPr>
        <w:widowControl w:val="0"/>
        <w:adjustRightInd w:val="0"/>
        <w:spacing w:line="360" w:lineRule="auto"/>
        <w:ind w:firstLine="851"/>
        <w:jc w:val="center"/>
        <w:textAlignment w:val="baseline"/>
        <w:outlineLvl w:val="0"/>
        <w:rPr>
          <w:sz w:val="28"/>
          <w:szCs w:val="20"/>
          <w:lang w:val="uk-UA"/>
        </w:rPr>
      </w:pPr>
      <w:r>
        <w:rPr>
          <w:noProof/>
          <w:sz w:val="28"/>
          <w:lang w:val="uk-UA"/>
        </w:rPr>
        <w:br w:type="page"/>
      </w:r>
    </w:p>
    <w:p w14:paraId="0CEBF273" w14:textId="77777777" w:rsidR="009157D9" w:rsidRPr="009157D9" w:rsidRDefault="009157D9" w:rsidP="009157D9">
      <w:pPr>
        <w:widowControl w:val="0"/>
        <w:adjustRightInd w:val="0"/>
        <w:spacing w:line="360" w:lineRule="auto"/>
        <w:ind w:firstLine="851"/>
        <w:jc w:val="center"/>
        <w:textAlignment w:val="baseline"/>
        <w:outlineLvl w:val="0"/>
        <w:rPr>
          <w:noProof/>
          <w:sz w:val="28"/>
          <w:szCs w:val="28"/>
          <w:lang w:val="uk-UA"/>
        </w:rPr>
      </w:pPr>
      <w:bookmarkStart w:id="6" w:name="_Toc531213704"/>
      <w:bookmarkStart w:id="7" w:name="_Toc532751455"/>
      <w:r w:rsidRPr="009157D9">
        <w:rPr>
          <w:b/>
          <w:sz w:val="28"/>
          <w:szCs w:val="28"/>
          <w:lang w:val="uk-UA"/>
        </w:rPr>
        <w:lastRenderedPageBreak/>
        <w:t>ВСТУП</w:t>
      </w:r>
      <w:bookmarkEnd w:id="6"/>
      <w:bookmarkEnd w:id="7"/>
    </w:p>
    <w:p w14:paraId="52C0E3BE" w14:textId="77777777" w:rsidR="009157D9" w:rsidRPr="009157D9" w:rsidRDefault="009157D9" w:rsidP="009157D9">
      <w:pPr>
        <w:widowControl w:val="0"/>
        <w:spacing w:line="360" w:lineRule="auto"/>
        <w:ind w:firstLine="851"/>
        <w:jc w:val="center"/>
        <w:rPr>
          <w:b/>
          <w:sz w:val="28"/>
          <w:szCs w:val="28"/>
          <w:lang w:val="uk-UA"/>
        </w:rPr>
      </w:pPr>
    </w:p>
    <w:p w14:paraId="4CEDD22E" w14:textId="77777777" w:rsidR="009157D9" w:rsidRPr="009157D9" w:rsidRDefault="009157D9" w:rsidP="009157D9">
      <w:pPr>
        <w:widowControl w:val="0"/>
        <w:spacing w:line="360" w:lineRule="auto"/>
        <w:ind w:firstLine="851"/>
        <w:jc w:val="center"/>
        <w:rPr>
          <w:b/>
          <w:sz w:val="28"/>
          <w:szCs w:val="28"/>
          <w:lang w:val="uk-UA"/>
        </w:rPr>
      </w:pPr>
    </w:p>
    <w:p w14:paraId="5AA5069A" w14:textId="77777777" w:rsidR="009157D9" w:rsidRPr="009157D9" w:rsidRDefault="009157D9" w:rsidP="009157D9">
      <w:pPr>
        <w:spacing w:line="360" w:lineRule="auto"/>
        <w:ind w:firstLine="851"/>
        <w:jc w:val="both"/>
        <w:rPr>
          <w:bCs/>
          <w:iCs/>
          <w:sz w:val="28"/>
          <w:szCs w:val="28"/>
          <w:lang w:val="uk-UA"/>
        </w:rPr>
      </w:pPr>
      <w:r w:rsidRPr="009157D9">
        <w:rPr>
          <w:b/>
          <w:sz w:val="28"/>
          <w:szCs w:val="28"/>
          <w:lang w:val="uk-UA"/>
        </w:rPr>
        <w:t>Актуальність</w:t>
      </w:r>
      <w:r w:rsidRPr="009157D9">
        <w:rPr>
          <w:sz w:val="28"/>
          <w:szCs w:val="28"/>
          <w:lang w:val="uk-UA"/>
        </w:rPr>
        <w:t xml:space="preserve"> </w:t>
      </w:r>
      <w:r w:rsidRPr="009157D9">
        <w:rPr>
          <w:b/>
          <w:sz w:val="28"/>
          <w:szCs w:val="28"/>
          <w:lang w:val="uk-UA"/>
        </w:rPr>
        <w:t>теми</w:t>
      </w:r>
      <w:r w:rsidRPr="009157D9">
        <w:rPr>
          <w:sz w:val="28"/>
          <w:szCs w:val="28"/>
          <w:lang w:val="uk-UA"/>
        </w:rPr>
        <w:t xml:space="preserve">. </w:t>
      </w:r>
      <w:r w:rsidRPr="009157D9">
        <w:rPr>
          <w:bCs/>
          <w:iCs/>
          <w:sz w:val="28"/>
          <w:szCs w:val="28"/>
          <w:lang w:val="uk-UA"/>
        </w:rPr>
        <w:t>В процесі розбудови правової держави, одним з її найбільш важливих критеріїв є створення чесної, прозорої та ефективної судової влади. Наразі назріла суттєва необхідність докорінних змін судової системи та реформування окремих її інститутів.</w:t>
      </w:r>
    </w:p>
    <w:p w14:paraId="07FB1E43" w14:textId="77777777" w:rsidR="009157D9" w:rsidRPr="009157D9" w:rsidRDefault="009157D9" w:rsidP="009157D9">
      <w:pPr>
        <w:spacing w:line="360" w:lineRule="auto"/>
        <w:ind w:firstLine="851"/>
        <w:jc w:val="both"/>
        <w:rPr>
          <w:bCs/>
          <w:sz w:val="28"/>
          <w:szCs w:val="28"/>
          <w:lang w:val="uk-UA"/>
        </w:rPr>
      </w:pPr>
      <w:r w:rsidRPr="009157D9">
        <w:rPr>
          <w:bCs/>
          <w:iCs/>
          <w:sz w:val="28"/>
          <w:szCs w:val="28"/>
          <w:lang w:val="uk-UA"/>
        </w:rPr>
        <w:t xml:space="preserve">Одним з основних завдань на сучасному історичному етапі розвитку України є побудова незалежного та справедливого правосуддя, без чого неможливим є утвердження правової та демократичної держави, проведення будь-яких правових, економічних та соціальних реформ. </w:t>
      </w:r>
      <w:r w:rsidRPr="009157D9">
        <w:rPr>
          <w:bCs/>
          <w:sz w:val="28"/>
          <w:szCs w:val="28"/>
          <w:lang w:val="uk-UA"/>
        </w:rPr>
        <w:t xml:space="preserve">Головним завданням судово-правової реформи є реалізація демократичних ідей та концепцій правосуддя, вироблених світовою практикою і наукою. У цьому зв’язку особливого значення </w:t>
      </w:r>
      <w:r w:rsidRPr="009157D9">
        <w:rPr>
          <w:bCs/>
          <w:sz w:val="28"/>
          <w:szCs w:val="28"/>
        </w:rPr>
        <w:t>в умовах проведення судово-правово</w:t>
      </w:r>
      <w:r w:rsidRPr="009157D9">
        <w:rPr>
          <w:bCs/>
          <w:sz w:val="28"/>
          <w:szCs w:val="28"/>
          <w:lang w:val="uk-UA"/>
        </w:rPr>
        <w:t>ї</w:t>
      </w:r>
      <w:r w:rsidRPr="009157D9">
        <w:rPr>
          <w:bCs/>
          <w:sz w:val="28"/>
          <w:szCs w:val="28"/>
        </w:rPr>
        <w:t xml:space="preserve"> реформи в Україні </w:t>
      </w:r>
      <w:r w:rsidRPr="009157D9">
        <w:rPr>
          <w:bCs/>
          <w:sz w:val="28"/>
          <w:szCs w:val="28"/>
          <w:lang w:val="uk-UA"/>
        </w:rPr>
        <w:t xml:space="preserve">набуває розробка концептуальних основ сучасного стану судової системи України та напрямів її розвитку. Особливо ці питання актуалізуються сьогодні, в період становлення та розвитку правової держави. </w:t>
      </w:r>
    </w:p>
    <w:p w14:paraId="47C49B6C" w14:textId="77777777" w:rsidR="009157D9" w:rsidRPr="009157D9" w:rsidRDefault="009157D9" w:rsidP="009157D9">
      <w:pPr>
        <w:spacing w:line="360" w:lineRule="auto"/>
        <w:ind w:firstLine="851"/>
        <w:jc w:val="both"/>
        <w:rPr>
          <w:bCs/>
          <w:iCs/>
          <w:sz w:val="28"/>
          <w:szCs w:val="28"/>
          <w:lang w:val="uk-UA"/>
        </w:rPr>
      </w:pPr>
      <w:r w:rsidRPr="009157D9">
        <w:rPr>
          <w:bCs/>
          <w:sz w:val="28"/>
          <w:szCs w:val="28"/>
          <w:lang w:val="uk-UA"/>
        </w:rPr>
        <w:t>Судова влада</w:t>
      </w:r>
      <w:r w:rsidRPr="009157D9">
        <w:rPr>
          <w:bCs/>
          <w:sz w:val="28"/>
          <w:szCs w:val="28"/>
        </w:rPr>
        <w:t xml:space="preserve"> постає тим інститутом, через який реалізується демократична сутність держави, підтримується ефективна життєдіяльність суспільства. Основними цілями і завданнями </w:t>
      </w:r>
      <w:r w:rsidRPr="009157D9">
        <w:rPr>
          <w:bCs/>
          <w:sz w:val="28"/>
          <w:szCs w:val="28"/>
          <w:lang w:val="uk-UA"/>
        </w:rPr>
        <w:t>судової влади</w:t>
      </w:r>
      <w:r w:rsidRPr="009157D9">
        <w:rPr>
          <w:bCs/>
          <w:sz w:val="28"/>
          <w:szCs w:val="28"/>
        </w:rPr>
        <w:t xml:space="preserve"> в Україні є </w:t>
      </w:r>
      <w:r w:rsidRPr="009157D9">
        <w:rPr>
          <w:bCs/>
          <w:sz w:val="28"/>
          <w:szCs w:val="28"/>
          <w:lang w:val="uk-UA"/>
        </w:rPr>
        <w:t>надійний захист прав і основних свобод людини і громадянина</w:t>
      </w:r>
      <w:r w:rsidRPr="009157D9">
        <w:rPr>
          <w:bCs/>
          <w:sz w:val="28"/>
          <w:szCs w:val="28"/>
        </w:rPr>
        <w:t xml:space="preserve">. </w:t>
      </w:r>
      <w:r w:rsidRPr="009157D9">
        <w:rPr>
          <w:bCs/>
          <w:sz w:val="28"/>
          <w:szCs w:val="28"/>
          <w:lang w:val="uk-UA"/>
        </w:rPr>
        <w:t>Його</w:t>
      </w:r>
      <w:r w:rsidRPr="009157D9">
        <w:rPr>
          <w:bCs/>
          <w:sz w:val="28"/>
          <w:szCs w:val="28"/>
        </w:rPr>
        <w:t xml:space="preserve"> реалізацію здатний забезпечити тільки професійний і компетентний </w:t>
      </w:r>
      <w:r w:rsidRPr="009157D9">
        <w:rPr>
          <w:bCs/>
          <w:sz w:val="28"/>
          <w:szCs w:val="28"/>
          <w:lang w:val="uk-UA"/>
        </w:rPr>
        <w:t>суд</w:t>
      </w:r>
      <w:r w:rsidRPr="009157D9">
        <w:rPr>
          <w:bCs/>
          <w:sz w:val="28"/>
          <w:szCs w:val="28"/>
        </w:rPr>
        <w:t xml:space="preserve">, який зможе організовувати та регулювати соціальну активність громадян, домагатися змін, відстежувати їх соціальну ефективність і реалізовувати в суспільному житті. </w:t>
      </w:r>
      <w:r w:rsidRPr="009157D9">
        <w:rPr>
          <w:bCs/>
          <w:sz w:val="28"/>
          <w:szCs w:val="28"/>
          <w:lang w:val="uk-UA"/>
        </w:rPr>
        <w:t>Тому о</w:t>
      </w:r>
      <w:r w:rsidRPr="009157D9">
        <w:rPr>
          <w:bCs/>
          <w:iCs/>
          <w:sz w:val="28"/>
          <w:szCs w:val="28"/>
          <w:lang w:val="uk-UA"/>
        </w:rPr>
        <w:t>дним з основних завдань на сучасному історичному етапі розвитку України є побудова незалежного та справедливого правосуддя, без чого неможливим є утвердження правової та демократичної держави, проведення будь-яких правових, економічних та соціальних реформ.</w:t>
      </w:r>
    </w:p>
    <w:p w14:paraId="5C8B6915" w14:textId="77777777" w:rsidR="009157D9" w:rsidRPr="009157D9" w:rsidRDefault="009157D9" w:rsidP="009157D9">
      <w:pPr>
        <w:spacing w:line="360" w:lineRule="auto"/>
        <w:ind w:firstLine="851"/>
        <w:jc w:val="both"/>
        <w:rPr>
          <w:bCs/>
          <w:sz w:val="28"/>
          <w:szCs w:val="28"/>
          <w:lang w:val="uk-UA"/>
        </w:rPr>
      </w:pPr>
      <w:r w:rsidRPr="009157D9">
        <w:rPr>
          <w:bCs/>
          <w:sz w:val="28"/>
          <w:szCs w:val="28"/>
        </w:rPr>
        <w:t xml:space="preserve">Окремі аспекти, пов’язані з питаннями відводу, розглядались у працях таких вчених як С. Ф. Демченко, Я. П. Зейкан, Ю. Д. Притика, С. Я. Фурса, В. В. </w:t>
      </w:r>
      <w:r w:rsidRPr="009157D9">
        <w:rPr>
          <w:bCs/>
          <w:sz w:val="28"/>
          <w:szCs w:val="28"/>
        </w:rPr>
        <w:lastRenderedPageBreak/>
        <w:t xml:space="preserve">Петрик та інших. </w:t>
      </w:r>
      <w:r w:rsidRPr="009157D9">
        <w:rPr>
          <w:bCs/>
          <w:sz w:val="28"/>
          <w:szCs w:val="28"/>
          <w:lang w:val="uk-UA"/>
        </w:rPr>
        <w:t xml:space="preserve"> Аналіз наукових праць із зазначеної проблематики надає підстави зробити висновок про відсутність комплексного підходу, науково обґрунтованої методології її дослідження, яка б дозволила систематизувати різні погляди щодо поняття інституту відводу, його особливостей, взаємодії із суміжними правовими категоріями. </w:t>
      </w:r>
    </w:p>
    <w:p w14:paraId="6B4B2537" w14:textId="77777777" w:rsidR="009157D9" w:rsidRPr="009157D9" w:rsidRDefault="009157D9" w:rsidP="009157D9">
      <w:pPr>
        <w:spacing w:line="360" w:lineRule="auto"/>
        <w:ind w:firstLine="851"/>
        <w:jc w:val="both"/>
        <w:rPr>
          <w:bCs/>
          <w:sz w:val="28"/>
          <w:szCs w:val="28"/>
          <w:lang w:val="uk-UA"/>
        </w:rPr>
      </w:pPr>
      <w:r w:rsidRPr="009157D9">
        <w:rPr>
          <w:bCs/>
          <w:sz w:val="28"/>
          <w:szCs w:val="28"/>
          <w:lang w:val="uk-UA"/>
        </w:rPr>
        <w:t>Крім того, з метою врегулювання процесуальних механізмів, які мають забезпечити ефективний, справедливий, неупереджений і своєчасний захист прав і свобод особи в суді, 23 березня 2017 року Президентом України подано до Верховної Ради України Проект Закону України «Про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(реєстр. номер 6232), який 3 жовтня 2017 р. прийнято як Закон України. Для досягнення цієї мети Законом викладаються в новій редакції Господарський процесуальний кодекс України, Цивільний процесуальний кодекс України, Кодекс адміністративного судочинства України і вносяться зміни до законодавчих актів. Загалом прийняття цього Закону є важливим кроком України в напрямі розвитку сучасних демократичних європейських держав. Крім того, ГПК, ЦПК та КАС містять новели для науки й законодавства України, які вже є предметом обговорення та дослідження. Все це свідчить про актуальність дослідження інституту відводу в господарському процесі в Україні та в зарубіжних країнах.</w:t>
      </w:r>
    </w:p>
    <w:p w14:paraId="3CDF9FF9" w14:textId="77777777" w:rsidR="009157D9" w:rsidRPr="009157D9" w:rsidRDefault="009157D9" w:rsidP="009157D9">
      <w:pPr>
        <w:spacing w:line="360" w:lineRule="auto"/>
        <w:ind w:firstLine="851"/>
        <w:jc w:val="both"/>
        <w:rPr>
          <w:sz w:val="28"/>
          <w:szCs w:val="28"/>
          <w:lang w:val="uk-UA"/>
        </w:rPr>
      </w:pPr>
      <w:r w:rsidRPr="009157D9">
        <w:rPr>
          <w:b/>
          <w:sz w:val="28"/>
          <w:szCs w:val="28"/>
          <w:lang w:val="uk-UA"/>
        </w:rPr>
        <w:t>Зв’язок з науковими програмами, планами, темами.</w:t>
      </w:r>
      <w:r w:rsidRPr="009157D9">
        <w:rPr>
          <w:sz w:val="28"/>
          <w:szCs w:val="28"/>
          <w:lang w:val="uk-UA"/>
        </w:rPr>
        <w:t xml:space="preserve"> Магістерську</w:t>
      </w:r>
    </w:p>
    <w:p w14:paraId="6A08E9FF" w14:textId="77777777" w:rsidR="009157D9" w:rsidRPr="009157D9" w:rsidRDefault="009157D9" w:rsidP="009157D9">
      <w:pPr>
        <w:spacing w:line="360" w:lineRule="auto"/>
        <w:jc w:val="both"/>
        <w:rPr>
          <w:sz w:val="28"/>
          <w:szCs w:val="28"/>
          <w:lang w:val="uk-UA"/>
        </w:rPr>
      </w:pPr>
      <w:r w:rsidRPr="009157D9">
        <w:rPr>
          <w:sz w:val="28"/>
          <w:szCs w:val="28"/>
          <w:lang w:val="uk-UA"/>
        </w:rPr>
        <w:t>роботу виконано відповідно до планової тематики науково дослідної роботи</w:t>
      </w:r>
    </w:p>
    <w:p w14:paraId="7305D3F8" w14:textId="77777777" w:rsidR="009157D9" w:rsidRPr="009157D9" w:rsidRDefault="009157D9" w:rsidP="009157D9">
      <w:pPr>
        <w:spacing w:line="360" w:lineRule="auto"/>
        <w:jc w:val="both"/>
        <w:rPr>
          <w:sz w:val="28"/>
          <w:szCs w:val="28"/>
          <w:lang w:val="uk-UA"/>
        </w:rPr>
      </w:pPr>
      <w:r w:rsidRPr="009157D9">
        <w:rPr>
          <w:sz w:val="28"/>
          <w:szCs w:val="28"/>
          <w:lang w:val="uk-UA"/>
        </w:rPr>
        <w:t>кафедри господарського та адміністративного права КПІ ім. Ігоря Сікорського</w:t>
      </w:r>
    </w:p>
    <w:p w14:paraId="41A1C65B" w14:textId="77777777" w:rsidR="009157D9" w:rsidRPr="009157D9" w:rsidRDefault="009157D9" w:rsidP="009157D9">
      <w:pPr>
        <w:spacing w:line="360" w:lineRule="auto"/>
        <w:jc w:val="both"/>
        <w:rPr>
          <w:sz w:val="28"/>
          <w:szCs w:val="28"/>
          <w:lang w:val="uk-UA"/>
        </w:rPr>
      </w:pPr>
      <w:r w:rsidRPr="009157D9">
        <w:rPr>
          <w:sz w:val="28"/>
          <w:szCs w:val="28"/>
          <w:lang w:val="uk-UA"/>
        </w:rPr>
        <w:t>за темою “</w:t>
      </w:r>
      <w:r w:rsidRPr="009157D9">
        <w:rPr>
          <w:color w:val="222222"/>
          <w:sz w:val="28"/>
          <w:szCs w:val="28"/>
          <w:shd w:val="clear" w:color="auto" w:fill="FFFFFF"/>
        </w:rPr>
        <w:t xml:space="preserve"> Правове забезпечення сталого розвитку»</w:t>
      </w:r>
      <w:r w:rsidRPr="009157D9">
        <w:rPr>
          <w:sz w:val="28"/>
          <w:szCs w:val="28"/>
          <w:lang w:val="uk-UA"/>
        </w:rPr>
        <w:t>” (державний реєстраційний номер 0118U100325).</w:t>
      </w:r>
    </w:p>
    <w:p w14:paraId="7643753C" w14:textId="77777777" w:rsidR="009157D9" w:rsidRPr="009157D9" w:rsidRDefault="009157D9" w:rsidP="009157D9">
      <w:pPr>
        <w:pStyle w:val="Default"/>
        <w:tabs>
          <w:tab w:val="left" w:pos="579"/>
          <w:tab w:val="left" w:pos="9239"/>
        </w:tabs>
        <w:spacing w:before="156"/>
        <w:ind w:left="338"/>
        <w:rPr>
          <w:rFonts w:ascii="Times New Roman" w:hAnsi="Times New Roman" w:cs="Times New Roman"/>
          <w:sz w:val="28"/>
          <w:szCs w:val="28"/>
        </w:rPr>
      </w:pPr>
      <w:r w:rsidRPr="009157D9">
        <w:rPr>
          <w:rFonts w:ascii="Times New Roman" w:hAnsi="Times New Roman" w:cs="Times New Roman"/>
          <w:b/>
          <w:sz w:val="28"/>
          <w:szCs w:val="28"/>
        </w:rPr>
        <w:t xml:space="preserve">        Об’єктом</w:t>
      </w:r>
      <w:r w:rsidRPr="009157D9">
        <w:rPr>
          <w:rFonts w:ascii="Times New Roman" w:hAnsi="Times New Roman" w:cs="Times New Roman"/>
          <w:sz w:val="28"/>
          <w:szCs w:val="28"/>
        </w:rPr>
        <w:t xml:space="preserve"> дослідження виступають суспільні відносини, що виникають у процесі відводу (самовідводу) при розгляді спорів господарськими судами України.</w:t>
      </w:r>
    </w:p>
    <w:p w14:paraId="14F57962" w14:textId="77777777" w:rsidR="009157D9" w:rsidRPr="009157D9" w:rsidRDefault="009157D9" w:rsidP="009157D9">
      <w:pPr>
        <w:pStyle w:val="Default"/>
        <w:tabs>
          <w:tab w:val="left" w:pos="579"/>
          <w:tab w:val="left" w:pos="9239"/>
        </w:tabs>
        <w:spacing w:before="156"/>
        <w:ind w:left="338"/>
        <w:rPr>
          <w:rFonts w:ascii="Times New Roman" w:hAnsi="Times New Roman" w:cs="Times New Roman"/>
          <w:sz w:val="28"/>
          <w:szCs w:val="28"/>
        </w:rPr>
      </w:pPr>
    </w:p>
    <w:p w14:paraId="283E5E60" w14:textId="77777777" w:rsidR="009157D9" w:rsidRPr="009157D9" w:rsidRDefault="009157D9" w:rsidP="009157D9">
      <w:pPr>
        <w:spacing w:line="360" w:lineRule="auto"/>
        <w:ind w:firstLine="851"/>
        <w:jc w:val="both"/>
        <w:rPr>
          <w:noProof/>
          <w:sz w:val="28"/>
          <w:szCs w:val="28"/>
          <w:lang w:val="uk-UA"/>
        </w:rPr>
      </w:pPr>
      <w:r w:rsidRPr="009157D9">
        <w:rPr>
          <w:b/>
          <w:noProof/>
          <w:sz w:val="28"/>
          <w:szCs w:val="28"/>
          <w:lang w:val="uk-UA"/>
        </w:rPr>
        <w:lastRenderedPageBreak/>
        <w:t>Предметом</w:t>
      </w:r>
      <w:r w:rsidRPr="009157D9">
        <w:rPr>
          <w:noProof/>
          <w:sz w:val="28"/>
          <w:szCs w:val="28"/>
          <w:lang w:val="uk-UA"/>
        </w:rPr>
        <w:t xml:space="preserve"> дослідження є особливості інституту відводу судді в господарському процесі в Україні та в зарубіжних країнах, теоретичні розробки щодо інституту відводу судді, нормативно-правові акти, що регулюють відводу судді в господарському процесі України.</w:t>
      </w:r>
    </w:p>
    <w:p w14:paraId="7BB73E12" w14:textId="77777777" w:rsidR="009157D9" w:rsidRPr="009157D9" w:rsidRDefault="009157D9" w:rsidP="009157D9">
      <w:pPr>
        <w:spacing w:line="360" w:lineRule="auto"/>
        <w:ind w:firstLine="851"/>
        <w:jc w:val="both"/>
        <w:rPr>
          <w:sz w:val="28"/>
          <w:szCs w:val="28"/>
          <w:lang w:val="uk-UA"/>
        </w:rPr>
      </w:pPr>
      <w:r w:rsidRPr="009157D9">
        <w:rPr>
          <w:b/>
          <w:sz w:val="28"/>
          <w:szCs w:val="28"/>
          <w:lang w:val="uk-UA"/>
        </w:rPr>
        <w:t>Метою</w:t>
      </w:r>
      <w:r w:rsidRPr="009157D9">
        <w:rPr>
          <w:sz w:val="28"/>
          <w:szCs w:val="28"/>
          <w:lang w:val="uk-UA"/>
        </w:rPr>
        <w:t xml:space="preserve"> роботи є комплексна розробка та всебічне висвітлення </w:t>
      </w:r>
      <w:r w:rsidRPr="009157D9">
        <w:rPr>
          <w:bCs/>
          <w:sz w:val="28"/>
          <w:szCs w:val="28"/>
          <w:lang w:val="uk-UA"/>
        </w:rPr>
        <w:t>інституту відводу судді в господарському процесі в Україні та в зарубіжних країнах, його нормативно-правове регулювання</w:t>
      </w:r>
      <w:r w:rsidRPr="009157D9">
        <w:rPr>
          <w:sz w:val="28"/>
          <w:szCs w:val="28"/>
          <w:lang w:val="uk-UA"/>
        </w:rPr>
        <w:t>.</w:t>
      </w:r>
    </w:p>
    <w:p w14:paraId="3FD53765" w14:textId="77777777" w:rsidR="009157D9" w:rsidRPr="009157D9" w:rsidRDefault="009157D9" w:rsidP="009157D9">
      <w:pPr>
        <w:spacing w:line="360" w:lineRule="auto"/>
        <w:ind w:firstLine="851"/>
        <w:jc w:val="both"/>
        <w:rPr>
          <w:bCs/>
          <w:sz w:val="28"/>
          <w:szCs w:val="28"/>
        </w:rPr>
      </w:pPr>
      <w:r w:rsidRPr="009157D9">
        <w:rPr>
          <w:b/>
          <w:sz w:val="28"/>
          <w:szCs w:val="28"/>
          <w:lang w:val="uk-UA"/>
        </w:rPr>
        <w:t>Завдання</w:t>
      </w:r>
      <w:r w:rsidRPr="009157D9">
        <w:rPr>
          <w:sz w:val="28"/>
          <w:szCs w:val="28"/>
          <w:lang w:val="uk-UA"/>
        </w:rPr>
        <w:t xml:space="preserve"> роботи: </w:t>
      </w:r>
    </w:p>
    <w:p w14:paraId="71BAE518" w14:textId="77777777" w:rsidR="009157D9" w:rsidRPr="009157D9" w:rsidRDefault="009157D9" w:rsidP="009157D9">
      <w:pPr>
        <w:spacing w:line="360" w:lineRule="auto"/>
        <w:ind w:firstLine="851"/>
        <w:jc w:val="both"/>
        <w:rPr>
          <w:bCs/>
          <w:sz w:val="28"/>
          <w:szCs w:val="28"/>
          <w:lang w:val="uk-UA"/>
        </w:rPr>
      </w:pPr>
      <w:r w:rsidRPr="009157D9">
        <w:rPr>
          <w:bCs/>
          <w:sz w:val="28"/>
          <w:szCs w:val="28"/>
        </w:rPr>
        <w:t xml:space="preserve">- дослідити </w:t>
      </w:r>
      <w:r w:rsidRPr="009157D9">
        <w:rPr>
          <w:bCs/>
          <w:kern w:val="32"/>
          <w:sz w:val="28"/>
          <w:szCs w:val="28"/>
        </w:rPr>
        <w:t>історі</w:t>
      </w:r>
      <w:r w:rsidRPr="009157D9">
        <w:rPr>
          <w:bCs/>
          <w:kern w:val="32"/>
          <w:sz w:val="28"/>
          <w:szCs w:val="28"/>
          <w:lang w:val="uk-UA"/>
        </w:rPr>
        <w:t>ю</w:t>
      </w:r>
      <w:r w:rsidRPr="009157D9">
        <w:rPr>
          <w:bCs/>
          <w:kern w:val="32"/>
          <w:sz w:val="28"/>
          <w:szCs w:val="28"/>
        </w:rPr>
        <w:t xml:space="preserve"> розвитку правового інституту відводу судді в Україні та в різних країнах світу</w:t>
      </w:r>
      <w:r w:rsidRPr="009157D9">
        <w:rPr>
          <w:bCs/>
          <w:sz w:val="28"/>
          <w:szCs w:val="28"/>
          <w:lang w:val="uk-UA"/>
        </w:rPr>
        <w:t>;</w:t>
      </w:r>
    </w:p>
    <w:p w14:paraId="29F3CDE5" w14:textId="77777777" w:rsidR="009157D9" w:rsidRPr="009157D9" w:rsidRDefault="009157D9" w:rsidP="009157D9">
      <w:pPr>
        <w:spacing w:line="360" w:lineRule="auto"/>
        <w:ind w:firstLine="851"/>
        <w:jc w:val="both"/>
        <w:rPr>
          <w:bCs/>
          <w:sz w:val="28"/>
          <w:szCs w:val="28"/>
          <w:lang w:val="uk-UA"/>
        </w:rPr>
      </w:pPr>
      <w:r w:rsidRPr="009157D9">
        <w:rPr>
          <w:bCs/>
          <w:sz w:val="28"/>
          <w:szCs w:val="28"/>
          <w:lang w:val="uk-UA"/>
        </w:rPr>
        <w:t xml:space="preserve">- розкрити </w:t>
      </w:r>
      <w:r w:rsidRPr="009157D9">
        <w:rPr>
          <w:bCs/>
          <w:kern w:val="32"/>
          <w:sz w:val="28"/>
          <w:szCs w:val="28"/>
        </w:rPr>
        <w:t>відвід судді як правов</w:t>
      </w:r>
      <w:r w:rsidRPr="009157D9">
        <w:rPr>
          <w:bCs/>
          <w:kern w:val="32"/>
          <w:sz w:val="28"/>
          <w:szCs w:val="28"/>
          <w:lang w:val="uk-UA"/>
        </w:rPr>
        <w:t>у</w:t>
      </w:r>
      <w:r w:rsidRPr="009157D9">
        <w:rPr>
          <w:bCs/>
          <w:kern w:val="32"/>
          <w:sz w:val="28"/>
          <w:szCs w:val="28"/>
        </w:rPr>
        <w:t xml:space="preserve"> гаранті</w:t>
      </w:r>
      <w:r w:rsidRPr="009157D9">
        <w:rPr>
          <w:bCs/>
          <w:kern w:val="32"/>
          <w:sz w:val="28"/>
          <w:szCs w:val="28"/>
          <w:lang w:val="uk-UA"/>
        </w:rPr>
        <w:t>ю</w:t>
      </w:r>
      <w:r w:rsidRPr="009157D9">
        <w:rPr>
          <w:bCs/>
          <w:kern w:val="32"/>
          <w:sz w:val="28"/>
          <w:szCs w:val="28"/>
        </w:rPr>
        <w:t xml:space="preserve"> принципу законності</w:t>
      </w:r>
      <w:r w:rsidRPr="009157D9">
        <w:rPr>
          <w:bCs/>
          <w:sz w:val="28"/>
          <w:szCs w:val="28"/>
          <w:lang w:val="uk-UA"/>
        </w:rPr>
        <w:t>;</w:t>
      </w:r>
    </w:p>
    <w:p w14:paraId="092E8D8E" w14:textId="77777777" w:rsidR="009157D9" w:rsidRPr="009157D9" w:rsidRDefault="009157D9" w:rsidP="009157D9">
      <w:pPr>
        <w:spacing w:line="360" w:lineRule="auto"/>
        <w:ind w:firstLine="851"/>
        <w:jc w:val="both"/>
        <w:rPr>
          <w:bCs/>
          <w:sz w:val="28"/>
          <w:szCs w:val="28"/>
          <w:lang w:val="uk-UA"/>
        </w:rPr>
      </w:pPr>
      <w:r w:rsidRPr="009157D9">
        <w:rPr>
          <w:bCs/>
          <w:sz w:val="28"/>
          <w:szCs w:val="28"/>
          <w:lang w:val="uk-UA"/>
        </w:rPr>
        <w:t xml:space="preserve">- охарактеризувати </w:t>
      </w:r>
      <w:r w:rsidRPr="009157D9">
        <w:rPr>
          <w:bCs/>
          <w:kern w:val="32"/>
          <w:sz w:val="28"/>
          <w:szCs w:val="28"/>
        </w:rPr>
        <w:t>інститут відводу судді у господарському процесуальному праві України</w:t>
      </w:r>
      <w:r w:rsidRPr="009157D9">
        <w:rPr>
          <w:bCs/>
          <w:sz w:val="28"/>
          <w:szCs w:val="28"/>
          <w:lang w:val="uk-UA"/>
        </w:rPr>
        <w:t>;</w:t>
      </w:r>
    </w:p>
    <w:p w14:paraId="59F93F60" w14:textId="77777777" w:rsidR="009157D9" w:rsidRPr="009157D9" w:rsidRDefault="009157D9" w:rsidP="009157D9">
      <w:pPr>
        <w:spacing w:line="360" w:lineRule="auto"/>
        <w:ind w:firstLine="851"/>
        <w:jc w:val="both"/>
        <w:rPr>
          <w:bCs/>
          <w:sz w:val="28"/>
          <w:szCs w:val="28"/>
          <w:lang w:val="uk-UA"/>
        </w:rPr>
      </w:pPr>
      <w:r w:rsidRPr="009157D9">
        <w:rPr>
          <w:bCs/>
          <w:sz w:val="28"/>
          <w:szCs w:val="28"/>
          <w:lang w:val="uk-UA"/>
        </w:rPr>
        <w:t xml:space="preserve">- розкрити </w:t>
      </w:r>
      <w:r w:rsidRPr="009157D9">
        <w:rPr>
          <w:bCs/>
          <w:kern w:val="32"/>
          <w:sz w:val="28"/>
          <w:szCs w:val="28"/>
        </w:rPr>
        <w:t>характеристик</w:t>
      </w:r>
      <w:r w:rsidRPr="009157D9">
        <w:rPr>
          <w:bCs/>
          <w:kern w:val="32"/>
          <w:sz w:val="28"/>
          <w:szCs w:val="28"/>
          <w:lang w:val="uk-UA"/>
        </w:rPr>
        <w:t>у</w:t>
      </w:r>
      <w:r w:rsidRPr="009157D9">
        <w:rPr>
          <w:bCs/>
          <w:kern w:val="32"/>
          <w:sz w:val="28"/>
          <w:szCs w:val="28"/>
        </w:rPr>
        <w:t xml:space="preserve"> підстав для відводу суддів та сучасних результатів розгляду судами заяв про відвід/самовідвід суддів в Україні</w:t>
      </w:r>
      <w:r w:rsidRPr="009157D9">
        <w:rPr>
          <w:bCs/>
          <w:sz w:val="28"/>
          <w:szCs w:val="28"/>
          <w:lang w:val="uk-UA"/>
        </w:rPr>
        <w:t>;</w:t>
      </w:r>
    </w:p>
    <w:p w14:paraId="4A0127F5" w14:textId="77777777" w:rsidR="009157D9" w:rsidRPr="009157D9" w:rsidRDefault="009157D9" w:rsidP="009157D9">
      <w:pPr>
        <w:spacing w:line="360" w:lineRule="auto"/>
        <w:ind w:firstLine="851"/>
        <w:jc w:val="both"/>
        <w:rPr>
          <w:bCs/>
          <w:sz w:val="28"/>
          <w:szCs w:val="28"/>
          <w:lang w:val="uk-UA"/>
        </w:rPr>
      </w:pPr>
      <w:r w:rsidRPr="009157D9">
        <w:rPr>
          <w:bCs/>
          <w:sz w:val="28"/>
          <w:szCs w:val="28"/>
          <w:lang w:val="uk-UA"/>
        </w:rPr>
        <w:t xml:space="preserve">- проаналізувати </w:t>
      </w:r>
      <w:r w:rsidRPr="009157D9">
        <w:rPr>
          <w:bCs/>
          <w:kern w:val="32"/>
          <w:sz w:val="28"/>
          <w:szCs w:val="28"/>
        </w:rPr>
        <w:t>стан дотримання загальних засад відводу судді в господарському судочинстві</w:t>
      </w:r>
      <w:r w:rsidRPr="009157D9">
        <w:rPr>
          <w:bCs/>
          <w:sz w:val="28"/>
          <w:szCs w:val="28"/>
          <w:lang w:val="uk-UA"/>
        </w:rPr>
        <w:t>;</w:t>
      </w:r>
    </w:p>
    <w:p w14:paraId="2966B2EE" w14:textId="77777777" w:rsidR="009157D9" w:rsidRPr="009157D9" w:rsidRDefault="009157D9" w:rsidP="009157D9">
      <w:pPr>
        <w:spacing w:line="360" w:lineRule="auto"/>
        <w:ind w:firstLine="851"/>
        <w:jc w:val="both"/>
        <w:rPr>
          <w:sz w:val="28"/>
          <w:szCs w:val="28"/>
          <w:lang w:val="uk-UA"/>
        </w:rPr>
      </w:pPr>
      <w:r w:rsidRPr="009157D9">
        <w:rPr>
          <w:bCs/>
          <w:sz w:val="28"/>
          <w:szCs w:val="28"/>
          <w:lang w:val="uk-UA"/>
        </w:rPr>
        <w:t xml:space="preserve">- дослідити </w:t>
      </w:r>
      <w:r w:rsidRPr="009157D9">
        <w:rPr>
          <w:bCs/>
          <w:kern w:val="32"/>
          <w:sz w:val="28"/>
          <w:szCs w:val="28"/>
          <w:lang w:val="uk-UA"/>
        </w:rPr>
        <w:t>зарубіжний досвід правового регулювання інституту відводу та самовідводу та можливості його імплементації в Україні</w:t>
      </w:r>
      <w:r w:rsidRPr="009157D9">
        <w:rPr>
          <w:bCs/>
          <w:sz w:val="28"/>
          <w:szCs w:val="28"/>
          <w:lang w:val="uk-UA"/>
        </w:rPr>
        <w:t xml:space="preserve"> тощо</w:t>
      </w:r>
      <w:r w:rsidRPr="009157D9">
        <w:rPr>
          <w:sz w:val="28"/>
          <w:szCs w:val="28"/>
          <w:lang w:val="uk-UA"/>
        </w:rPr>
        <w:t>.</w:t>
      </w:r>
    </w:p>
    <w:p w14:paraId="63EB0E87" w14:textId="77777777" w:rsidR="009157D9" w:rsidRPr="009157D9" w:rsidRDefault="009157D9" w:rsidP="009157D9">
      <w:pPr>
        <w:spacing w:line="360" w:lineRule="auto"/>
        <w:ind w:firstLine="851"/>
        <w:jc w:val="both"/>
        <w:rPr>
          <w:bCs/>
          <w:sz w:val="28"/>
          <w:szCs w:val="28"/>
          <w:lang w:val="uk-UA"/>
        </w:rPr>
      </w:pPr>
      <w:r w:rsidRPr="009157D9">
        <w:rPr>
          <w:b/>
          <w:sz w:val="28"/>
          <w:szCs w:val="28"/>
          <w:lang w:val="uk-UA"/>
        </w:rPr>
        <w:t>Короткий аналіз літератури по темі.</w:t>
      </w:r>
      <w:r w:rsidRPr="009157D9">
        <w:rPr>
          <w:sz w:val="28"/>
          <w:szCs w:val="28"/>
          <w:lang w:val="uk-UA"/>
        </w:rPr>
        <w:t xml:space="preserve"> Цим питанням приділялась значна увага в роботах вчених таких, як: </w:t>
      </w:r>
      <w:r w:rsidRPr="009157D9">
        <w:rPr>
          <w:bCs/>
          <w:sz w:val="28"/>
          <w:szCs w:val="28"/>
        </w:rPr>
        <w:t>С. Ф. Демченко, Я. П. Зейкан, Ю. Д. Притика, С. Я. Фурса, В. В. Петрик та інших</w:t>
      </w:r>
      <w:r w:rsidRPr="009157D9">
        <w:rPr>
          <w:bCs/>
          <w:sz w:val="28"/>
          <w:szCs w:val="28"/>
          <w:lang w:val="uk-UA"/>
        </w:rPr>
        <w:t xml:space="preserve"> та ін</w:t>
      </w:r>
      <w:r w:rsidRPr="009157D9">
        <w:rPr>
          <w:sz w:val="28"/>
          <w:szCs w:val="28"/>
          <w:lang w:val="uk-UA"/>
        </w:rPr>
        <w:t xml:space="preserve">. </w:t>
      </w:r>
      <w:r w:rsidRPr="009157D9">
        <w:rPr>
          <w:bCs/>
          <w:sz w:val="28"/>
          <w:szCs w:val="28"/>
          <w:lang w:val="uk-UA"/>
        </w:rPr>
        <w:t xml:space="preserve">Зазначені та інші науковці внесли вагомий внесок у дослідження питань ролі та місця інституту відводу в господарському процесі. </w:t>
      </w:r>
    </w:p>
    <w:p w14:paraId="4B99487A" w14:textId="77777777" w:rsidR="009157D9" w:rsidRPr="009157D9" w:rsidRDefault="009157D9" w:rsidP="009157D9">
      <w:pPr>
        <w:spacing w:line="360" w:lineRule="auto"/>
        <w:ind w:firstLine="851"/>
        <w:jc w:val="both"/>
        <w:rPr>
          <w:sz w:val="28"/>
          <w:szCs w:val="28"/>
          <w:lang w:val="uk-UA"/>
        </w:rPr>
      </w:pPr>
      <w:r w:rsidRPr="009157D9">
        <w:rPr>
          <w:b/>
          <w:noProof/>
          <w:sz w:val="28"/>
          <w:szCs w:val="28"/>
          <w:lang w:val="uk-UA"/>
        </w:rPr>
        <w:t>Методологія</w:t>
      </w:r>
      <w:r w:rsidRPr="009157D9">
        <w:rPr>
          <w:noProof/>
          <w:sz w:val="28"/>
          <w:szCs w:val="28"/>
          <w:lang w:val="uk-UA"/>
        </w:rPr>
        <w:t xml:space="preserve"> роботи </w:t>
      </w:r>
      <w:r w:rsidRPr="009157D9">
        <w:rPr>
          <w:sz w:val="28"/>
          <w:szCs w:val="28"/>
          <w:lang w:val="uk-UA"/>
        </w:rPr>
        <w:t xml:space="preserve">спирається на принципи соціального гуманізму та діалектичного взаємозв’язку об’єктивних і суб’єктивних факторів суспільного розвитку. З-поміж філософських методів дослідження застосовується діалектичний метод, принципи об’єктивності та історизму. </w:t>
      </w:r>
    </w:p>
    <w:p w14:paraId="527E5EB0" w14:textId="77777777" w:rsidR="009157D9" w:rsidRPr="009157D9" w:rsidRDefault="009157D9" w:rsidP="009157D9">
      <w:pPr>
        <w:spacing w:line="360" w:lineRule="auto"/>
        <w:ind w:firstLine="851"/>
        <w:jc w:val="both"/>
        <w:rPr>
          <w:sz w:val="28"/>
          <w:szCs w:val="28"/>
          <w:lang w:val="uk-UA"/>
        </w:rPr>
      </w:pPr>
      <w:r w:rsidRPr="009157D9">
        <w:rPr>
          <w:sz w:val="28"/>
          <w:szCs w:val="28"/>
          <w:lang w:val="uk-UA"/>
        </w:rPr>
        <w:t>Із загальнонаукових методів дослідження використовуються прийоми логічного методу (аналіз, синтез, індукція, дедукція), структурно-</w:t>
      </w:r>
      <w:r w:rsidRPr="009157D9">
        <w:rPr>
          <w:sz w:val="28"/>
          <w:szCs w:val="28"/>
          <w:lang w:val="uk-UA"/>
        </w:rPr>
        <w:lastRenderedPageBreak/>
        <w:t>функціональний і системний методи. Під час дослідження були використані загальнотеоретичні положення філософії, логіки, етики, психології та інших наук, що визначає комплексний характер цього дослідження. Зі спеціальних методів дослідження застосовуються наступні методи: порівняльного правознавства, формально-догматичний (аксіоматичний метод), історико-правовий і метод юридичного моделювання.</w:t>
      </w:r>
    </w:p>
    <w:p w14:paraId="55037521" w14:textId="77777777" w:rsidR="009157D9" w:rsidRPr="009157D9" w:rsidRDefault="009157D9" w:rsidP="009157D9">
      <w:pPr>
        <w:spacing w:line="360" w:lineRule="auto"/>
        <w:ind w:firstLine="851"/>
        <w:jc w:val="both"/>
        <w:rPr>
          <w:sz w:val="28"/>
          <w:szCs w:val="28"/>
          <w:lang w:val="uk-UA"/>
        </w:rPr>
      </w:pPr>
      <w:r w:rsidRPr="009157D9">
        <w:rPr>
          <w:sz w:val="28"/>
          <w:szCs w:val="28"/>
          <w:lang w:val="uk-UA"/>
        </w:rPr>
        <w:t>Так, за допомогою історико-правового методу досліджувалась історія становлення та розвитку інституту відводу в Україні. У процесі дослідження також використовувалися, структурно-функціональний (визначено підстави для відводу судді в Україні), соціологічний та ряд інших загальнонаукових і спеціальних наукових методів.</w:t>
      </w:r>
    </w:p>
    <w:p w14:paraId="00B1621C" w14:textId="77777777" w:rsidR="009157D9" w:rsidRPr="009157D9" w:rsidRDefault="009157D9" w:rsidP="009157D9">
      <w:pPr>
        <w:spacing w:line="360" w:lineRule="auto"/>
        <w:ind w:firstLine="851"/>
        <w:jc w:val="both"/>
        <w:rPr>
          <w:sz w:val="28"/>
          <w:szCs w:val="28"/>
        </w:rPr>
      </w:pPr>
      <w:r w:rsidRPr="009157D9">
        <w:rPr>
          <w:b/>
          <w:bCs/>
          <w:iCs/>
          <w:sz w:val="28"/>
          <w:szCs w:val="28"/>
        </w:rPr>
        <w:t>Наукова новизна одержаних результатів</w:t>
      </w:r>
      <w:r w:rsidRPr="009157D9">
        <w:rPr>
          <w:b/>
          <w:sz w:val="28"/>
          <w:szCs w:val="28"/>
        </w:rPr>
        <w:t xml:space="preserve">. </w:t>
      </w:r>
      <w:r w:rsidRPr="009157D9">
        <w:rPr>
          <w:sz w:val="28"/>
          <w:szCs w:val="28"/>
        </w:rPr>
        <w:t>Розглядаючи проблеми</w:t>
      </w:r>
      <w:r w:rsidRPr="009157D9">
        <w:rPr>
          <w:sz w:val="28"/>
          <w:szCs w:val="28"/>
          <w:lang w:val="uk-UA"/>
        </w:rPr>
        <w:t xml:space="preserve"> інституту відводу</w:t>
      </w:r>
      <w:r w:rsidRPr="009157D9">
        <w:rPr>
          <w:sz w:val="28"/>
          <w:szCs w:val="28"/>
        </w:rPr>
        <w:t>, автор намагався поєднати виклад теоретичних розробок з аналітичним оглядом нормативних актів, навести низку нових аргументів на користь вже відомих положень, запропонував власне бачення деяких проблем</w:t>
      </w:r>
      <w:r w:rsidRPr="009157D9">
        <w:rPr>
          <w:sz w:val="28"/>
          <w:szCs w:val="28"/>
          <w:lang w:val="uk-UA"/>
        </w:rPr>
        <w:t xml:space="preserve"> удосконалення правового регулювання інституту відводу</w:t>
      </w:r>
      <w:r w:rsidRPr="009157D9">
        <w:rPr>
          <w:sz w:val="28"/>
          <w:szCs w:val="28"/>
        </w:rPr>
        <w:t>.</w:t>
      </w:r>
    </w:p>
    <w:p w14:paraId="300D8DF6" w14:textId="77777777" w:rsidR="009157D9" w:rsidRPr="009157D9" w:rsidRDefault="009157D9" w:rsidP="009157D9">
      <w:pPr>
        <w:spacing w:line="360" w:lineRule="auto"/>
        <w:ind w:firstLine="851"/>
        <w:jc w:val="both"/>
        <w:rPr>
          <w:b/>
          <w:sz w:val="28"/>
          <w:szCs w:val="28"/>
          <w:lang w:val="uk-UA"/>
        </w:rPr>
      </w:pPr>
      <w:r w:rsidRPr="009157D9">
        <w:rPr>
          <w:b/>
          <w:bCs/>
          <w:iCs/>
          <w:sz w:val="28"/>
          <w:szCs w:val="28"/>
        </w:rPr>
        <w:t>Практичне значення одержаних результатів</w:t>
      </w:r>
      <w:r w:rsidRPr="009157D9">
        <w:rPr>
          <w:sz w:val="28"/>
          <w:szCs w:val="28"/>
        </w:rPr>
        <w:t xml:space="preserve"> </w:t>
      </w:r>
      <w:r w:rsidRPr="009157D9">
        <w:rPr>
          <w:bCs/>
          <w:iCs/>
          <w:sz w:val="28"/>
          <w:szCs w:val="28"/>
        </w:rPr>
        <w:t>полягає у сформульованих в роботі теоретичних положеннях, висновках й рекомендаціях, які можуть бути застосовані при вдосконаленні чинного законодавства, у науково-дослідницькій роботі, для поглиблення знання про забезпечення об'єктивного, неупередженого і всебічного розгляду справи зокрема, та інституту відводу судді в Україні взагалі, що сприятиме побудові демократичної правової держави.</w:t>
      </w:r>
    </w:p>
    <w:p w14:paraId="130BDC48" w14:textId="77777777" w:rsidR="009157D9" w:rsidRPr="009157D9" w:rsidRDefault="009157D9" w:rsidP="009157D9">
      <w:pPr>
        <w:spacing w:line="360" w:lineRule="auto"/>
        <w:ind w:firstLine="851"/>
        <w:jc w:val="both"/>
        <w:rPr>
          <w:sz w:val="28"/>
          <w:szCs w:val="28"/>
          <w:lang w:val="uk-UA"/>
        </w:rPr>
      </w:pPr>
      <w:r w:rsidRPr="009157D9">
        <w:rPr>
          <w:b/>
          <w:sz w:val="28"/>
          <w:szCs w:val="28"/>
          <w:lang w:val="uk-UA"/>
        </w:rPr>
        <w:t xml:space="preserve">Структура роботи. </w:t>
      </w:r>
      <w:r w:rsidRPr="009157D9">
        <w:rPr>
          <w:sz w:val="28"/>
          <w:szCs w:val="28"/>
          <w:lang w:val="uk-UA"/>
        </w:rPr>
        <w:t>Робота складається зі вступу, трьох розділів та восьми  підрозділів, висновків, переліку використаних джерел.</w:t>
      </w:r>
    </w:p>
    <w:p w14:paraId="490E60D4" w14:textId="77777777" w:rsidR="009157D9" w:rsidRPr="009157D9" w:rsidRDefault="009157D9" w:rsidP="009157D9">
      <w:pPr>
        <w:spacing w:line="360" w:lineRule="auto"/>
        <w:ind w:firstLine="851"/>
        <w:jc w:val="both"/>
        <w:rPr>
          <w:sz w:val="28"/>
          <w:szCs w:val="28"/>
          <w:lang w:val="uk-UA"/>
        </w:rPr>
      </w:pPr>
      <w:r w:rsidRPr="009157D9">
        <w:rPr>
          <w:b/>
          <w:sz w:val="28"/>
          <w:szCs w:val="28"/>
          <w:lang w:val="uk-UA"/>
        </w:rPr>
        <w:t>Загальний обсяг магістерської роботи</w:t>
      </w:r>
      <w:r w:rsidRPr="009157D9">
        <w:rPr>
          <w:sz w:val="28"/>
          <w:szCs w:val="28"/>
          <w:lang w:val="uk-UA"/>
        </w:rPr>
        <w:t>. Загальний обсяг магістерської роботи складає 132 сторінок, в т.ч. 112 сторінок основної частини магістерської роботи. Також в роботі представлені чотири додатки, що займають 9 сторінок магістерської роботи. Загальна кількість найменувань літератури є в Списку використаних джерел складає 110, що займає 11 сторінок.</w:t>
      </w:r>
    </w:p>
    <w:p w14:paraId="4459BFBA" w14:textId="78EC4BE7" w:rsidR="001C6AA0" w:rsidRPr="00BE0B1A" w:rsidRDefault="001C6AA0" w:rsidP="009157D9">
      <w:pPr>
        <w:pStyle w:val="1"/>
        <w:keepNext w:val="0"/>
        <w:shd w:val="clear" w:color="auto" w:fill="auto"/>
        <w:spacing w:before="240" w:after="60"/>
        <w:jc w:val="both"/>
        <w:rPr>
          <w:bCs/>
          <w:noProof w:val="0"/>
          <w:kern w:val="32"/>
          <w:szCs w:val="28"/>
        </w:rPr>
      </w:pPr>
      <w:r w:rsidRPr="009157D9">
        <w:rPr>
          <w:bCs/>
          <w:noProof w:val="0"/>
          <w:kern w:val="32"/>
          <w:szCs w:val="28"/>
        </w:rPr>
        <w:br w:type="page"/>
      </w:r>
      <w:bookmarkStart w:id="8" w:name="_Toc529619025"/>
      <w:bookmarkStart w:id="9" w:name="_Toc532751456"/>
      <w:r w:rsidRPr="00BE0B1A">
        <w:rPr>
          <w:bCs/>
          <w:noProof w:val="0"/>
          <w:kern w:val="32"/>
          <w:szCs w:val="28"/>
        </w:rPr>
        <w:lastRenderedPageBreak/>
        <w:t xml:space="preserve">РОЗДІЛ 1. </w:t>
      </w:r>
      <w:r w:rsidRPr="00BE0B1A">
        <w:rPr>
          <w:bCs/>
          <w:noProof w:val="0"/>
          <w:kern w:val="32"/>
          <w:szCs w:val="28"/>
          <w:lang w:val="ru-RU"/>
        </w:rPr>
        <w:t>ГЕНЕЗА СТАНОВЛЕННЯ ТА РОЗВИТКУ ІНСТИТУТУ ВІДВОДУ СУДДІ В ГОСПОДАРСЬКОМУ СУДОЧИНСТВІ</w:t>
      </w:r>
      <w:bookmarkEnd w:id="8"/>
      <w:bookmarkEnd w:id="9"/>
    </w:p>
    <w:p w14:paraId="421D0B8D" w14:textId="311DF3FF" w:rsidR="001C6AA0" w:rsidRDefault="001C6AA0" w:rsidP="001C6AA0">
      <w:pPr>
        <w:spacing w:line="360" w:lineRule="auto"/>
        <w:ind w:firstLine="851"/>
        <w:rPr>
          <w:sz w:val="28"/>
          <w:lang w:val="uk-UA"/>
        </w:rPr>
      </w:pPr>
    </w:p>
    <w:p w14:paraId="65264B56" w14:textId="77777777" w:rsidR="00DD4441" w:rsidRPr="00BE0B1A" w:rsidRDefault="00DD4441" w:rsidP="001C6AA0">
      <w:pPr>
        <w:spacing w:line="360" w:lineRule="auto"/>
        <w:ind w:firstLine="851"/>
        <w:rPr>
          <w:sz w:val="28"/>
          <w:lang w:val="uk-UA"/>
        </w:rPr>
      </w:pPr>
    </w:p>
    <w:p w14:paraId="6F50F6EA" w14:textId="77777777" w:rsidR="001C6AA0" w:rsidRPr="00BE0B1A" w:rsidRDefault="001C6AA0" w:rsidP="001C6AA0">
      <w:pPr>
        <w:pStyle w:val="1"/>
        <w:shd w:val="clear" w:color="auto" w:fill="auto"/>
        <w:ind w:right="57" w:firstLine="851"/>
        <w:jc w:val="both"/>
        <w:rPr>
          <w:bCs/>
          <w:noProof w:val="0"/>
          <w:kern w:val="32"/>
          <w:szCs w:val="28"/>
        </w:rPr>
      </w:pPr>
      <w:bookmarkStart w:id="10" w:name="_Toc529619026"/>
      <w:bookmarkStart w:id="11" w:name="_Toc532751457"/>
      <w:r w:rsidRPr="00BE0B1A">
        <w:rPr>
          <w:bCs/>
          <w:noProof w:val="0"/>
          <w:kern w:val="32"/>
          <w:szCs w:val="28"/>
        </w:rPr>
        <w:t>1.1. Історія розвитку правового інституту відводу судді в Україні та в різних країнах світу</w:t>
      </w:r>
      <w:bookmarkEnd w:id="10"/>
      <w:bookmarkEnd w:id="11"/>
    </w:p>
    <w:p w14:paraId="1072DA06" w14:textId="043D7B9B" w:rsidR="00DD4441" w:rsidRPr="00BE0B1A" w:rsidRDefault="00DD4441" w:rsidP="001C6AA0">
      <w:pPr>
        <w:spacing w:line="360" w:lineRule="auto"/>
        <w:ind w:right="57" w:firstLine="851"/>
        <w:jc w:val="both"/>
        <w:rPr>
          <w:sz w:val="28"/>
          <w:lang w:val="uk-UA"/>
        </w:rPr>
      </w:pPr>
    </w:p>
    <w:p w14:paraId="4F695407" w14:textId="77777777" w:rsidR="001C6AA0" w:rsidRPr="00BE0B1A" w:rsidRDefault="001C6AA0" w:rsidP="001C6AA0">
      <w:pPr>
        <w:pStyle w:val="a6"/>
        <w:spacing w:before="0" w:beforeAutospacing="0" w:after="0" w:afterAutospacing="0" w:line="360" w:lineRule="auto"/>
        <w:ind w:right="57" w:firstLine="851"/>
        <w:jc w:val="both"/>
        <w:rPr>
          <w:rFonts w:eastAsia="TimesNewRomanPSMT"/>
          <w:bCs/>
          <w:iCs/>
          <w:sz w:val="28"/>
          <w:szCs w:val="28"/>
          <w:lang w:val="uk-UA"/>
        </w:rPr>
      </w:pPr>
      <w:r w:rsidRPr="00BE0B1A">
        <w:rPr>
          <w:rFonts w:eastAsia="TimesNewRomanPSMT"/>
          <w:bCs/>
          <w:iCs/>
          <w:sz w:val="28"/>
          <w:szCs w:val="28"/>
          <w:lang w:val="uk-UA"/>
        </w:rPr>
        <w:t>Інститут сучасного порядку відводу судді має свою тривалу й складну історію, яка дає певне уявлення про пріоритети розвитку та становлення в державі цього важливого та надзвичайно необхідного правового інструменту регулювання судового процесу.</w:t>
      </w:r>
    </w:p>
    <w:p w14:paraId="16C97566" w14:textId="77777777" w:rsidR="001C6AA0" w:rsidRPr="00BE0B1A" w:rsidRDefault="001C6AA0" w:rsidP="001C6AA0">
      <w:pPr>
        <w:pStyle w:val="a6"/>
        <w:spacing w:before="0" w:beforeAutospacing="0" w:after="0" w:afterAutospacing="0" w:line="360" w:lineRule="auto"/>
        <w:ind w:right="57" w:firstLine="851"/>
        <w:jc w:val="both"/>
        <w:rPr>
          <w:rFonts w:eastAsia="TimesNewRomanPSMT"/>
          <w:bCs/>
          <w:iCs/>
          <w:sz w:val="28"/>
          <w:szCs w:val="28"/>
          <w:lang w:val="uk-UA"/>
        </w:rPr>
      </w:pPr>
      <w:r w:rsidRPr="00BE0B1A">
        <w:rPr>
          <w:rFonts w:eastAsia="TimesNewRomanPSMT"/>
          <w:bCs/>
          <w:iCs/>
          <w:sz w:val="28"/>
          <w:szCs w:val="28"/>
          <w:lang w:val="uk-UA"/>
        </w:rPr>
        <w:t>З метою з’ясування сутності інституту відводу, необхідним є дослідження інституту відводу судді в історичному аспекті в цілому. З цього приводу доцільним є звернення до основ римського права.</w:t>
      </w:r>
    </w:p>
    <w:p w14:paraId="09103BC0" w14:textId="62463FE2" w:rsidR="001C6AA0" w:rsidRPr="00A65373" w:rsidRDefault="001C6AA0" w:rsidP="00A65373">
      <w:pPr>
        <w:pStyle w:val="a6"/>
        <w:spacing w:before="0" w:beforeAutospacing="0" w:after="0" w:afterAutospacing="0" w:line="360" w:lineRule="auto"/>
        <w:ind w:right="57" w:firstLine="851"/>
        <w:jc w:val="both"/>
        <w:rPr>
          <w:rFonts w:eastAsia="TimesNewRomanPSMT"/>
          <w:bCs/>
          <w:iCs/>
          <w:sz w:val="28"/>
          <w:szCs w:val="28"/>
          <w:lang w:val="uk-UA"/>
        </w:rPr>
      </w:pPr>
      <w:r w:rsidRPr="00BE0B1A">
        <w:rPr>
          <w:rFonts w:eastAsia="TimesNewRomanPSMT"/>
          <w:bCs/>
          <w:iCs/>
          <w:sz w:val="28"/>
          <w:szCs w:val="28"/>
          <w:lang w:val="uk-UA"/>
        </w:rPr>
        <w:t>Історiя створення сучасного правознавства починається вiд часiв</w:t>
      </w:r>
      <w:r>
        <w:rPr>
          <w:rFonts w:eastAsia="TimesNewRomanPSMT"/>
          <w:bCs/>
          <w:iCs/>
          <w:sz w:val="28"/>
          <w:szCs w:val="28"/>
          <w:lang w:val="uk-UA"/>
        </w:rPr>
        <w:t xml:space="preserve"> Стародавнього Риму</w:t>
      </w:r>
      <w:r w:rsidRPr="00BE0B1A">
        <w:rPr>
          <w:rFonts w:eastAsia="TimesNewRomanPSMT"/>
          <w:bCs/>
          <w:iCs/>
          <w:sz w:val="28"/>
          <w:szCs w:val="28"/>
          <w:lang w:val="uk-UA"/>
        </w:rPr>
        <w:t>. Звiсно, правовi системи iснували й у давнiших цивiлiзацiях. Бiльш того, саме римське право зазнало потужного впливу давньогрецького, близькосхiдного, iудейського тощо права, запозичивши звiдти значну кiлькiсть iдей, принципiв, конкретних правових норм. Але тiльки у Римськiй античнiй цивiлiзацiї право перетворилося на порiвняно самостiйний феномен, набуло значення самостiйного предмету, який можна вивчати й нинi, абстрагувавшисьвiд конкретно-iсторичних умов, культури, держави, в якiй воно сформувалося</w:t>
      </w:r>
      <w:r>
        <w:rPr>
          <w:rFonts w:eastAsia="TimesNewRomanPSMT"/>
          <w:bCs/>
          <w:iCs/>
          <w:sz w:val="28"/>
          <w:szCs w:val="28"/>
          <w:lang w:val="uk-UA"/>
        </w:rPr>
        <w:t>[55]</w:t>
      </w:r>
      <w:r w:rsidRPr="00BE0B1A">
        <w:rPr>
          <w:rFonts w:eastAsia="TimesNewRomanPSMT"/>
          <w:bCs/>
          <w:iCs/>
          <w:sz w:val="28"/>
          <w:szCs w:val="28"/>
          <w:lang w:val="uk-UA"/>
        </w:rPr>
        <w:t>. Тому значення римського права на сучасному етапі розвитку юридичної науки є багатогранним, оскільки має різне теоретично-практичне спрямування. Це, безумовно, пов’язано з тим, що творчість римських юристів суттєво вплинула на подальший розвиток правової доктрини. Все це свідчить про актуальність дослідження римського права крізь призму історичних витоків з метою всебічного та повного з’ясування тих чи інших державно-правових явищ в сучасній правовій науці.</w:t>
      </w:r>
    </w:p>
    <w:p w14:paraId="4ED0ED52" w14:textId="77777777" w:rsidR="001C6AA0" w:rsidRPr="00B9066B" w:rsidRDefault="001C6AA0" w:rsidP="001C6AA0">
      <w:pPr>
        <w:pStyle w:val="a6"/>
        <w:shd w:val="clear" w:color="auto" w:fill="FFFFFF"/>
        <w:spacing w:before="0" w:beforeAutospacing="0" w:after="0" w:afterAutospacing="0" w:line="360" w:lineRule="auto"/>
        <w:ind w:right="57" w:firstLine="851"/>
        <w:jc w:val="both"/>
        <w:rPr>
          <w:sz w:val="28"/>
          <w:szCs w:val="28"/>
          <w:highlight w:val="yellow"/>
          <w:lang w:val="uk-UA"/>
        </w:rPr>
      </w:pPr>
      <w:r w:rsidRPr="00B9066B">
        <w:rPr>
          <w:sz w:val="28"/>
          <w:szCs w:val="28"/>
          <w:lang w:val="uk-UA"/>
        </w:rPr>
        <w:lastRenderedPageBreak/>
        <w:t>Право Стародавнього Риму містило положення про те, що суддя має бути обраний виключно за згодою сторін. Як зазначав давньоримський політичний діяч Марк Туллій Цицерон</w:t>
      </w:r>
      <w:r>
        <w:rPr>
          <w:sz w:val="28"/>
          <w:szCs w:val="28"/>
          <w:lang w:val="uk-UA"/>
        </w:rPr>
        <w:t>: «Римляни визнавали суддею тільки того, хто був обраний за згодою противників» [83]. Аналогічне право застосовувалось і до процедури відводу суддів.</w:t>
      </w:r>
    </w:p>
    <w:p w14:paraId="402D41F3" w14:textId="77777777" w:rsidR="001C6AA0" w:rsidRDefault="001C6AA0" w:rsidP="001C6AA0">
      <w:pPr>
        <w:spacing w:line="360" w:lineRule="auto"/>
        <w:ind w:right="57" w:firstLine="851"/>
        <w:jc w:val="both"/>
        <w:rPr>
          <w:sz w:val="28"/>
          <w:lang w:val="uk-UA"/>
        </w:rPr>
      </w:pPr>
      <w:r w:rsidRPr="00950917">
        <w:rPr>
          <w:sz w:val="28"/>
          <w:lang w:val="uk-UA"/>
        </w:rPr>
        <w:t>Процес у Римі, який мав назву «</w:t>
      </w:r>
      <w:r w:rsidRPr="00950917">
        <w:rPr>
          <w:sz w:val="28"/>
        </w:rPr>
        <w:t>ordo</w:t>
      </w:r>
      <w:r w:rsidRPr="00950917">
        <w:rPr>
          <w:sz w:val="28"/>
          <w:lang w:val="uk-UA"/>
        </w:rPr>
        <w:t xml:space="preserve"> </w:t>
      </w:r>
      <w:r w:rsidRPr="00950917">
        <w:rPr>
          <w:sz w:val="28"/>
        </w:rPr>
        <w:t>judiciorum</w:t>
      </w:r>
      <w:r w:rsidRPr="00950917">
        <w:rPr>
          <w:sz w:val="28"/>
          <w:lang w:val="uk-UA"/>
        </w:rPr>
        <w:t xml:space="preserve"> </w:t>
      </w:r>
      <w:r w:rsidRPr="00950917">
        <w:rPr>
          <w:sz w:val="28"/>
        </w:rPr>
        <w:t>privatorum</w:t>
      </w:r>
      <w:r w:rsidRPr="00950917">
        <w:rPr>
          <w:sz w:val="28"/>
          <w:lang w:val="uk-UA"/>
        </w:rPr>
        <w:t xml:space="preserve">», поділявся на такі частини: (1) </w:t>
      </w:r>
      <w:r w:rsidRPr="00950917">
        <w:rPr>
          <w:sz w:val="28"/>
        </w:rPr>
        <w:t>in</w:t>
      </w:r>
      <w:r w:rsidRPr="00950917">
        <w:rPr>
          <w:sz w:val="28"/>
          <w:lang w:val="uk-UA"/>
        </w:rPr>
        <w:t xml:space="preserve"> </w:t>
      </w:r>
      <w:r w:rsidRPr="00950917">
        <w:rPr>
          <w:sz w:val="28"/>
        </w:rPr>
        <w:t>jure</w:t>
      </w:r>
      <w:r w:rsidRPr="00950917">
        <w:rPr>
          <w:sz w:val="28"/>
          <w:lang w:val="uk-UA"/>
        </w:rPr>
        <w:t xml:space="preserve">; (2) </w:t>
      </w:r>
      <w:r w:rsidRPr="00950917">
        <w:rPr>
          <w:sz w:val="28"/>
        </w:rPr>
        <w:t>in</w:t>
      </w:r>
      <w:r w:rsidRPr="00950917">
        <w:rPr>
          <w:sz w:val="28"/>
          <w:lang w:val="uk-UA"/>
        </w:rPr>
        <w:t xml:space="preserve"> </w:t>
      </w:r>
      <w:r w:rsidRPr="00950917">
        <w:rPr>
          <w:sz w:val="28"/>
        </w:rPr>
        <w:t>judicio</w:t>
      </w:r>
      <w:r w:rsidRPr="00950917">
        <w:rPr>
          <w:sz w:val="28"/>
          <w:lang w:val="uk-UA"/>
        </w:rPr>
        <w:t xml:space="preserve">. </w:t>
      </w:r>
      <w:r w:rsidRPr="00950917">
        <w:rPr>
          <w:sz w:val="28"/>
          <w:lang w:val="en-US"/>
        </w:rPr>
        <w:t>I</w:t>
      </w:r>
      <w:r w:rsidRPr="00950917">
        <w:rPr>
          <w:sz w:val="28"/>
        </w:rPr>
        <w:t>n</w:t>
      </w:r>
      <w:r w:rsidRPr="00950917">
        <w:rPr>
          <w:sz w:val="28"/>
          <w:lang w:val="uk-UA"/>
        </w:rPr>
        <w:t xml:space="preserve"> </w:t>
      </w:r>
      <w:r w:rsidRPr="00950917">
        <w:rPr>
          <w:sz w:val="28"/>
        </w:rPr>
        <w:t>jure</w:t>
      </w:r>
      <w:r w:rsidRPr="00950917">
        <w:rPr>
          <w:sz w:val="28"/>
          <w:lang w:val="uk-UA"/>
        </w:rPr>
        <w:t xml:space="preserve"> – це стадія якою розпочинався процес </w:t>
      </w:r>
      <w:r w:rsidRPr="00950917">
        <w:rPr>
          <w:sz w:val="28"/>
        </w:rPr>
        <w:t xml:space="preserve">перед магістратом, </w:t>
      </w:r>
      <w:r w:rsidRPr="00950917">
        <w:rPr>
          <w:sz w:val="28"/>
          <w:lang w:val="uk-UA"/>
        </w:rPr>
        <w:t xml:space="preserve">на цій стадії визначався </w:t>
      </w:r>
      <w:r w:rsidRPr="00950917">
        <w:rPr>
          <w:sz w:val="28"/>
        </w:rPr>
        <w:t xml:space="preserve">предмет спору. </w:t>
      </w:r>
      <w:r>
        <w:rPr>
          <w:sz w:val="28"/>
          <w:lang w:val="uk-UA"/>
        </w:rPr>
        <w:t xml:space="preserve"> На вказаній стадії сторони повинні були за визначеними правилами вимовляти фрази якими висловлювали власні позиції в спорі, тобто власні претензії та заперечення.</w:t>
      </w:r>
    </w:p>
    <w:p w14:paraId="2347D4FB" w14:textId="77777777" w:rsidR="001C6AA0" w:rsidRPr="002D78E7" w:rsidRDefault="001C6AA0" w:rsidP="001C6AA0">
      <w:pPr>
        <w:spacing w:line="360" w:lineRule="auto"/>
        <w:ind w:right="57" w:firstLine="851"/>
        <w:jc w:val="both"/>
        <w:rPr>
          <w:sz w:val="28"/>
          <w:lang w:val="uk-UA"/>
        </w:rPr>
      </w:pPr>
      <w:r>
        <w:rPr>
          <w:sz w:val="28"/>
          <w:lang w:val="uk-UA"/>
        </w:rPr>
        <w:t>Після чого узгоджувались інші процесуальні моменти спору. В тому числі, сторони могли звертатись до свідків з проханням підтвердити або спростувати події, які на їхню думку мали місце. Після свідчень свідків позов вважався погашеним та позивач не міг звернутись повторно до суду з тією ж вимогою. Результатом вирішення спору був заключний акт, який мав назву «</w:t>
      </w:r>
      <w:r w:rsidRPr="002D78E7">
        <w:rPr>
          <w:sz w:val="28"/>
        </w:rPr>
        <w:t>litis</w:t>
      </w:r>
      <w:r w:rsidRPr="002D78E7">
        <w:rPr>
          <w:sz w:val="28"/>
          <w:lang w:val="uk-UA"/>
        </w:rPr>
        <w:t xml:space="preserve"> </w:t>
      </w:r>
      <w:r w:rsidRPr="002D78E7">
        <w:rPr>
          <w:sz w:val="28"/>
        </w:rPr>
        <w:t>contestatio</w:t>
      </w:r>
      <w:r w:rsidRPr="002D78E7">
        <w:rPr>
          <w:sz w:val="28"/>
          <w:lang w:val="uk-UA"/>
        </w:rPr>
        <w:t>»</w:t>
      </w:r>
      <w:r>
        <w:rPr>
          <w:sz w:val="28"/>
          <w:lang w:val="uk-UA"/>
        </w:rPr>
        <w:t>, тобто засвідчення спору [45, c.36]</w:t>
      </w:r>
    </w:p>
    <w:p w14:paraId="15C26286" w14:textId="77777777" w:rsidR="001C6AA0" w:rsidRDefault="001C6AA0" w:rsidP="001C6AA0">
      <w:pPr>
        <w:spacing w:line="360" w:lineRule="auto"/>
        <w:ind w:right="57" w:firstLine="851"/>
        <w:jc w:val="both"/>
        <w:rPr>
          <w:sz w:val="28"/>
        </w:rPr>
      </w:pPr>
      <w:r w:rsidRPr="002D78E7">
        <w:rPr>
          <w:sz w:val="28"/>
          <w:lang w:val="uk-UA"/>
        </w:rPr>
        <w:t xml:space="preserve">Очевидно, що однією з найважливіших етапів процесу є обрання судді. Як вже зазначалось вище вказаний вибір лежав на плечах сторін, після чого магістрат  лише формально </w:t>
      </w:r>
      <w:r w:rsidRPr="002D78E7">
        <w:rPr>
          <w:sz w:val="28"/>
        </w:rPr>
        <w:t xml:space="preserve">видавав наказ про призначення присяжного судді на основі вибору сторін. </w:t>
      </w:r>
      <w:r>
        <w:rPr>
          <w:sz w:val="28"/>
          <w:lang w:val="uk-UA"/>
        </w:rPr>
        <w:t>Такі дії магістрата – організація суддів для кожного конкретного спору – називались «</w:t>
      </w:r>
      <w:r w:rsidRPr="002D78E7">
        <w:rPr>
          <w:sz w:val="28"/>
        </w:rPr>
        <w:t>iudicium</w:t>
      </w:r>
      <w:r w:rsidRPr="002D78E7">
        <w:rPr>
          <w:sz w:val="28"/>
          <w:lang w:val="uk-UA"/>
        </w:rPr>
        <w:t>»</w:t>
      </w:r>
      <w:r w:rsidRPr="002D78E7">
        <w:rPr>
          <w:sz w:val="28"/>
        </w:rPr>
        <w:t xml:space="preserve"> </w:t>
      </w:r>
      <w:r>
        <w:rPr>
          <w:sz w:val="28"/>
        </w:rPr>
        <w:t>і означали</w:t>
      </w:r>
      <w:r w:rsidRPr="002D78E7">
        <w:rPr>
          <w:sz w:val="28"/>
        </w:rPr>
        <w:t xml:space="preserve"> дії магістрату по організації суду у справі. Т</w:t>
      </w:r>
      <w:r w:rsidRPr="002D78E7">
        <w:rPr>
          <w:sz w:val="28"/>
          <w:lang w:val="uk-UA"/>
        </w:rPr>
        <w:t>аке</w:t>
      </w:r>
      <w:r w:rsidRPr="002D78E7">
        <w:rPr>
          <w:sz w:val="28"/>
        </w:rPr>
        <w:t xml:space="preserve"> право належало магістратам</w:t>
      </w:r>
      <w:r w:rsidRPr="002D78E7">
        <w:t xml:space="preserve"> </w:t>
      </w:r>
      <w:r w:rsidRPr="002D78E7">
        <w:rPr>
          <w:sz w:val="28"/>
        </w:rPr>
        <w:t>вищого ступеня.</w:t>
      </w:r>
    </w:p>
    <w:p w14:paraId="5D4A7124" w14:textId="77777777" w:rsidR="001C6AA0" w:rsidRDefault="001C6AA0" w:rsidP="001C6AA0">
      <w:pPr>
        <w:spacing w:line="360" w:lineRule="auto"/>
        <w:ind w:right="57" w:firstLine="851"/>
        <w:jc w:val="both"/>
        <w:rPr>
          <w:sz w:val="28"/>
          <w:lang w:val="uk-UA"/>
        </w:rPr>
      </w:pPr>
      <w:r>
        <w:rPr>
          <w:sz w:val="28"/>
          <w:lang w:val="uk-UA"/>
        </w:rPr>
        <w:t>Магістрат міг взагалі не брати участі у виборі судді, сторони на власний розсуд вирішували вказане питання і згодом лише отримували відповідний наказ виданий магістратом. Натомість сторони, зазвичай, обирали суддів із списку відповідний кандидатів «</w:t>
      </w:r>
      <w:r w:rsidRPr="00F5017B">
        <w:rPr>
          <w:sz w:val="28"/>
          <w:lang w:val="en-US"/>
        </w:rPr>
        <w:t>a</w:t>
      </w:r>
      <w:r w:rsidRPr="00F5017B">
        <w:rPr>
          <w:sz w:val="28"/>
        </w:rPr>
        <w:t>lbum</w:t>
      </w:r>
      <w:r w:rsidRPr="00F5017B">
        <w:rPr>
          <w:sz w:val="28"/>
          <w:lang w:val="uk-UA"/>
        </w:rPr>
        <w:t xml:space="preserve"> </w:t>
      </w:r>
      <w:r w:rsidRPr="00F5017B">
        <w:rPr>
          <w:sz w:val="28"/>
        </w:rPr>
        <w:t>judicum</w:t>
      </w:r>
      <w:r w:rsidRPr="00F5017B">
        <w:rPr>
          <w:sz w:val="28"/>
          <w:lang w:val="uk-UA"/>
        </w:rPr>
        <w:t xml:space="preserve"> </w:t>
      </w:r>
      <w:r w:rsidRPr="00F5017B">
        <w:rPr>
          <w:sz w:val="28"/>
        </w:rPr>
        <w:t>selectorum</w:t>
      </w:r>
      <w:r w:rsidRPr="00F5017B">
        <w:rPr>
          <w:sz w:val="28"/>
          <w:lang w:val="uk-UA"/>
        </w:rPr>
        <w:t xml:space="preserve">», що складався претором. </w:t>
      </w:r>
      <w:r>
        <w:rPr>
          <w:sz w:val="28"/>
          <w:lang w:val="uk-UA"/>
        </w:rPr>
        <w:t>До вказаного вище списку не могли бути включені: члени Сенату; неповнолітні; жінки; раби; глухі, німі.</w:t>
      </w:r>
    </w:p>
    <w:p w14:paraId="0BE35057" w14:textId="77777777" w:rsidR="001C6AA0" w:rsidRPr="002A0BCB" w:rsidRDefault="001C6AA0" w:rsidP="001C6AA0">
      <w:pPr>
        <w:spacing w:line="360" w:lineRule="auto"/>
        <w:ind w:right="57" w:firstLine="851"/>
        <w:jc w:val="both"/>
        <w:rPr>
          <w:sz w:val="28"/>
          <w:lang w:val="uk-UA"/>
        </w:rPr>
      </w:pPr>
      <w:r>
        <w:rPr>
          <w:sz w:val="28"/>
          <w:lang w:val="uk-UA"/>
        </w:rPr>
        <w:t xml:space="preserve">Коли сторони між собою узгоджували кандидатуру зі списку вони дотримувались такої процедури: (1) спочатку позивач пропонував кандидатуру, </w:t>
      </w:r>
      <w:r>
        <w:rPr>
          <w:sz w:val="28"/>
          <w:lang w:val="uk-UA"/>
        </w:rPr>
        <w:lastRenderedPageBreak/>
        <w:t>(2) відповідач мав право погодитись на неї або відмовитись від даної кандидатури. Вказана відмова відповідача і вважалась відводом судді «</w:t>
      </w:r>
      <w:r w:rsidRPr="002A0BCB">
        <w:rPr>
          <w:sz w:val="28"/>
        </w:rPr>
        <w:t>recusatio</w:t>
      </w:r>
      <w:r w:rsidRPr="002A0BCB">
        <w:rPr>
          <w:sz w:val="28"/>
          <w:lang w:val="uk-UA"/>
        </w:rPr>
        <w:t>», причому закон не зобов’язував відповідача пояснювати причину такої відмови.</w:t>
      </w:r>
      <w:r>
        <w:rPr>
          <w:sz w:val="28"/>
          <w:lang w:val="uk-UA"/>
        </w:rPr>
        <w:t xml:space="preserve"> Відповідач відводив суддю через побоювання, що той не винесе справедливого рішення у даному спорі.</w:t>
      </w:r>
    </w:p>
    <w:p w14:paraId="2A8DE06A" w14:textId="77777777" w:rsidR="001C6AA0" w:rsidRDefault="001C6AA0" w:rsidP="001C6AA0">
      <w:pPr>
        <w:spacing w:line="360" w:lineRule="auto"/>
        <w:ind w:right="57" w:firstLine="851"/>
        <w:jc w:val="both"/>
        <w:rPr>
          <w:sz w:val="28"/>
          <w:highlight w:val="yellow"/>
        </w:rPr>
      </w:pPr>
      <w:r w:rsidRPr="002A0BCB">
        <w:rPr>
          <w:sz w:val="28"/>
          <w:lang w:val="uk-UA"/>
        </w:rPr>
        <w:t xml:space="preserve">Позивач був зобов’язаний пропонувати наступну кандидатуру до тих пір, поки відповідач </w:t>
      </w:r>
      <w:r w:rsidRPr="002A0BCB">
        <w:rPr>
          <w:sz w:val="28"/>
        </w:rPr>
        <w:t xml:space="preserve">не погоджувався з обраним суддею. </w:t>
      </w:r>
      <w:r>
        <w:rPr>
          <w:sz w:val="28"/>
          <w:lang w:val="uk-UA"/>
        </w:rPr>
        <w:t>Так, у разі такий суддя обирався. Видавався наказ і процес переходив у наступну стадію, яка передбачала по суті розгляд справи «</w:t>
      </w:r>
      <w:r w:rsidRPr="002A0BCB">
        <w:rPr>
          <w:sz w:val="28"/>
        </w:rPr>
        <w:t>in judicio»</w:t>
      </w:r>
      <w:r>
        <w:rPr>
          <w:sz w:val="28"/>
        </w:rPr>
        <w:t xml:space="preserve"> [61,c.52]</w:t>
      </w:r>
      <w:r w:rsidRPr="002A0BCB">
        <w:rPr>
          <w:sz w:val="28"/>
        </w:rPr>
        <w:t xml:space="preserve"> </w:t>
      </w:r>
      <w:r>
        <w:rPr>
          <w:sz w:val="28"/>
        </w:rPr>
        <w:t>.</w:t>
      </w:r>
    </w:p>
    <w:p w14:paraId="1FE70EF0" w14:textId="77777777" w:rsidR="001C6AA0" w:rsidRPr="002A0BCB" w:rsidRDefault="001C6AA0" w:rsidP="001C6AA0">
      <w:pPr>
        <w:spacing w:line="360" w:lineRule="auto"/>
        <w:ind w:right="57" w:firstLine="851"/>
        <w:jc w:val="both"/>
        <w:rPr>
          <w:sz w:val="28"/>
          <w:lang w:val="uk-UA"/>
        </w:rPr>
      </w:pPr>
      <w:r w:rsidRPr="002A0BCB">
        <w:rPr>
          <w:sz w:val="28"/>
          <w:lang w:val="uk-UA"/>
        </w:rPr>
        <w:t>Варте уваги і те, що римське право знало таке поняття, як «</w:t>
      </w:r>
      <w:r w:rsidRPr="002A0BCB">
        <w:rPr>
          <w:sz w:val="28"/>
        </w:rPr>
        <w:t>зловживання відповідачем своїм правом відводу судді</w:t>
      </w:r>
      <w:r w:rsidRPr="002A0BCB">
        <w:rPr>
          <w:sz w:val="28"/>
          <w:lang w:val="uk-UA"/>
        </w:rPr>
        <w:t>»</w:t>
      </w:r>
      <w:r w:rsidRPr="002A0BCB">
        <w:rPr>
          <w:sz w:val="28"/>
        </w:rPr>
        <w:t>.</w:t>
      </w:r>
      <w:r w:rsidRPr="002A0BCB">
        <w:rPr>
          <w:sz w:val="28"/>
          <w:lang w:val="uk-UA"/>
        </w:rPr>
        <w:t xml:space="preserve"> Так, якщо претор робив висновок про таке зловживання</w:t>
      </w:r>
      <w:r w:rsidRPr="002A0BCB">
        <w:rPr>
          <w:sz w:val="28"/>
        </w:rPr>
        <w:t xml:space="preserve"> то </w:t>
      </w:r>
      <w:r w:rsidRPr="002A0BCB">
        <w:rPr>
          <w:sz w:val="28"/>
          <w:lang w:val="uk-UA"/>
        </w:rPr>
        <w:t xml:space="preserve">відповідач </w:t>
      </w:r>
      <w:r w:rsidRPr="002A0BCB">
        <w:rPr>
          <w:sz w:val="28"/>
        </w:rPr>
        <w:t>визнавав</w:t>
      </w:r>
      <w:r w:rsidRPr="002A0BCB">
        <w:rPr>
          <w:sz w:val="28"/>
          <w:lang w:val="uk-UA"/>
        </w:rPr>
        <w:t>ся</w:t>
      </w:r>
      <w:r w:rsidRPr="002A0BCB">
        <w:rPr>
          <w:sz w:val="28"/>
        </w:rPr>
        <w:t xml:space="preserve"> таким, що не захищається, а отже позивач автоматично визнавався переможцем у суперечці.</w:t>
      </w:r>
    </w:p>
    <w:p w14:paraId="7E34CB26" w14:textId="77777777" w:rsidR="001C6AA0" w:rsidRPr="00E46115" w:rsidRDefault="001C6AA0" w:rsidP="001C6AA0">
      <w:pPr>
        <w:spacing w:line="360" w:lineRule="auto"/>
        <w:ind w:right="57" w:firstLine="851"/>
        <w:jc w:val="both"/>
        <w:rPr>
          <w:sz w:val="28"/>
          <w:lang w:val="uk-UA"/>
        </w:rPr>
      </w:pPr>
      <w:r w:rsidRPr="00E46115">
        <w:rPr>
          <w:sz w:val="28"/>
          <w:lang w:val="uk-UA"/>
        </w:rPr>
        <w:t xml:space="preserve">Таким чином, можна зазначити, що гарантією справедливого рішення у справі у римському праві виступало  </w:t>
      </w:r>
      <w:r w:rsidRPr="00E46115">
        <w:rPr>
          <w:sz w:val="28"/>
        </w:rPr>
        <w:t xml:space="preserve">право відповідача на відвід судді, а також правило про </w:t>
      </w:r>
      <w:r w:rsidRPr="00E46115">
        <w:rPr>
          <w:sz w:val="28"/>
          <w:lang w:val="uk-UA"/>
        </w:rPr>
        <w:t xml:space="preserve">погодження </w:t>
      </w:r>
      <w:r w:rsidRPr="00E46115">
        <w:rPr>
          <w:sz w:val="28"/>
        </w:rPr>
        <w:t xml:space="preserve">кандидатури присяжного судді сторонами. </w:t>
      </w:r>
      <w:r w:rsidRPr="00E46115">
        <w:rPr>
          <w:sz w:val="28"/>
          <w:lang w:val="uk-UA"/>
        </w:rPr>
        <w:t>Завдяки цьому, суддя обирався не на конкретний період часу чи довгостроково (як у сучасному праві), а лише для конкретно визначеного випадку.</w:t>
      </w:r>
    </w:p>
    <w:p w14:paraId="4A627953" w14:textId="77777777" w:rsidR="001C6AA0" w:rsidRPr="00E46115" w:rsidRDefault="001C6AA0" w:rsidP="001C6AA0">
      <w:pPr>
        <w:spacing w:line="360" w:lineRule="auto"/>
        <w:ind w:right="57" w:firstLine="851"/>
        <w:jc w:val="both"/>
        <w:rPr>
          <w:sz w:val="28"/>
          <w:lang w:val="uk-UA"/>
        </w:rPr>
      </w:pPr>
      <w:r w:rsidRPr="00E46115">
        <w:rPr>
          <w:sz w:val="28"/>
          <w:lang w:val="uk-UA"/>
        </w:rPr>
        <w:t>Правило погодження кандидатури судді сторонами діяло лише в період існування в Римі договірного судового процесу (</w:t>
      </w:r>
      <w:r w:rsidRPr="00E46115">
        <w:rPr>
          <w:sz w:val="28"/>
        </w:rPr>
        <w:t>I</w:t>
      </w:r>
      <w:r w:rsidRPr="00E46115">
        <w:rPr>
          <w:sz w:val="28"/>
          <w:lang w:val="uk-UA"/>
        </w:rPr>
        <w:t xml:space="preserve"> -</w:t>
      </w:r>
      <w:r w:rsidRPr="00E46115">
        <w:rPr>
          <w:sz w:val="28"/>
        </w:rPr>
        <w:t>III</w:t>
      </w:r>
      <w:r w:rsidRPr="00E46115">
        <w:rPr>
          <w:sz w:val="28"/>
          <w:lang w:val="uk-UA"/>
        </w:rPr>
        <w:t xml:space="preserve"> ст. н. е.). Сторони узгоджували кандидатуру судді а, отже, зобов'язувалися добровільно підкоритися його рішенню. Дещо схоже </w:t>
      </w:r>
      <w:r w:rsidRPr="00E46115">
        <w:rPr>
          <w:sz w:val="28"/>
        </w:rPr>
        <w:t xml:space="preserve">правило </w:t>
      </w:r>
      <w:r w:rsidRPr="00E46115">
        <w:rPr>
          <w:sz w:val="28"/>
          <w:lang w:val="uk-UA"/>
        </w:rPr>
        <w:t xml:space="preserve">нині </w:t>
      </w:r>
      <w:r w:rsidRPr="00E46115">
        <w:rPr>
          <w:sz w:val="28"/>
        </w:rPr>
        <w:t xml:space="preserve">міститься в сучасних нормах </w:t>
      </w:r>
      <w:r w:rsidRPr="00E46115">
        <w:rPr>
          <w:sz w:val="28"/>
          <w:lang w:val="uk-UA"/>
        </w:rPr>
        <w:t xml:space="preserve">права </w:t>
      </w:r>
      <w:r w:rsidRPr="00E46115">
        <w:rPr>
          <w:sz w:val="28"/>
        </w:rPr>
        <w:t>про третейські суди. У пізні періоди розвитку Римського права виборність суддів стало формальністю і було замінено обов'язком підкоритися волі держави, що знаходило своє вираження у судді</w:t>
      </w:r>
      <w:r>
        <w:rPr>
          <w:sz w:val="28"/>
        </w:rPr>
        <w:t xml:space="preserve"> [19]</w:t>
      </w:r>
      <w:r w:rsidRPr="00E46115">
        <w:rPr>
          <w:sz w:val="28"/>
          <w:lang w:val="uk-UA"/>
        </w:rPr>
        <w:t>.</w:t>
      </w:r>
    </w:p>
    <w:p w14:paraId="3ED53D32" w14:textId="77777777" w:rsidR="001C6AA0" w:rsidRPr="00E46115" w:rsidRDefault="001C6AA0" w:rsidP="001C6AA0">
      <w:pPr>
        <w:spacing w:line="360" w:lineRule="auto"/>
        <w:ind w:right="57" w:firstLine="851"/>
        <w:jc w:val="both"/>
        <w:rPr>
          <w:sz w:val="28"/>
          <w:lang w:val="uk-UA"/>
        </w:rPr>
      </w:pPr>
      <w:r w:rsidRPr="00E46115">
        <w:rPr>
          <w:sz w:val="28"/>
          <w:lang w:val="uk-UA"/>
        </w:rPr>
        <w:t>Повертаючись до процедури «</w:t>
      </w:r>
      <w:r w:rsidRPr="00E46115">
        <w:rPr>
          <w:sz w:val="28"/>
        </w:rPr>
        <w:t>recusatio</w:t>
      </w:r>
      <w:r w:rsidRPr="00E46115">
        <w:rPr>
          <w:sz w:val="28"/>
          <w:lang w:val="uk-UA"/>
        </w:rPr>
        <w:t xml:space="preserve">» - відводу суді, слід зазначити, що задля ефективного застосування принципу рівноправності сторін доцільніша їх участь у виборі судді на рівних засадах, тобто право пропонувати кандидатуру судді необхідно було надати обом сторонам, а не тільки позивачеві. </w:t>
      </w:r>
    </w:p>
    <w:p w14:paraId="15996B0D" w14:textId="77777777" w:rsidR="001C6AA0" w:rsidRPr="00E46115" w:rsidRDefault="001C6AA0" w:rsidP="001C6AA0">
      <w:pPr>
        <w:spacing w:line="360" w:lineRule="auto"/>
        <w:ind w:right="57" w:firstLine="851"/>
        <w:jc w:val="both"/>
        <w:rPr>
          <w:sz w:val="28"/>
          <w:lang w:val="uk-UA"/>
        </w:rPr>
      </w:pPr>
      <w:r w:rsidRPr="00E46115">
        <w:rPr>
          <w:sz w:val="28"/>
        </w:rPr>
        <w:lastRenderedPageBreak/>
        <w:t>Хоча в римському праві створена противага інтересів позивача і відповідача: позивач пропонує кандидатуру, грунтуючись на особистих симпатіях, не пояснюючи причину вибору того чи іншого судді, а відповідач володіє зворотним правом приймати чи не приймати в судді особу, якій він не довіряє, причому також без пояснення причин. Згідно з даними джерелами, відповідачу досить було вжити фразу «hunc nolo, nolo eum eligere», але не пояснювати причин свого рішення.</w:t>
      </w:r>
    </w:p>
    <w:p w14:paraId="39AC9AEE" w14:textId="77777777" w:rsidR="001C6AA0" w:rsidRPr="00183879" w:rsidRDefault="001C6AA0" w:rsidP="001C6AA0">
      <w:pPr>
        <w:spacing w:line="360" w:lineRule="auto"/>
        <w:ind w:right="57" w:firstLine="851"/>
        <w:jc w:val="both"/>
        <w:rPr>
          <w:sz w:val="28"/>
          <w:lang w:val="uk-UA"/>
        </w:rPr>
      </w:pPr>
      <w:r w:rsidRPr="00183879">
        <w:rPr>
          <w:sz w:val="28"/>
          <w:lang w:val="uk-UA"/>
        </w:rPr>
        <w:t>Насамперед є важливо з’ясувати природу прав сторін на: (1) пропозицію кандидатури на суддю, (2) відмову від кандидата без пояснення причин. Так, предметом вибору є кандидатура, а не сам суддя. Запропонована кандидатура на стадії «</w:t>
      </w:r>
      <w:r w:rsidRPr="00183879">
        <w:rPr>
          <w:sz w:val="28"/>
        </w:rPr>
        <w:t>in jure</w:t>
      </w:r>
      <w:r w:rsidRPr="00183879">
        <w:rPr>
          <w:sz w:val="28"/>
          <w:lang w:val="uk-UA"/>
        </w:rPr>
        <w:t>» ще не являється суддею у справі тому у сторін не виникає зобов’язань перед державою. Держава не втручається у обрання та погодження сторонами судді, оскільки така кандидатура може бути замінена до початку процесу.</w:t>
      </w:r>
      <w:r>
        <w:rPr>
          <w:sz w:val="28"/>
          <w:lang w:val="uk-UA"/>
        </w:rPr>
        <w:t xml:space="preserve"> У зв’язку з цим держава не намагається створювати механізми для перевірки об’єктивності та правильності вибору. При цьому держава намагається відстоювати власні публічні інтереси шляхом зобов’язання обирати суддів виключно </w:t>
      </w:r>
      <w:r w:rsidRPr="00183879">
        <w:rPr>
          <w:sz w:val="28"/>
          <w:lang w:val="uk-UA"/>
        </w:rPr>
        <w:t xml:space="preserve">із </w:t>
      </w:r>
      <w:r>
        <w:rPr>
          <w:sz w:val="28"/>
          <w:lang w:val="en-US"/>
        </w:rPr>
        <w:t>a</w:t>
      </w:r>
      <w:r w:rsidRPr="00183879">
        <w:rPr>
          <w:sz w:val="28"/>
        </w:rPr>
        <w:t>lbum</w:t>
      </w:r>
      <w:r w:rsidRPr="00183879">
        <w:rPr>
          <w:sz w:val="28"/>
          <w:lang w:val="uk-UA"/>
        </w:rPr>
        <w:t xml:space="preserve"> </w:t>
      </w:r>
      <w:r w:rsidRPr="00183879">
        <w:rPr>
          <w:sz w:val="28"/>
        </w:rPr>
        <w:t>jidicum</w:t>
      </w:r>
      <w:r w:rsidRPr="00183879">
        <w:rPr>
          <w:sz w:val="28"/>
          <w:lang w:val="uk-UA"/>
        </w:rPr>
        <w:t xml:space="preserve"> для позивача та обмеження права відповідача нескінченно відводити кандидатів</w:t>
      </w:r>
      <w:r>
        <w:rPr>
          <w:sz w:val="28"/>
          <w:lang w:val="uk-UA"/>
        </w:rPr>
        <w:t xml:space="preserve"> </w:t>
      </w:r>
      <w:r w:rsidRPr="00774B9C">
        <w:rPr>
          <w:sz w:val="28"/>
          <w:lang w:val="uk-UA"/>
        </w:rPr>
        <w:t>[19]</w:t>
      </w:r>
      <w:r w:rsidRPr="00183879">
        <w:rPr>
          <w:sz w:val="28"/>
          <w:lang w:val="uk-UA"/>
        </w:rPr>
        <w:t>.</w:t>
      </w:r>
    </w:p>
    <w:p w14:paraId="2DC061B2" w14:textId="77777777" w:rsidR="001C6AA0" w:rsidRPr="00183879" w:rsidRDefault="001C6AA0" w:rsidP="001C6AA0">
      <w:pPr>
        <w:spacing w:line="360" w:lineRule="auto"/>
        <w:ind w:right="57" w:firstLine="851"/>
        <w:jc w:val="both"/>
        <w:rPr>
          <w:sz w:val="28"/>
          <w:lang w:val="uk-UA"/>
        </w:rPr>
      </w:pPr>
      <w:r w:rsidRPr="00183879">
        <w:rPr>
          <w:sz w:val="28"/>
          <w:lang w:val="uk-UA"/>
        </w:rPr>
        <w:t xml:space="preserve">Римському праву відомі випадки, коли кандидатура з вказаного списку не могла брати участь у справі. </w:t>
      </w:r>
      <w:r w:rsidRPr="00183879">
        <w:rPr>
          <w:sz w:val="28"/>
        </w:rPr>
        <w:t xml:space="preserve">Це випадки, </w:t>
      </w:r>
      <w:r w:rsidRPr="00183879">
        <w:rPr>
          <w:sz w:val="28"/>
          <w:lang w:val="uk-UA"/>
        </w:rPr>
        <w:t xml:space="preserve">у яких </w:t>
      </w:r>
      <w:r w:rsidRPr="00183879">
        <w:rPr>
          <w:sz w:val="28"/>
        </w:rPr>
        <w:t xml:space="preserve">суддя сам був стороною в суперечці або ж коли між ним і стороною в процесі існував певний </w:t>
      </w:r>
      <w:r w:rsidRPr="00183879">
        <w:rPr>
          <w:sz w:val="28"/>
          <w:lang w:val="uk-UA"/>
        </w:rPr>
        <w:t xml:space="preserve">правовий </w:t>
      </w:r>
      <w:r w:rsidRPr="00183879">
        <w:rPr>
          <w:sz w:val="28"/>
        </w:rPr>
        <w:t>зв’язок</w:t>
      </w:r>
      <w:r>
        <w:rPr>
          <w:sz w:val="28"/>
        </w:rPr>
        <w:t xml:space="preserve"> [44, c.24]</w:t>
      </w:r>
      <w:r w:rsidRPr="00183879">
        <w:rPr>
          <w:sz w:val="28"/>
        </w:rPr>
        <w:t xml:space="preserve"> Навіть, якщо особу було обрано сторонами, але були перераховані вище підстави, то кандидат не призначався наказами магістрату. Якщо ж підстав</w:t>
      </w:r>
      <w:r>
        <w:rPr>
          <w:sz w:val="28"/>
        </w:rPr>
        <w:t>и з</w:t>
      </w:r>
      <w:r w:rsidRPr="00183879">
        <w:rPr>
          <w:sz w:val="28"/>
        </w:rPr>
        <w:t>`ясовувалися після призначення, то суддя замінювався іншим суддею відповідно до процедури вибору.</w:t>
      </w:r>
    </w:p>
    <w:p w14:paraId="4870BD35" w14:textId="77777777" w:rsidR="001C6AA0" w:rsidRPr="00183879" w:rsidRDefault="001C6AA0" w:rsidP="001C6AA0">
      <w:pPr>
        <w:spacing w:line="360" w:lineRule="auto"/>
        <w:ind w:right="57" w:firstLine="851"/>
        <w:jc w:val="both"/>
        <w:rPr>
          <w:sz w:val="28"/>
          <w:lang w:val="uk-UA"/>
        </w:rPr>
      </w:pPr>
      <w:r w:rsidRPr="00183879">
        <w:rPr>
          <w:sz w:val="28"/>
          <w:lang w:val="uk-UA"/>
        </w:rPr>
        <w:t>У римському праві існував принцип «</w:t>
      </w:r>
      <w:r w:rsidRPr="00183879">
        <w:rPr>
          <w:sz w:val="28"/>
        </w:rPr>
        <w:t>munus</w:t>
      </w:r>
      <w:r w:rsidRPr="00183879">
        <w:rPr>
          <w:sz w:val="28"/>
          <w:lang w:val="uk-UA"/>
        </w:rPr>
        <w:t xml:space="preserve"> </w:t>
      </w:r>
      <w:r w:rsidRPr="00183879">
        <w:rPr>
          <w:sz w:val="28"/>
        </w:rPr>
        <w:t>publicum</w:t>
      </w:r>
      <w:r w:rsidRPr="00183879">
        <w:rPr>
          <w:sz w:val="28"/>
          <w:lang w:val="uk-UA"/>
        </w:rPr>
        <w:t>». Відповідно до нього суддя вважався зобов’язаним виконувати суддівські функції, тому за загальним правилом він не міг відмовитися від їх виконання в разі обрання його кандидатури сторонами</w:t>
      </w:r>
      <w:r>
        <w:rPr>
          <w:sz w:val="28"/>
          <w:lang w:val="uk-UA"/>
        </w:rPr>
        <w:t xml:space="preserve"> [61, c.56]</w:t>
      </w:r>
      <w:r w:rsidRPr="00183879">
        <w:rPr>
          <w:sz w:val="28"/>
          <w:lang w:val="uk-UA"/>
        </w:rPr>
        <w:t>. Суддя міг бути звільнений від виконання власних зобов’язань у наступних випадках:</w:t>
      </w:r>
    </w:p>
    <w:p w14:paraId="28178866" w14:textId="77777777" w:rsidR="001C6AA0" w:rsidRPr="00183879" w:rsidRDefault="001C6AA0" w:rsidP="001C6AA0">
      <w:pPr>
        <w:numPr>
          <w:ilvl w:val="0"/>
          <w:numId w:val="12"/>
        </w:numPr>
        <w:spacing w:line="360" w:lineRule="auto"/>
        <w:ind w:left="0" w:right="57" w:firstLine="851"/>
        <w:contextualSpacing/>
        <w:jc w:val="both"/>
        <w:rPr>
          <w:sz w:val="28"/>
          <w:lang w:val="uk-UA"/>
        </w:rPr>
      </w:pPr>
      <w:r w:rsidRPr="00183879">
        <w:rPr>
          <w:sz w:val="28"/>
          <w:lang w:val="uk-UA"/>
        </w:rPr>
        <w:lastRenderedPageBreak/>
        <w:t>якщо він являється лікарем, філософом звільнялися від обов'язку бути суддею);</w:t>
      </w:r>
    </w:p>
    <w:p w14:paraId="29D88B58" w14:textId="77777777" w:rsidR="001C6AA0" w:rsidRPr="00183879" w:rsidRDefault="001C6AA0" w:rsidP="001C6AA0">
      <w:pPr>
        <w:numPr>
          <w:ilvl w:val="0"/>
          <w:numId w:val="12"/>
        </w:numPr>
        <w:spacing w:line="360" w:lineRule="auto"/>
        <w:ind w:left="0" w:right="57" w:firstLine="851"/>
        <w:contextualSpacing/>
        <w:jc w:val="both"/>
        <w:rPr>
          <w:sz w:val="28"/>
          <w:lang w:val="uk-UA"/>
        </w:rPr>
      </w:pPr>
      <w:r w:rsidRPr="00183879">
        <w:rPr>
          <w:sz w:val="28"/>
          <w:lang w:val="uk-UA"/>
        </w:rPr>
        <w:t>за визначеними сімейними обставинами;</w:t>
      </w:r>
    </w:p>
    <w:p w14:paraId="73668416" w14:textId="77777777" w:rsidR="001C6AA0" w:rsidRPr="00183879" w:rsidRDefault="001C6AA0" w:rsidP="001C6AA0">
      <w:pPr>
        <w:numPr>
          <w:ilvl w:val="0"/>
          <w:numId w:val="12"/>
        </w:numPr>
        <w:spacing w:line="360" w:lineRule="auto"/>
        <w:ind w:left="0" w:right="57" w:firstLine="851"/>
        <w:contextualSpacing/>
        <w:jc w:val="both"/>
        <w:rPr>
          <w:sz w:val="28"/>
          <w:lang w:val="uk-UA"/>
        </w:rPr>
      </w:pPr>
      <w:r w:rsidRPr="00183879">
        <w:rPr>
          <w:sz w:val="28"/>
          <w:lang w:val="uk-UA"/>
        </w:rPr>
        <w:t>у разі виникнення випадкових поважних причин;</w:t>
      </w:r>
    </w:p>
    <w:p w14:paraId="3EE62705" w14:textId="77777777" w:rsidR="001C6AA0" w:rsidRPr="00183879" w:rsidRDefault="001C6AA0" w:rsidP="001C6AA0">
      <w:pPr>
        <w:numPr>
          <w:ilvl w:val="0"/>
          <w:numId w:val="12"/>
        </w:numPr>
        <w:spacing w:line="360" w:lineRule="auto"/>
        <w:ind w:left="0" w:right="57" w:firstLine="851"/>
        <w:contextualSpacing/>
        <w:jc w:val="both"/>
        <w:rPr>
          <w:sz w:val="28"/>
          <w:lang w:val="uk-UA"/>
        </w:rPr>
      </w:pPr>
      <w:r w:rsidRPr="00183879">
        <w:rPr>
          <w:sz w:val="28"/>
          <w:lang w:val="uk-UA"/>
        </w:rPr>
        <w:t>у разі відносної нездатності, про яку вже йшлося вище (в цьому випадку суддя замінювався іншим суддею).</w:t>
      </w:r>
    </w:p>
    <w:p w14:paraId="1E73BB5E" w14:textId="77777777" w:rsidR="001C6AA0" w:rsidRPr="006D1B2E" w:rsidRDefault="001C6AA0" w:rsidP="001C6AA0">
      <w:pPr>
        <w:spacing w:line="360" w:lineRule="auto"/>
        <w:ind w:right="57" w:firstLine="851"/>
        <w:jc w:val="both"/>
        <w:rPr>
          <w:sz w:val="28"/>
          <w:lang w:val="uk-UA"/>
        </w:rPr>
      </w:pPr>
      <w:r w:rsidRPr="006D1B2E">
        <w:rPr>
          <w:sz w:val="28"/>
          <w:lang w:val="uk-UA"/>
        </w:rPr>
        <w:t>Суддя, обраний однією із сторін, мав право, до заяви відповідача про відмову у його кандидатурі (тобто до відводу заявленого відповідачем), заявити самовідвід. Суддя був зобов’язаний вказати на причини, що стали підставою для прийняття рішення про самовідвід, в тому числі, надати пояснення чому у вказаній справі матиме місце його упередженість</w:t>
      </w:r>
      <w:r>
        <w:rPr>
          <w:sz w:val="28"/>
          <w:lang w:val="uk-UA"/>
        </w:rPr>
        <w:t xml:space="preserve"> [44, c.31]</w:t>
      </w:r>
    </w:p>
    <w:p w14:paraId="58E7C2BD" w14:textId="77777777" w:rsidR="001C6AA0" w:rsidRPr="008871DF" w:rsidRDefault="001C6AA0" w:rsidP="001C6AA0">
      <w:pPr>
        <w:spacing w:line="360" w:lineRule="auto"/>
        <w:ind w:right="57" w:firstLine="851"/>
        <w:jc w:val="both"/>
        <w:rPr>
          <w:sz w:val="28"/>
        </w:rPr>
      </w:pPr>
      <w:r w:rsidRPr="008871DF">
        <w:rPr>
          <w:sz w:val="28"/>
        </w:rPr>
        <w:t xml:space="preserve">Право раннього Риму не </w:t>
      </w:r>
      <w:r w:rsidRPr="008871DF">
        <w:rPr>
          <w:sz w:val="28"/>
          <w:lang w:val="uk-UA"/>
        </w:rPr>
        <w:t xml:space="preserve">містило положень про </w:t>
      </w:r>
      <w:r w:rsidRPr="008871DF">
        <w:rPr>
          <w:sz w:val="28"/>
        </w:rPr>
        <w:t>відвід магістрату, хоча підстав для такого відводу у сторін і не було (він не розглядав справу по суті, а отже, не міг мати особистих інтересів). Магістрат міг сам ухилитися від виконання обов'язків</w:t>
      </w:r>
      <w:r w:rsidRPr="008871DF">
        <w:rPr>
          <w:sz w:val="28"/>
          <w:lang w:val="uk-UA"/>
        </w:rPr>
        <w:t>,</w:t>
      </w:r>
      <w:r w:rsidRPr="008871DF">
        <w:rPr>
          <w:sz w:val="28"/>
        </w:rPr>
        <w:t xml:space="preserve"> у разі участі в справі в якості сторони, а також при</w:t>
      </w:r>
      <w:r w:rsidRPr="008871DF">
        <w:t xml:space="preserve"> </w:t>
      </w:r>
      <w:r w:rsidRPr="008871DF">
        <w:rPr>
          <w:sz w:val="28"/>
        </w:rPr>
        <w:t>розгляді справ, сторонами яких були члени його сім</w:t>
      </w:r>
      <w:r w:rsidRPr="00774B9C">
        <w:rPr>
          <w:sz w:val="28"/>
        </w:rPr>
        <w:t>’</w:t>
      </w:r>
      <w:r w:rsidRPr="008871DF">
        <w:rPr>
          <w:sz w:val="28"/>
        </w:rPr>
        <w:t>ї</w:t>
      </w:r>
      <w:r>
        <w:rPr>
          <w:sz w:val="28"/>
        </w:rPr>
        <w:t xml:space="preserve"> [9, c.184]</w:t>
      </w:r>
      <w:r w:rsidRPr="008871DF">
        <w:rPr>
          <w:sz w:val="28"/>
        </w:rPr>
        <w:t>.</w:t>
      </w:r>
    </w:p>
    <w:p w14:paraId="4E26B256" w14:textId="77777777" w:rsidR="001C6AA0" w:rsidRPr="00315168" w:rsidRDefault="001C6AA0" w:rsidP="00A65373">
      <w:pPr>
        <w:spacing w:line="360" w:lineRule="auto"/>
        <w:ind w:right="57" w:firstLine="851"/>
        <w:contextualSpacing/>
        <w:jc w:val="both"/>
        <w:rPr>
          <w:sz w:val="28"/>
          <w:lang w:val="uk-UA"/>
        </w:rPr>
      </w:pPr>
      <w:r w:rsidRPr="008871DF">
        <w:rPr>
          <w:sz w:val="28"/>
          <w:lang w:val="uk-UA"/>
        </w:rPr>
        <w:t xml:space="preserve">В період вказаного раннього права стародавнього Риму діяло правило </w:t>
      </w:r>
      <w:r w:rsidRPr="008871DF">
        <w:rPr>
          <w:sz w:val="28"/>
        </w:rPr>
        <w:t xml:space="preserve">обов`язкової участі сторін у справі. </w:t>
      </w:r>
      <w:r w:rsidRPr="008871DF">
        <w:rPr>
          <w:sz w:val="28"/>
          <w:lang w:val="uk-UA"/>
        </w:rPr>
        <w:t xml:space="preserve">У </w:t>
      </w:r>
      <w:r w:rsidRPr="008871DF">
        <w:rPr>
          <w:sz w:val="28"/>
        </w:rPr>
        <w:t>відповідач</w:t>
      </w:r>
      <w:r w:rsidRPr="008871DF">
        <w:rPr>
          <w:sz w:val="28"/>
          <w:lang w:val="uk-UA"/>
        </w:rPr>
        <w:t>а</w:t>
      </w:r>
      <w:r w:rsidRPr="008871DF">
        <w:rPr>
          <w:sz w:val="28"/>
        </w:rPr>
        <w:t xml:space="preserve">, якого магістрат викликав в суд (in ius vocatio), </w:t>
      </w:r>
      <w:r w:rsidRPr="008871DF">
        <w:rPr>
          <w:sz w:val="28"/>
          <w:lang w:val="uk-UA"/>
        </w:rPr>
        <w:t xml:space="preserve">був </w:t>
      </w:r>
      <w:r w:rsidRPr="008871DF">
        <w:rPr>
          <w:sz w:val="28"/>
        </w:rPr>
        <w:t xml:space="preserve">поручитель, </w:t>
      </w:r>
      <w:r w:rsidRPr="008871DF">
        <w:rPr>
          <w:sz w:val="28"/>
          <w:lang w:val="uk-UA"/>
        </w:rPr>
        <w:t xml:space="preserve">це була особа, </w:t>
      </w:r>
      <w:r w:rsidRPr="008871DF">
        <w:rPr>
          <w:sz w:val="28"/>
        </w:rPr>
        <w:t>яка брала на себе відповідальність за явку</w:t>
      </w:r>
      <w:r w:rsidRPr="008871DF">
        <w:rPr>
          <w:sz w:val="28"/>
          <w:lang w:val="uk-UA"/>
        </w:rPr>
        <w:t>/неявку</w:t>
      </w:r>
      <w:r w:rsidRPr="008871DF">
        <w:rPr>
          <w:sz w:val="28"/>
        </w:rPr>
        <w:t xml:space="preserve"> відповідача в призначений термін: «Коли відповідач був викликаний до суду, але справа не могла бути закінчена в той же день, йому належало виконати vadimonium, тобто, він повинен був обіцяти з'явитися в суд у певний день»</w:t>
      </w:r>
      <w:r>
        <w:rPr>
          <w:sz w:val="28"/>
        </w:rPr>
        <w:t xml:space="preserve">     </w:t>
      </w:r>
      <w:r w:rsidRPr="00315168">
        <w:rPr>
          <w:sz w:val="28"/>
        </w:rPr>
        <w:t>[</w:t>
      </w:r>
      <w:r w:rsidRPr="00315168">
        <w:rPr>
          <w:sz w:val="28"/>
          <w:lang w:val="uk-UA"/>
        </w:rPr>
        <w:t>18,c.84].</w:t>
      </w:r>
    </w:p>
    <w:p w14:paraId="3D9479BD" w14:textId="77777777" w:rsidR="001C6AA0" w:rsidRPr="008871DF" w:rsidRDefault="001C6AA0" w:rsidP="001C6AA0">
      <w:pPr>
        <w:spacing w:line="360" w:lineRule="auto"/>
        <w:ind w:right="57" w:firstLine="851"/>
        <w:jc w:val="both"/>
        <w:rPr>
          <w:sz w:val="28"/>
          <w:lang w:val="uk-UA"/>
        </w:rPr>
      </w:pPr>
      <w:r w:rsidRPr="008871DF">
        <w:rPr>
          <w:sz w:val="28"/>
          <w:lang w:val="uk-UA"/>
        </w:rPr>
        <w:t>Таким чином, Римське право раннього періоду закріплювало:</w:t>
      </w:r>
    </w:p>
    <w:p w14:paraId="040F221A" w14:textId="77777777" w:rsidR="001C6AA0" w:rsidRPr="008871DF" w:rsidRDefault="001C6AA0" w:rsidP="001C6AA0">
      <w:pPr>
        <w:numPr>
          <w:ilvl w:val="0"/>
          <w:numId w:val="12"/>
        </w:numPr>
        <w:spacing w:line="360" w:lineRule="auto"/>
        <w:ind w:left="0" w:right="57" w:firstLine="851"/>
        <w:contextualSpacing/>
        <w:jc w:val="both"/>
        <w:rPr>
          <w:sz w:val="28"/>
          <w:lang w:val="uk-UA"/>
        </w:rPr>
      </w:pPr>
      <w:r w:rsidRPr="008871DF">
        <w:rPr>
          <w:sz w:val="28"/>
          <w:lang w:val="uk-UA"/>
        </w:rPr>
        <w:t>право і процедуру відводу суддів (</w:t>
      </w:r>
      <w:r w:rsidRPr="008871DF">
        <w:rPr>
          <w:sz w:val="28"/>
        </w:rPr>
        <w:t>recusatio</w:t>
      </w:r>
      <w:r>
        <w:rPr>
          <w:sz w:val="28"/>
          <w:lang w:val="uk-UA"/>
        </w:rPr>
        <w:t>);</w:t>
      </w:r>
    </w:p>
    <w:p w14:paraId="539BFC23" w14:textId="77777777" w:rsidR="001C6AA0" w:rsidRPr="008871DF" w:rsidRDefault="001C6AA0" w:rsidP="001C6AA0">
      <w:pPr>
        <w:numPr>
          <w:ilvl w:val="0"/>
          <w:numId w:val="12"/>
        </w:numPr>
        <w:spacing w:line="360" w:lineRule="auto"/>
        <w:ind w:left="0" w:right="57" w:firstLine="851"/>
        <w:contextualSpacing/>
        <w:jc w:val="both"/>
        <w:rPr>
          <w:sz w:val="28"/>
          <w:lang w:val="uk-UA"/>
        </w:rPr>
      </w:pPr>
      <w:r w:rsidRPr="008871DF">
        <w:rPr>
          <w:sz w:val="28"/>
          <w:lang w:val="uk-UA"/>
        </w:rPr>
        <w:t>підстави для відводу і самовідводу</w:t>
      </w:r>
      <w:r>
        <w:rPr>
          <w:sz w:val="28"/>
          <w:lang w:val="uk-UA"/>
        </w:rPr>
        <w:t xml:space="preserve"> судді [9, c.182]</w:t>
      </w:r>
      <w:r w:rsidRPr="008871DF">
        <w:rPr>
          <w:sz w:val="28"/>
          <w:lang w:val="uk-UA"/>
        </w:rPr>
        <w:t>.</w:t>
      </w:r>
    </w:p>
    <w:p w14:paraId="2224A980" w14:textId="77777777" w:rsidR="001C6AA0" w:rsidRDefault="001C6AA0" w:rsidP="001C6AA0">
      <w:pPr>
        <w:spacing w:line="360" w:lineRule="auto"/>
        <w:ind w:right="57" w:firstLine="851"/>
        <w:jc w:val="both"/>
        <w:rPr>
          <w:sz w:val="28"/>
        </w:rPr>
      </w:pPr>
      <w:r w:rsidRPr="008871DF">
        <w:rPr>
          <w:sz w:val="28"/>
          <w:lang w:val="uk-UA"/>
        </w:rPr>
        <w:t xml:space="preserve">Зміна судді не проявлялось на єдності процесу. Публій Алфен Вар так міркував з цього приводу: «Сталося так, що з тих суддів, які були призначені для вирішення по одній справі, деякі, заслухавши факти, відмовилися від участі і на </w:t>
      </w:r>
      <w:r w:rsidRPr="008871DF">
        <w:rPr>
          <w:sz w:val="28"/>
          <w:lang w:val="uk-UA"/>
        </w:rPr>
        <w:lastRenderedPageBreak/>
        <w:t xml:space="preserve">їх місце взяли інших. </w:t>
      </w:r>
      <w:r w:rsidRPr="008871DF">
        <w:rPr>
          <w:sz w:val="28"/>
        </w:rPr>
        <w:t xml:space="preserve">Поставало питання, чи треба починати вирішення справи з початку чи можливо продовження процесу? </w:t>
      </w:r>
      <w:r w:rsidRPr="008871DF">
        <w:rPr>
          <w:sz w:val="28"/>
          <w:lang w:val="uk-UA"/>
        </w:rPr>
        <w:t>Так, слід відповіти</w:t>
      </w:r>
      <w:r w:rsidRPr="008871DF">
        <w:rPr>
          <w:sz w:val="28"/>
        </w:rPr>
        <w:t>: не тільки якщо один або інший, але і якщо всі судді змінилися, все ж справа залишається такою ж, і судовий розгляд тим же, що був і раніше ...Тому її можливо продовжувати»</w:t>
      </w:r>
      <w:r>
        <w:rPr>
          <w:sz w:val="28"/>
        </w:rPr>
        <w:t xml:space="preserve"> [20]</w:t>
      </w:r>
      <w:r w:rsidRPr="008871DF">
        <w:rPr>
          <w:sz w:val="28"/>
        </w:rPr>
        <w:t xml:space="preserve">. </w:t>
      </w:r>
    </w:p>
    <w:p w14:paraId="738764B8" w14:textId="77777777" w:rsidR="001C6AA0" w:rsidRPr="004D568F" w:rsidRDefault="001C6AA0" w:rsidP="001C6AA0">
      <w:pPr>
        <w:spacing w:line="360" w:lineRule="auto"/>
        <w:ind w:right="57" w:firstLine="851"/>
        <w:jc w:val="both"/>
        <w:rPr>
          <w:sz w:val="28"/>
          <w:lang w:val="uk-UA"/>
        </w:rPr>
      </w:pPr>
      <w:r>
        <w:rPr>
          <w:sz w:val="28"/>
          <w:lang w:val="uk-UA"/>
        </w:rPr>
        <w:t xml:space="preserve">У часи імператорського Риму </w:t>
      </w:r>
      <w:r w:rsidRPr="004D568F">
        <w:rPr>
          <w:sz w:val="28"/>
          <w:lang w:val="uk-UA"/>
        </w:rPr>
        <w:t xml:space="preserve">процес </w:t>
      </w:r>
      <w:r w:rsidRPr="004D568F">
        <w:rPr>
          <w:sz w:val="28"/>
        </w:rPr>
        <w:t xml:space="preserve"> </w:t>
      </w:r>
      <w:r w:rsidRPr="004D568F">
        <w:rPr>
          <w:sz w:val="28"/>
          <w:lang w:val="uk-UA"/>
        </w:rPr>
        <w:t>«</w:t>
      </w:r>
      <w:r w:rsidRPr="004D568F">
        <w:rPr>
          <w:sz w:val="28"/>
        </w:rPr>
        <w:t>ordo judiciorum privatorum</w:t>
      </w:r>
      <w:r w:rsidRPr="004D568F">
        <w:rPr>
          <w:sz w:val="28"/>
          <w:lang w:val="uk-UA"/>
        </w:rPr>
        <w:t>»</w:t>
      </w:r>
      <w:r w:rsidRPr="004D568F">
        <w:rPr>
          <w:sz w:val="28"/>
        </w:rPr>
        <w:t xml:space="preserve"> </w:t>
      </w:r>
      <w:r w:rsidRPr="004D568F">
        <w:rPr>
          <w:sz w:val="28"/>
          <w:lang w:val="uk-UA"/>
        </w:rPr>
        <w:t>зазнав значних змін. Насамперед, зміни полягали у тому, щоб забрати у сторін право на власний розсуд обирати суддю, тепер магістрат особисто розглядає спір. Такі зміни були прийняті за часів правління римського імператора Діоклетіана. Своїм указом Діоклетіан скасував «</w:t>
      </w:r>
      <w:r w:rsidRPr="004D568F">
        <w:rPr>
          <w:sz w:val="28"/>
        </w:rPr>
        <w:t>ordo</w:t>
      </w:r>
      <w:r w:rsidRPr="004D568F">
        <w:rPr>
          <w:sz w:val="28"/>
          <w:lang w:val="uk-UA"/>
        </w:rPr>
        <w:t xml:space="preserve"> </w:t>
      </w:r>
      <w:r w:rsidRPr="004D568F">
        <w:rPr>
          <w:sz w:val="28"/>
        </w:rPr>
        <w:t>judiciorum</w:t>
      </w:r>
      <w:r w:rsidRPr="004D568F">
        <w:rPr>
          <w:sz w:val="28"/>
          <w:lang w:val="uk-UA"/>
        </w:rPr>
        <w:t xml:space="preserve"> </w:t>
      </w:r>
      <w:r w:rsidRPr="004D568F">
        <w:rPr>
          <w:sz w:val="28"/>
        </w:rPr>
        <w:t>privatorum</w:t>
      </w:r>
      <w:r w:rsidRPr="004D568F">
        <w:rPr>
          <w:sz w:val="28"/>
          <w:lang w:val="uk-UA"/>
        </w:rPr>
        <w:t>», а отже двоступеневий розгляд справи «</w:t>
      </w:r>
      <w:r w:rsidRPr="004D568F">
        <w:rPr>
          <w:sz w:val="28"/>
        </w:rPr>
        <w:t>in</w:t>
      </w:r>
      <w:r w:rsidRPr="004D568F">
        <w:rPr>
          <w:sz w:val="28"/>
          <w:lang w:val="uk-UA"/>
        </w:rPr>
        <w:t xml:space="preserve"> </w:t>
      </w:r>
      <w:r w:rsidRPr="004D568F">
        <w:rPr>
          <w:sz w:val="28"/>
        </w:rPr>
        <w:t>jure</w:t>
      </w:r>
      <w:r w:rsidRPr="004D568F">
        <w:rPr>
          <w:sz w:val="28"/>
          <w:lang w:val="uk-UA"/>
        </w:rPr>
        <w:t>» та «</w:t>
      </w:r>
      <w:r w:rsidRPr="004D568F">
        <w:rPr>
          <w:sz w:val="28"/>
        </w:rPr>
        <w:t>in</w:t>
      </w:r>
      <w:r w:rsidRPr="004D568F">
        <w:rPr>
          <w:sz w:val="28"/>
          <w:lang w:val="uk-UA"/>
        </w:rPr>
        <w:t xml:space="preserve"> </w:t>
      </w:r>
      <w:r w:rsidRPr="004D568F">
        <w:rPr>
          <w:sz w:val="28"/>
        </w:rPr>
        <w:t>judicio</w:t>
      </w:r>
      <w:r w:rsidRPr="004D568F">
        <w:rPr>
          <w:sz w:val="28"/>
          <w:lang w:val="uk-UA"/>
        </w:rPr>
        <w:t>» і ввів розгляд справ магістратом, тобто «</w:t>
      </w:r>
      <w:r w:rsidRPr="004D568F">
        <w:rPr>
          <w:sz w:val="28"/>
        </w:rPr>
        <w:t>extra</w:t>
      </w:r>
      <w:r w:rsidRPr="004D568F">
        <w:rPr>
          <w:sz w:val="28"/>
          <w:lang w:val="uk-UA"/>
        </w:rPr>
        <w:t xml:space="preserve"> </w:t>
      </w:r>
      <w:r w:rsidRPr="004D568F">
        <w:rPr>
          <w:sz w:val="28"/>
        </w:rPr>
        <w:t>ordinem</w:t>
      </w:r>
      <w:r w:rsidRPr="004D568F">
        <w:rPr>
          <w:sz w:val="28"/>
          <w:lang w:val="uk-UA"/>
        </w:rPr>
        <w:t xml:space="preserve">». </w:t>
      </w:r>
      <w:r>
        <w:rPr>
          <w:sz w:val="28"/>
          <w:lang w:val="uk-UA"/>
        </w:rPr>
        <w:t xml:space="preserve">За вказаними змінами суддями ставали особи, що не </w:t>
      </w:r>
      <w:r w:rsidRPr="004D568F">
        <w:rPr>
          <w:sz w:val="28"/>
        </w:rPr>
        <w:t xml:space="preserve">занесені до </w:t>
      </w:r>
      <w:r w:rsidRPr="004D568F">
        <w:rPr>
          <w:sz w:val="28"/>
          <w:lang w:val="uk-UA"/>
        </w:rPr>
        <w:t>«</w:t>
      </w:r>
      <w:r w:rsidRPr="004D568F">
        <w:rPr>
          <w:sz w:val="28"/>
          <w:lang w:val="en-US"/>
        </w:rPr>
        <w:t>a</w:t>
      </w:r>
      <w:r w:rsidRPr="004D568F">
        <w:rPr>
          <w:sz w:val="28"/>
        </w:rPr>
        <w:t>lbum judicum selectorum</w:t>
      </w:r>
      <w:r w:rsidRPr="004D568F">
        <w:rPr>
          <w:sz w:val="28"/>
          <w:lang w:val="uk-UA"/>
        </w:rPr>
        <w:t>»</w:t>
      </w:r>
      <w:r w:rsidRPr="004D568F">
        <w:rPr>
          <w:sz w:val="28"/>
        </w:rPr>
        <w:t xml:space="preserve">. </w:t>
      </w:r>
      <w:r w:rsidRPr="004D568F">
        <w:rPr>
          <w:sz w:val="28"/>
          <w:lang w:val="uk-UA"/>
        </w:rPr>
        <w:t xml:space="preserve">Зазвичай це були </w:t>
      </w:r>
      <w:r w:rsidRPr="004D568F">
        <w:rPr>
          <w:sz w:val="28"/>
        </w:rPr>
        <w:t>чиновники, які поєднували судову і виконавчу владу</w:t>
      </w:r>
      <w:r>
        <w:rPr>
          <w:sz w:val="28"/>
        </w:rPr>
        <w:t xml:space="preserve"> [ 44,c.33]</w:t>
      </w:r>
      <w:r w:rsidRPr="004D568F">
        <w:rPr>
          <w:sz w:val="28"/>
        </w:rPr>
        <w:t xml:space="preserve">. Об`єднання </w:t>
      </w:r>
      <w:r w:rsidRPr="004D568F">
        <w:rPr>
          <w:sz w:val="28"/>
          <w:lang w:val="uk-UA"/>
        </w:rPr>
        <w:t>вказаних гілок влади відслідковується</w:t>
      </w:r>
      <w:r w:rsidRPr="004D568F">
        <w:rPr>
          <w:sz w:val="28"/>
        </w:rPr>
        <w:t xml:space="preserve"> термінології</w:t>
      </w:r>
      <w:r w:rsidRPr="004D568F">
        <w:rPr>
          <w:sz w:val="28"/>
          <w:lang w:val="uk-UA"/>
        </w:rPr>
        <w:t>, що використовувалась в ті часи</w:t>
      </w:r>
      <w:r w:rsidRPr="004D568F">
        <w:rPr>
          <w:sz w:val="28"/>
        </w:rPr>
        <w:t xml:space="preserve">: чиновники імператорського Риму іменуються то </w:t>
      </w:r>
      <w:r>
        <w:rPr>
          <w:sz w:val="28"/>
          <w:lang w:val="uk-UA"/>
        </w:rPr>
        <w:t>«</w:t>
      </w:r>
      <w:r w:rsidRPr="004D568F">
        <w:rPr>
          <w:sz w:val="28"/>
        </w:rPr>
        <w:t>judices</w:t>
      </w:r>
      <w:r>
        <w:rPr>
          <w:sz w:val="28"/>
          <w:lang w:val="uk-UA"/>
        </w:rPr>
        <w:t>»</w:t>
      </w:r>
      <w:r w:rsidRPr="004D568F">
        <w:rPr>
          <w:sz w:val="28"/>
        </w:rPr>
        <w:t xml:space="preserve">, то </w:t>
      </w:r>
      <w:r>
        <w:rPr>
          <w:sz w:val="28"/>
          <w:lang w:val="uk-UA"/>
        </w:rPr>
        <w:t>«</w:t>
      </w:r>
      <w:r w:rsidRPr="004D568F">
        <w:rPr>
          <w:sz w:val="28"/>
        </w:rPr>
        <w:t>administratores</w:t>
      </w:r>
      <w:r>
        <w:rPr>
          <w:sz w:val="28"/>
          <w:lang w:val="uk-UA"/>
        </w:rPr>
        <w:t xml:space="preserve">» </w:t>
      </w:r>
      <w:r>
        <w:rPr>
          <w:sz w:val="28"/>
        </w:rPr>
        <w:t>[56]</w:t>
      </w:r>
      <w:r w:rsidRPr="004D568F">
        <w:rPr>
          <w:sz w:val="28"/>
        </w:rPr>
        <w:t>.</w:t>
      </w:r>
    </w:p>
    <w:p w14:paraId="2C2FE327" w14:textId="77777777" w:rsidR="001C6AA0" w:rsidRPr="00766140" w:rsidRDefault="001C6AA0" w:rsidP="001C6AA0">
      <w:pPr>
        <w:spacing w:line="360" w:lineRule="auto"/>
        <w:ind w:right="57" w:firstLine="851"/>
        <w:jc w:val="both"/>
        <w:rPr>
          <w:sz w:val="28"/>
        </w:rPr>
      </w:pPr>
      <w:r w:rsidRPr="00766140">
        <w:rPr>
          <w:sz w:val="28"/>
          <w:lang w:val="uk-UA"/>
        </w:rPr>
        <w:t xml:space="preserve">Так, поступовий перехід судової влади до чиновників передбачав, що спори можуть розглядатись не тільки магістратами, але й іншими чиновниками. Тепер суддя міг призначатись самим імператором. Магістрат мав право   </w:t>
      </w:r>
      <w:r w:rsidRPr="00766140">
        <w:rPr>
          <w:sz w:val="28"/>
        </w:rPr>
        <w:t>доручати розгляд незначних справ чиновникам</w:t>
      </w:r>
      <w:r w:rsidRPr="00766140">
        <w:rPr>
          <w:sz w:val="28"/>
          <w:lang w:val="uk-UA"/>
        </w:rPr>
        <w:t xml:space="preserve"> нижчого рівня</w:t>
      </w:r>
      <w:r>
        <w:rPr>
          <w:sz w:val="28"/>
          <w:lang w:val="uk-UA"/>
        </w:rPr>
        <w:t xml:space="preserve"> </w:t>
      </w:r>
      <w:r>
        <w:rPr>
          <w:sz w:val="28"/>
        </w:rPr>
        <w:t>[19]</w:t>
      </w:r>
      <w:r w:rsidRPr="00766140">
        <w:rPr>
          <w:sz w:val="28"/>
        </w:rPr>
        <w:t xml:space="preserve">. </w:t>
      </w:r>
    </w:p>
    <w:p w14:paraId="442A0FD5" w14:textId="77777777" w:rsidR="001C6AA0" w:rsidRPr="00766140" w:rsidRDefault="001C6AA0" w:rsidP="001C6AA0">
      <w:pPr>
        <w:spacing w:line="360" w:lineRule="auto"/>
        <w:ind w:right="57" w:firstLine="851"/>
        <w:jc w:val="both"/>
        <w:rPr>
          <w:sz w:val="28"/>
          <w:lang w:val="uk-UA"/>
        </w:rPr>
      </w:pPr>
      <w:r w:rsidRPr="00766140">
        <w:rPr>
          <w:sz w:val="28"/>
          <w:lang w:val="uk-UA"/>
        </w:rPr>
        <w:t>Сама процедура розгляду спору також зазнала змін, що полягали у наступному:</w:t>
      </w:r>
    </w:p>
    <w:p w14:paraId="1CAE2EDB" w14:textId="77777777" w:rsidR="001C6AA0" w:rsidRPr="00766140" w:rsidRDefault="001C6AA0" w:rsidP="001C6AA0">
      <w:pPr>
        <w:numPr>
          <w:ilvl w:val="0"/>
          <w:numId w:val="12"/>
        </w:numPr>
        <w:spacing w:line="360" w:lineRule="auto"/>
        <w:ind w:left="0" w:right="57" w:firstLine="709"/>
        <w:contextualSpacing/>
        <w:jc w:val="both"/>
        <w:rPr>
          <w:sz w:val="28"/>
          <w:lang w:val="uk-UA"/>
        </w:rPr>
      </w:pPr>
      <w:r w:rsidRPr="00766140">
        <w:rPr>
          <w:sz w:val="28"/>
          <w:lang w:val="uk-UA"/>
        </w:rPr>
        <w:t xml:space="preserve">до суддівських обов’язків входить і дослідження </w:t>
      </w:r>
      <w:r w:rsidRPr="00766140">
        <w:rPr>
          <w:sz w:val="28"/>
        </w:rPr>
        <w:t xml:space="preserve">фактичної сторони справи, </w:t>
      </w:r>
      <w:r w:rsidRPr="00766140">
        <w:rPr>
          <w:sz w:val="28"/>
          <w:lang w:val="uk-UA"/>
        </w:rPr>
        <w:t xml:space="preserve">і </w:t>
      </w:r>
      <w:r w:rsidRPr="00766140">
        <w:rPr>
          <w:sz w:val="28"/>
        </w:rPr>
        <w:t>визначення норм права, що підлягають застосуванню в конкретному спорі</w:t>
      </w:r>
      <w:r w:rsidRPr="00766140">
        <w:rPr>
          <w:sz w:val="28"/>
          <w:lang w:val="uk-UA"/>
        </w:rPr>
        <w:t>;</w:t>
      </w:r>
    </w:p>
    <w:p w14:paraId="61483E2E" w14:textId="77777777" w:rsidR="001C6AA0" w:rsidRPr="00766140" w:rsidRDefault="001C6AA0" w:rsidP="001C6AA0">
      <w:pPr>
        <w:numPr>
          <w:ilvl w:val="0"/>
          <w:numId w:val="12"/>
        </w:numPr>
        <w:spacing w:line="360" w:lineRule="auto"/>
        <w:ind w:left="0" w:right="57" w:firstLine="709"/>
        <w:contextualSpacing/>
        <w:jc w:val="both"/>
        <w:rPr>
          <w:sz w:val="28"/>
          <w:lang w:val="uk-UA"/>
        </w:rPr>
      </w:pPr>
      <w:r w:rsidRPr="00766140">
        <w:rPr>
          <w:sz w:val="28"/>
        </w:rPr>
        <w:t>явка обох сторін до суду стала необов`язковою.</w:t>
      </w:r>
    </w:p>
    <w:p w14:paraId="2B865483" w14:textId="77777777" w:rsidR="001C6AA0" w:rsidRPr="00766140" w:rsidRDefault="001C6AA0" w:rsidP="001C6AA0">
      <w:pPr>
        <w:spacing w:line="360" w:lineRule="auto"/>
        <w:ind w:right="57" w:firstLine="851"/>
        <w:jc w:val="both"/>
        <w:rPr>
          <w:sz w:val="28"/>
          <w:lang w:val="uk-UA"/>
        </w:rPr>
      </w:pPr>
      <w:r w:rsidRPr="00766140">
        <w:rPr>
          <w:sz w:val="28"/>
          <w:lang w:val="uk-UA"/>
        </w:rPr>
        <w:t xml:space="preserve">У зв’язку з такими змінами природа судового рішення зазнала трансформації. Так, принцип – добровільного підпорядкування сторін рішенням обраного ними судді – замінений принципом – обов’язкового підпорядкування </w:t>
      </w:r>
      <w:r w:rsidRPr="00766140">
        <w:rPr>
          <w:sz w:val="28"/>
          <w:lang w:val="uk-UA"/>
        </w:rPr>
        <w:lastRenderedPageBreak/>
        <w:t>рішенню державного суду «</w:t>
      </w:r>
      <w:r w:rsidRPr="00766140">
        <w:rPr>
          <w:sz w:val="28"/>
        </w:rPr>
        <w:t>hominem</w:t>
      </w:r>
      <w:r w:rsidRPr="00766140">
        <w:rPr>
          <w:sz w:val="28"/>
          <w:lang w:val="uk-UA"/>
        </w:rPr>
        <w:t xml:space="preserve"> </w:t>
      </w:r>
      <w:r w:rsidRPr="00766140">
        <w:rPr>
          <w:sz w:val="28"/>
        </w:rPr>
        <w:t>invitum</w:t>
      </w:r>
      <w:r w:rsidRPr="00766140">
        <w:rPr>
          <w:sz w:val="28"/>
          <w:lang w:val="uk-UA"/>
        </w:rPr>
        <w:t xml:space="preserve"> </w:t>
      </w:r>
      <w:r w:rsidRPr="00766140">
        <w:rPr>
          <w:sz w:val="28"/>
        </w:rPr>
        <w:t>ad</w:t>
      </w:r>
      <w:r w:rsidRPr="00766140">
        <w:rPr>
          <w:sz w:val="28"/>
          <w:lang w:val="uk-UA"/>
        </w:rPr>
        <w:t xml:space="preserve"> </w:t>
      </w:r>
      <w:r w:rsidRPr="00766140">
        <w:rPr>
          <w:sz w:val="28"/>
        </w:rPr>
        <w:t>judicem</w:t>
      </w:r>
      <w:r w:rsidRPr="00766140">
        <w:rPr>
          <w:sz w:val="28"/>
          <w:lang w:val="uk-UA"/>
        </w:rPr>
        <w:t xml:space="preserve"> </w:t>
      </w:r>
      <w:r w:rsidRPr="00766140">
        <w:rPr>
          <w:sz w:val="28"/>
        </w:rPr>
        <w:t>datum</w:t>
      </w:r>
      <w:r w:rsidRPr="00766140">
        <w:rPr>
          <w:sz w:val="28"/>
          <w:lang w:val="uk-UA"/>
        </w:rPr>
        <w:t xml:space="preserve"> </w:t>
      </w:r>
      <w:r w:rsidRPr="00766140">
        <w:rPr>
          <w:sz w:val="28"/>
        </w:rPr>
        <w:t>ducunt</w:t>
      </w:r>
      <w:r w:rsidRPr="00766140">
        <w:rPr>
          <w:sz w:val="28"/>
          <w:lang w:val="uk-UA"/>
        </w:rPr>
        <w:t xml:space="preserve"> ... </w:t>
      </w:r>
      <w:r w:rsidRPr="00766140">
        <w:rPr>
          <w:sz w:val="28"/>
        </w:rPr>
        <w:t>licet</w:t>
      </w:r>
      <w:r w:rsidRPr="00766140">
        <w:rPr>
          <w:sz w:val="28"/>
          <w:lang w:val="uk-UA"/>
        </w:rPr>
        <w:t xml:space="preserve"> </w:t>
      </w:r>
      <w:r w:rsidRPr="00766140">
        <w:rPr>
          <w:sz w:val="28"/>
        </w:rPr>
        <w:t>judex</w:t>
      </w:r>
      <w:r w:rsidRPr="00766140">
        <w:rPr>
          <w:sz w:val="28"/>
          <w:lang w:val="uk-UA"/>
        </w:rPr>
        <w:t xml:space="preserve"> </w:t>
      </w:r>
      <w:r w:rsidRPr="00766140">
        <w:rPr>
          <w:sz w:val="28"/>
        </w:rPr>
        <w:t>fortasse</w:t>
      </w:r>
      <w:r w:rsidRPr="00766140">
        <w:rPr>
          <w:sz w:val="28"/>
          <w:lang w:val="uk-UA"/>
        </w:rPr>
        <w:t xml:space="preserve"> </w:t>
      </w:r>
      <w:r w:rsidRPr="00766140">
        <w:rPr>
          <w:sz w:val="28"/>
        </w:rPr>
        <w:t>sus</w:t>
      </w:r>
      <w:r w:rsidRPr="00766140">
        <w:rPr>
          <w:sz w:val="28"/>
          <w:lang w:val="uk-UA"/>
        </w:rPr>
        <w:t>-</w:t>
      </w:r>
      <w:r w:rsidRPr="00766140">
        <w:rPr>
          <w:sz w:val="28"/>
        </w:rPr>
        <w:t>pectus</w:t>
      </w:r>
      <w:r w:rsidRPr="00766140">
        <w:rPr>
          <w:sz w:val="28"/>
          <w:lang w:val="uk-UA"/>
        </w:rPr>
        <w:t xml:space="preserve"> </w:t>
      </w:r>
      <w:r w:rsidRPr="00766140">
        <w:rPr>
          <w:sz w:val="28"/>
        </w:rPr>
        <w:t>sit</w:t>
      </w:r>
      <w:r w:rsidRPr="00766140">
        <w:rPr>
          <w:sz w:val="28"/>
          <w:lang w:val="uk-UA"/>
        </w:rPr>
        <w:t>»</w:t>
      </w:r>
      <w:r>
        <w:rPr>
          <w:sz w:val="28"/>
          <w:lang w:val="uk-UA"/>
        </w:rPr>
        <w:t xml:space="preserve"> [21, c.224]</w:t>
      </w:r>
      <w:r w:rsidRPr="00766140">
        <w:rPr>
          <w:sz w:val="28"/>
          <w:lang w:val="uk-UA"/>
        </w:rPr>
        <w:t>.</w:t>
      </w:r>
    </w:p>
    <w:p w14:paraId="5B64EB59" w14:textId="77777777" w:rsidR="001C6AA0" w:rsidRDefault="001C6AA0" w:rsidP="001C6AA0">
      <w:pPr>
        <w:spacing w:line="360" w:lineRule="auto"/>
        <w:ind w:right="57" w:firstLine="851"/>
        <w:jc w:val="both"/>
        <w:rPr>
          <w:sz w:val="28"/>
          <w:lang w:val="uk-UA"/>
        </w:rPr>
      </w:pPr>
      <w:r w:rsidRPr="00766140">
        <w:rPr>
          <w:sz w:val="28"/>
          <w:lang w:val="uk-UA"/>
        </w:rPr>
        <w:t xml:space="preserve">Інститут </w:t>
      </w:r>
      <w:r>
        <w:rPr>
          <w:sz w:val="28"/>
          <w:lang w:val="uk-UA"/>
        </w:rPr>
        <w:t>«</w:t>
      </w:r>
      <w:r w:rsidRPr="0066024F">
        <w:rPr>
          <w:sz w:val="28"/>
        </w:rPr>
        <w:t>recusatio</w:t>
      </w:r>
      <w:r>
        <w:rPr>
          <w:sz w:val="28"/>
          <w:lang w:val="uk-UA"/>
        </w:rPr>
        <w:t>»</w:t>
      </w:r>
      <w:r w:rsidRPr="00766140">
        <w:rPr>
          <w:sz w:val="28"/>
          <w:lang w:val="uk-UA"/>
        </w:rPr>
        <w:t xml:space="preserve"> зберігся, але набув іншого правового сенсу: оскільки суддя призначався без участі сторін, то відвід заявлявся судді, </w:t>
      </w:r>
      <w:r>
        <w:rPr>
          <w:sz w:val="28"/>
          <w:lang w:val="uk-UA"/>
        </w:rPr>
        <w:t>який був визначений заздалегідь і наділений тепер</w:t>
      </w:r>
      <w:r w:rsidRPr="00766140">
        <w:rPr>
          <w:sz w:val="28"/>
          <w:lang w:val="uk-UA"/>
        </w:rPr>
        <w:t xml:space="preserve"> державними повноваженнями. </w:t>
      </w:r>
      <w:r>
        <w:rPr>
          <w:sz w:val="28"/>
          <w:lang w:val="uk-UA"/>
        </w:rPr>
        <w:t xml:space="preserve">З огляду на зміни, що відбулись у судовій владі, пов’язаних, зокрема, з призначиністю суддів та в деякій мірі поєднання двох гілок влади – судової та виконавчої, очевидно виникає протиріччя між правом на відвід судді та обов’язком підкорюватись рішенню суду. Право відводу вже набуває іншої природи, тепер це </w:t>
      </w:r>
      <w:r w:rsidRPr="00766140">
        <w:rPr>
          <w:sz w:val="28"/>
          <w:lang w:val="uk-UA"/>
        </w:rPr>
        <w:t xml:space="preserve">поступка з боку держави за для узгодження дій суддів з думкою сторін. </w:t>
      </w:r>
    </w:p>
    <w:p w14:paraId="49A5934B" w14:textId="77777777" w:rsidR="001C6AA0" w:rsidRDefault="001C6AA0" w:rsidP="001C6AA0">
      <w:pPr>
        <w:spacing w:line="360" w:lineRule="auto"/>
        <w:ind w:right="57" w:firstLine="851"/>
        <w:jc w:val="both"/>
        <w:rPr>
          <w:sz w:val="28"/>
          <w:lang w:val="uk-UA"/>
        </w:rPr>
      </w:pPr>
      <w:r>
        <w:rPr>
          <w:sz w:val="28"/>
          <w:lang w:val="uk-UA"/>
        </w:rPr>
        <w:t xml:space="preserve">Так, судді-магістрати не могли більше бути відведеними без пояснення причин такого відводу. Сторони були зобов’язані аргументувати власні сумніви в упередженості судді. Але навіть при таких діях сторін суддя продовжував розгляд справи, але тепер до розгляду долучався додатково інший суддя або еписком   </w:t>
      </w:r>
    </w:p>
    <w:p w14:paraId="7010758A" w14:textId="77777777" w:rsidR="001C6AA0" w:rsidRDefault="001C6AA0" w:rsidP="001C6AA0">
      <w:pPr>
        <w:spacing w:line="360" w:lineRule="auto"/>
        <w:ind w:right="57"/>
        <w:jc w:val="both"/>
        <w:rPr>
          <w:sz w:val="28"/>
          <w:lang w:val="uk-UA"/>
        </w:rPr>
      </w:pPr>
      <w:r>
        <w:rPr>
          <w:sz w:val="28"/>
          <w:lang w:val="uk-UA"/>
        </w:rPr>
        <w:t>[86, c.46]</w:t>
      </w:r>
      <w:r w:rsidRPr="00D143EE">
        <w:rPr>
          <w:sz w:val="28"/>
          <w:lang w:val="uk-UA"/>
        </w:rPr>
        <w:t>. Таким чином, навіть заявлення відводу судді</w:t>
      </w:r>
      <w:r>
        <w:rPr>
          <w:sz w:val="28"/>
          <w:lang w:val="uk-UA"/>
        </w:rPr>
        <w:t>-магістрату не звільняло сторін від обов</w:t>
      </w:r>
      <w:r w:rsidRPr="00D143EE">
        <w:rPr>
          <w:sz w:val="28"/>
        </w:rPr>
        <w:t>`</w:t>
      </w:r>
      <w:r w:rsidRPr="00D143EE">
        <w:rPr>
          <w:sz w:val="28"/>
          <w:lang w:val="uk-UA"/>
        </w:rPr>
        <w:t>язку виконувати рішення цього судді.</w:t>
      </w:r>
    </w:p>
    <w:p w14:paraId="427A3268" w14:textId="77777777" w:rsidR="001C6AA0" w:rsidRPr="00D143EE" w:rsidRDefault="001C6AA0" w:rsidP="001C6AA0">
      <w:pPr>
        <w:spacing w:line="360" w:lineRule="auto"/>
        <w:ind w:right="57" w:firstLine="851"/>
        <w:jc w:val="both"/>
        <w:rPr>
          <w:sz w:val="28"/>
          <w:lang w:val="uk-UA"/>
        </w:rPr>
      </w:pPr>
      <w:r w:rsidRPr="00D143EE">
        <w:rPr>
          <w:sz w:val="28"/>
        </w:rPr>
        <w:t>Судді, які призначалася магістрат</w:t>
      </w:r>
      <w:r w:rsidRPr="00D143EE">
        <w:rPr>
          <w:sz w:val="28"/>
          <w:lang w:val="uk-UA"/>
        </w:rPr>
        <w:t>ами</w:t>
      </w:r>
      <w:r w:rsidRPr="00D143EE">
        <w:rPr>
          <w:sz w:val="28"/>
        </w:rPr>
        <w:t xml:space="preserve">, підлягали відводу без пояснення причин і замінялися арбітрами, що обиралися сторонами. </w:t>
      </w:r>
    </w:p>
    <w:p w14:paraId="64ECA29C" w14:textId="77777777" w:rsidR="001C6AA0" w:rsidRPr="0066024F" w:rsidRDefault="001C6AA0" w:rsidP="001C6AA0">
      <w:pPr>
        <w:spacing w:line="360" w:lineRule="auto"/>
        <w:ind w:right="57" w:firstLine="851"/>
        <w:jc w:val="both"/>
        <w:rPr>
          <w:sz w:val="28"/>
          <w:lang w:val="uk-UA"/>
        </w:rPr>
      </w:pPr>
      <w:r w:rsidRPr="0066024F">
        <w:rPr>
          <w:sz w:val="28"/>
          <w:lang w:val="uk-UA"/>
        </w:rPr>
        <w:t xml:space="preserve">До речі, інститут відводу суддів в розглянуті періоди Римського права був обмежений </w:t>
      </w:r>
      <w:r>
        <w:rPr>
          <w:sz w:val="28"/>
          <w:lang w:val="uk-UA"/>
        </w:rPr>
        <w:t>«</w:t>
      </w:r>
      <w:r w:rsidRPr="0066024F">
        <w:rPr>
          <w:sz w:val="28"/>
        </w:rPr>
        <w:t>litis</w:t>
      </w:r>
      <w:r w:rsidRPr="0066024F">
        <w:rPr>
          <w:sz w:val="28"/>
          <w:lang w:val="uk-UA"/>
        </w:rPr>
        <w:t xml:space="preserve"> </w:t>
      </w:r>
      <w:r w:rsidRPr="0066024F">
        <w:rPr>
          <w:sz w:val="28"/>
        </w:rPr>
        <w:t>contestatio</w:t>
      </w:r>
      <w:r>
        <w:rPr>
          <w:sz w:val="28"/>
          <w:lang w:val="uk-UA"/>
        </w:rPr>
        <w:t>»</w:t>
      </w:r>
      <w:r w:rsidRPr="0066024F">
        <w:rPr>
          <w:sz w:val="28"/>
          <w:lang w:val="uk-UA"/>
        </w:rPr>
        <w:t>, тобто певним терміном, після закінчення якого сторони не мали права заявляти відвід судді, навіть якщ</w:t>
      </w:r>
      <w:r>
        <w:rPr>
          <w:sz w:val="28"/>
          <w:lang w:val="uk-UA"/>
        </w:rPr>
        <w:t>о і мали на це вагомі підстави [9, c.12]</w:t>
      </w:r>
      <w:r w:rsidRPr="0066024F">
        <w:rPr>
          <w:sz w:val="28"/>
          <w:lang w:val="uk-UA"/>
        </w:rPr>
        <w:t>.</w:t>
      </w:r>
    </w:p>
    <w:p w14:paraId="65272AEA" w14:textId="77777777" w:rsidR="001C6AA0" w:rsidRPr="00C31192" w:rsidRDefault="001C6AA0" w:rsidP="001C6AA0">
      <w:pPr>
        <w:spacing w:line="360" w:lineRule="auto"/>
        <w:ind w:right="57" w:firstLine="851"/>
        <w:jc w:val="both"/>
        <w:rPr>
          <w:sz w:val="28"/>
          <w:lang w:val="uk-UA"/>
        </w:rPr>
      </w:pPr>
      <w:r w:rsidRPr="0066024F">
        <w:rPr>
          <w:sz w:val="28"/>
          <w:lang w:val="uk-UA"/>
        </w:rPr>
        <w:t xml:space="preserve">Посилення ролі держави в період </w:t>
      </w:r>
      <w:r>
        <w:rPr>
          <w:sz w:val="28"/>
          <w:lang w:val="uk-UA"/>
        </w:rPr>
        <w:t>«</w:t>
      </w:r>
      <w:r w:rsidRPr="0066024F">
        <w:rPr>
          <w:sz w:val="28"/>
        </w:rPr>
        <w:t>extra</w:t>
      </w:r>
      <w:r w:rsidRPr="0066024F">
        <w:rPr>
          <w:sz w:val="28"/>
          <w:lang w:val="uk-UA"/>
        </w:rPr>
        <w:t xml:space="preserve"> </w:t>
      </w:r>
      <w:r w:rsidRPr="0066024F">
        <w:rPr>
          <w:sz w:val="28"/>
        </w:rPr>
        <w:t>ordinem</w:t>
      </w:r>
      <w:r>
        <w:rPr>
          <w:sz w:val="28"/>
          <w:lang w:val="uk-UA"/>
        </w:rPr>
        <w:t>»</w:t>
      </w:r>
      <w:r w:rsidRPr="0066024F">
        <w:rPr>
          <w:sz w:val="28"/>
          <w:lang w:val="uk-UA"/>
        </w:rPr>
        <w:t xml:space="preserve"> вплинуло і на підстави відводу суддів, тобто,</w:t>
      </w:r>
      <w:r w:rsidRPr="0066024F">
        <w:rPr>
          <w:lang w:val="uk-UA"/>
        </w:rPr>
        <w:t xml:space="preserve"> </w:t>
      </w:r>
      <w:r w:rsidRPr="0066024F">
        <w:rPr>
          <w:sz w:val="28"/>
          <w:lang w:val="uk-UA"/>
        </w:rPr>
        <w:t xml:space="preserve">на визнання відносної нездатності здійснювати суддівські функції у певній справі. Підстава, за якою службовець визнавався відносно нездатним виступати суддею (участь у справі на боці сторони, а також майновий інтерес) у ранньому римському праві була замінена на відвід суддів з підстави сумнівів у неупередженості за наявності родинних чи інших інтересів у </w:t>
      </w:r>
      <w:r w:rsidRPr="0066024F">
        <w:rPr>
          <w:sz w:val="28"/>
          <w:lang w:val="uk-UA"/>
        </w:rPr>
        <w:lastRenderedPageBreak/>
        <w:t>вирішенні спору</w:t>
      </w:r>
      <w:r>
        <w:rPr>
          <w:sz w:val="28"/>
          <w:lang w:val="uk-UA"/>
        </w:rPr>
        <w:t>[56]</w:t>
      </w:r>
      <w:r w:rsidRPr="0066024F">
        <w:rPr>
          <w:sz w:val="28"/>
          <w:lang w:val="uk-UA"/>
        </w:rPr>
        <w:t xml:space="preserve">. </w:t>
      </w:r>
      <w:r w:rsidRPr="00D143EE">
        <w:rPr>
          <w:sz w:val="28"/>
          <w:lang w:val="uk-UA"/>
        </w:rPr>
        <w:t>Цікаво зауважити, що за чиним процесуальним законодавством України суддя також підлягає відводу з близьких за змістом підстав – його зв’язку із сторонами спору, інших обставин, що створюють розумний сумнів щодо його незацікавленості у певному вирішенні справи.</w:t>
      </w:r>
    </w:p>
    <w:p w14:paraId="2AA63098" w14:textId="77777777" w:rsidR="001C6AA0" w:rsidRPr="00C31192" w:rsidRDefault="001C6AA0" w:rsidP="001C6AA0">
      <w:pPr>
        <w:spacing w:line="360" w:lineRule="auto"/>
        <w:ind w:right="57" w:firstLine="851"/>
        <w:jc w:val="both"/>
        <w:rPr>
          <w:sz w:val="28"/>
          <w:lang w:val="uk-UA"/>
        </w:rPr>
      </w:pPr>
      <w:r w:rsidRPr="00C31192">
        <w:rPr>
          <w:sz w:val="28"/>
          <w:lang w:val="uk-UA"/>
        </w:rPr>
        <w:t xml:space="preserve">Вирішення питання відводу, насамперед, пов’язано з самою процедурою розгляду спору, а тому </w:t>
      </w:r>
      <w:r w:rsidRPr="00C31192">
        <w:rPr>
          <w:sz w:val="28"/>
        </w:rPr>
        <w:t xml:space="preserve">за рамки процедурного характеру ніби не виходить. </w:t>
      </w:r>
      <w:r>
        <w:rPr>
          <w:sz w:val="28"/>
          <w:lang w:val="uk-UA"/>
        </w:rPr>
        <w:t xml:space="preserve">Водночас питання відводу має тісний взаємозв’язок із принципом – </w:t>
      </w:r>
      <w:r w:rsidRPr="00C31192">
        <w:rPr>
          <w:sz w:val="28"/>
          <w:lang w:val="uk-UA"/>
        </w:rPr>
        <w:t>незалежністю судової влади як однієї з гілок влади.</w:t>
      </w:r>
    </w:p>
    <w:p w14:paraId="44A30C0A" w14:textId="77777777" w:rsidR="001C6AA0" w:rsidRPr="00BE0B1A" w:rsidRDefault="001C6AA0" w:rsidP="001C6AA0">
      <w:pPr>
        <w:spacing w:line="360" w:lineRule="auto"/>
        <w:ind w:right="57" w:firstLine="851"/>
        <w:jc w:val="both"/>
        <w:rPr>
          <w:sz w:val="28"/>
        </w:rPr>
      </w:pPr>
      <w:r w:rsidRPr="00C31192">
        <w:rPr>
          <w:sz w:val="28"/>
        </w:rPr>
        <w:t>Історично питання відводу не завжди вирішувалося судовим органом, а давалося на «відкуп» іншим суб’єктам. Зокрема, в римському цивільному процесі (І-ІІІ ст. н. е.) воно вирішувалося самими сторонами, що пояснювалося договірними засадами судового процесу</w:t>
      </w:r>
      <w:r>
        <w:rPr>
          <w:sz w:val="28"/>
        </w:rPr>
        <w:t xml:space="preserve"> [43, c.44-45]</w:t>
      </w:r>
      <w:r w:rsidRPr="00C31192">
        <w:rPr>
          <w:sz w:val="28"/>
        </w:rPr>
        <w:t>.</w:t>
      </w:r>
    </w:p>
    <w:p w14:paraId="3E11A6C9" w14:textId="77777777" w:rsidR="001C6AA0" w:rsidRDefault="001C6AA0" w:rsidP="001C6AA0">
      <w:pPr>
        <w:spacing w:line="360" w:lineRule="auto"/>
        <w:ind w:right="57" w:firstLine="851"/>
        <w:jc w:val="both"/>
        <w:rPr>
          <w:sz w:val="28"/>
        </w:rPr>
      </w:pPr>
    </w:p>
    <w:p w14:paraId="46384DFA" w14:textId="77777777" w:rsidR="001C6AA0" w:rsidRDefault="001C6AA0" w:rsidP="001C6AA0">
      <w:pPr>
        <w:spacing w:line="360" w:lineRule="auto"/>
        <w:ind w:right="57" w:firstLine="851"/>
        <w:jc w:val="both"/>
        <w:rPr>
          <w:sz w:val="28"/>
          <w:lang w:val="uk-UA"/>
        </w:rPr>
      </w:pPr>
      <w:r>
        <w:rPr>
          <w:sz w:val="28"/>
          <w:lang w:val="uk-UA"/>
        </w:rPr>
        <w:t xml:space="preserve">Сучасні правові системи світу передбачають наявність механізму розподілу влади на гілки (законодавчу, виконавчу, судову), а тому </w:t>
      </w:r>
      <w:r w:rsidRPr="00C31192">
        <w:rPr>
          <w:sz w:val="28"/>
          <w:lang w:val="uk-UA"/>
        </w:rPr>
        <w:t xml:space="preserve">питання відводу суддів та інших учасників процесу </w:t>
      </w:r>
      <w:r>
        <w:rPr>
          <w:sz w:val="28"/>
          <w:lang w:val="uk-UA"/>
        </w:rPr>
        <w:t xml:space="preserve">має лежати виключно в рамках судової системи. </w:t>
      </w:r>
    </w:p>
    <w:p w14:paraId="79144B4E" w14:textId="77777777" w:rsidR="001C6AA0" w:rsidRPr="00C31192" w:rsidRDefault="001C6AA0" w:rsidP="001C6AA0">
      <w:pPr>
        <w:spacing w:line="360" w:lineRule="auto"/>
        <w:ind w:right="57" w:firstLine="851"/>
        <w:jc w:val="both"/>
        <w:rPr>
          <w:sz w:val="28"/>
          <w:lang w:val="uk-UA"/>
        </w:rPr>
      </w:pPr>
      <w:r>
        <w:rPr>
          <w:sz w:val="28"/>
          <w:lang w:val="uk-UA"/>
        </w:rPr>
        <w:t>Не слід акцентувати увагу на тому як саме відвід реалізується в кожній правовій системі світу, важливим є те, що незалежність судової системи та суддів є провідним принципом, що лежить в основі кожної судової системи. Так, вказаний принцип закріплений і в українському законодавстві, зокрема, в ст. 129 Конституції України та в ст. 6 Закону України «</w:t>
      </w:r>
      <w:r w:rsidRPr="00C31192">
        <w:rPr>
          <w:sz w:val="28"/>
        </w:rPr>
        <w:t>П</w:t>
      </w:r>
      <w:r>
        <w:rPr>
          <w:sz w:val="28"/>
        </w:rPr>
        <w:t>ро судоустрій та статус суддів»</w:t>
      </w:r>
      <w:r w:rsidRPr="00C31192">
        <w:rPr>
          <w:sz w:val="28"/>
        </w:rPr>
        <w:t>.</w:t>
      </w:r>
    </w:p>
    <w:p w14:paraId="1A99E739" w14:textId="77777777" w:rsidR="001C6AA0" w:rsidRPr="00A65405" w:rsidRDefault="001C6AA0" w:rsidP="001C6AA0">
      <w:pPr>
        <w:spacing w:line="360" w:lineRule="auto"/>
        <w:ind w:right="57" w:firstLine="851"/>
        <w:jc w:val="both"/>
        <w:rPr>
          <w:sz w:val="28"/>
          <w:lang w:val="uk-UA"/>
        </w:rPr>
      </w:pPr>
      <w:r>
        <w:rPr>
          <w:sz w:val="28"/>
          <w:lang w:val="uk-UA"/>
        </w:rPr>
        <w:t>Звісно судова влада не функціонує автономно без участі інших органів державної влади. Так, з</w:t>
      </w:r>
      <w:r w:rsidRPr="00A65405">
        <w:rPr>
          <w:sz w:val="28"/>
          <w:lang w:val="uk-UA"/>
        </w:rPr>
        <w:t xml:space="preserve">гідно з Законом України «Про судоустрій та статус суддів» питаннями дисциплінарної відповідальності суддів займається Вища кваліфікаційна комісія суддів України та Вища рада правосуддя України, де серед підстав застосування такої відповідальності вказується порушення вимог щодо неупередженого розгляду справи, зокрема порушення правил щодо відводу (самовідводу). Діяльність вказаних органів не варто розцінювати як </w:t>
      </w:r>
      <w:r w:rsidRPr="00A65405">
        <w:rPr>
          <w:sz w:val="28"/>
          <w:lang w:val="uk-UA"/>
        </w:rPr>
        <w:lastRenderedPageBreak/>
        <w:t>втручання у питання правосуддя, а слід розглядати як інституційну гарантію забезпеченості дотримання суддями норм, що регламентують відвід у господарському судочинстві.</w:t>
      </w:r>
    </w:p>
    <w:p w14:paraId="1D48412A" w14:textId="77777777" w:rsidR="001C6AA0" w:rsidRPr="00BE0B1A" w:rsidRDefault="001C6AA0" w:rsidP="001C6AA0">
      <w:pPr>
        <w:spacing w:line="360" w:lineRule="auto"/>
        <w:ind w:right="57" w:firstLine="851"/>
        <w:jc w:val="both"/>
        <w:rPr>
          <w:sz w:val="28"/>
        </w:rPr>
      </w:pPr>
      <w:r w:rsidRPr="00A65405">
        <w:rPr>
          <w:sz w:val="28"/>
        </w:rPr>
        <w:t>Ось чому принциповою позицією в інституті відводу повинно бути положення про те, що для забезпечення незалежності суддів при розгляді</w:t>
      </w:r>
      <w:r w:rsidRPr="00A65405">
        <w:t xml:space="preserve"> </w:t>
      </w:r>
      <w:r w:rsidRPr="00A65405">
        <w:rPr>
          <w:sz w:val="28"/>
          <w:lang w:val="uk-UA"/>
        </w:rPr>
        <w:t>господарських</w:t>
      </w:r>
      <w:r w:rsidRPr="00A65405">
        <w:rPr>
          <w:sz w:val="28"/>
        </w:rPr>
        <w:t xml:space="preserve"> справ, а також оперативності у їх вирішенні всі процесуальні питання, що виникають у процесі розгляду відводу (самовідводу) судді, народного засідателя, секретаря судового засідання, перекладача, експерта та спеціаліста, повинен вирішувати той суд, що входить у систему судів, які здійснюють розгляд цивільних справ</w:t>
      </w:r>
      <w:r>
        <w:rPr>
          <w:sz w:val="28"/>
        </w:rPr>
        <w:t>[53]</w:t>
      </w:r>
      <w:r w:rsidRPr="00A65405">
        <w:rPr>
          <w:sz w:val="28"/>
        </w:rPr>
        <w:t>.</w:t>
      </w:r>
      <w:r w:rsidRPr="00BE0B1A">
        <w:rPr>
          <w:sz w:val="28"/>
        </w:rPr>
        <w:t xml:space="preserve"> </w:t>
      </w:r>
    </w:p>
    <w:p w14:paraId="77F8985C" w14:textId="77777777" w:rsidR="001C6AA0" w:rsidRPr="00BE0B1A" w:rsidRDefault="001C6AA0" w:rsidP="001C6AA0">
      <w:pPr>
        <w:spacing w:line="360" w:lineRule="auto"/>
        <w:ind w:right="57" w:firstLine="851"/>
        <w:jc w:val="both"/>
        <w:rPr>
          <w:sz w:val="28"/>
          <w:lang w:val="uk-UA"/>
        </w:rPr>
      </w:pPr>
      <w:r w:rsidRPr="00BE0B1A">
        <w:rPr>
          <w:sz w:val="28"/>
          <w:lang w:val="uk-UA"/>
        </w:rPr>
        <w:t>Одним із сутнісних елементі</w:t>
      </w:r>
      <w:r>
        <w:rPr>
          <w:sz w:val="28"/>
          <w:lang w:val="uk-UA"/>
        </w:rPr>
        <w:t>в функціонування такого явища як</w:t>
      </w:r>
      <w:r w:rsidRPr="00BE0B1A">
        <w:rPr>
          <w:sz w:val="28"/>
          <w:lang w:val="uk-UA"/>
        </w:rPr>
        <w:t xml:space="preserve"> право, є забезпечення прав людини, задля ефективності якого у правовій державі створюються всебічні необхідні умови з метою х належної</w:t>
      </w:r>
      <w:r>
        <w:rPr>
          <w:sz w:val="28"/>
          <w:lang w:val="uk-UA"/>
        </w:rPr>
        <w:t xml:space="preserve"> реалізації, охорони та захисту</w:t>
      </w:r>
      <w:r w:rsidRPr="00BE0B1A">
        <w:rPr>
          <w:sz w:val="28"/>
          <w:lang w:val="uk-UA"/>
        </w:rPr>
        <w:t>. Вказане потребує впорядкованого відновлення порушених або оспорюваних прав та свобод, що вимагає існування гарантованого об’єктивного та дієвого незалежного механізму, на виконання функцій якого покликана</w:t>
      </w:r>
      <w:r>
        <w:rPr>
          <w:sz w:val="28"/>
          <w:lang w:val="uk-UA"/>
        </w:rPr>
        <w:t xml:space="preserve"> діяльність судової гілки влади</w:t>
      </w:r>
      <w:r w:rsidRPr="00BE0B1A">
        <w:rPr>
          <w:sz w:val="28"/>
          <w:lang w:val="uk-UA"/>
        </w:rPr>
        <w:t>.</w:t>
      </w:r>
    </w:p>
    <w:p w14:paraId="16F9F2CB" w14:textId="77777777" w:rsidR="001C6AA0" w:rsidRPr="00BE0B1A" w:rsidRDefault="001C6AA0" w:rsidP="001C6AA0">
      <w:pPr>
        <w:spacing w:line="360" w:lineRule="auto"/>
        <w:ind w:right="57" w:firstLine="851"/>
        <w:jc w:val="both"/>
        <w:rPr>
          <w:sz w:val="28"/>
          <w:lang w:val="uk-UA"/>
        </w:rPr>
      </w:pPr>
      <w:r w:rsidRPr="00BE0B1A">
        <w:rPr>
          <w:sz w:val="28"/>
          <w:lang w:val="uk-UA"/>
        </w:rPr>
        <w:t xml:space="preserve">Судова влада є надзвичайно цінним інститутом у кожному суспільстві. Наявність незалежної та неупередженої судової влади є найважливішим критерієм сучасної правової демократичної держави, неодмінною передумовою функціонування системи правосуддя. </w:t>
      </w:r>
    </w:p>
    <w:p w14:paraId="0DE4027B" w14:textId="77777777" w:rsidR="001C6AA0" w:rsidRPr="00BE0B1A" w:rsidRDefault="001C6AA0" w:rsidP="001C6AA0">
      <w:pPr>
        <w:spacing w:line="360" w:lineRule="auto"/>
        <w:ind w:right="57" w:firstLine="851"/>
        <w:jc w:val="both"/>
        <w:rPr>
          <w:sz w:val="28"/>
          <w:lang w:val="uk-UA"/>
        </w:rPr>
      </w:pPr>
      <w:r w:rsidRPr="00BE0B1A">
        <w:rPr>
          <w:sz w:val="28"/>
          <w:lang w:val="uk-UA"/>
        </w:rPr>
        <w:t xml:space="preserve">У період становлення та розвитку України як правової держави, формування громадянського суспільства з високим рівнем захисту прав та свобод людини і громадянина, в зв’язку з імплементацією міжнародних правових норм актуалізується необхідність дослідження проблем організації та функціонування судової влади. </w:t>
      </w:r>
    </w:p>
    <w:p w14:paraId="7F3FED04" w14:textId="77777777" w:rsidR="001C6AA0" w:rsidRPr="00BE0B1A" w:rsidRDefault="001C6AA0" w:rsidP="001C6AA0">
      <w:pPr>
        <w:spacing w:line="360" w:lineRule="auto"/>
        <w:ind w:right="57" w:firstLine="851"/>
        <w:jc w:val="both"/>
        <w:rPr>
          <w:sz w:val="28"/>
          <w:lang w:val="uk-UA"/>
        </w:rPr>
      </w:pPr>
      <w:r w:rsidRPr="00BE0B1A">
        <w:rPr>
          <w:sz w:val="28"/>
          <w:lang w:val="uk-UA"/>
        </w:rPr>
        <w:t>Прагнення до утвердження в Україні найкращих зразків та надбань у правовій сфе</w:t>
      </w:r>
      <w:r>
        <w:rPr>
          <w:sz w:val="28"/>
          <w:lang w:val="uk-UA"/>
        </w:rPr>
        <w:t>рі обумовлює впровадження у пра</w:t>
      </w:r>
      <w:r w:rsidRPr="00BE0B1A">
        <w:rPr>
          <w:sz w:val="28"/>
          <w:lang w:val="uk-UA"/>
        </w:rPr>
        <w:t>к</w:t>
      </w:r>
      <w:r>
        <w:rPr>
          <w:sz w:val="28"/>
          <w:lang w:val="uk-UA"/>
        </w:rPr>
        <w:t>т</w:t>
      </w:r>
      <w:r w:rsidRPr="00BE0B1A">
        <w:rPr>
          <w:sz w:val="28"/>
          <w:lang w:val="uk-UA"/>
        </w:rPr>
        <w:t>ику загальновизнаних принципів і норм міжнародного права, міжнародних стандартів, позитивного досвіду, що набула між</w:t>
      </w:r>
      <w:r>
        <w:rPr>
          <w:sz w:val="28"/>
          <w:lang w:val="uk-UA"/>
        </w:rPr>
        <w:t>народна спільнота в особі Ради Є</w:t>
      </w:r>
      <w:r w:rsidRPr="00BE0B1A">
        <w:rPr>
          <w:sz w:val="28"/>
          <w:lang w:val="uk-UA"/>
        </w:rPr>
        <w:t xml:space="preserve">вропи, Європейського </w:t>
      </w:r>
      <w:r w:rsidRPr="00BE0B1A">
        <w:rPr>
          <w:sz w:val="28"/>
          <w:lang w:val="uk-UA"/>
        </w:rPr>
        <w:lastRenderedPageBreak/>
        <w:t>Союзу, спрямованих на вдосконалення вітчизняної системи правосуддя, підвищення її дієвості, ефективності, прозорості, доброчесності, суспільної орієнтованості та доступності.</w:t>
      </w:r>
    </w:p>
    <w:p w14:paraId="5274A578" w14:textId="77777777" w:rsidR="001C6AA0" w:rsidRPr="00BE0B1A" w:rsidRDefault="001C6AA0" w:rsidP="001C6AA0">
      <w:pPr>
        <w:spacing w:line="360" w:lineRule="auto"/>
        <w:ind w:right="57" w:firstLine="851"/>
        <w:jc w:val="both"/>
        <w:rPr>
          <w:sz w:val="28"/>
          <w:lang w:val="uk-UA"/>
        </w:rPr>
      </w:pPr>
      <w:r w:rsidRPr="00BE0B1A">
        <w:rPr>
          <w:sz w:val="28"/>
          <w:lang w:val="uk-UA"/>
        </w:rPr>
        <w:t>Основними міжнародними документами, що розповсюджуються та використовуються у сфері правосуддя, є Загальн</w:t>
      </w:r>
      <w:r>
        <w:rPr>
          <w:sz w:val="28"/>
          <w:lang w:val="uk-UA"/>
        </w:rPr>
        <w:t>а декларація прав людини 1948 року</w:t>
      </w:r>
      <w:r w:rsidRPr="00BE0B1A">
        <w:rPr>
          <w:sz w:val="28"/>
          <w:lang w:val="uk-UA"/>
        </w:rPr>
        <w:t xml:space="preserve">, Конвенція про захист прав людини </w:t>
      </w:r>
      <w:r>
        <w:rPr>
          <w:sz w:val="28"/>
          <w:lang w:val="uk-UA"/>
        </w:rPr>
        <w:t>і основоположних свобод 1950 року</w:t>
      </w:r>
      <w:r w:rsidRPr="00BE0B1A">
        <w:rPr>
          <w:sz w:val="28"/>
          <w:lang w:val="uk-UA"/>
        </w:rPr>
        <w:t>, Міжнародний пакт про громадя</w:t>
      </w:r>
      <w:r>
        <w:rPr>
          <w:sz w:val="28"/>
          <w:lang w:val="uk-UA"/>
        </w:rPr>
        <w:t>нські і політичні права 1966 року</w:t>
      </w:r>
      <w:r w:rsidRPr="00BE0B1A">
        <w:rPr>
          <w:sz w:val="28"/>
          <w:lang w:val="uk-UA"/>
        </w:rPr>
        <w:t>, Основні принципи щодо</w:t>
      </w:r>
      <w:r>
        <w:rPr>
          <w:sz w:val="28"/>
          <w:lang w:val="uk-UA"/>
        </w:rPr>
        <w:t xml:space="preserve"> незалежності правосуддя 1985 року</w:t>
      </w:r>
      <w:r w:rsidRPr="00BE0B1A">
        <w:rPr>
          <w:sz w:val="28"/>
          <w:lang w:val="uk-UA"/>
        </w:rPr>
        <w:t xml:space="preserve"> тощо.</w:t>
      </w:r>
    </w:p>
    <w:p w14:paraId="5FFCBF8A" w14:textId="77777777" w:rsidR="001C6AA0" w:rsidRPr="00BE0B1A" w:rsidRDefault="001C6AA0" w:rsidP="001C6AA0">
      <w:pPr>
        <w:spacing w:line="360" w:lineRule="auto"/>
        <w:ind w:right="57" w:firstLine="851"/>
        <w:jc w:val="both"/>
        <w:rPr>
          <w:sz w:val="28"/>
          <w:lang w:val="uk-UA"/>
        </w:rPr>
      </w:pPr>
      <w:r w:rsidRPr="00BE0B1A">
        <w:rPr>
          <w:sz w:val="28"/>
          <w:lang w:val="uk-UA"/>
        </w:rPr>
        <w:t>Забезпечення незалежності судової влади, обов’язкове для кожної держави, є необхідним для реалізації вказаного права та випливає з права кожн</w:t>
      </w:r>
      <w:r>
        <w:rPr>
          <w:sz w:val="28"/>
          <w:lang w:val="uk-UA"/>
        </w:rPr>
        <w:t>о</w:t>
      </w:r>
      <w:r w:rsidRPr="00BE0B1A">
        <w:rPr>
          <w:sz w:val="28"/>
          <w:lang w:val="uk-UA"/>
        </w:rPr>
        <w:t>го на справедливий суд. Реалізація та захист усіх прав залежать від існування компетентної, незалежної та безсторонньої судової влади, що має довіру в суспільстві.</w:t>
      </w:r>
    </w:p>
    <w:p w14:paraId="7E4CEDE4" w14:textId="77777777" w:rsidR="001C6AA0" w:rsidRPr="00BE0B1A" w:rsidRDefault="001C6AA0" w:rsidP="001C6AA0">
      <w:pPr>
        <w:spacing w:line="360" w:lineRule="auto"/>
        <w:ind w:right="57" w:firstLine="851"/>
        <w:jc w:val="both"/>
        <w:rPr>
          <w:sz w:val="28"/>
          <w:lang w:val="uk-UA"/>
        </w:rPr>
      </w:pPr>
      <w:r w:rsidRPr="00BE0B1A">
        <w:rPr>
          <w:sz w:val="28"/>
          <w:lang w:val="uk-UA"/>
        </w:rPr>
        <w:t>Підтримка незалежності судової влади має суттєве значення для досягнення цілей судочинства та належного виконання функцій на користь вільного суспільства, де дотримується принцип верховенства права, як співвідношення інтересів людини і держави, що є сутністю суспільного договору як юридично-політичної категорії.</w:t>
      </w:r>
    </w:p>
    <w:p w14:paraId="684F3F15" w14:textId="77777777" w:rsidR="001C6AA0" w:rsidRPr="00A65405" w:rsidRDefault="001C6AA0" w:rsidP="001C6AA0">
      <w:pPr>
        <w:spacing w:line="360" w:lineRule="auto"/>
        <w:ind w:right="57" w:firstLine="851"/>
        <w:jc w:val="both"/>
        <w:rPr>
          <w:sz w:val="28"/>
          <w:lang w:val="uk-UA"/>
        </w:rPr>
      </w:pPr>
      <w:r w:rsidRPr="00A65405">
        <w:rPr>
          <w:sz w:val="28"/>
          <w:lang w:val="uk-UA"/>
        </w:rPr>
        <w:t>Отже, Україна, прийнявши Закон України «Про ратифікацію Конвенції про захист прав людини і основоположних свобод 1950 року, Першого протоколу та протоколів № 2, 4, 7 та 11 до</w:t>
      </w:r>
      <w:r>
        <w:rPr>
          <w:sz w:val="28"/>
          <w:lang w:val="uk-UA"/>
        </w:rPr>
        <w:t xml:space="preserve"> Конвенції» від 17 липня 1997 року</w:t>
      </w:r>
      <w:r w:rsidRPr="00A65405">
        <w:rPr>
          <w:sz w:val="28"/>
          <w:lang w:val="uk-UA"/>
        </w:rPr>
        <w:t>, прийняла на себе зобов’язання забезпечити кожному, чиї права порушені, ефективні способи правового захисту, зважаючи на те, що кожен повинен мати право на справедливий і публічний розгляд справи компетентним, незалежним і безстороннім судом, створеним на підставі закону.</w:t>
      </w:r>
    </w:p>
    <w:p w14:paraId="43340130" w14:textId="77777777" w:rsidR="001C6AA0" w:rsidRPr="00A65405" w:rsidRDefault="001C6AA0" w:rsidP="001C6AA0">
      <w:pPr>
        <w:spacing w:line="360" w:lineRule="auto"/>
        <w:ind w:right="57" w:firstLine="851"/>
        <w:jc w:val="both"/>
        <w:rPr>
          <w:sz w:val="28"/>
          <w:lang w:val="uk-UA"/>
        </w:rPr>
      </w:pPr>
      <w:r w:rsidRPr="00A65405">
        <w:rPr>
          <w:sz w:val="28"/>
          <w:lang w:val="uk-UA"/>
        </w:rPr>
        <w:t>Відповідно до ст. 2 ГПК України</w:t>
      </w:r>
      <w:r>
        <w:rPr>
          <w:sz w:val="28"/>
          <w:lang w:val="uk-UA"/>
        </w:rPr>
        <w:t>,</w:t>
      </w:r>
      <w:r w:rsidRPr="00A65405">
        <w:rPr>
          <w:sz w:val="28"/>
          <w:lang w:val="uk-UA"/>
        </w:rPr>
        <w:t xml:space="preserve"> завданням господарського судочинства є справедливе, неупереджене та своєчасне вирішення судом спорів, пов’язаних із здійсненням господарської діяльності, та розгляд інших справ, віднесених до юрисдикції господарського суду, з метою ефективного захисту порушених, </w:t>
      </w:r>
      <w:r w:rsidRPr="00A65405">
        <w:rPr>
          <w:sz w:val="28"/>
          <w:lang w:val="uk-UA"/>
        </w:rPr>
        <w:lastRenderedPageBreak/>
        <w:t>невизнаних або оспорюваних прав і законних інтересів фізичних та юридичних осіб, держави.</w:t>
      </w:r>
    </w:p>
    <w:p w14:paraId="3D1E723E" w14:textId="77777777" w:rsidR="001C6AA0" w:rsidRDefault="001C6AA0" w:rsidP="001C6AA0">
      <w:pPr>
        <w:spacing w:line="360" w:lineRule="auto"/>
        <w:ind w:right="57" w:firstLine="851"/>
        <w:jc w:val="both"/>
        <w:rPr>
          <w:sz w:val="28"/>
          <w:lang w:val="uk-UA"/>
        </w:rPr>
      </w:pPr>
      <w:r>
        <w:rPr>
          <w:sz w:val="28"/>
          <w:lang w:val="uk-UA"/>
        </w:rPr>
        <w:t xml:space="preserve">У відповідності до вказаного завдання судді зобов’язані </w:t>
      </w:r>
      <w:r w:rsidRPr="00A65405">
        <w:rPr>
          <w:sz w:val="28"/>
          <w:lang w:val="uk-UA"/>
        </w:rPr>
        <w:t xml:space="preserve">вирішувати передані </w:t>
      </w:r>
      <w:r>
        <w:rPr>
          <w:sz w:val="28"/>
          <w:lang w:val="uk-UA"/>
        </w:rPr>
        <w:t xml:space="preserve">їм </w:t>
      </w:r>
      <w:r w:rsidRPr="00A65405">
        <w:rPr>
          <w:sz w:val="28"/>
          <w:lang w:val="uk-UA"/>
        </w:rPr>
        <w:t>справи</w:t>
      </w:r>
      <w:r>
        <w:rPr>
          <w:sz w:val="28"/>
          <w:lang w:val="uk-UA"/>
        </w:rPr>
        <w:t>:</w:t>
      </w:r>
    </w:p>
    <w:p w14:paraId="54118C43" w14:textId="77777777" w:rsidR="001C6AA0" w:rsidRDefault="001C6AA0" w:rsidP="001C6AA0">
      <w:pPr>
        <w:numPr>
          <w:ilvl w:val="0"/>
          <w:numId w:val="12"/>
        </w:numPr>
        <w:spacing w:line="360" w:lineRule="auto"/>
        <w:ind w:left="0" w:right="57" w:firstLine="851"/>
        <w:contextualSpacing/>
        <w:jc w:val="both"/>
        <w:rPr>
          <w:sz w:val="28"/>
          <w:lang w:val="uk-UA"/>
        </w:rPr>
      </w:pPr>
      <w:r>
        <w:rPr>
          <w:sz w:val="28"/>
          <w:lang w:val="uk-UA"/>
        </w:rPr>
        <w:t xml:space="preserve">відповідно до засади – </w:t>
      </w:r>
      <w:r w:rsidRPr="00165B29">
        <w:rPr>
          <w:sz w:val="28"/>
          <w:lang w:val="uk-UA"/>
        </w:rPr>
        <w:t>верховенства права;</w:t>
      </w:r>
    </w:p>
    <w:p w14:paraId="403EDB14" w14:textId="77777777" w:rsidR="001C6AA0" w:rsidRPr="00165B29" w:rsidRDefault="001C6AA0" w:rsidP="001C6AA0">
      <w:pPr>
        <w:numPr>
          <w:ilvl w:val="0"/>
          <w:numId w:val="12"/>
        </w:numPr>
        <w:spacing w:line="360" w:lineRule="auto"/>
        <w:ind w:left="0" w:right="57" w:firstLine="851"/>
        <w:contextualSpacing/>
        <w:jc w:val="both"/>
        <w:rPr>
          <w:sz w:val="28"/>
          <w:lang w:val="uk-UA"/>
        </w:rPr>
      </w:pPr>
      <w:r w:rsidRPr="00165B29">
        <w:rPr>
          <w:sz w:val="28"/>
          <w:lang w:val="uk-UA"/>
        </w:rPr>
        <w:t>відповідно до норм матеріального права при дотри</w:t>
      </w:r>
      <w:r>
        <w:rPr>
          <w:sz w:val="28"/>
          <w:lang w:val="uk-UA"/>
        </w:rPr>
        <w:t>манні норм процесуального права;</w:t>
      </w:r>
    </w:p>
    <w:p w14:paraId="466767F4" w14:textId="77777777" w:rsidR="001C6AA0" w:rsidRDefault="001C6AA0" w:rsidP="001C6AA0">
      <w:pPr>
        <w:numPr>
          <w:ilvl w:val="0"/>
          <w:numId w:val="12"/>
        </w:numPr>
        <w:spacing w:line="360" w:lineRule="auto"/>
        <w:ind w:left="0" w:right="57" w:firstLine="851"/>
        <w:contextualSpacing/>
        <w:jc w:val="both"/>
        <w:rPr>
          <w:sz w:val="28"/>
          <w:lang w:val="uk-UA"/>
        </w:rPr>
      </w:pPr>
      <w:r>
        <w:rPr>
          <w:sz w:val="28"/>
          <w:lang w:val="uk-UA"/>
        </w:rPr>
        <w:t>враховуючи</w:t>
      </w:r>
      <w:r w:rsidRPr="00165B29">
        <w:rPr>
          <w:sz w:val="28"/>
          <w:lang w:val="uk-UA"/>
        </w:rPr>
        <w:t xml:space="preserve"> висновки щодо застосування норм права, викладе</w:t>
      </w:r>
      <w:r>
        <w:rPr>
          <w:sz w:val="28"/>
          <w:lang w:val="uk-UA"/>
        </w:rPr>
        <w:t>ні в постановах Верховного Суду;</w:t>
      </w:r>
    </w:p>
    <w:p w14:paraId="080BE5BE" w14:textId="77777777" w:rsidR="001C6AA0" w:rsidRPr="00165B29" w:rsidRDefault="001C6AA0" w:rsidP="001C6AA0">
      <w:pPr>
        <w:numPr>
          <w:ilvl w:val="0"/>
          <w:numId w:val="12"/>
        </w:numPr>
        <w:spacing w:line="360" w:lineRule="auto"/>
        <w:ind w:left="0" w:right="57" w:firstLine="851"/>
        <w:contextualSpacing/>
        <w:jc w:val="both"/>
        <w:rPr>
          <w:sz w:val="28"/>
          <w:lang w:val="uk-UA"/>
        </w:rPr>
      </w:pPr>
      <w:r w:rsidRPr="00165B29">
        <w:rPr>
          <w:sz w:val="28"/>
          <w:lang w:val="uk-UA"/>
        </w:rPr>
        <w:t>на підставі повно і всебічно з’ясованих обставин, на які сторони посилаються як на підставу своїх вимог і заперечень</w:t>
      </w:r>
      <w:r>
        <w:rPr>
          <w:sz w:val="28"/>
          <w:lang w:val="uk-UA"/>
        </w:rPr>
        <w:t>.</w:t>
      </w:r>
    </w:p>
    <w:p w14:paraId="4B79654B" w14:textId="77777777" w:rsidR="001C6AA0" w:rsidRPr="00BE0B1A" w:rsidRDefault="001C6AA0" w:rsidP="001C6AA0">
      <w:pPr>
        <w:spacing w:line="360" w:lineRule="auto"/>
        <w:ind w:right="57" w:firstLine="851"/>
        <w:jc w:val="both"/>
        <w:rPr>
          <w:sz w:val="28"/>
          <w:lang w:val="uk-UA"/>
        </w:rPr>
      </w:pPr>
      <w:r w:rsidRPr="00BE0B1A">
        <w:rPr>
          <w:sz w:val="28"/>
          <w:lang w:val="uk-UA"/>
        </w:rPr>
        <w:t xml:space="preserve">Згідно із Загальними принципами Європейської хартії про статус суддів, прийнятої </w:t>
      </w:r>
      <w:r>
        <w:rPr>
          <w:sz w:val="28"/>
          <w:lang w:val="uk-UA"/>
        </w:rPr>
        <w:t>під егідою Ради Європи у 1998 року</w:t>
      </w:r>
      <w:r w:rsidRPr="00BE0B1A">
        <w:rPr>
          <w:sz w:val="28"/>
          <w:lang w:val="uk-UA"/>
        </w:rPr>
        <w:t>, кожного судді стосуються вимоги незалежності, не</w:t>
      </w:r>
      <w:r>
        <w:rPr>
          <w:sz w:val="28"/>
          <w:lang w:val="uk-UA"/>
        </w:rPr>
        <w:t>упередженості та компетентності</w:t>
      </w:r>
      <w:r w:rsidRPr="00BE0B1A">
        <w:rPr>
          <w:sz w:val="28"/>
          <w:lang w:val="uk-UA"/>
        </w:rPr>
        <w:t>.</w:t>
      </w:r>
    </w:p>
    <w:p w14:paraId="0B2FBBBA" w14:textId="77777777" w:rsidR="001C6AA0" w:rsidRPr="00BE0B1A" w:rsidRDefault="001C6AA0" w:rsidP="001C6AA0">
      <w:pPr>
        <w:spacing w:line="360" w:lineRule="auto"/>
        <w:ind w:right="57" w:firstLine="851"/>
        <w:jc w:val="both"/>
        <w:rPr>
          <w:sz w:val="28"/>
          <w:lang w:val="uk-UA"/>
        </w:rPr>
      </w:pPr>
      <w:r w:rsidRPr="00BE0B1A">
        <w:rPr>
          <w:sz w:val="28"/>
        </w:rPr>
        <w:t xml:space="preserve">Таким чином, обґрунтовано можна стверджувати, що в інституті відводу </w:t>
      </w:r>
      <w:r w:rsidRPr="00BE0B1A">
        <w:rPr>
          <w:sz w:val="28"/>
          <w:lang w:val="uk-UA"/>
        </w:rPr>
        <w:t>господарського</w:t>
      </w:r>
      <w:r w:rsidRPr="00BE0B1A">
        <w:rPr>
          <w:sz w:val="28"/>
        </w:rPr>
        <w:t xml:space="preserve"> процесу можна виділити систему принципів, які показують закономірність розвитку інституту відводу та характеризують його сутність.</w:t>
      </w:r>
    </w:p>
    <w:p w14:paraId="41417B01" w14:textId="77777777" w:rsidR="001C6AA0" w:rsidRDefault="001C6AA0" w:rsidP="001C6AA0">
      <w:pPr>
        <w:spacing w:line="360" w:lineRule="auto"/>
        <w:ind w:right="57" w:firstLine="851"/>
        <w:jc w:val="both"/>
        <w:rPr>
          <w:sz w:val="28"/>
          <w:lang w:val="uk-UA"/>
        </w:rPr>
      </w:pPr>
      <w:r w:rsidRPr="00BE0B1A">
        <w:rPr>
          <w:sz w:val="28"/>
          <w:lang w:val="uk-UA"/>
        </w:rPr>
        <w:t xml:space="preserve">Сутність відводу полягала в тому, що </w:t>
      </w:r>
      <w:r w:rsidRPr="00F84DCB">
        <w:rPr>
          <w:sz w:val="28"/>
          <w:lang w:val="uk-UA"/>
        </w:rPr>
        <w:t>інститут відводу суддів в Римсько</w:t>
      </w:r>
      <w:r w:rsidRPr="00BE0B1A">
        <w:rPr>
          <w:sz w:val="28"/>
          <w:lang w:val="uk-UA"/>
        </w:rPr>
        <w:t>му</w:t>
      </w:r>
      <w:r w:rsidRPr="00F84DCB">
        <w:rPr>
          <w:sz w:val="28"/>
          <w:lang w:val="uk-UA"/>
        </w:rPr>
        <w:t xml:space="preserve"> прав</w:t>
      </w:r>
      <w:r w:rsidRPr="00BE0B1A">
        <w:rPr>
          <w:sz w:val="28"/>
          <w:lang w:val="uk-UA"/>
        </w:rPr>
        <w:t>і</w:t>
      </w:r>
      <w:r w:rsidRPr="00F84DCB">
        <w:rPr>
          <w:sz w:val="28"/>
          <w:lang w:val="uk-UA"/>
        </w:rPr>
        <w:t xml:space="preserve"> був обмежений </w:t>
      </w:r>
      <w:r>
        <w:rPr>
          <w:sz w:val="28"/>
          <w:lang w:val="uk-UA"/>
        </w:rPr>
        <w:t>«</w:t>
      </w:r>
      <w:r w:rsidRPr="00BE0B1A">
        <w:rPr>
          <w:sz w:val="28"/>
        </w:rPr>
        <w:t>litis</w:t>
      </w:r>
      <w:r w:rsidRPr="00F84DCB">
        <w:rPr>
          <w:sz w:val="28"/>
          <w:lang w:val="uk-UA"/>
        </w:rPr>
        <w:t xml:space="preserve"> </w:t>
      </w:r>
      <w:r w:rsidRPr="00BE0B1A">
        <w:rPr>
          <w:sz w:val="28"/>
        </w:rPr>
        <w:t>contestatio</w:t>
      </w:r>
      <w:r>
        <w:rPr>
          <w:sz w:val="28"/>
          <w:lang w:val="uk-UA"/>
        </w:rPr>
        <w:t xml:space="preserve">», </w:t>
      </w:r>
      <w:r w:rsidRPr="00F84DCB">
        <w:rPr>
          <w:sz w:val="28"/>
          <w:lang w:val="uk-UA"/>
        </w:rPr>
        <w:t>після закінчення якого сторони не мали права заявляти відвід судді, навіть якщо і мали на це вагомі підстави</w:t>
      </w:r>
      <w:r w:rsidRPr="00BE0B1A">
        <w:rPr>
          <w:sz w:val="28"/>
          <w:lang w:val="uk-UA"/>
        </w:rPr>
        <w:t>.</w:t>
      </w:r>
    </w:p>
    <w:p w14:paraId="0818A431" w14:textId="77777777" w:rsidR="001C6AA0" w:rsidRDefault="001C6AA0" w:rsidP="001C6AA0">
      <w:pPr>
        <w:spacing w:line="360" w:lineRule="auto"/>
        <w:ind w:right="57" w:firstLine="851"/>
        <w:jc w:val="both"/>
        <w:rPr>
          <w:sz w:val="28"/>
          <w:lang w:val="uk-UA"/>
        </w:rPr>
      </w:pPr>
      <w:r>
        <w:rPr>
          <w:sz w:val="28"/>
          <w:lang w:val="uk-UA"/>
        </w:rPr>
        <w:t>Оскільки більшість країн-членів ЄС належать до романо-германської правової сім’ї тому появою такого інституту, як «відвід судді»  завдячують саме Римському праву. Але на європейському просторі має місце існування і англо-саксонська правова сім’я, яка представлена у Великій Британії. Для того, щоб зрозуміти як вирішувались питання відводу в кардинальній відмінності від Римського права доцільно розглянути і досвід вказаної правової родини.</w:t>
      </w:r>
    </w:p>
    <w:p w14:paraId="345FA293" w14:textId="77777777" w:rsidR="001C6AA0" w:rsidRDefault="001C6AA0" w:rsidP="001C6AA0">
      <w:pPr>
        <w:spacing w:line="360" w:lineRule="auto"/>
        <w:ind w:right="57" w:firstLine="851"/>
        <w:jc w:val="both"/>
        <w:rPr>
          <w:sz w:val="28"/>
          <w:lang w:val="uk-UA"/>
        </w:rPr>
      </w:pPr>
      <w:r>
        <w:rPr>
          <w:sz w:val="28"/>
          <w:lang w:val="uk-UA"/>
        </w:rPr>
        <w:t xml:space="preserve">Так, англійські суди у 17 ст. завдяки справі під головуванням </w:t>
      </w:r>
      <w:r w:rsidRPr="008B3A99">
        <w:rPr>
          <w:sz w:val="28"/>
          <w:lang w:val="uk-UA"/>
        </w:rPr>
        <w:t>лорда Генрі</w:t>
      </w:r>
      <w:r>
        <w:rPr>
          <w:sz w:val="28"/>
          <w:lang w:val="uk-UA"/>
        </w:rPr>
        <w:t xml:space="preserve"> Кока в справі доктора Бонхама взяли за правило принцип за яким </w:t>
      </w:r>
      <w:r w:rsidRPr="008B3A99">
        <w:rPr>
          <w:sz w:val="28"/>
          <w:lang w:val="uk-UA"/>
        </w:rPr>
        <w:t>ніхто не повинен бути суддею у власній справі</w:t>
      </w:r>
      <w:r>
        <w:rPr>
          <w:sz w:val="28"/>
          <w:lang w:val="uk-UA"/>
        </w:rPr>
        <w:t xml:space="preserve">. Така позиція обгрунтовувалась тим, що </w:t>
      </w:r>
      <w:r>
        <w:rPr>
          <w:sz w:val="28"/>
          <w:lang w:val="uk-UA"/>
        </w:rPr>
        <w:lastRenderedPageBreak/>
        <w:t xml:space="preserve">особа є матеріально зацікавлена по відношенню до предмету спору, а тому не може безсторонньо та об’єктивно винести рішення. </w:t>
      </w:r>
    </w:p>
    <w:p w14:paraId="53ECB2C6" w14:textId="77777777" w:rsidR="001C6AA0" w:rsidRDefault="001C6AA0" w:rsidP="001C6AA0">
      <w:pPr>
        <w:spacing w:line="360" w:lineRule="auto"/>
        <w:ind w:right="57" w:firstLine="851"/>
        <w:jc w:val="both"/>
        <w:rPr>
          <w:sz w:val="28"/>
          <w:lang w:val="uk-UA"/>
        </w:rPr>
      </w:pPr>
      <w:r>
        <w:rPr>
          <w:sz w:val="28"/>
          <w:lang w:val="uk-UA"/>
        </w:rPr>
        <w:t xml:space="preserve">Як і в </w:t>
      </w:r>
      <w:r w:rsidRPr="008B3A99">
        <w:rPr>
          <w:sz w:val="28"/>
          <w:lang w:val="uk-UA"/>
        </w:rPr>
        <w:t xml:space="preserve"> Англії, у Сполучених Штатах за загальним правом </w:t>
      </w:r>
      <w:r>
        <w:rPr>
          <w:sz w:val="28"/>
          <w:lang w:val="uk-UA"/>
        </w:rPr>
        <w:t>підставою для відводу судді був</w:t>
      </w:r>
      <w:r w:rsidRPr="008B3A99">
        <w:rPr>
          <w:sz w:val="28"/>
          <w:lang w:val="uk-UA"/>
        </w:rPr>
        <w:t xml:space="preserve"> його </w:t>
      </w:r>
      <w:r>
        <w:rPr>
          <w:sz w:val="28"/>
          <w:lang w:val="uk-UA"/>
        </w:rPr>
        <w:t xml:space="preserve">матеріальний інтерес до справи чи у разі якщо той був </w:t>
      </w:r>
      <w:r w:rsidRPr="008B3A99">
        <w:rPr>
          <w:sz w:val="28"/>
          <w:lang w:val="uk-UA"/>
        </w:rPr>
        <w:t>адвокатом</w:t>
      </w:r>
      <w:r>
        <w:rPr>
          <w:sz w:val="28"/>
          <w:lang w:val="uk-UA"/>
        </w:rPr>
        <w:t xml:space="preserve">. </w:t>
      </w:r>
      <w:r w:rsidRPr="008B3A99">
        <w:rPr>
          <w:sz w:val="28"/>
          <w:lang w:val="uk-UA"/>
        </w:rPr>
        <w:t xml:space="preserve">Конгрес </w:t>
      </w:r>
      <w:r>
        <w:rPr>
          <w:sz w:val="28"/>
          <w:lang w:val="uk-UA"/>
        </w:rPr>
        <w:t>США згодом змінював перелік підстав для відводу багато разів як правило розширюючи ці підстави[84].</w:t>
      </w:r>
    </w:p>
    <w:p w14:paraId="3A9339CF" w14:textId="77777777" w:rsidR="001C6AA0" w:rsidRDefault="001C6AA0" w:rsidP="001C6AA0">
      <w:pPr>
        <w:spacing w:line="360" w:lineRule="auto"/>
        <w:ind w:right="57" w:firstLine="851"/>
        <w:jc w:val="both"/>
        <w:rPr>
          <w:sz w:val="28"/>
          <w:lang w:val="uk-UA"/>
        </w:rPr>
      </w:pPr>
      <w:r>
        <w:rPr>
          <w:sz w:val="28"/>
          <w:lang w:val="uk-UA"/>
        </w:rPr>
        <w:t>С</w:t>
      </w:r>
      <w:r w:rsidRPr="008E73C6">
        <w:rPr>
          <w:sz w:val="28"/>
          <w:lang w:val="uk-UA"/>
        </w:rPr>
        <w:t xml:space="preserve">уди </w:t>
      </w:r>
      <w:r>
        <w:rPr>
          <w:sz w:val="28"/>
          <w:lang w:val="uk-UA"/>
        </w:rPr>
        <w:t>Великої Британії поступово розширювали</w:t>
      </w:r>
      <w:r w:rsidRPr="008E73C6">
        <w:rPr>
          <w:sz w:val="28"/>
          <w:lang w:val="uk-UA"/>
        </w:rPr>
        <w:t xml:space="preserve"> ная</w:t>
      </w:r>
      <w:r>
        <w:rPr>
          <w:sz w:val="28"/>
          <w:lang w:val="uk-UA"/>
        </w:rPr>
        <w:t>вні підстави для відводу судді</w:t>
      </w:r>
      <w:r w:rsidRPr="008E73C6">
        <w:rPr>
          <w:sz w:val="28"/>
          <w:lang w:val="uk-UA"/>
        </w:rPr>
        <w:t>, щоб включит</w:t>
      </w:r>
      <w:r>
        <w:rPr>
          <w:sz w:val="28"/>
          <w:lang w:val="uk-UA"/>
        </w:rPr>
        <w:t>и ситуації, в яких с</w:t>
      </w:r>
      <w:r w:rsidRPr="008E73C6">
        <w:rPr>
          <w:sz w:val="28"/>
          <w:lang w:val="uk-UA"/>
        </w:rPr>
        <w:t xml:space="preserve">уддя мав </w:t>
      </w:r>
      <w:r>
        <w:rPr>
          <w:sz w:val="28"/>
          <w:lang w:val="uk-UA"/>
        </w:rPr>
        <w:t xml:space="preserve">не прямий майновий інтерес у справі. Так, </w:t>
      </w:r>
      <w:r w:rsidRPr="008E73C6">
        <w:rPr>
          <w:sz w:val="28"/>
          <w:lang w:val="uk-UA"/>
        </w:rPr>
        <w:t xml:space="preserve">у справі 1866 року Королівська скарбниця вказує, що </w:t>
      </w:r>
      <w:r>
        <w:rPr>
          <w:sz w:val="28"/>
          <w:lang w:val="uk-UA"/>
        </w:rPr>
        <w:t xml:space="preserve">відвід повинен мати місце </w:t>
      </w:r>
      <w:r w:rsidRPr="008E73C6">
        <w:rPr>
          <w:sz w:val="28"/>
          <w:lang w:val="uk-UA"/>
        </w:rPr>
        <w:t>кожного разу, коли існує реальн</w:t>
      </w:r>
      <w:r>
        <w:rPr>
          <w:sz w:val="28"/>
          <w:lang w:val="uk-UA"/>
        </w:rPr>
        <w:t>а ймовірність того, що суддя має упередження або несприятливо відноситься до</w:t>
      </w:r>
      <w:r w:rsidRPr="008E73C6">
        <w:rPr>
          <w:sz w:val="28"/>
          <w:lang w:val="uk-UA"/>
        </w:rPr>
        <w:t xml:space="preserve"> однієї зі сторін. </w:t>
      </w:r>
    </w:p>
    <w:p w14:paraId="3D1D98E9" w14:textId="77777777" w:rsidR="001C6AA0" w:rsidRDefault="001C6AA0" w:rsidP="001C6AA0">
      <w:pPr>
        <w:spacing w:line="360" w:lineRule="auto"/>
        <w:ind w:right="57" w:firstLine="851"/>
        <w:jc w:val="both"/>
        <w:rPr>
          <w:sz w:val="28"/>
          <w:lang w:val="uk-UA"/>
        </w:rPr>
      </w:pPr>
      <w:r>
        <w:rPr>
          <w:sz w:val="28"/>
          <w:lang w:val="uk-UA"/>
        </w:rPr>
        <w:t xml:space="preserve">У англійському праві відомі випадки </w:t>
      </w:r>
      <w:r w:rsidRPr="008E73C6">
        <w:rPr>
          <w:sz w:val="28"/>
          <w:lang w:val="uk-UA"/>
        </w:rPr>
        <w:t xml:space="preserve">відводу колегії </w:t>
      </w:r>
      <w:r>
        <w:rPr>
          <w:sz w:val="28"/>
          <w:lang w:val="uk-UA"/>
        </w:rPr>
        <w:t>лікарів, які мали слухати справи по стягненню штрафів</w:t>
      </w:r>
      <w:r w:rsidRPr="008E73C6">
        <w:rPr>
          <w:sz w:val="28"/>
          <w:lang w:val="uk-UA"/>
        </w:rPr>
        <w:t>, які в</w:t>
      </w:r>
      <w:r>
        <w:rPr>
          <w:sz w:val="28"/>
          <w:lang w:val="uk-UA"/>
        </w:rPr>
        <w:t>она мала повноваження накладати як лікарі.</w:t>
      </w:r>
      <w:r w:rsidRPr="008E73C6">
        <w:rPr>
          <w:sz w:val="28"/>
          <w:lang w:val="uk-UA"/>
        </w:rPr>
        <w:t xml:space="preserve"> </w:t>
      </w:r>
      <w:r>
        <w:rPr>
          <w:sz w:val="28"/>
          <w:lang w:val="uk-UA"/>
        </w:rPr>
        <w:t xml:space="preserve">Також, існувало правило, що </w:t>
      </w:r>
      <w:r w:rsidRPr="008E73C6">
        <w:rPr>
          <w:sz w:val="28"/>
          <w:lang w:val="uk-UA"/>
        </w:rPr>
        <w:t xml:space="preserve">жоден суддя не мав права розглядати </w:t>
      </w:r>
      <w:r>
        <w:rPr>
          <w:sz w:val="28"/>
          <w:lang w:val="uk-UA"/>
        </w:rPr>
        <w:t xml:space="preserve">справу в окрузі, в якому він народився. Вказані прецеденти діяли </w:t>
      </w:r>
      <w:r w:rsidRPr="008E73C6">
        <w:rPr>
          <w:sz w:val="28"/>
          <w:lang w:val="uk-UA"/>
        </w:rPr>
        <w:t>до 1739 року</w:t>
      </w:r>
      <w:r>
        <w:rPr>
          <w:sz w:val="28"/>
          <w:lang w:val="uk-UA"/>
        </w:rPr>
        <w:t xml:space="preserve"> [85]</w:t>
      </w:r>
      <w:r w:rsidRPr="008E73C6">
        <w:rPr>
          <w:sz w:val="28"/>
          <w:lang w:val="uk-UA"/>
        </w:rPr>
        <w:t>.</w:t>
      </w:r>
    </w:p>
    <w:p w14:paraId="337FECE6" w14:textId="77777777" w:rsidR="001C6AA0" w:rsidRDefault="001C6AA0" w:rsidP="001C6AA0">
      <w:pPr>
        <w:spacing w:line="360" w:lineRule="auto"/>
        <w:ind w:right="57" w:firstLine="851"/>
        <w:jc w:val="both"/>
        <w:rPr>
          <w:sz w:val="28"/>
          <w:lang w:val="uk-UA"/>
        </w:rPr>
      </w:pPr>
      <w:r>
        <w:rPr>
          <w:sz w:val="28"/>
          <w:lang w:val="uk-UA"/>
        </w:rPr>
        <w:t>Незважаючи на те, що інститут відводу тривалий час розвивався у всіх країнах Європи по-різному наразі зважаючи на політичні процеси в Європи в межах їхнього простору створюються нові стандарти, що є обов’язковими для всіх членів ЄС.</w:t>
      </w:r>
    </w:p>
    <w:p w14:paraId="4DB00D9E" w14:textId="77777777" w:rsidR="001C6AA0" w:rsidRPr="00166B68" w:rsidRDefault="001C6AA0" w:rsidP="001C6AA0">
      <w:pPr>
        <w:spacing w:line="360" w:lineRule="auto"/>
        <w:ind w:right="57" w:firstLine="851"/>
        <w:jc w:val="both"/>
        <w:rPr>
          <w:sz w:val="28"/>
          <w:lang w:val="uk-UA"/>
        </w:rPr>
      </w:pPr>
      <w:r>
        <w:rPr>
          <w:sz w:val="28"/>
          <w:lang w:val="uk-UA"/>
        </w:rPr>
        <w:t xml:space="preserve"> Так, на підтвердження існування у судовій владі країн-членів ЄС уніфікованих стандартів слугують </w:t>
      </w:r>
      <w:r w:rsidRPr="00166B68">
        <w:rPr>
          <w:sz w:val="28"/>
          <w:lang w:val="uk-UA"/>
        </w:rPr>
        <w:t>Європейські та міжнародні</w:t>
      </w:r>
      <w:r>
        <w:rPr>
          <w:sz w:val="28"/>
          <w:lang w:val="uk-UA"/>
        </w:rPr>
        <w:t xml:space="preserve"> </w:t>
      </w:r>
      <w:r w:rsidRPr="00166B68">
        <w:rPr>
          <w:sz w:val="28"/>
          <w:lang w:val="uk-UA"/>
        </w:rPr>
        <w:t>стандарти у сфері судочинства</w:t>
      </w:r>
      <w:r>
        <w:rPr>
          <w:sz w:val="28"/>
          <w:lang w:val="uk-UA"/>
        </w:rPr>
        <w:t xml:space="preserve"> [24], що були видані за підтримки </w:t>
      </w:r>
      <w:r w:rsidRPr="00166B68">
        <w:rPr>
          <w:sz w:val="28"/>
          <w:lang w:val="uk-UA"/>
        </w:rPr>
        <w:t>інституц</w:t>
      </w:r>
      <w:r>
        <w:rPr>
          <w:sz w:val="28"/>
          <w:lang w:val="uk-UA"/>
        </w:rPr>
        <w:t>ій Ради Європи, Європейської комісії ефективності правосуддя, Консультативної радою європейських суддів.</w:t>
      </w:r>
    </w:p>
    <w:p w14:paraId="76074CF9" w14:textId="77777777" w:rsidR="001C6AA0" w:rsidRDefault="001C6AA0" w:rsidP="001C6AA0">
      <w:pPr>
        <w:spacing w:line="360" w:lineRule="auto"/>
        <w:ind w:right="57" w:firstLine="851"/>
        <w:jc w:val="both"/>
        <w:rPr>
          <w:sz w:val="28"/>
          <w:lang w:val="uk-UA"/>
        </w:rPr>
      </w:pPr>
      <w:r w:rsidRPr="00BE0B1A">
        <w:rPr>
          <w:sz w:val="28"/>
          <w:lang w:val="uk-UA"/>
        </w:rPr>
        <w:t>Сучасне уявлення ін</w:t>
      </w:r>
      <w:r>
        <w:rPr>
          <w:sz w:val="28"/>
          <w:lang w:val="uk-UA"/>
        </w:rPr>
        <w:t xml:space="preserve">ституту відводу, в тому числі, яке існує в більшості країн-членів ЄС та в Україні </w:t>
      </w:r>
      <w:r w:rsidRPr="00BE0B1A">
        <w:rPr>
          <w:sz w:val="28"/>
          <w:lang w:val="uk-UA"/>
        </w:rPr>
        <w:t>своєю сутністю та</w:t>
      </w:r>
      <w:r>
        <w:rPr>
          <w:sz w:val="28"/>
          <w:lang w:val="uk-UA"/>
        </w:rPr>
        <w:t xml:space="preserve"> принциповими засадами </w:t>
      </w:r>
      <w:r w:rsidRPr="00BE0B1A">
        <w:rPr>
          <w:sz w:val="28"/>
          <w:lang w:val="uk-UA"/>
        </w:rPr>
        <w:t xml:space="preserve">завдячує римському праву. Звідси всебічне розуміння правових явищ в цілому передбачає світоглядне пояснення сутності римського права, його розуміння й </w:t>
      </w:r>
      <w:r w:rsidRPr="00BE0B1A">
        <w:rPr>
          <w:sz w:val="28"/>
          <w:lang w:val="uk-UA"/>
        </w:rPr>
        <w:lastRenderedPageBreak/>
        <w:t>покликання, оцінки під кутом зору людського буття, системи цінностей, що існувала в ньому, тощо.</w:t>
      </w:r>
      <w:r>
        <w:rPr>
          <w:sz w:val="28"/>
          <w:lang w:val="uk-UA"/>
        </w:rPr>
        <w:t xml:space="preserve"> </w:t>
      </w:r>
    </w:p>
    <w:p w14:paraId="1120DFDA" w14:textId="77777777" w:rsidR="001C6AA0" w:rsidRPr="00BE0B1A" w:rsidRDefault="001C6AA0" w:rsidP="001C6AA0">
      <w:pPr>
        <w:spacing w:line="360" w:lineRule="auto"/>
        <w:ind w:right="57" w:firstLine="851"/>
        <w:jc w:val="both"/>
        <w:rPr>
          <w:sz w:val="28"/>
          <w:lang w:val="uk-UA"/>
        </w:rPr>
      </w:pPr>
      <w:r w:rsidRPr="00BE0B1A">
        <w:rPr>
          <w:sz w:val="28"/>
          <w:lang w:val="uk-UA"/>
        </w:rPr>
        <w:t xml:space="preserve">Таким чином, сучасний інститут відводу судді </w:t>
      </w:r>
      <w:r>
        <w:rPr>
          <w:sz w:val="28"/>
          <w:lang w:val="uk-UA"/>
        </w:rPr>
        <w:t xml:space="preserve">в Україні </w:t>
      </w:r>
      <w:r w:rsidRPr="00BE0B1A">
        <w:rPr>
          <w:sz w:val="28"/>
          <w:lang w:val="uk-UA"/>
        </w:rPr>
        <w:t>ґрунтується на розробленій доктрині вчених Стародавнього Риму. Тому поглиблене вивчення римського цивільного права може сприяти появі в українському праві нових юридичних форм, що особливо важливо у період реформування господарського законодавства.</w:t>
      </w:r>
    </w:p>
    <w:p w14:paraId="3538572F" w14:textId="77777777" w:rsidR="001C6AA0" w:rsidRPr="00BE0B1A" w:rsidRDefault="001C6AA0" w:rsidP="001C6AA0">
      <w:pPr>
        <w:spacing w:line="360" w:lineRule="auto"/>
        <w:ind w:right="57" w:firstLine="851"/>
        <w:jc w:val="both"/>
        <w:rPr>
          <w:sz w:val="28"/>
          <w:lang w:val="uk-UA"/>
        </w:rPr>
      </w:pPr>
    </w:p>
    <w:p w14:paraId="4D756743" w14:textId="77777777" w:rsidR="001C6AA0" w:rsidRPr="00BE0B1A" w:rsidRDefault="001C6AA0" w:rsidP="001C6AA0">
      <w:pPr>
        <w:pStyle w:val="1"/>
        <w:shd w:val="clear" w:color="auto" w:fill="auto"/>
        <w:ind w:right="57" w:firstLine="851"/>
        <w:jc w:val="both"/>
        <w:rPr>
          <w:bCs/>
          <w:noProof w:val="0"/>
          <w:kern w:val="32"/>
          <w:szCs w:val="28"/>
        </w:rPr>
      </w:pPr>
      <w:bookmarkStart w:id="12" w:name="_Toc529619027"/>
      <w:bookmarkStart w:id="13" w:name="_Toc532751458"/>
      <w:r w:rsidRPr="00BE0B1A">
        <w:rPr>
          <w:bCs/>
          <w:noProof w:val="0"/>
          <w:kern w:val="32"/>
          <w:szCs w:val="28"/>
        </w:rPr>
        <w:t>1.2. Відвід судді як правова гарантія принципу законності: понятійно-категоріальний апарат</w:t>
      </w:r>
      <w:bookmarkEnd w:id="12"/>
      <w:bookmarkEnd w:id="13"/>
      <w:r w:rsidRPr="00BE0B1A">
        <w:rPr>
          <w:bCs/>
          <w:noProof w:val="0"/>
          <w:kern w:val="32"/>
          <w:szCs w:val="28"/>
        </w:rPr>
        <w:t xml:space="preserve">  </w:t>
      </w:r>
    </w:p>
    <w:p w14:paraId="2C07503B" w14:textId="77777777" w:rsidR="001C6AA0" w:rsidRPr="00BE0B1A" w:rsidRDefault="001C6AA0" w:rsidP="001C6AA0">
      <w:pPr>
        <w:spacing w:line="360" w:lineRule="auto"/>
        <w:ind w:right="57" w:firstLine="851"/>
        <w:jc w:val="both"/>
        <w:rPr>
          <w:sz w:val="28"/>
          <w:lang w:val="uk-UA"/>
        </w:rPr>
      </w:pPr>
    </w:p>
    <w:p w14:paraId="2F9DA793" w14:textId="77777777" w:rsidR="001C6AA0" w:rsidRPr="00580146" w:rsidRDefault="001C6AA0" w:rsidP="001C6AA0">
      <w:pPr>
        <w:widowControl w:val="0"/>
        <w:autoSpaceDE w:val="0"/>
        <w:autoSpaceDN w:val="0"/>
        <w:adjustRightInd w:val="0"/>
        <w:spacing w:line="360" w:lineRule="auto"/>
        <w:ind w:right="57" w:firstLine="851"/>
        <w:jc w:val="both"/>
        <w:rPr>
          <w:bCs/>
          <w:sz w:val="28"/>
          <w:highlight w:val="yellow"/>
          <w:lang w:val="uk-UA"/>
        </w:rPr>
      </w:pPr>
      <w:r w:rsidRPr="00580146">
        <w:rPr>
          <w:bCs/>
          <w:sz w:val="28"/>
          <w:lang w:val="uk-UA"/>
        </w:rPr>
        <w:t xml:space="preserve">Однієї із ознак правової держави є існування в правовій системі держави та ефективне забезпечення принципу незалежності судової влади. Виключно у незалежній судовій системі </w:t>
      </w:r>
      <w:r w:rsidRPr="00580146">
        <w:rPr>
          <w:bCs/>
          <w:sz w:val="28"/>
        </w:rPr>
        <w:t xml:space="preserve">кожен громадянин </w:t>
      </w:r>
      <w:r w:rsidRPr="00580146">
        <w:rPr>
          <w:bCs/>
          <w:sz w:val="28"/>
          <w:lang w:val="uk-UA"/>
        </w:rPr>
        <w:t xml:space="preserve">зможе реалізувати свої права та захистити свої інтереси. </w:t>
      </w:r>
      <w:r w:rsidRPr="00BE0B1A">
        <w:rPr>
          <w:bCs/>
          <w:sz w:val="28"/>
        </w:rPr>
        <w:t xml:space="preserve">Створення демократичної, соціальної та правової держави неможливе без незалежної судової влади. Принцип верховенства права не діятиме, якщо суддя буде упередженим. </w:t>
      </w:r>
    </w:p>
    <w:p w14:paraId="4E327876" w14:textId="77777777" w:rsidR="001C6AA0" w:rsidRPr="00BE0B1A" w:rsidRDefault="001C6AA0" w:rsidP="001C6AA0">
      <w:pPr>
        <w:widowControl w:val="0"/>
        <w:autoSpaceDE w:val="0"/>
        <w:autoSpaceDN w:val="0"/>
        <w:adjustRightInd w:val="0"/>
        <w:spacing w:line="360" w:lineRule="auto"/>
        <w:ind w:right="57" w:firstLine="851"/>
        <w:jc w:val="both"/>
        <w:rPr>
          <w:bCs/>
          <w:sz w:val="28"/>
        </w:rPr>
      </w:pPr>
      <w:r w:rsidRPr="00BE0B1A">
        <w:rPr>
          <w:bCs/>
          <w:sz w:val="28"/>
        </w:rPr>
        <w:t xml:space="preserve">Саме правосуддя є найважливішою гарантією захисту принципів верховенства права та прав і свобод людини. На жаль, в Україні досі немає розуміння того, що незалежність суду не є прерогативою чи привілеєм, наданим для задоволення власних інтересів суддів. Вона надається в інтересах верховенства права та осіб, які домагаються та очікують неупередженого правосуддя. Незалежність суддів слід розуміти як гарантію свободи, поваги до прав людини та неупередженого застосування права. </w:t>
      </w:r>
    </w:p>
    <w:p w14:paraId="01441A57" w14:textId="77777777" w:rsidR="001C6AA0" w:rsidRPr="00BE0B1A" w:rsidRDefault="001C6AA0" w:rsidP="001C6AA0">
      <w:pPr>
        <w:widowControl w:val="0"/>
        <w:autoSpaceDE w:val="0"/>
        <w:autoSpaceDN w:val="0"/>
        <w:adjustRightInd w:val="0"/>
        <w:spacing w:line="360" w:lineRule="auto"/>
        <w:ind w:right="57" w:firstLine="851"/>
        <w:jc w:val="both"/>
        <w:rPr>
          <w:bCs/>
          <w:sz w:val="28"/>
          <w:lang w:val="uk-UA"/>
        </w:rPr>
      </w:pPr>
      <w:r w:rsidRPr="00BE0B1A">
        <w:rPr>
          <w:bCs/>
          <w:sz w:val="28"/>
        </w:rPr>
        <w:t xml:space="preserve">Неупередженість та незалежність суддів є необхідними для гарантування рівності сторін перед судом, а тому фактори, які впливають на них, відіграють важливу роль у визначенні напрямів удосконалення національного законодавства та практики суду з цього питання. </w:t>
      </w:r>
    </w:p>
    <w:p w14:paraId="2CB33C6C" w14:textId="0D109A88" w:rsidR="001C6AA0" w:rsidRPr="00BE0B1A" w:rsidRDefault="001C6AA0" w:rsidP="001C6AA0">
      <w:pPr>
        <w:widowControl w:val="0"/>
        <w:autoSpaceDE w:val="0"/>
        <w:autoSpaceDN w:val="0"/>
        <w:adjustRightInd w:val="0"/>
        <w:spacing w:line="360" w:lineRule="auto"/>
        <w:ind w:right="57" w:firstLine="851"/>
        <w:jc w:val="both"/>
        <w:rPr>
          <w:bCs/>
          <w:sz w:val="28"/>
          <w:lang w:val="uk-UA"/>
        </w:rPr>
      </w:pPr>
      <w:r w:rsidRPr="00BE0B1A">
        <w:rPr>
          <w:bCs/>
          <w:sz w:val="28"/>
        </w:rPr>
        <w:t xml:space="preserve">Гарантії незалежності та безсторонності суду закріплені як у національному законодавстві, так і в міжнародних нормах, зокрема </w:t>
      </w:r>
      <w:r w:rsidRPr="00BE0B1A">
        <w:rPr>
          <w:bCs/>
          <w:sz w:val="28"/>
        </w:rPr>
        <w:lastRenderedPageBreak/>
        <w:t>Європейській Конвенції про захист прав людини і основоположних свобод, яка набрала чинності для України 11 вересня 1997 року (далі − К</w:t>
      </w:r>
      <w:r>
        <w:rPr>
          <w:bCs/>
          <w:sz w:val="28"/>
        </w:rPr>
        <w:t>онвенція), і протоколів до неї</w:t>
      </w:r>
      <w:r w:rsidRPr="00BE0B1A">
        <w:rPr>
          <w:bCs/>
          <w:sz w:val="28"/>
        </w:rPr>
        <w:t>. Відповідно до ст. 9 Конституції України вимоги Конвенції і практика Європейського суду з прав людини  стали частиною наці</w:t>
      </w:r>
      <w:r>
        <w:rPr>
          <w:bCs/>
          <w:sz w:val="28"/>
        </w:rPr>
        <w:t>онального законодавства країни</w:t>
      </w:r>
      <w:r w:rsidRPr="00BE0B1A">
        <w:rPr>
          <w:bCs/>
          <w:sz w:val="28"/>
        </w:rPr>
        <w:t>.</w:t>
      </w:r>
    </w:p>
    <w:p w14:paraId="7321B34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sz w:val="28"/>
          <w:szCs w:val="28"/>
        </w:rPr>
      </w:pPr>
      <w:r w:rsidRPr="00BE0B1A">
        <w:rPr>
          <w:rFonts w:ascii="Times New Roman CYR" w:eastAsia="MS Mincho" w:hAnsi="Times New Roman CYR" w:cs="Times New Roman CYR"/>
          <w:sz w:val="28"/>
          <w:szCs w:val="28"/>
        </w:rPr>
        <w:t>Право на справедливий судовий розгляд відповідно до п. 1 ст. 6 Конвенції вимагає слухання справи «незалежним та безстороннім судом».</w:t>
      </w:r>
    </w:p>
    <w:p w14:paraId="6EE7B16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sz w:val="28"/>
          <w:szCs w:val="28"/>
        </w:rPr>
      </w:pPr>
      <w:r w:rsidRPr="00BE0B1A">
        <w:rPr>
          <w:rFonts w:ascii="Times New Roman CYR" w:eastAsia="MS Mincho" w:hAnsi="Times New Roman CYR" w:cs="Times New Roman CYR"/>
          <w:sz w:val="28"/>
          <w:szCs w:val="28"/>
        </w:rPr>
        <w:t xml:space="preserve">Ст. 126 Конституції України закріплює, що незалежність і недоторканність суддів гарантуються Конституцією і законами України. Вплив на суддів у будь-який спосіб забороняється. Одними із основних засад судочинства згідно зі ст. 129 Конституції України є законність і рівність всіх учасників судового процесу перед законом і судом. Такі ж засади закріплені у Законі України «Про судоустрій і статус суддів» </w:t>
      </w:r>
      <w:r w:rsidRPr="00D143EE">
        <w:rPr>
          <w:rFonts w:ascii="Times New Roman CYR" w:eastAsia="MS Mincho" w:hAnsi="Times New Roman CYR" w:cs="Times New Roman CYR"/>
          <w:sz w:val="28"/>
          <w:szCs w:val="28"/>
        </w:rPr>
        <w:t>№ 1402-VIII</w:t>
      </w:r>
      <w:r>
        <w:rPr>
          <w:rFonts w:ascii="Times New Roman CYR" w:eastAsia="MS Mincho" w:hAnsi="Times New Roman CYR" w:cs="Times New Roman CYR"/>
          <w:sz w:val="28"/>
          <w:szCs w:val="28"/>
          <w:lang w:val="uk-UA"/>
        </w:rPr>
        <w:t xml:space="preserve"> </w:t>
      </w:r>
      <w:r w:rsidRPr="00BE0B1A">
        <w:rPr>
          <w:rFonts w:ascii="Times New Roman CYR" w:eastAsia="MS Mincho" w:hAnsi="Times New Roman CYR" w:cs="Times New Roman CYR"/>
          <w:sz w:val="28"/>
          <w:szCs w:val="28"/>
          <w:lang w:val="uk-UA"/>
        </w:rPr>
        <w:t xml:space="preserve">від </w:t>
      </w:r>
      <w:r w:rsidRPr="00BE0B1A">
        <w:rPr>
          <w:rFonts w:ascii="Times New Roman CYR" w:eastAsia="MS Mincho" w:hAnsi="Times New Roman CYR" w:cs="Times New Roman CYR"/>
          <w:sz w:val="28"/>
          <w:szCs w:val="28"/>
        </w:rPr>
        <w:t xml:space="preserve">02 червня 2016 </w:t>
      </w:r>
      <w:r>
        <w:rPr>
          <w:rFonts w:ascii="Times New Roman CYR" w:eastAsia="MS Mincho" w:hAnsi="Times New Roman CYR" w:cs="Times New Roman CYR"/>
          <w:sz w:val="28"/>
          <w:szCs w:val="28"/>
          <w:lang w:val="uk-UA"/>
        </w:rPr>
        <w:t>р</w:t>
      </w:r>
      <w:r>
        <w:rPr>
          <w:rFonts w:ascii="Times New Roman CYR" w:eastAsia="MS Mincho" w:hAnsi="Times New Roman CYR" w:cs="Times New Roman CYR"/>
          <w:sz w:val="28"/>
          <w:szCs w:val="28"/>
        </w:rPr>
        <w:t>оку.</w:t>
      </w:r>
    </w:p>
    <w:p w14:paraId="498D8F5D" w14:textId="77777777" w:rsidR="001C6AA0" w:rsidRPr="00580146"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sz w:val="28"/>
          <w:szCs w:val="28"/>
          <w:lang w:val="uk-UA"/>
        </w:rPr>
      </w:pPr>
      <w:r w:rsidRPr="00580146">
        <w:rPr>
          <w:rFonts w:ascii="Times New Roman CYR" w:eastAsia="MS Mincho" w:hAnsi="Times New Roman CYR" w:cs="Times New Roman CYR"/>
          <w:sz w:val="28"/>
          <w:szCs w:val="28"/>
          <w:lang w:val="uk-UA"/>
        </w:rPr>
        <w:t>Для визначення наскільки суд може вважатись незалежним ЄСПЛ використовує такі критерії: 1) спосіб призначення його членів і тривалість їх повноважень</w:t>
      </w:r>
      <w:r>
        <w:rPr>
          <w:rFonts w:ascii="Times New Roman CYR" w:eastAsia="MS Mincho" w:hAnsi="Times New Roman CYR" w:cs="Times New Roman CYR"/>
          <w:sz w:val="28"/>
          <w:szCs w:val="28"/>
          <w:lang w:val="uk-UA"/>
        </w:rPr>
        <w:t xml:space="preserve"> </w:t>
      </w:r>
      <w:r>
        <w:rPr>
          <w:rFonts w:ascii="Times New Roman CYR" w:eastAsia="MS Mincho" w:hAnsi="Times New Roman CYR" w:cs="Times New Roman CYR"/>
          <w:sz w:val="28"/>
          <w:szCs w:val="28"/>
        </w:rPr>
        <w:t>[75]</w:t>
      </w:r>
      <w:r w:rsidRPr="00580146">
        <w:rPr>
          <w:rFonts w:ascii="Times New Roman CYR" w:eastAsia="MS Mincho" w:hAnsi="Times New Roman CYR" w:cs="Times New Roman CYR"/>
          <w:sz w:val="28"/>
          <w:szCs w:val="28"/>
          <w:lang w:val="uk-UA"/>
        </w:rPr>
        <w:t>; 2) наявність гарантій від зовнішнього тиску</w:t>
      </w:r>
      <w:r>
        <w:rPr>
          <w:rFonts w:ascii="Times New Roman CYR" w:eastAsia="MS Mincho" w:hAnsi="Times New Roman CYR" w:cs="Times New Roman CYR"/>
          <w:sz w:val="28"/>
          <w:szCs w:val="28"/>
          <w:lang w:val="uk-UA"/>
        </w:rPr>
        <w:t xml:space="preserve"> </w:t>
      </w:r>
      <w:r>
        <w:rPr>
          <w:rFonts w:ascii="Times New Roman CYR" w:eastAsia="MS Mincho" w:hAnsi="Times New Roman CYR" w:cs="Times New Roman CYR"/>
          <w:sz w:val="28"/>
          <w:szCs w:val="28"/>
        </w:rPr>
        <w:t>[23]</w:t>
      </w:r>
      <w:r w:rsidRPr="00580146">
        <w:rPr>
          <w:rFonts w:ascii="Times New Roman CYR" w:eastAsia="MS Mincho" w:hAnsi="Times New Roman CYR" w:cs="Times New Roman CYR"/>
          <w:sz w:val="28"/>
          <w:szCs w:val="28"/>
          <w:lang w:val="uk-UA"/>
        </w:rPr>
        <w:t>; 3) наявність зовнішніх ознак незалежності</w:t>
      </w:r>
      <w:r>
        <w:rPr>
          <w:rFonts w:ascii="Times New Roman CYR" w:eastAsia="MS Mincho" w:hAnsi="Times New Roman CYR" w:cs="Times New Roman CYR"/>
          <w:sz w:val="28"/>
          <w:szCs w:val="28"/>
          <w:lang w:val="uk-UA"/>
        </w:rPr>
        <w:t xml:space="preserve"> </w:t>
      </w:r>
      <w:r>
        <w:rPr>
          <w:rFonts w:ascii="Times New Roman CYR" w:eastAsia="MS Mincho" w:hAnsi="Times New Roman CYR" w:cs="Times New Roman CYR"/>
          <w:sz w:val="28"/>
          <w:szCs w:val="28"/>
        </w:rPr>
        <w:t>[85]</w:t>
      </w:r>
      <w:r w:rsidRPr="00580146">
        <w:rPr>
          <w:rFonts w:ascii="Times New Roman CYR" w:eastAsia="MS Mincho" w:hAnsi="Times New Roman CYR" w:cs="Times New Roman CYR"/>
          <w:sz w:val="28"/>
          <w:szCs w:val="28"/>
          <w:lang w:val="uk-UA"/>
        </w:rPr>
        <w:t>.</w:t>
      </w:r>
    </w:p>
    <w:p w14:paraId="56C1BF9F" w14:textId="77777777" w:rsidR="001C6AA0" w:rsidRPr="00580146" w:rsidRDefault="001C6AA0" w:rsidP="001C6AA0">
      <w:pPr>
        <w:widowControl w:val="0"/>
        <w:numPr>
          <w:ilvl w:val="0"/>
          <w:numId w:val="13"/>
        </w:numPr>
        <w:autoSpaceDE w:val="0"/>
        <w:autoSpaceDN w:val="0"/>
        <w:adjustRightInd w:val="0"/>
        <w:spacing w:line="360" w:lineRule="auto"/>
        <w:ind w:right="57"/>
        <w:contextualSpacing/>
        <w:jc w:val="both"/>
        <w:rPr>
          <w:rFonts w:ascii="Times New Roman CYR" w:eastAsia="MS Mincho" w:hAnsi="Times New Roman CYR" w:cs="Times New Roman CYR"/>
          <w:sz w:val="28"/>
          <w:szCs w:val="28"/>
        </w:rPr>
      </w:pPr>
      <w:r w:rsidRPr="00580146">
        <w:rPr>
          <w:rFonts w:ascii="Times New Roman CYR" w:eastAsia="MS Mincho" w:hAnsi="Times New Roman CYR" w:cs="Times New Roman CYR"/>
          <w:sz w:val="28"/>
          <w:szCs w:val="28"/>
        </w:rPr>
        <w:t xml:space="preserve">Спосіб призначення членів суду і тривалість їх повноважень. </w:t>
      </w:r>
    </w:p>
    <w:p w14:paraId="61E1129F" w14:textId="77777777" w:rsidR="001C6AA0" w:rsidRPr="00580146"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sz w:val="28"/>
          <w:szCs w:val="28"/>
        </w:rPr>
      </w:pPr>
      <w:r w:rsidRPr="00580146">
        <w:rPr>
          <w:rFonts w:ascii="Times New Roman CYR" w:eastAsia="MS Mincho" w:hAnsi="Times New Roman CYR" w:cs="Times New Roman CYR"/>
          <w:sz w:val="28"/>
          <w:szCs w:val="28"/>
        </w:rPr>
        <w:t>Згідно з положеннями чинного Закону України «Про судоустрій і статус суддів»</w:t>
      </w:r>
      <w:r>
        <w:rPr>
          <w:rFonts w:ascii="Times New Roman CYR" w:eastAsia="MS Mincho" w:hAnsi="Times New Roman CYR" w:cs="Times New Roman CYR"/>
          <w:sz w:val="28"/>
          <w:szCs w:val="28"/>
          <w:lang w:val="uk-UA"/>
        </w:rPr>
        <w:t>,</w:t>
      </w:r>
      <w:r w:rsidRPr="00580146">
        <w:rPr>
          <w:rFonts w:ascii="Times New Roman CYR" w:eastAsia="MS Mincho" w:hAnsi="Times New Roman CYR" w:cs="Times New Roman CYR"/>
          <w:sz w:val="28"/>
          <w:szCs w:val="28"/>
        </w:rPr>
        <w:t xml:space="preserve"> призначення на посаду судді вперше здійснюється Президентом України строком на п’ять років, а після закінчення цього строку суддя обирається безстроково Верховною Радою України (далі – ВРУ). Відповідальність за добір суддів покладається на Вищу кваліфікаційну комісію суддів України та Вищу раду </w:t>
      </w:r>
      <w:r w:rsidRPr="00580146">
        <w:rPr>
          <w:rFonts w:ascii="Times New Roman CYR" w:eastAsia="MS Mincho" w:hAnsi="Times New Roman CYR" w:cs="Times New Roman CYR"/>
          <w:sz w:val="28"/>
          <w:szCs w:val="28"/>
          <w:lang w:val="uk-UA"/>
        </w:rPr>
        <w:t>правосуддя</w:t>
      </w:r>
      <w:r w:rsidRPr="00580146">
        <w:rPr>
          <w:rFonts w:ascii="Times New Roman CYR" w:eastAsia="MS Mincho" w:hAnsi="Times New Roman CYR" w:cs="Times New Roman CYR"/>
          <w:sz w:val="28"/>
          <w:szCs w:val="28"/>
        </w:rPr>
        <w:t xml:space="preserve">. </w:t>
      </w:r>
    </w:p>
    <w:p w14:paraId="12945221" w14:textId="77777777" w:rsidR="001C6AA0" w:rsidRPr="00580146"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sz w:val="28"/>
          <w:szCs w:val="28"/>
          <w:lang w:val="uk-UA"/>
        </w:rPr>
      </w:pPr>
      <w:r w:rsidRPr="00580146">
        <w:rPr>
          <w:rFonts w:ascii="Times New Roman CYR" w:eastAsia="MS Mincho" w:hAnsi="Times New Roman CYR" w:cs="Times New Roman CYR"/>
          <w:sz w:val="28"/>
          <w:szCs w:val="28"/>
        </w:rPr>
        <w:t xml:space="preserve">При цьому відповідно до Конституції України та ст. 5 Закону України «Про Вищу раду </w:t>
      </w:r>
      <w:r w:rsidRPr="00580146">
        <w:rPr>
          <w:rFonts w:ascii="Times New Roman CYR" w:eastAsia="MS Mincho" w:hAnsi="Times New Roman CYR" w:cs="Times New Roman CYR"/>
          <w:sz w:val="28"/>
          <w:szCs w:val="28"/>
          <w:lang w:val="uk-UA"/>
        </w:rPr>
        <w:t>правосуддя</w:t>
      </w:r>
      <w:r w:rsidRPr="00580146">
        <w:rPr>
          <w:rFonts w:ascii="Times New Roman CYR" w:eastAsia="MS Mincho" w:hAnsi="Times New Roman CYR" w:cs="Times New Roman CYR"/>
          <w:sz w:val="28"/>
          <w:szCs w:val="28"/>
        </w:rPr>
        <w:t>»</w:t>
      </w:r>
      <w:r>
        <w:rPr>
          <w:rFonts w:ascii="Times New Roman CYR" w:eastAsia="MS Mincho" w:hAnsi="Times New Roman CYR" w:cs="Times New Roman CYR"/>
          <w:sz w:val="28"/>
          <w:szCs w:val="28"/>
          <w:lang w:val="uk-UA"/>
        </w:rPr>
        <w:t>,</w:t>
      </w:r>
      <w:r w:rsidRPr="00580146">
        <w:rPr>
          <w:rFonts w:ascii="Times New Roman CYR" w:eastAsia="MS Mincho" w:hAnsi="Times New Roman CYR" w:cs="Times New Roman CYR"/>
          <w:sz w:val="28"/>
          <w:szCs w:val="28"/>
          <w:lang w:val="uk-UA"/>
        </w:rPr>
        <w:t xml:space="preserve"> </w:t>
      </w:r>
      <w:r w:rsidRPr="00580146">
        <w:rPr>
          <w:rFonts w:ascii="Times New Roman CYR" w:eastAsia="MS Mincho" w:hAnsi="Times New Roman CYR" w:cs="Times New Roman CYR"/>
          <w:sz w:val="28"/>
          <w:szCs w:val="28"/>
        </w:rPr>
        <w:t xml:space="preserve">Вища рада правосуддя складається з двадцяти одного члена, з яких десятьох - обирає з’їзд суддів України з числа суддів чи суддів у відставці, двох - призначає Президент України, двох - обирає Верховна Рада України, двох - обирає з’їзд адвокатів України, двох - обирає всеукраїнська </w:t>
      </w:r>
      <w:r w:rsidRPr="00580146">
        <w:rPr>
          <w:rFonts w:ascii="Times New Roman CYR" w:eastAsia="MS Mincho" w:hAnsi="Times New Roman CYR" w:cs="Times New Roman CYR"/>
          <w:sz w:val="28"/>
          <w:szCs w:val="28"/>
        </w:rPr>
        <w:lastRenderedPageBreak/>
        <w:t>конференція прокурорів, двох - обирає з’їзд представників юридичних вищих навчальних закладів та наукових установ.</w:t>
      </w:r>
    </w:p>
    <w:p w14:paraId="5F1F72D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sz w:val="28"/>
          <w:szCs w:val="28"/>
        </w:rPr>
      </w:pPr>
      <w:r w:rsidRPr="00BE0B1A">
        <w:rPr>
          <w:rFonts w:ascii="Times New Roman CYR" w:eastAsia="MS Mincho" w:hAnsi="Times New Roman CYR" w:cs="Times New Roman CYR"/>
          <w:sz w:val="28"/>
          <w:szCs w:val="28"/>
        </w:rPr>
        <w:t xml:space="preserve">Як бачимо, більшість з тих, хто входить до складу </w:t>
      </w:r>
      <w:r w:rsidRPr="00BE0B1A">
        <w:rPr>
          <w:rFonts w:ascii="Times New Roman CYR" w:eastAsia="MS Mincho" w:hAnsi="Times New Roman CYR" w:cs="Times New Roman CYR"/>
          <w:sz w:val="28"/>
          <w:szCs w:val="28"/>
          <w:lang w:val="uk-UA"/>
        </w:rPr>
        <w:t>Вищої ради правосуддя</w:t>
      </w:r>
      <w:r w:rsidRPr="00BE0B1A">
        <w:rPr>
          <w:rFonts w:ascii="Times New Roman CYR" w:eastAsia="MS Mincho" w:hAnsi="Times New Roman CYR" w:cs="Times New Roman CYR"/>
          <w:sz w:val="28"/>
          <w:szCs w:val="28"/>
        </w:rPr>
        <w:t xml:space="preserve"> і вирішує долю суддів − адвокати, науковці, прокурори, народні депутати та Президент України. Позитивним є те, що більшість складу Вищої кваліфікаційної комісії суддів України − судді.</w:t>
      </w:r>
    </w:p>
    <w:p w14:paraId="54855415" w14:textId="77777777" w:rsidR="001C6AA0" w:rsidRPr="00580146" w:rsidRDefault="001C6AA0" w:rsidP="001C6AA0">
      <w:pPr>
        <w:widowControl w:val="0"/>
        <w:numPr>
          <w:ilvl w:val="0"/>
          <w:numId w:val="13"/>
        </w:numPr>
        <w:autoSpaceDE w:val="0"/>
        <w:autoSpaceDN w:val="0"/>
        <w:adjustRightInd w:val="0"/>
        <w:spacing w:line="360" w:lineRule="auto"/>
        <w:ind w:right="57"/>
        <w:contextualSpacing/>
        <w:jc w:val="both"/>
        <w:rPr>
          <w:rFonts w:ascii="Times New Roman CYR" w:eastAsia="MS Mincho" w:hAnsi="Times New Roman CYR" w:cs="Times New Roman CYR"/>
          <w:sz w:val="28"/>
          <w:szCs w:val="28"/>
        </w:rPr>
      </w:pPr>
      <w:r w:rsidRPr="00580146">
        <w:rPr>
          <w:rFonts w:ascii="Times New Roman CYR" w:eastAsia="MS Mincho" w:hAnsi="Times New Roman CYR" w:cs="Times New Roman CYR"/>
          <w:sz w:val="28"/>
          <w:szCs w:val="28"/>
        </w:rPr>
        <w:t xml:space="preserve">Наявність гарантій від зовнішнього тиску. </w:t>
      </w:r>
    </w:p>
    <w:p w14:paraId="19F78964" w14:textId="77777777" w:rsidR="001C6AA0" w:rsidRPr="00580146"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sz w:val="28"/>
          <w:szCs w:val="28"/>
        </w:rPr>
      </w:pPr>
      <w:r w:rsidRPr="00580146">
        <w:rPr>
          <w:rFonts w:ascii="Times New Roman CYR" w:eastAsia="MS Mincho" w:hAnsi="Times New Roman CYR" w:cs="Times New Roman CYR"/>
          <w:sz w:val="28"/>
          <w:szCs w:val="28"/>
        </w:rPr>
        <w:t>Незалежність суддів вимагає, щоб конкретні судді були вільні від неналежного впливу як ззовні судової системи, так із середини.</w:t>
      </w:r>
    </w:p>
    <w:p w14:paraId="485E7A0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sz w:val="28"/>
          <w:szCs w:val="28"/>
        </w:rPr>
      </w:pPr>
      <w:r w:rsidRPr="00BE0B1A">
        <w:rPr>
          <w:rFonts w:ascii="Times New Roman CYR" w:eastAsia="MS Mincho" w:hAnsi="Times New Roman CYR" w:cs="Times New Roman CYR"/>
          <w:sz w:val="28"/>
          <w:szCs w:val="28"/>
        </w:rPr>
        <w:t xml:space="preserve">Ч. 2 ст. 6 Закону України «Про судоустрій і статус суддів» № 1402-VIII </w:t>
      </w:r>
      <w:r w:rsidRPr="00BE0B1A">
        <w:rPr>
          <w:rFonts w:ascii="Times New Roman CYR" w:eastAsia="MS Mincho" w:hAnsi="Times New Roman CYR" w:cs="Times New Roman CYR"/>
          <w:sz w:val="28"/>
          <w:szCs w:val="28"/>
          <w:lang w:val="uk-UA"/>
        </w:rPr>
        <w:t xml:space="preserve">від </w:t>
      </w:r>
      <w:r w:rsidRPr="00BE0B1A">
        <w:rPr>
          <w:rFonts w:ascii="Times New Roman CYR" w:eastAsia="MS Mincho" w:hAnsi="Times New Roman CYR" w:cs="Times New Roman CYR"/>
          <w:sz w:val="28"/>
          <w:szCs w:val="28"/>
        </w:rPr>
        <w:t xml:space="preserve">02 червня 2016 </w:t>
      </w:r>
      <w:r>
        <w:rPr>
          <w:rFonts w:ascii="Times New Roman CYR" w:eastAsia="MS Mincho" w:hAnsi="Times New Roman CYR" w:cs="Times New Roman CYR"/>
          <w:sz w:val="28"/>
          <w:szCs w:val="28"/>
          <w:lang w:val="uk-UA"/>
        </w:rPr>
        <w:t>р</w:t>
      </w:r>
      <w:r>
        <w:rPr>
          <w:rFonts w:ascii="Times New Roman CYR" w:eastAsia="MS Mincho" w:hAnsi="Times New Roman CYR" w:cs="Times New Roman CYR"/>
          <w:sz w:val="28"/>
          <w:szCs w:val="28"/>
        </w:rPr>
        <w:t xml:space="preserve">оку </w:t>
      </w:r>
      <w:r w:rsidRPr="00BE0B1A">
        <w:rPr>
          <w:rFonts w:ascii="Times New Roman CYR" w:eastAsia="MS Mincho" w:hAnsi="Times New Roman CYR" w:cs="Times New Roman CYR"/>
          <w:sz w:val="28"/>
          <w:szCs w:val="28"/>
        </w:rPr>
        <w:t>передбачає, що звернення до суду громадян, організацій чи посадових осіб, які відповідно до закону не є учасниками судового процесу, щодо розгляду конкретних справ судом не розглядаються, якщо інше не передбачено законом.</w:t>
      </w:r>
    </w:p>
    <w:p w14:paraId="6B7D0B74"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sz w:val="28"/>
          <w:szCs w:val="28"/>
          <w:lang w:val="uk-UA"/>
        </w:rPr>
      </w:pPr>
      <w:r w:rsidRPr="00BE0B1A">
        <w:rPr>
          <w:rFonts w:ascii="Times New Roman CYR" w:eastAsia="MS Mincho" w:hAnsi="Times New Roman CYR" w:cs="Times New Roman CYR"/>
          <w:sz w:val="28"/>
          <w:szCs w:val="28"/>
          <w:lang w:val="uk-UA"/>
        </w:rPr>
        <w:t xml:space="preserve">Однак </w:t>
      </w:r>
      <w:r w:rsidRPr="00BE0B1A">
        <w:rPr>
          <w:rFonts w:ascii="Times New Roman CYR" w:eastAsia="MS Mincho" w:hAnsi="Times New Roman CYR" w:cs="Times New Roman CYR"/>
          <w:sz w:val="28"/>
          <w:szCs w:val="28"/>
        </w:rPr>
        <w:t>таке положення не забезпечує незалежності суду повною мірою, оскільки, отримавши звернення, наприклад, Президента України або депутата щодо розгляду конкретної справи, в якій останні не є її учасниками, суддя хоча і залишить його без розгляду, але зміст такого звернення може вплинути на думку суду при прийнятті ним рішення у цій справі.</w:t>
      </w:r>
    </w:p>
    <w:p w14:paraId="372D4CF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Для того, щоб зменшити вплив на суддів будьяких державних органів, органів місцевого самоврядування, їх посадових осіб, громадських організацій і громадян, автор вважає, що необхідно внести зміни до ч. 2 ст. 6 Закону України «Про судоустрій і статус суддів» 1402-VIII та викласти її таким чином: «Громадянам, організаціям чи посадовим особам, які відповідно до закону не є учасниками судового процесу, забороняється звернення до суду щодо розгляду конкретних справ, якщо інше не передбачено законом».</w:t>
      </w:r>
    </w:p>
    <w:p w14:paraId="5FEE61E4" w14:textId="77777777" w:rsidR="001C6AA0" w:rsidRPr="00580146" w:rsidRDefault="001C6AA0" w:rsidP="001C6AA0">
      <w:pPr>
        <w:widowControl w:val="0"/>
        <w:numPr>
          <w:ilvl w:val="0"/>
          <w:numId w:val="13"/>
        </w:numPr>
        <w:autoSpaceDE w:val="0"/>
        <w:autoSpaceDN w:val="0"/>
        <w:adjustRightInd w:val="0"/>
        <w:spacing w:line="360" w:lineRule="auto"/>
        <w:ind w:right="57"/>
        <w:contextualSpacing/>
        <w:jc w:val="both"/>
        <w:rPr>
          <w:rFonts w:ascii="Times New Roman CYR" w:eastAsia="MS Mincho" w:hAnsi="Times New Roman CYR" w:cs="Times New Roman CYR"/>
          <w:bCs/>
          <w:sz w:val="28"/>
          <w:szCs w:val="28"/>
        </w:rPr>
      </w:pPr>
      <w:r w:rsidRPr="00580146">
        <w:rPr>
          <w:rFonts w:ascii="Times New Roman CYR" w:eastAsia="MS Mincho" w:hAnsi="Times New Roman CYR" w:cs="Times New Roman CYR"/>
          <w:bCs/>
          <w:sz w:val="28"/>
          <w:szCs w:val="28"/>
        </w:rPr>
        <w:t xml:space="preserve">Наявність зовнішніх ознак незалежності. </w:t>
      </w:r>
    </w:p>
    <w:p w14:paraId="572E5094" w14:textId="77777777" w:rsidR="001C6AA0"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Pr>
          <w:rFonts w:ascii="Times New Roman CYR" w:eastAsia="MS Mincho" w:hAnsi="Times New Roman CYR" w:cs="Times New Roman CYR"/>
          <w:bCs/>
          <w:sz w:val="28"/>
          <w:szCs w:val="28"/>
          <w:lang w:val="uk-UA"/>
        </w:rPr>
        <w:t xml:space="preserve">З огляду на практику </w:t>
      </w:r>
      <w:r w:rsidRPr="00580146">
        <w:rPr>
          <w:rFonts w:ascii="Times New Roman CYR" w:eastAsia="MS Mincho" w:hAnsi="Times New Roman CYR" w:cs="Times New Roman CYR"/>
          <w:bCs/>
          <w:sz w:val="28"/>
          <w:szCs w:val="28"/>
          <w:lang w:val="uk-UA"/>
        </w:rPr>
        <w:t xml:space="preserve">ЄСПЛ, об’єктивно безстороннім є судовий орган, діяльність якого відповідає таким критеріям: </w:t>
      </w:r>
    </w:p>
    <w:p w14:paraId="26D6150F" w14:textId="77777777" w:rsidR="001C6AA0" w:rsidRDefault="001C6AA0" w:rsidP="001C6AA0">
      <w:pPr>
        <w:widowControl w:val="0"/>
        <w:numPr>
          <w:ilvl w:val="0"/>
          <w:numId w:val="14"/>
        </w:numPr>
        <w:autoSpaceDE w:val="0"/>
        <w:autoSpaceDN w:val="0"/>
        <w:adjustRightInd w:val="0"/>
        <w:spacing w:line="360" w:lineRule="auto"/>
        <w:ind w:left="0" w:right="57" w:firstLine="851"/>
        <w:contextualSpacing/>
        <w:jc w:val="both"/>
        <w:rPr>
          <w:rFonts w:ascii="Times New Roman CYR" w:eastAsia="MS Mincho" w:hAnsi="Times New Roman CYR" w:cs="Times New Roman CYR"/>
          <w:bCs/>
          <w:sz w:val="28"/>
          <w:szCs w:val="28"/>
          <w:lang w:val="uk-UA"/>
        </w:rPr>
      </w:pPr>
      <w:r w:rsidRPr="00580146">
        <w:rPr>
          <w:rFonts w:ascii="Times New Roman CYR" w:eastAsia="MS Mincho" w:hAnsi="Times New Roman CYR" w:cs="Times New Roman CYR"/>
          <w:bCs/>
          <w:sz w:val="28"/>
          <w:szCs w:val="28"/>
          <w:lang w:val="uk-UA"/>
        </w:rPr>
        <w:t xml:space="preserve">забезпечується не лише здійснення правосуддя, а й зовнішній вияв </w:t>
      </w:r>
      <w:r w:rsidRPr="00580146">
        <w:rPr>
          <w:rFonts w:ascii="Times New Roman CYR" w:eastAsia="MS Mincho" w:hAnsi="Times New Roman CYR" w:cs="Times New Roman CYR"/>
          <w:bCs/>
          <w:sz w:val="28"/>
          <w:szCs w:val="28"/>
          <w:lang w:val="uk-UA"/>
        </w:rPr>
        <w:lastRenderedPageBreak/>
        <w:t xml:space="preserve">того, що відбувається; </w:t>
      </w:r>
    </w:p>
    <w:p w14:paraId="7DF2AB60" w14:textId="77777777" w:rsidR="001C6AA0" w:rsidRPr="00580146" w:rsidRDefault="001C6AA0" w:rsidP="001C6AA0">
      <w:pPr>
        <w:widowControl w:val="0"/>
        <w:numPr>
          <w:ilvl w:val="0"/>
          <w:numId w:val="14"/>
        </w:numPr>
        <w:autoSpaceDE w:val="0"/>
        <w:autoSpaceDN w:val="0"/>
        <w:adjustRightInd w:val="0"/>
        <w:spacing w:line="360" w:lineRule="auto"/>
        <w:ind w:left="0" w:right="57" w:firstLine="851"/>
        <w:contextualSpacing/>
        <w:jc w:val="both"/>
        <w:rPr>
          <w:rFonts w:ascii="Times New Roman CYR" w:eastAsia="MS Mincho" w:hAnsi="Times New Roman CYR" w:cs="Times New Roman CYR"/>
          <w:bCs/>
          <w:sz w:val="28"/>
          <w:szCs w:val="28"/>
          <w:lang w:val="uk-UA"/>
        </w:rPr>
      </w:pPr>
      <w:r w:rsidRPr="00580146">
        <w:rPr>
          <w:rFonts w:ascii="Times New Roman CYR" w:eastAsia="MS Mincho" w:hAnsi="Times New Roman CYR" w:cs="Times New Roman CYR"/>
          <w:bCs/>
          <w:sz w:val="28"/>
          <w:szCs w:val="28"/>
          <w:lang w:val="uk-UA"/>
        </w:rPr>
        <w:t xml:space="preserve">суддею створено достатні гарантії для усунення об’єктивно виправданих підстав і навіть потенційної можливості побоюватися, що він, незалежно від особистої поведінки, не є безстороннім. </w:t>
      </w:r>
      <w:r w:rsidRPr="00580146">
        <w:rPr>
          <w:rFonts w:ascii="Times New Roman CYR" w:eastAsia="MS Mincho" w:hAnsi="Times New Roman CYR" w:cs="Times New Roman CYR"/>
          <w:bCs/>
          <w:sz w:val="28"/>
          <w:szCs w:val="28"/>
        </w:rPr>
        <w:t xml:space="preserve">При зовнішній демонстрації судом незалежності та безсторонності можуть виникнути щодо цього сумніви. </w:t>
      </w:r>
    </w:p>
    <w:p w14:paraId="61A5744A"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Незалежність суду є загальновизнаним правом у міжнародному праві. Згідно з Основними принципами незалежності судових органів, схваленими резолюціями 40/32 та 40/146 Генеральної Асамблеї Організації Об’єднаних Націй 29 листопада 1985 року та 13 грудня 1985 року, на кожну державучлена ООН покладається зобов’язання виділяти відповідні кошти, що давали би змогу судовим органам належним чином виконувати свої функції.</w:t>
      </w:r>
    </w:p>
    <w:p w14:paraId="236B22CF"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Главою 3 першого розділу ГПК України «Склад суду. Відводи» визначено правові норми, які регулюють порядок в</w:t>
      </w:r>
      <w:r>
        <w:rPr>
          <w:rFonts w:ascii="Times New Roman CYR" w:eastAsia="MS Mincho" w:hAnsi="Times New Roman CYR" w:cs="Times New Roman CYR"/>
          <w:bCs/>
          <w:iCs/>
          <w:sz w:val="28"/>
          <w:szCs w:val="28"/>
          <w:lang w:val="uk-UA"/>
        </w:rPr>
        <w:t>ідводу в господарському процесі</w:t>
      </w:r>
      <w:r w:rsidRPr="00BE0B1A">
        <w:rPr>
          <w:rFonts w:ascii="Times New Roman CYR" w:eastAsia="MS Mincho" w:hAnsi="Times New Roman CYR" w:cs="Times New Roman CYR"/>
          <w:bCs/>
          <w:iCs/>
          <w:sz w:val="28"/>
          <w:szCs w:val="28"/>
          <w:lang w:val="uk-UA"/>
        </w:rPr>
        <w:t>. Вказані норми регламентують певну сферу господарських процесуальних відносин – відвід судді, секретаря судових засідань, експерта, спеціаліста, перекладача. Варто зазначити, що нормативного закріплення терміну «відвід» ГПК України не містить.</w:t>
      </w:r>
    </w:p>
    <w:p w14:paraId="60233690" w14:textId="77777777" w:rsidR="001C6AA0"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Теорії процесуальної науки відомі різні тлумачення поняття відводу судді. Так, </w:t>
      </w:r>
      <w:r>
        <w:rPr>
          <w:rFonts w:ascii="Times New Roman CYR" w:eastAsia="MS Mincho" w:hAnsi="Times New Roman CYR" w:cs="Times New Roman CYR"/>
          <w:bCs/>
          <w:iCs/>
          <w:sz w:val="28"/>
          <w:szCs w:val="28"/>
          <w:lang w:val="uk-UA"/>
        </w:rPr>
        <w:t xml:space="preserve">у доктрині права </w:t>
      </w:r>
      <w:r w:rsidRPr="00BE0B1A">
        <w:rPr>
          <w:rFonts w:ascii="Times New Roman CYR" w:eastAsia="MS Mincho" w:hAnsi="Times New Roman CYR" w:cs="Times New Roman CYR"/>
          <w:bCs/>
          <w:iCs/>
          <w:sz w:val="28"/>
          <w:szCs w:val="28"/>
          <w:lang w:val="uk-UA"/>
        </w:rPr>
        <w:t xml:space="preserve">під відводом судді (суду) </w:t>
      </w:r>
      <w:r>
        <w:rPr>
          <w:rFonts w:ascii="Times New Roman CYR" w:eastAsia="MS Mincho" w:hAnsi="Times New Roman CYR" w:cs="Times New Roman CYR"/>
          <w:bCs/>
          <w:iCs/>
          <w:sz w:val="28"/>
          <w:szCs w:val="28"/>
          <w:lang w:val="uk-UA"/>
        </w:rPr>
        <w:t>зазвичай розуміють</w:t>
      </w:r>
      <w:r w:rsidRPr="00BE0B1A">
        <w:rPr>
          <w:rFonts w:ascii="Times New Roman CYR" w:eastAsia="MS Mincho" w:hAnsi="Times New Roman CYR" w:cs="Times New Roman CYR"/>
          <w:bCs/>
          <w:iCs/>
          <w:sz w:val="28"/>
          <w:szCs w:val="28"/>
          <w:lang w:val="uk-UA"/>
        </w:rPr>
        <w:t xml:space="preserve"> передбачені в нормах господарського процесуального законодавства підстави, при наявності яких суддя не може брати участь у розгляді справи й підлягає відстороненню від процесу за власною ініціативою (самовідвід) або за заявою осіб, я</w:t>
      </w:r>
      <w:r>
        <w:rPr>
          <w:rFonts w:ascii="Times New Roman CYR" w:eastAsia="MS Mincho" w:hAnsi="Times New Roman CYR" w:cs="Times New Roman CYR"/>
          <w:bCs/>
          <w:iCs/>
          <w:sz w:val="28"/>
          <w:szCs w:val="28"/>
          <w:lang w:val="uk-UA"/>
        </w:rPr>
        <w:t>кі беруть участь у справі</w:t>
      </w:r>
      <w:r w:rsidRPr="00BE0B1A">
        <w:rPr>
          <w:rFonts w:ascii="Times New Roman CYR" w:eastAsia="MS Mincho" w:hAnsi="Times New Roman CYR" w:cs="Times New Roman CYR"/>
          <w:bCs/>
          <w:iCs/>
          <w:sz w:val="28"/>
          <w:szCs w:val="28"/>
          <w:lang w:val="uk-UA"/>
        </w:rPr>
        <w:t xml:space="preserve">. </w:t>
      </w:r>
    </w:p>
    <w:p w14:paraId="41F12A93" w14:textId="32B5CC25" w:rsidR="001C6AA0"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На думку Х.А. Магомедова, відвід – це правовий інститут, тобто сукупність норм, які забезпечують об’єктивніст</w:t>
      </w:r>
      <w:r>
        <w:rPr>
          <w:rFonts w:ascii="Times New Roman CYR" w:eastAsia="MS Mincho" w:hAnsi="Times New Roman CYR" w:cs="Times New Roman CYR"/>
          <w:bCs/>
          <w:iCs/>
          <w:sz w:val="28"/>
          <w:szCs w:val="28"/>
          <w:lang w:val="uk-UA"/>
        </w:rPr>
        <w:t>ь та неупередженість осіб, які б</w:t>
      </w:r>
      <w:r w:rsidRPr="00BE0B1A">
        <w:rPr>
          <w:rFonts w:ascii="Times New Roman CYR" w:eastAsia="MS Mincho" w:hAnsi="Times New Roman CYR" w:cs="Times New Roman CYR"/>
          <w:bCs/>
          <w:iCs/>
          <w:sz w:val="28"/>
          <w:szCs w:val="28"/>
          <w:lang w:val="uk-UA"/>
        </w:rPr>
        <w:t>еруть участь у розгляді справи, а також виконання інших законодавства, що визначає які особи й за яких обставин не м</w:t>
      </w:r>
      <w:r>
        <w:rPr>
          <w:rFonts w:ascii="Times New Roman CYR" w:eastAsia="MS Mincho" w:hAnsi="Times New Roman CYR" w:cs="Times New Roman CYR"/>
          <w:bCs/>
          <w:iCs/>
          <w:sz w:val="28"/>
          <w:szCs w:val="28"/>
          <w:lang w:val="uk-UA"/>
        </w:rPr>
        <w:t>ожуть приймати участь у процесі</w:t>
      </w:r>
      <w:r w:rsidRPr="00BE0B1A">
        <w:rPr>
          <w:rFonts w:ascii="Times New Roman CYR" w:eastAsia="MS Mincho" w:hAnsi="Times New Roman CYR" w:cs="Times New Roman CYR"/>
          <w:bCs/>
          <w:iCs/>
          <w:sz w:val="28"/>
          <w:szCs w:val="28"/>
          <w:lang w:val="uk-UA"/>
        </w:rPr>
        <w:t xml:space="preserve">. Юридичні енциклопедичні видання визначають відвід судді в судовому процесі як усунення судді від участі в судочинстві, якщо він особисто (прямо чи </w:t>
      </w:r>
      <w:r w:rsidRPr="00BE0B1A">
        <w:rPr>
          <w:rFonts w:ascii="Times New Roman CYR" w:eastAsia="MS Mincho" w:hAnsi="Times New Roman CYR" w:cs="Times New Roman CYR"/>
          <w:bCs/>
          <w:iCs/>
          <w:sz w:val="28"/>
          <w:szCs w:val="28"/>
          <w:lang w:val="uk-UA"/>
        </w:rPr>
        <w:lastRenderedPageBreak/>
        <w:t>опосередкован</w:t>
      </w:r>
      <w:r>
        <w:rPr>
          <w:rFonts w:ascii="Times New Roman CYR" w:eastAsia="MS Mincho" w:hAnsi="Times New Roman CYR" w:cs="Times New Roman CYR"/>
          <w:bCs/>
          <w:iCs/>
          <w:sz w:val="28"/>
          <w:szCs w:val="28"/>
          <w:lang w:val="uk-UA"/>
        </w:rPr>
        <w:t>о) заінтересований у цій справі</w:t>
      </w:r>
      <w:r w:rsidRPr="00BE0B1A">
        <w:rPr>
          <w:rFonts w:ascii="Times New Roman CYR" w:eastAsia="MS Mincho" w:hAnsi="Times New Roman CYR" w:cs="Times New Roman CYR"/>
          <w:bCs/>
          <w:iCs/>
          <w:sz w:val="28"/>
          <w:szCs w:val="28"/>
          <w:lang w:val="uk-UA"/>
        </w:rPr>
        <w:t>.</w:t>
      </w:r>
      <w:r w:rsidRPr="00F65E14">
        <w:rPr>
          <w:rFonts w:ascii="Times New Roman CYR" w:eastAsia="MS Mincho" w:hAnsi="Times New Roman CYR" w:cs="Times New Roman CYR"/>
          <w:bCs/>
          <w:iCs/>
          <w:sz w:val="28"/>
          <w:szCs w:val="28"/>
          <w:lang w:val="uk-UA"/>
        </w:rPr>
        <w:t xml:space="preserve"> </w:t>
      </w:r>
      <w:r w:rsidR="00D53776">
        <w:rPr>
          <w:rFonts w:ascii="Times New Roman CYR" w:eastAsia="MS Mincho" w:hAnsi="Times New Roman CYR" w:cs="Times New Roman CYR"/>
          <w:bCs/>
          <w:iCs/>
          <w:sz w:val="28"/>
          <w:szCs w:val="28"/>
          <w:lang w:val="uk-UA"/>
        </w:rPr>
        <w:t>[17]</w:t>
      </w:r>
    </w:p>
    <w:p w14:paraId="5BFB1155" w14:textId="77777777" w:rsidR="001C6AA0" w:rsidRPr="00F65E14"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Pr>
          <w:rFonts w:ascii="Times New Roman CYR" w:eastAsia="MS Mincho" w:hAnsi="Times New Roman CYR" w:cs="Times New Roman CYR"/>
          <w:bCs/>
          <w:iCs/>
          <w:sz w:val="28"/>
          <w:szCs w:val="28"/>
          <w:lang w:val="uk-UA"/>
        </w:rPr>
        <w:t>З вищевказаним не можна не погодитись, адже відвід це передусім не тільки законодавчо визначена процедура по забезпеченню гарантій захисту прав та інтересів громадян у процесі, а й інститут права за допомогою якого реалізуються провідні засади права, що забезпечує довіру до судової системи та підтримує статус та роль судової влади у суспільстві.</w:t>
      </w:r>
    </w:p>
    <w:p w14:paraId="49D4D21B" w14:textId="77777777" w:rsidR="001C6AA0" w:rsidRPr="002D541B"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2D541B">
        <w:rPr>
          <w:rFonts w:ascii="Times New Roman CYR" w:eastAsia="MS Mincho" w:hAnsi="Times New Roman CYR" w:cs="Times New Roman CYR"/>
          <w:bCs/>
          <w:iCs/>
          <w:sz w:val="28"/>
          <w:szCs w:val="28"/>
          <w:lang w:val="uk-UA"/>
        </w:rPr>
        <w:t xml:space="preserve">Інститут відводу суду – важливий процесуальний засіб забезпечення неупередженого й об’єктивного судочинства та виконання рішень, що дозволяє відсторонити від участі у процесі особу, яка має особисту заінтересованість. </w:t>
      </w:r>
      <w:r w:rsidRPr="002D541B">
        <w:rPr>
          <w:rFonts w:ascii="Times New Roman CYR" w:eastAsia="MS Mincho" w:hAnsi="Times New Roman CYR" w:cs="Times New Roman CYR"/>
          <w:bCs/>
          <w:iCs/>
          <w:sz w:val="28"/>
          <w:szCs w:val="28"/>
        </w:rPr>
        <w:t xml:space="preserve">За допомогою інституту відводу </w:t>
      </w:r>
      <w:r w:rsidRPr="002D541B">
        <w:rPr>
          <w:rFonts w:ascii="Times New Roman CYR" w:eastAsia="MS Mincho" w:hAnsi="Times New Roman CYR" w:cs="Times New Roman CYR"/>
          <w:bCs/>
          <w:iCs/>
          <w:sz w:val="28"/>
          <w:szCs w:val="28"/>
          <w:lang w:val="uk-UA"/>
        </w:rPr>
        <w:t xml:space="preserve">забезпечується </w:t>
      </w:r>
      <w:r w:rsidRPr="002D541B">
        <w:rPr>
          <w:rFonts w:ascii="Times New Roman CYR" w:eastAsia="MS Mincho" w:hAnsi="Times New Roman CYR" w:cs="Times New Roman CYR"/>
          <w:bCs/>
          <w:iCs/>
          <w:sz w:val="28"/>
          <w:szCs w:val="28"/>
        </w:rPr>
        <w:t xml:space="preserve">виконання завдань </w:t>
      </w:r>
      <w:r w:rsidRPr="002D541B">
        <w:rPr>
          <w:rFonts w:ascii="Times New Roman CYR" w:eastAsia="MS Mincho" w:hAnsi="Times New Roman CYR" w:cs="Times New Roman CYR"/>
          <w:bCs/>
          <w:iCs/>
          <w:sz w:val="28"/>
          <w:szCs w:val="28"/>
          <w:lang w:val="uk-UA"/>
        </w:rPr>
        <w:t>господарського</w:t>
      </w:r>
      <w:r w:rsidRPr="002D541B">
        <w:rPr>
          <w:rFonts w:ascii="Times New Roman CYR" w:eastAsia="MS Mincho" w:hAnsi="Times New Roman CYR" w:cs="Times New Roman CYR"/>
          <w:bCs/>
          <w:iCs/>
          <w:sz w:val="28"/>
          <w:szCs w:val="28"/>
        </w:rPr>
        <w:t xml:space="preserve"> судочинства, закріплених у ст. </w:t>
      </w:r>
      <w:r w:rsidRPr="002D541B">
        <w:rPr>
          <w:rFonts w:ascii="Times New Roman CYR" w:eastAsia="MS Mincho" w:hAnsi="Times New Roman CYR" w:cs="Times New Roman CYR"/>
          <w:bCs/>
          <w:iCs/>
          <w:sz w:val="28"/>
          <w:szCs w:val="28"/>
          <w:lang w:val="uk-UA"/>
        </w:rPr>
        <w:t>2</w:t>
      </w:r>
      <w:r w:rsidRPr="002D541B">
        <w:rPr>
          <w:rFonts w:ascii="Times New Roman CYR" w:eastAsia="MS Mincho" w:hAnsi="Times New Roman CYR" w:cs="Times New Roman CYR"/>
          <w:bCs/>
          <w:iCs/>
          <w:sz w:val="28"/>
          <w:szCs w:val="28"/>
        </w:rPr>
        <w:t xml:space="preserve"> </w:t>
      </w:r>
      <w:r w:rsidRPr="002D541B">
        <w:rPr>
          <w:rFonts w:ascii="Times New Roman CYR" w:eastAsia="MS Mincho" w:hAnsi="Times New Roman CYR" w:cs="Times New Roman CYR"/>
          <w:bCs/>
          <w:iCs/>
          <w:sz w:val="28"/>
          <w:szCs w:val="28"/>
          <w:lang w:val="uk-UA"/>
        </w:rPr>
        <w:t>Г</w:t>
      </w:r>
      <w:r w:rsidRPr="002D541B">
        <w:rPr>
          <w:rFonts w:ascii="Times New Roman CYR" w:eastAsia="MS Mincho" w:hAnsi="Times New Roman CYR" w:cs="Times New Roman CYR"/>
          <w:bCs/>
          <w:iCs/>
          <w:sz w:val="28"/>
          <w:szCs w:val="28"/>
        </w:rPr>
        <w:t xml:space="preserve">ПК України. </w:t>
      </w:r>
    </w:p>
    <w:p w14:paraId="048D22B0" w14:textId="77777777" w:rsidR="001C6AA0" w:rsidRPr="002D541B"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2D541B">
        <w:rPr>
          <w:rFonts w:ascii="Times New Roman CYR" w:eastAsia="MS Mincho" w:hAnsi="Times New Roman CYR" w:cs="Times New Roman CYR"/>
          <w:bCs/>
          <w:iCs/>
          <w:sz w:val="28"/>
          <w:szCs w:val="28"/>
        </w:rPr>
        <w:t>Право на відвід є засобом реалізації права на захист прав та інтересів осіб, які беруть участь у справі, а право на самовідвід враховує й етичну складову, яка полягає в неможливості виконувати належним чином свої процесуальні обов’язки через причини етичного характеру</w:t>
      </w:r>
      <w:r w:rsidRPr="002D541B">
        <w:rPr>
          <w:rFonts w:ascii="Times New Roman CYR" w:eastAsia="MS Mincho" w:hAnsi="Times New Roman CYR" w:cs="Times New Roman CYR"/>
          <w:bCs/>
          <w:iCs/>
          <w:sz w:val="28"/>
          <w:szCs w:val="28"/>
          <w:lang w:val="uk-UA"/>
        </w:rPr>
        <w:t>.</w:t>
      </w:r>
    </w:p>
    <w:p w14:paraId="35787B5A" w14:textId="77777777" w:rsidR="001C6AA0" w:rsidRPr="002D541B"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127932">
        <w:rPr>
          <w:rFonts w:ascii="Times New Roman CYR" w:eastAsia="MS Mincho" w:hAnsi="Times New Roman CYR" w:cs="Times New Roman CYR"/>
          <w:bCs/>
          <w:iCs/>
          <w:sz w:val="28"/>
          <w:szCs w:val="28"/>
          <w:lang w:val="uk-UA"/>
        </w:rPr>
        <w:t xml:space="preserve">Отже, виходячи з вищенаведеного, інститут відводів є гарантією забезпечення законності судового процесу, здійснення його неупередженою особою відповідно до вимог чинного законодавства. У судовому провадженні цей інститут набуває значення гарантії забезпечення фундаментального права кожного на справедливий суд. Питання відводу судді безпосередньо пов’язане з належним забезпеченням прав та свобод людини і громадянина, створенням доступної і якісної судової системи, здійсненням правосуддя тільки на справедливих засадах, з гарантуванням незалежності суддів. </w:t>
      </w:r>
      <w:r w:rsidRPr="00127932">
        <w:rPr>
          <w:rFonts w:ascii="Times New Roman CYR" w:eastAsia="MS Mincho" w:hAnsi="Times New Roman CYR" w:cs="Times New Roman CYR"/>
          <w:bCs/>
          <w:iCs/>
          <w:sz w:val="28"/>
          <w:szCs w:val="28"/>
        </w:rPr>
        <w:t>Без вирішення цієї проблеми неможливо досягти відповідних основ демократичної, правової й соціальної держави.</w:t>
      </w:r>
    </w:p>
    <w:p w14:paraId="6A20F51F" w14:textId="43F46A95" w:rsidR="001C6AA0"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p>
    <w:p w14:paraId="12A9A4A8" w14:textId="33488D2F" w:rsidR="00DD4441" w:rsidRDefault="00DD4441"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p>
    <w:p w14:paraId="015D166D" w14:textId="6C4C057B" w:rsidR="00DD4441" w:rsidRDefault="00DD4441"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p>
    <w:p w14:paraId="3B7B3BFE" w14:textId="77777777" w:rsidR="00DD4441" w:rsidRDefault="00DD4441"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p>
    <w:p w14:paraId="43C1756A" w14:textId="77777777" w:rsidR="008B06AF" w:rsidRPr="00BE0B1A" w:rsidRDefault="008B06AF"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p>
    <w:p w14:paraId="0D68A6C4" w14:textId="65C320BB" w:rsidR="001C6AA0" w:rsidRDefault="001C6AA0" w:rsidP="001C6AA0">
      <w:pPr>
        <w:widowControl w:val="0"/>
        <w:adjustRightInd w:val="0"/>
        <w:spacing w:line="360" w:lineRule="auto"/>
        <w:ind w:firstLine="851"/>
        <w:jc w:val="both"/>
        <w:textAlignment w:val="baseline"/>
        <w:outlineLvl w:val="0"/>
        <w:rPr>
          <w:b/>
          <w:sz w:val="28"/>
          <w:szCs w:val="28"/>
          <w:lang w:val="uk-UA"/>
        </w:rPr>
      </w:pPr>
      <w:bookmarkStart w:id="14" w:name="_Toc270935967"/>
      <w:bookmarkStart w:id="15" w:name="_Toc383081373"/>
      <w:bookmarkStart w:id="16" w:name="_Toc437254542"/>
      <w:bookmarkStart w:id="17" w:name="_Toc532751459"/>
      <w:r w:rsidRPr="00BE0B1A">
        <w:rPr>
          <w:b/>
          <w:sz w:val="28"/>
          <w:szCs w:val="28"/>
          <w:lang w:val="uk-UA"/>
        </w:rPr>
        <w:lastRenderedPageBreak/>
        <w:t>Висновки до першого розділу</w:t>
      </w:r>
      <w:bookmarkEnd w:id="14"/>
      <w:bookmarkEnd w:id="15"/>
      <w:bookmarkEnd w:id="16"/>
      <w:bookmarkEnd w:id="17"/>
    </w:p>
    <w:p w14:paraId="5176E13C" w14:textId="43C7C93C" w:rsidR="00DD4441" w:rsidRPr="00BE0B1A" w:rsidRDefault="00DD4441" w:rsidP="001C6AA0">
      <w:pPr>
        <w:widowControl w:val="0"/>
        <w:adjustRightInd w:val="0"/>
        <w:spacing w:line="360" w:lineRule="auto"/>
        <w:ind w:firstLine="851"/>
        <w:jc w:val="both"/>
        <w:textAlignment w:val="baseline"/>
        <w:outlineLvl w:val="0"/>
        <w:rPr>
          <w:b/>
          <w:sz w:val="28"/>
          <w:szCs w:val="28"/>
          <w:lang w:val="uk-UA"/>
        </w:rPr>
      </w:pPr>
    </w:p>
    <w:p w14:paraId="02D27464" w14:textId="77777777" w:rsidR="001C6AA0" w:rsidRPr="00BE0B1A" w:rsidRDefault="001C6AA0" w:rsidP="001C6AA0">
      <w:pPr>
        <w:spacing w:line="360" w:lineRule="auto"/>
        <w:ind w:right="34" w:firstLine="851"/>
        <w:jc w:val="both"/>
        <w:rPr>
          <w:bCs/>
          <w:sz w:val="28"/>
          <w:lang w:val="uk-UA"/>
        </w:rPr>
      </w:pPr>
      <w:r w:rsidRPr="00BE0B1A">
        <w:rPr>
          <w:bCs/>
          <w:sz w:val="28"/>
          <w:lang w:val="uk-UA"/>
        </w:rPr>
        <w:t xml:space="preserve">1. Аналіз </w:t>
      </w:r>
      <w:r w:rsidRPr="00F65E14">
        <w:rPr>
          <w:bCs/>
          <w:sz w:val="28"/>
          <w:lang w:val="uk-UA"/>
        </w:rPr>
        <w:t>історі</w:t>
      </w:r>
      <w:r w:rsidRPr="00BE0B1A">
        <w:rPr>
          <w:bCs/>
          <w:sz w:val="28"/>
          <w:lang w:val="uk-UA"/>
        </w:rPr>
        <w:t>ї</w:t>
      </w:r>
      <w:r w:rsidRPr="00F65E14">
        <w:rPr>
          <w:bCs/>
          <w:sz w:val="28"/>
          <w:lang w:val="uk-UA"/>
        </w:rPr>
        <w:t xml:space="preserve"> розвитку правового інституту відводу судді</w:t>
      </w:r>
      <w:r w:rsidRPr="00BE0B1A">
        <w:rPr>
          <w:bCs/>
          <w:sz w:val="28"/>
          <w:lang w:val="uk-UA"/>
        </w:rPr>
        <w:t xml:space="preserve"> </w:t>
      </w:r>
      <w:r>
        <w:rPr>
          <w:bCs/>
          <w:sz w:val="28"/>
          <w:lang w:val="uk-UA"/>
        </w:rPr>
        <w:t xml:space="preserve">в Україні </w:t>
      </w:r>
      <w:r w:rsidRPr="00BE0B1A">
        <w:rPr>
          <w:bCs/>
          <w:sz w:val="28"/>
          <w:lang w:val="uk-UA"/>
        </w:rPr>
        <w:t>дозволяє констатувати, що сучасний інститут відводу судді ґрунтується на розробленій доктрині вчених Стародавнього Риму.</w:t>
      </w:r>
    </w:p>
    <w:p w14:paraId="5EC7C2DE" w14:textId="77777777" w:rsidR="001C6AA0" w:rsidRPr="00BE0B1A" w:rsidRDefault="001C6AA0" w:rsidP="001C6AA0">
      <w:pPr>
        <w:spacing w:line="360" w:lineRule="auto"/>
        <w:ind w:right="34" w:firstLine="851"/>
        <w:jc w:val="both"/>
        <w:rPr>
          <w:bCs/>
          <w:sz w:val="28"/>
          <w:lang w:val="uk-UA"/>
        </w:rPr>
      </w:pPr>
      <w:r>
        <w:rPr>
          <w:bCs/>
          <w:sz w:val="28"/>
          <w:lang w:val="uk-UA"/>
        </w:rPr>
        <w:t>І хоча всі процедури, що пов</w:t>
      </w:r>
      <w:r w:rsidRPr="00127932">
        <w:rPr>
          <w:bCs/>
          <w:sz w:val="28"/>
          <w:lang w:val="uk-UA"/>
        </w:rPr>
        <w:t>`</w:t>
      </w:r>
      <w:r>
        <w:rPr>
          <w:bCs/>
          <w:sz w:val="28"/>
          <w:lang w:val="uk-UA"/>
        </w:rPr>
        <w:t>язані з відводом суді з часів зародження та існування римського права значно трансформувалися, все ж саме їх було покладено за основу побудови інституту відводу у всіх країнах романо-германської правової сім’ї.</w:t>
      </w:r>
    </w:p>
    <w:p w14:paraId="308BB4B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bCs/>
          <w:sz w:val="28"/>
          <w:lang w:val="uk-UA"/>
        </w:rPr>
        <w:t xml:space="preserve">2. </w:t>
      </w:r>
      <w:r w:rsidRPr="00127932">
        <w:rPr>
          <w:bCs/>
          <w:sz w:val="28"/>
          <w:lang w:val="uk-UA"/>
        </w:rPr>
        <w:t xml:space="preserve">На сучасному етапі, коли в більшості держав світу закріплений механізм розподілу державної влади на гілки, питання відводу суддів та інших учасників процесу ніколи не повинно виходити за рамки судової системи, що спеціалізується на розгляді тих чи інших категорій судових справ (наприклад, за рамки судів загальної юрисдикції, що забезпечують вирішення цивільних справ). </w:t>
      </w:r>
    </w:p>
    <w:p w14:paraId="7AA18B53"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3. Україна, прийнявши Закон України «Про ратифікацію Конвенції про захист прав людини і основоположних свобод 1950 року, Першого протоколу та протоколів № 2, 4, 7 та 11 до</w:t>
      </w:r>
      <w:r>
        <w:rPr>
          <w:rFonts w:ascii="Times New Roman CYR" w:eastAsia="MS Mincho" w:hAnsi="Times New Roman CYR" w:cs="Times New Roman CYR"/>
          <w:bCs/>
          <w:sz w:val="28"/>
          <w:szCs w:val="28"/>
          <w:lang w:val="uk-UA"/>
        </w:rPr>
        <w:t xml:space="preserve"> Конвенції» від 17 липня 1997 року</w:t>
      </w:r>
      <w:r w:rsidRPr="00BE0B1A">
        <w:rPr>
          <w:rFonts w:ascii="Times New Roman CYR" w:eastAsia="MS Mincho" w:hAnsi="Times New Roman CYR" w:cs="Times New Roman CYR"/>
          <w:bCs/>
          <w:sz w:val="28"/>
          <w:szCs w:val="28"/>
          <w:lang w:val="uk-UA"/>
        </w:rPr>
        <w:t>, прийняла на себе зобов’язання забезпечити кожному, чиї права порушені, ефективні способи правового захисту, зважаючи на те, що кожен повинен мати право на справедливий і публічний розгляд справи компетентним, незалежним і безстороннім судом, створеним на підставі закону.</w:t>
      </w:r>
    </w:p>
    <w:p w14:paraId="226AF919" w14:textId="77777777" w:rsidR="001C6AA0"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sz w:val="28"/>
          <w:szCs w:val="28"/>
          <w:lang w:val="uk-UA"/>
        </w:rPr>
        <w:t xml:space="preserve">4. </w:t>
      </w:r>
      <w:r w:rsidRPr="00BE0B1A">
        <w:rPr>
          <w:rFonts w:ascii="Times New Roman CYR" w:eastAsia="MS Mincho" w:hAnsi="Times New Roman CYR" w:cs="Times New Roman CYR"/>
          <w:bCs/>
          <w:iCs/>
          <w:sz w:val="28"/>
          <w:szCs w:val="28"/>
          <w:lang w:val="uk-UA"/>
        </w:rPr>
        <w:t>Інститут відводів є гарантією забезпечення законності судового процесу, здійснення його неупередженою особою відповідно до вимог чинного законодавства. У судовому провадженні цей інститут набуває значення гарантії забезпечення фундаментального права кожного на справедливий суд. Питання відводу судді безпосередньо пов’язане з належним забезпеченням прав та свобод людини і громадянина, створенням доступної і якісної судової системи, здійсненням правосуддя тільки на справедливих засадах, з гарантуванням незалежності суддів.</w:t>
      </w:r>
    </w:p>
    <w:p w14:paraId="7CE2F6FD" w14:textId="77777777" w:rsidR="001C6AA0" w:rsidRPr="00BE0B1A" w:rsidRDefault="001C6AA0" w:rsidP="001C6AA0">
      <w:pPr>
        <w:pStyle w:val="1"/>
        <w:ind w:firstLine="851"/>
        <w:jc w:val="both"/>
      </w:pPr>
      <w:r>
        <w:br w:type="page"/>
      </w:r>
      <w:bookmarkStart w:id="18" w:name="_Toc532751460"/>
      <w:r w:rsidRPr="00BE0B1A">
        <w:lastRenderedPageBreak/>
        <w:t>РОЗДІЛ 2. СУЧАСНІ ТЕНДЕНЦІЇ РОЗВИТКУ ІНСТИТУТУ ВІДВОДУ СУДДІ В УКРАЇНІ</w:t>
      </w:r>
      <w:bookmarkEnd w:id="18"/>
    </w:p>
    <w:p w14:paraId="2A2A4FFB" w14:textId="4324589D" w:rsidR="001C6AA0"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64686250" w14:textId="77777777" w:rsidR="00DD4441" w:rsidRPr="00BE0B1A" w:rsidRDefault="00DD4441"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344B24A1" w14:textId="77777777" w:rsidR="001C6AA0" w:rsidRPr="00BE0B1A" w:rsidRDefault="001C6AA0" w:rsidP="001C6AA0">
      <w:pPr>
        <w:pStyle w:val="1"/>
        <w:shd w:val="clear" w:color="auto" w:fill="auto"/>
        <w:ind w:right="57" w:firstLine="851"/>
        <w:jc w:val="both"/>
        <w:rPr>
          <w:bCs/>
          <w:noProof w:val="0"/>
          <w:kern w:val="32"/>
          <w:szCs w:val="28"/>
          <w:lang w:val="ru-RU"/>
        </w:rPr>
      </w:pPr>
      <w:bookmarkStart w:id="19" w:name="_Toc532751461"/>
      <w:r w:rsidRPr="00BE0B1A">
        <w:rPr>
          <w:bCs/>
          <w:noProof w:val="0"/>
          <w:kern w:val="32"/>
          <w:szCs w:val="28"/>
          <w:lang w:val="ru-RU"/>
        </w:rPr>
        <w:t>2.1. Інститут відводу судді у господарському процесуальному праві України: порівняльний аспект, механізм відводу судді</w:t>
      </w:r>
      <w:bookmarkEnd w:id="19"/>
    </w:p>
    <w:p w14:paraId="41C9032A"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578B317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774B9C">
        <w:rPr>
          <w:rFonts w:ascii="Times New Roman CYR" w:eastAsia="MS Mincho" w:hAnsi="Times New Roman CYR" w:cs="Times New Roman CYR"/>
          <w:bCs/>
          <w:iCs/>
          <w:sz w:val="28"/>
          <w:szCs w:val="28"/>
          <w:lang w:val="uk-UA"/>
        </w:rPr>
        <w:t xml:space="preserve">Конституція України гарантує кожному право на оскарження в суді рішень, дій чи бездіяльності органів державної влади, органів місцевого самоврядування, посадових і службових осіб. </w:t>
      </w:r>
      <w:r w:rsidRPr="00BE0B1A">
        <w:rPr>
          <w:rFonts w:ascii="Times New Roman CYR" w:eastAsia="MS Mincho" w:hAnsi="Times New Roman CYR" w:cs="Times New Roman CYR"/>
          <w:bCs/>
          <w:iCs/>
          <w:sz w:val="28"/>
          <w:szCs w:val="28"/>
        </w:rPr>
        <w:t>Це означає, що кожен, хто вважає свої права порушеними, може з дотриманням процесуального законодавства звернутися до суду за їх захистом, а суд має розглянути справу на засадах рівності всіх учасників судового процесу перед законом і судом незалежно від їх походження, соціального та майнового стану, расової і національної належності, статі, освіти, мови, ставлення до релігії, роду і характеру занять, місця проживання та інших обставин (ст. 55 Конституції України).</w:t>
      </w:r>
    </w:p>
    <w:p w14:paraId="11F52F1F"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Судова влада</w:t>
      </w:r>
      <w:r w:rsidRPr="00BE0B1A">
        <w:rPr>
          <w:rFonts w:ascii="Times New Roman CYR" w:eastAsia="MS Mincho" w:hAnsi="Times New Roman CYR" w:cs="Times New Roman CYR"/>
          <w:bCs/>
          <w:iCs/>
          <w:sz w:val="28"/>
          <w:szCs w:val="28"/>
        </w:rPr>
        <w:t xml:space="preserve"> постає тим інститутом, через який реалізується демократична сутність держави, підтримується ефективна життєдіяльність суспільства. Основними цілями і завданнями </w:t>
      </w:r>
      <w:r w:rsidRPr="00BE0B1A">
        <w:rPr>
          <w:rFonts w:ascii="Times New Roman CYR" w:eastAsia="MS Mincho" w:hAnsi="Times New Roman CYR" w:cs="Times New Roman CYR"/>
          <w:bCs/>
          <w:iCs/>
          <w:sz w:val="28"/>
          <w:szCs w:val="28"/>
          <w:lang w:val="uk-UA"/>
        </w:rPr>
        <w:t>судової влади</w:t>
      </w:r>
      <w:r w:rsidRPr="00BE0B1A">
        <w:rPr>
          <w:rFonts w:ascii="Times New Roman CYR" w:eastAsia="MS Mincho" w:hAnsi="Times New Roman CYR" w:cs="Times New Roman CYR"/>
          <w:bCs/>
          <w:iCs/>
          <w:sz w:val="28"/>
          <w:szCs w:val="28"/>
        </w:rPr>
        <w:t xml:space="preserve"> в Україні є </w:t>
      </w:r>
      <w:r w:rsidRPr="00BE0B1A">
        <w:rPr>
          <w:rFonts w:ascii="Times New Roman CYR" w:eastAsia="MS Mincho" w:hAnsi="Times New Roman CYR" w:cs="Times New Roman CYR"/>
          <w:bCs/>
          <w:iCs/>
          <w:sz w:val="28"/>
          <w:szCs w:val="28"/>
          <w:lang w:val="uk-UA"/>
        </w:rPr>
        <w:t>надійний захист прав і основних свобод людини і громадянина</w:t>
      </w:r>
      <w:r w:rsidRPr="00BE0B1A">
        <w:rPr>
          <w:rFonts w:ascii="Times New Roman CYR" w:eastAsia="MS Mincho" w:hAnsi="Times New Roman CYR" w:cs="Times New Roman CYR"/>
          <w:bCs/>
          <w:iCs/>
          <w:sz w:val="28"/>
          <w:szCs w:val="28"/>
        </w:rPr>
        <w:t xml:space="preserve">. </w:t>
      </w:r>
      <w:r w:rsidRPr="00BE0B1A">
        <w:rPr>
          <w:rFonts w:ascii="Times New Roman CYR" w:eastAsia="MS Mincho" w:hAnsi="Times New Roman CYR" w:cs="Times New Roman CYR"/>
          <w:bCs/>
          <w:iCs/>
          <w:sz w:val="28"/>
          <w:szCs w:val="28"/>
          <w:lang w:val="uk-UA"/>
        </w:rPr>
        <w:t>Його</w:t>
      </w:r>
      <w:r w:rsidRPr="00BE0B1A">
        <w:rPr>
          <w:rFonts w:ascii="Times New Roman CYR" w:eastAsia="MS Mincho" w:hAnsi="Times New Roman CYR" w:cs="Times New Roman CYR"/>
          <w:bCs/>
          <w:iCs/>
          <w:sz w:val="28"/>
          <w:szCs w:val="28"/>
        </w:rPr>
        <w:t xml:space="preserve"> реалізацію здатний забезпечити тільки професійний і компетентний </w:t>
      </w:r>
      <w:r w:rsidRPr="00BE0B1A">
        <w:rPr>
          <w:rFonts w:ascii="Times New Roman CYR" w:eastAsia="MS Mincho" w:hAnsi="Times New Roman CYR" w:cs="Times New Roman CYR"/>
          <w:bCs/>
          <w:iCs/>
          <w:sz w:val="28"/>
          <w:szCs w:val="28"/>
          <w:lang w:val="uk-UA"/>
        </w:rPr>
        <w:t>суд</w:t>
      </w:r>
      <w:r w:rsidRPr="00BE0B1A">
        <w:rPr>
          <w:rFonts w:ascii="Times New Roman CYR" w:eastAsia="MS Mincho" w:hAnsi="Times New Roman CYR" w:cs="Times New Roman CYR"/>
          <w:bCs/>
          <w:iCs/>
          <w:sz w:val="28"/>
          <w:szCs w:val="28"/>
        </w:rPr>
        <w:t xml:space="preserve">, який зможе організовувати та регулювати соціальну активність громадян, домагатися змін, відстежувати їх соціальну ефективність і реалізовувати в суспільному житті. </w:t>
      </w:r>
      <w:r w:rsidRPr="00BE0B1A">
        <w:rPr>
          <w:rFonts w:ascii="Times New Roman CYR" w:eastAsia="MS Mincho" w:hAnsi="Times New Roman CYR" w:cs="Times New Roman CYR"/>
          <w:bCs/>
          <w:iCs/>
          <w:sz w:val="28"/>
          <w:szCs w:val="28"/>
          <w:lang w:val="uk-UA"/>
        </w:rPr>
        <w:t>Тому одним з основних завдань на сучасному історичному етапі розвитку України є побудова незалежного та справедливого правосуддя, без чого неможливим є утвердження правової та демократичної держави, проведення будь-яких правових, економічних та соціальних реформ.</w:t>
      </w:r>
    </w:p>
    <w:p w14:paraId="061D750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 xml:space="preserve">Перш за все, перед дослідженням </w:t>
      </w:r>
      <w:r w:rsidRPr="00BE0B1A">
        <w:rPr>
          <w:rFonts w:ascii="Times New Roman CYR" w:eastAsia="MS Mincho" w:hAnsi="Times New Roman CYR" w:cs="Times New Roman CYR"/>
          <w:bCs/>
          <w:iCs/>
          <w:sz w:val="28"/>
          <w:szCs w:val="28"/>
          <w:lang w:val="uk-UA"/>
        </w:rPr>
        <w:t xml:space="preserve">сучасного стану та напрямів розвитку судової реформи в Україні необхідно конкретизувати, що організація та діяльність судів України, статус суддів визначаються законами України, </w:t>
      </w:r>
      <w:r w:rsidRPr="00BE0B1A">
        <w:rPr>
          <w:rFonts w:ascii="Times New Roman CYR" w:eastAsia="MS Mincho" w:hAnsi="Times New Roman CYR" w:cs="Times New Roman CYR"/>
          <w:bCs/>
          <w:iCs/>
          <w:sz w:val="28"/>
          <w:szCs w:val="28"/>
          <w:lang w:val="uk-UA"/>
        </w:rPr>
        <w:lastRenderedPageBreak/>
        <w:t xml:space="preserve">чинними міжнародними договорами, згода на обов’язковість яких надана Верховною Радою України. </w:t>
      </w:r>
      <w:r w:rsidRPr="00BE0B1A">
        <w:rPr>
          <w:rFonts w:ascii="Times New Roman CYR" w:eastAsia="MS Mincho" w:hAnsi="Times New Roman CYR" w:cs="Times New Roman CYR"/>
          <w:bCs/>
          <w:iCs/>
          <w:sz w:val="28"/>
          <w:szCs w:val="28"/>
        </w:rPr>
        <w:t>Так, з</w:t>
      </w:r>
      <w:r w:rsidRPr="00BE0B1A">
        <w:rPr>
          <w:rFonts w:ascii="Times New Roman CYR" w:eastAsia="MS Mincho" w:hAnsi="Times New Roman CYR" w:cs="Times New Roman CYR"/>
          <w:bCs/>
          <w:iCs/>
          <w:sz w:val="28"/>
          <w:szCs w:val="28"/>
          <w:lang w:val="uk-UA"/>
        </w:rPr>
        <w:t xml:space="preserve">гідно зі ст. 2 Закону України «Про судоустрій і статус суддів» </w:t>
      </w:r>
      <w:r w:rsidRPr="00BE0B1A">
        <w:rPr>
          <w:rFonts w:ascii="Times New Roman CYR" w:eastAsia="MS Mincho" w:hAnsi="Times New Roman CYR" w:cs="Times New Roman CYR"/>
          <w:bCs/>
          <w:iCs/>
          <w:sz w:val="28"/>
          <w:szCs w:val="28"/>
        </w:rPr>
        <w:t xml:space="preserve">суд, здійснюючи правосуддя на засадах верховенства права, забезпечує кожному право на справедливий суд та повагу до інших прав і свобод, </w:t>
      </w:r>
      <w:r w:rsidRPr="00BE0B1A">
        <w:rPr>
          <w:rFonts w:ascii="Times New Roman CYR" w:eastAsia="MS Mincho" w:hAnsi="Times New Roman CYR" w:cs="Times New Roman CYR"/>
          <w:bCs/>
          <w:iCs/>
          <w:color w:val="000000"/>
          <w:sz w:val="28"/>
          <w:szCs w:val="28"/>
        </w:rPr>
        <w:t>гарантованих </w:t>
      </w:r>
      <w:hyperlink r:id="rId7" w:tgtFrame="_blank" w:history="1">
        <w:r w:rsidRPr="00BE0B1A">
          <w:rPr>
            <w:rStyle w:val="a5"/>
            <w:rFonts w:ascii="Times New Roman CYR" w:eastAsia="MS Mincho" w:hAnsi="Times New Roman CYR" w:cs="Times New Roman CYR"/>
            <w:bCs/>
            <w:iCs/>
            <w:color w:val="000000"/>
            <w:sz w:val="28"/>
            <w:szCs w:val="28"/>
          </w:rPr>
          <w:t>Конституцією</w:t>
        </w:r>
      </w:hyperlink>
      <w:r w:rsidRPr="00BE0B1A">
        <w:rPr>
          <w:rFonts w:ascii="Times New Roman CYR" w:eastAsia="MS Mincho" w:hAnsi="Times New Roman CYR" w:cs="Times New Roman CYR"/>
          <w:bCs/>
          <w:iCs/>
          <w:color w:val="000000"/>
          <w:sz w:val="28"/>
          <w:szCs w:val="28"/>
        </w:rPr>
        <w:t> і законами України, а також міжнародними договорами, згода на обов’язковість яких надана Верховною Радою України</w:t>
      </w:r>
      <w:r w:rsidRPr="00BE0B1A">
        <w:rPr>
          <w:rFonts w:ascii="Times New Roman CYR" w:eastAsia="MS Mincho" w:hAnsi="Times New Roman CYR" w:cs="Times New Roman CYR"/>
          <w:bCs/>
          <w:iCs/>
          <w:color w:val="000000"/>
          <w:sz w:val="28"/>
          <w:szCs w:val="28"/>
          <w:lang w:val="uk-UA"/>
        </w:rPr>
        <w:t xml:space="preserve"> [1]. Реалізуючи передбачені законодавством</w:t>
      </w:r>
      <w:r w:rsidRPr="00BE0B1A">
        <w:rPr>
          <w:rFonts w:ascii="Times New Roman CYR" w:eastAsia="MS Mincho" w:hAnsi="Times New Roman CYR" w:cs="Times New Roman CYR"/>
          <w:bCs/>
          <w:iCs/>
          <w:sz w:val="28"/>
          <w:szCs w:val="28"/>
          <w:lang w:val="uk-UA"/>
        </w:rPr>
        <w:t xml:space="preserve"> завдання, суддя діє з метою захисту прав та свобод людини та громадянина в Україні.</w:t>
      </w:r>
    </w:p>
    <w:p w14:paraId="331F734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Отже, в процесі розбудови правової держави, одним з її найбільш важливих критеріїв є створення чесної, прозорої та ефективної судової влади. Наразі назріла суттєва необхідність докорінних змін судової системи та реформування окремих її інститутів.</w:t>
      </w:r>
    </w:p>
    <w:p w14:paraId="5896F7B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Одним з основних завдань на сучасному історичному етапі розвитку України є побудова незалежного та справедливого правосуддя, без чого неможливим є утвердження правової та демократичної держави, проведення будь-яких правових, економічних та соціальних реформ.</w:t>
      </w:r>
    </w:p>
    <w:p w14:paraId="32A9D77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Одним із ключових завдань судової реформи, новий виток якої розпочався із прийняттям Закону України «Про судоустрій і статус суддів» у 2010 р., є створення високопрофесійного, високоморального й компетентного суддівського корпусу. </w:t>
      </w:r>
      <w:r w:rsidRPr="00BE0B1A">
        <w:rPr>
          <w:rFonts w:ascii="Times New Roman CYR" w:eastAsia="MS Mincho" w:hAnsi="Times New Roman CYR" w:cs="Times New Roman CYR"/>
          <w:bCs/>
          <w:iCs/>
          <w:sz w:val="28"/>
          <w:szCs w:val="28"/>
        </w:rPr>
        <w:t>Лише з такими характеристиками суддя й судова система в цілому зможуть служити гарантом прав та свобод людини і громадянина, законних інтересів усіх суб’єктів права й повноцінно виконувати роль легітимного арбітра при розв’язанні суспільно-правових конфліктів</w:t>
      </w:r>
      <w:r w:rsidRPr="00BE0B1A">
        <w:rPr>
          <w:rFonts w:ascii="Times New Roman CYR" w:eastAsia="MS Mincho" w:hAnsi="Times New Roman CYR" w:cs="Times New Roman CYR"/>
          <w:bCs/>
          <w:iCs/>
          <w:sz w:val="28"/>
          <w:szCs w:val="28"/>
          <w:lang w:val="uk-UA"/>
        </w:rPr>
        <w:t xml:space="preserve"> </w:t>
      </w:r>
      <w:r>
        <w:rPr>
          <w:rFonts w:ascii="Times New Roman CYR" w:eastAsia="MS Mincho" w:hAnsi="Times New Roman CYR" w:cs="Times New Roman CYR"/>
          <w:bCs/>
          <w:iCs/>
          <w:sz w:val="28"/>
          <w:szCs w:val="28"/>
        </w:rPr>
        <w:t>[54</w:t>
      </w:r>
      <w:r w:rsidRPr="00BE0B1A">
        <w:rPr>
          <w:rFonts w:ascii="Times New Roman CYR" w:eastAsia="MS Mincho" w:hAnsi="Times New Roman CYR" w:cs="Times New Roman CYR"/>
          <w:bCs/>
          <w:iCs/>
          <w:sz w:val="28"/>
          <w:szCs w:val="28"/>
          <w:lang w:val="uk-UA"/>
        </w:rPr>
        <w:t>, с. 10</w:t>
      </w:r>
      <w:r w:rsidRPr="00BE0B1A">
        <w:rPr>
          <w:rFonts w:ascii="Times New Roman CYR" w:eastAsia="MS Mincho" w:hAnsi="Times New Roman CYR" w:cs="Times New Roman CYR"/>
          <w:bCs/>
          <w:iCs/>
          <w:sz w:val="28"/>
          <w:szCs w:val="28"/>
        </w:rPr>
        <w:t>].</w:t>
      </w:r>
    </w:p>
    <w:p w14:paraId="38BAA0C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Позитивним на шляху проведення судової реформи було прийняття Закону України «Про забезпечення права на справедливий суд» [2], завдяки якому було реформовано Вищу раду юстиції, Вищу кваліфікаційну комісію суддів України, посилено гарантії незалежності суддів, деталізовано їхні права і обов’язки, удосконалено дисциплінарні процедури та передбачено механізми для оновлення судової системи через процедуру кваліфікаційного оцінювання суддів тощо. У зв’язку з прийняттям Закону України «Про забезпечення права </w:t>
      </w:r>
      <w:r w:rsidRPr="00BE0B1A">
        <w:rPr>
          <w:rFonts w:ascii="Times New Roman CYR" w:eastAsia="MS Mincho" w:hAnsi="Times New Roman CYR" w:cs="Times New Roman CYR"/>
          <w:bCs/>
          <w:iCs/>
          <w:sz w:val="28"/>
          <w:szCs w:val="28"/>
          <w:lang w:val="uk-UA"/>
        </w:rPr>
        <w:lastRenderedPageBreak/>
        <w:t xml:space="preserve">на справедливий суд», у якому викладена нова редакція Закону України «Про судоустрій і статус суддів» [3], в судоустрійному законодавстві з’явився ряд новел, які стосуються, зокрема, процедури відводу судді </w:t>
      </w:r>
      <w:r w:rsidRPr="00774B9C">
        <w:rPr>
          <w:rFonts w:ascii="Times New Roman CYR" w:eastAsia="MS Mincho" w:hAnsi="Times New Roman CYR" w:cs="Times New Roman CYR"/>
          <w:bCs/>
          <w:iCs/>
          <w:sz w:val="28"/>
          <w:szCs w:val="28"/>
        </w:rPr>
        <w:t>[12</w:t>
      </w:r>
      <w:r w:rsidRPr="00BE0B1A">
        <w:rPr>
          <w:rFonts w:ascii="Times New Roman CYR" w:eastAsia="MS Mincho" w:hAnsi="Times New Roman CYR" w:cs="Times New Roman CYR"/>
          <w:bCs/>
          <w:iCs/>
          <w:sz w:val="28"/>
          <w:szCs w:val="28"/>
          <w:lang w:val="uk-UA"/>
        </w:rPr>
        <w:t>, с. 46</w:t>
      </w:r>
      <w:r w:rsidRPr="00774B9C">
        <w:rPr>
          <w:rFonts w:ascii="Times New Roman CYR" w:eastAsia="MS Mincho" w:hAnsi="Times New Roman CYR" w:cs="Times New Roman CYR"/>
          <w:bCs/>
          <w:iCs/>
          <w:sz w:val="28"/>
          <w:szCs w:val="28"/>
        </w:rPr>
        <w:t>]</w:t>
      </w:r>
      <w:r w:rsidRPr="00BE0B1A">
        <w:rPr>
          <w:rFonts w:ascii="Times New Roman CYR" w:eastAsia="MS Mincho" w:hAnsi="Times New Roman CYR" w:cs="Times New Roman CYR"/>
          <w:bCs/>
          <w:iCs/>
          <w:sz w:val="28"/>
          <w:szCs w:val="28"/>
          <w:lang w:val="uk-UA"/>
        </w:rPr>
        <w:t>.</w:t>
      </w:r>
    </w:p>
    <w:p w14:paraId="6AB5E76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Закон України «Про судоустрій і статус суддів» визначає засади організації судової влади, з якими тісно пов’язаний механізм відводу судді: судова влада здійснюється незалежними та безсторонніми судами – ст. 1; суди здійснюють правосуддя самостійно – ст. 6; справи розглядаються згідно із встановленим порядком їх розподілу – ст. 8; рівність перед законом і судом – ст. 9. Крім того, Закон України «Про судоустрій та статус суддів» визначає правовий статус судді, де важливе значення для розуміння підстав відводу судді мають вимоги щодо несумісності (ст. 53); обов’язки судді розглядати справу безсторонньо, дотримуватися присяги судді (ст. 54) </w:t>
      </w:r>
      <w:r>
        <w:rPr>
          <w:rFonts w:ascii="Times New Roman CYR" w:eastAsia="MS Mincho" w:hAnsi="Times New Roman CYR" w:cs="Times New Roman CYR"/>
          <w:bCs/>
          <w:iCs/>
          <w:sz w:val="28"/>
          <w:szCs w:val="28"/>
          <w:lang w:val="uk-UA"/>
        </w:rPr>
        <w:t>[48</w:t>
      </w:r>
      <w:r w:rsidRPr="00BE0B1A">
        <w:rPr>
          <w:rFonts w:ascii="Times New Roman CYR" w:eastAsia="MS Mincho" w:hAnsi="Times New Roman CYR" w:cs="Times New Roman CYR"/>
          <w:bCs/>
          <w:iCs/>
          <w:sz w:val="28"/>
          <w:szCs w:val="28"/>
          <w:lang w:val="uk-UA"/>
        </w:rPr>
        <w:t>, с. 60].</w:t>
      </w:r>
    </w:p>
    <w:p w14:paraId="5F7A30D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З метою врегулювання процесуальних механізмів, які мають забезпечити ефективний, справедливий, неупереджений і своєчасний захист прав і свобод особи в суді, 23 березня 2017 року Президентом України подано до Верховної Ради України Проект Закону України «Про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(реєстр. номер 6232), який 3 жовтня 2017 р. прийнято як Закон України </w:t>
      </w:r>
      <w:r w:rsidRPr="00774B9C">
        <w:rPr>
          <w:rFonts w:ascii="Times New Roman CYR" w:eastAsia="MS Mincho" w:hAnsi="Times New Roman CYR" w:cs="Times New Roman CYR"/>
          <w:bCs/>
          <w:iCs/>
          <w:sz w:val="28"/>
          <w:szCs w:val="28"/>
        </w:rPr>
        <w:t>[</w:t>
      </w:r>
      <w:r>
        <w:rPr>
          <w:rFonts w:ascii="Times New Roman CYR" w:eastAsia="MS Mincho" w:hAnsi="Times New Roman CYR" w:cs="Times New Roman CYR"/>
          <w:bCs/>
          <w:iCs/>
          <w:sz w:val="28"/>
          <w:szCs w:val="28"/>
          <w:lang w:val="uk-UA"/>
        </w:rPr>
        <w:t>4</w:t>
      </w:r>
      <w:r w:rsidRPr="00774B9C">
        <w:rPr>
          <w:rFonts w:ascii="Times New Roman CYR" w:eastAsia="MS Mincho" w:hAnsi="Times New Roman CYR" w:cs="Times New Roman CYR"/>
          <w:bCs/>
          <w:iCs/>
          <w:sz w:val="28"/>
          <w:szCs w:val="28"/>
        </w:rPr>
        <w:t>]</w:t>
      </w:r>
      <w:r w:rsidRPr="00BE0B1A">
        <w:rPr>
          <w:rFonts w:ascii="Times New Roman CYR" w:eastAsia="MS Mincho" w:hAnsi="Times New Roman CYR" w:cs="Times New Roman CYR"/>
          <w:bCs/>
          <w:iCs/>
          <w:sz w:val="28"/>
          <w:szCs w:val="28"/>
          <w:lang w:val="uk-UA"/>
        </w:rPr>
        <w:t>. Для досягнення цієї мети Законом викладаються в новій редакції Господарський процесуальний кодекс України, Цивільний процесуальний кодекс України, Кодекс адміністративного судочинства України і вносяться зміни до законодавчих актів.</w:t>
      </w:r>
    </w:p>
    <w:p w14:paraId="6DB1195F"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Загалом прийняття цього Закону є важливим кроком України в напрямі розвитку сучасних демократичних європейських держав. Крім того, ГПК, ЦПК та КАС містять новели для науки й законодавства України, які вже є предметом обговорення та дослідження. Зокрема, однією з таких новел є запровадження принципових положень інституту відводу судді.</w:t>
      </w:r>
    </w:p>
    <w:p w14:paraId="3E274D3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 xml:space="preserve">Інститут відводу можна віднести до міжгалузевих правових інститутів, оскільки він регламентується нормами господарського процесуального права, </w:t>
      </w:r>
      <w:r w:rsidRPr="00BE0B1A">
        <w:rPr>
          <w:rFonts w:ascii="Times New Roman CYR" w:eastAsia="MS Mincho" w:hAnsi="Times New Roman CYR" w:cs="Times New Roman CYR"/>
          <w:bCs/>
          <w:iCs/>
          <w:sz w:val="28"/>
          <w:szCs w:val="28"/>
        </w:rPr>
        <w:lastRenderedPageBreak/>
        <w:t>цивільного процесуального права, адміністративного процесуального права, кримінального процесуального права</w:t>
      </w:r>
      <w:r w:rsidRPr="00BE0B1A">
        <w:rPr>
          <w:rFonts w:ascii="Times New Roman CYR" w:eastAsia="MS Mincho" w:hAnsi="Times New Roman CYR" w:cs="Times New Roman CYR"/>
          <w:bCs/>
          <w:iCs/>
          <w:sz w:val="28"/>
          <w:szCs w:val="28"/>
          <w:lang w:val="uk-UA"/>
        </w:rPr>
        <w:t xml:space="preserve"> </w:t>
      </w:r>
      <w:r w:rsidRPr="00774B9C">
        <w:rPr>
          <w:rFonts w:ascii="Times New Roman CYR" w:eastAsia="MS Mincho" w:hAnsi="Times New Roman CYR" w:cs="Times New Roman CYR"/>
          <w:bCs/>
          <w:iCs/>
          <w:sz w:val="28"/>
          <w:szCs w:val="28"/>
        </w:rPr>
        <w:t>[46</w:t>
      </w:r>
      <w:r w:rsidRPr="00BE0B1A">
        <w:rPr>
          <w:rFonts w:ascii="Times New Roman CYR" w:eastAsia="MS Mincho" w:hAnsi="Times New Roman CYR" w:cs="Times New Roman CYR"/>
          <w:bCs/>
          <w:iCs/>
          <w:sz w:val="28"/>
          <w:szCs w:val="28"/>
          <w:lang w:val="uk-UA"/>
        </w:rPr>
        <w:t>, с. 55</w:t>
      </w:r>
      <w:r w:rsidRPr="00774B9C">
        <w:rPr>
          <w:rFonts w:ascii="Times New Roman CYR" w:eastAsia="MS Mincho" w:hAnsi="Times New Roman CYR" w:cs="Times New Roman CYR"/>
          <w:bCs/>
          <w:iCs/>
          <w:sz w:val="28"/>
          <w:szCs w:val="28"/>
        </w:rPr>
        <w:t>]</w:t>
      </w:r>
      <w:r w:rsidRPr="00BE0B1A">
        <w:rPr>
          <w:rFonts w:ascii="Times New Roman CYR" w:eastAsia="MS Mincho" w:hAnsi="Times New Roman CYR" w:cs="Times New Roman CYR"/>
          <w:bCs/>
          <w:iCs/>
          <w:sz w:val="28"/>
          <w:szCs w:val="28"/>
        </w:rPr>
        <w:t>.</w:t>
      </w:r>
    </w:p>
    <w:p w14:paraId="04CA32F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Переважно правові норми ГПК, ЦПК, КАС, КПК України мають багато спільного в регулюванні питань відводу суддів та учасників процесу: існують майже аналогічні підстави для відводу; визначаються єдині правові наслідки під час задоволення клопотання про відвід; закріплюється обов’язок про самовідвід і т. д. Це не дивно, адже галузі процесуального права незалежно від існуючих у них відмінностей все-таки володіють подібним предметом правового регулювання, де діяльність судів спрямована на здійснення правосуддя в межах господарського, цивільного, адміністративного та кримінального процесу </w:t>
      </w:r>
      <w:r>
        <w:rPr>
          <w:rFonts w:ascii="Times New Roman CYR" w:eastAsia="MS Mincho" w:hAnsi="Times New Roman CYR" w:cs="Times New Roman CYR"/>
          <w:bCs/>
          <w:iCs/>
          <w:sz w:val="28"/>
          <w:szCs w:val="28"/>
          <w:lang w:val="uk-UA"/>
        </w:rPr>
        <w:t>[73</w:t>
      </w:r>
      <w:r w:rsidRPr="00BE0B1A">
        <w:rPr>
          <w:rFonts w:ascii="Times New Roman CYR" w:eastAsia="MS Mincho" w:hAnsi="Times New Roman CYR" w:cs="Times New Roman CYR"/>
          <w:bCs/>
          <w:iCs/>
          <w:sz w:val="28"/>
          <w:szCs w:val="28"/>
          <w:lang w:val="uk-UA"/>
        </w:rPr>
        <w:t>, с.</w:t>
      </w:r>
      <w:r w:rsidRPr="00BE0B1A">
        <w:rPr>
          <w:rFonts w:ascii="Times New Roman CYR" w:eastAsia="MS Mincho" w:hAnsi="Times New Roman CYR" w:cs="Times New Roman CYR"/>
          <w:bCs/>
          <w:iCs/>
          <w:sz w:val="28"/>
          <w:szCs w:val="28"/>
        </w:rPr>
        <w:t> </w:t>
      </w:r>
      <w:r w:rsidRPr="00BE0B1A">
        <w:rPr>
          <w:rFonts w:ascii="Times New Roman CYR" w:eastAsia="MS Mincho" w:hAnsi="Times New Roman CYR" w:cs="Times New Roman CYR"/>
          <w:bCs/>
          <w:iCs/>
          <w:sz w:val="28"/>
          <w:szCs w:val="28"/>
          <w:lang w:val="uk-UA"/>
        </w:rPr>
        <w:t>90].</w:t>
      </w:r>
    </w:p>
    <w:p w14:paraId="5C12DEF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Главою 3 першого розділу ГПК України «Склад суду. Відводи» визначено правові норми, які регулюють порядок відводу</w:t>
      </w:r>
      <w:r>
        <w:rPr>
          <w:rFonts w:ascii="Times New Roman CYR" w:eastAsia="MS Mincho" w:hAnsi="Times New Roman CYR" w:cs="Times New Roman CYR"/>
          <w:bCs/>
          <w:iCs/>
          <w:sz w:val="28"/>
          <w:szCs w:val="28"/>
          <w:lang w:val="uk-UA"/>
        </w:rPr>
        <w:t xml:space="preserve"> та самовідводу</w:t>
      </w:r>
      <w:r w:rsidRPr="00BE0B1A">
        <w:rPr>
          <w:rFonts w:ascii="Times New Roman CYR" w:eastAsia="MS Mincho" w:hAnsi="Times New Roman CYR" w:cs="Times New Roman CYR"/>
          <w:bCs/>
          <w:iCs/>
          <w:sz w:val="28"/>
          <w:szCs w:val="28"/>
          <w:lang w:val="uk-UA"/>
        </w:rPr>
        <w:t xml:space="preserve"> в господарському процесі [1]. Вказані норми регламентують певну сферу господарських процесуальних відносин – відвід судді, секретаря судових засідань, експерта, спеціаліста, перекладача. Варто зазначити, що нормативного закріплення термін «відвід» ГПК України не містить </w:t>
      </w:r>
      <w:r>
        <w:rPr>
          <w:rFonts w:ascii="Times New Roman CYR" w:eastAsia="MS Mincho" w:hAnsi="Times New Roman CYR" w:cs="Times New Roman CYR"/>
          <w:bCs/>
          <w:iCs/>
          <w:sz w:val="28"/>
          <w:szCs w:val="28"/>
          <w:lang w:val="uk-UA"/>
        </w:rPr>
        <w:t>[13</w:t>
      </w:r>
      <w:r w:rsidRPr="00BE0B1A">
        <w:rPr>
          <w:rFonts w:ascii="Times New Roman CYR" w:eastAsia="MS Mincho" w:hAnsi="Times New Roman CYR" w:cs="Times New Roman CYR"/>
          <w:bCs/>
          <w:iCs/>
          <w:sz w:val="28"/>
          <w:szCs w:val="28"/>
          <w:lang w:val="uk-UA"/>
        </w:rPr>
        <w:t>, с. 67].</w:t>
      </w:r>
    </w:p>
    <w:p w14:paraId="5B0169E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Підстави для відводу судді визначені ст. 35 ГПК України. </w:t>
      </w:r>
    </w:p>
    <w:p w14:paraId="60487C2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Обставинами, що викликають сумнів в об’єктивності та неупередженості судді, можуть бути незаконні дії судді під час розгляду справи, ігнорування законних вимог сторони, створення перешкод для реалізації процесуальних прав, нерівне ставлення до сторін, нетактовна поведінка судді тощо</w:t>
      </w:r>
      <w:r w:rsidRPr="00774B9C">
        <w:rPr>
          <w:rFonts w:ascii="Times New Roman CYR" w:eastAsia="MS Mincho" w:hAnsi="Times New Roman CYR" w:cs="Times New Roman CYR"/>
          <w:bCs/>
          <w:iCs/>
          <w:sz w:val="28"/>
          <w:szCs w:val="28"/>
          <w:lang w:val="uk-UA"/>
        </w:rPr>
        <w:t xml:space="preserve"> [42</w:t>
      </w:r>
      <w:r w:rsidRPr="00BE0B1A">
        <w:rPr>
          <w:rFonts w:ascii="Times New Roman CYR" w:eastAsia="MS Mincho" w:hAnsi="Times New Roman CYR" w:cs="Times New Roman CYR"/>
          <w:bCs/>
          <w:iCs/>
          <w:sz w:val="28"/>
          <w:szCs w:val="28"/>
          <w:lang w:val="uk-UA"/>
        </w:rPr>
        <w:t>, с. 302</w:t>
      </w:r>
      <w:r w:rsidRPr="00774B9C">
        <w:rPr>
          <w:rFonts w:ascii="Times New Roman CYR" w:eastAsia="MS Mincho" w:hAnsi="Times New Roman CYR" w:cs="Times New Roman CYR"/>
          <w:bCs/>
          <w:iCs/>
          <w:sz w:val="28"/>
          <w:szCs w:val="28"/>
          <w:lang w:val="uk-UA"/>
        </w:rPr>
        <w:t>]</w:t>
      </w:r>
      <w:r w:rsidRPr="00BE0B1A">
        <w:rPr>
          <w:rFonts w:ascii="Times New Roman CYR" w:eastAsia="MS Mincho" w:hAnsi="Times New Roman CYR" w:cs="Times New Roman CYR"/>
          <w:bCs/>
          <w:iCs/>
          <w:sz w:val="28"/>
          <w:szCs w:val="28"/>
          <w:lang w:val="uk-UA"/>
        </w:rPr>
        <w:t xml:space="preserve">. Для того щоб ці обставини лягли в основу заяви про відвід, вони повинні бути доведеними. Ця підстава може бути підставою для відводу лише з ініціативи осіб, які беруть участь у справі. Самовідвід з цієї підстави суддя заявити не може, адже в нього не може бути сумнівів у власній об’єктивності чи неупередженості </w:t>
      </w:r>
      <w:r>
        <w:rPr>
          <w:rFonts w:ascii="Times New Roman CYR" w:eastAsia="MS Mincho" w:hAnsi="Times New Roman CYR" w:cs="Times New Roman CYR"/>
          <w:bCs/>
          <w:iCs/>
          <w:sz w:val="28"/>
          <w:szCs w:val="28"/>
          <w:lang w:val="uk-UA"/>
        </w:rPr>
        <w:t>[34</w:t>
      </w:r>
      <w:r w:rsidRPr="00BE0B1A">
        <w:rPr>
          <w:rFonts w:ascii="Times New Roman CYR" w:eastAsia="MS Mincho" w:hAnsi="Times New Roman CYR" w:cs="Times New Roman CYR"/>
          <w:bCs/>
          <w:iCs/>
          <w:sz w:val="28"/>
          <w:szCs w:val="28"/>
          <w:lang w:val="uk-UA"/>
        </w:rPr>
        <w:t>, с. 112]. Визначення п 5. ст. 35 ГПК України  свідчить про те, що підстави для заявлення клопотання про відвід не носять вичерпного характеру.</w:t>
      </w:r>
    </w:p>
    <w:p w14:paraId="57D0286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На практиці виникає ряд проблемних питань, пов’язаних із з порядком </w:t>
      </w:r>
      <w:r w:rsidRPr="00BE0B1A">
        <w:rPr>
          <w:rFonts w:ascii="Times New Roman CYR" w:eastAsia="MS Mincho" w:hAnsi="Times New Roman CYR" w:cs="Times New Roman CYR"/>
          <w:bCs/>
          <w:iCs/>
          <w:sz w:val="28"/>
          <w:szCs w:val="28"/>
          <w:lang w:val="uk-UA"/>
        </w:rPr>
        <w:lastRenderedPageBreak/>
        <w:t>здійснення відводу судді. Аналіз норм Господарсько-процесуального кодексу України дає підстави стверджувати, що при розгляді справи судом першої інстанції (коли розгляд справи здійснюється суддею одноособово) суддя якому заявлено відвід сам вирушає до нарадчої кімнати де й розглядає наявність підстав для задоволення заяви про відвід.</w:t>
      </w:r>
    </w:p>
    <w:p w14:paraId="67AAECC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Враховуючи оціночний характер зазначеної норми ГПК та непередбаченість оскарження ухвал про задоволення відводу, це досить часто дозволяє судді ухилятися від винесення рішення по справі.</w:t>
      </w:r>
    </w:p>
    <w:p w14:paraId="23499330" w14:textId="77777777" w:rsidR="001C6AA0" w:rsidRPr="00882E15"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Виходячи з цих міркувань, видається більш вдалою та логічною процесуальною конструкцією за якою питання про відвід судді вирішується іншим складом суду з </w:t>
      </w:r>
      <w:r w:rsidRPr="00882E15">
        <w:rPr>
          <w:rFonts w:ascii="Times New Roman CYR" w:eastAsia="MS Mincho" w:hAnsi="Times New Roman CYR" w:cs="Times New Roman CYR"/>
          <w:bCs/>
          <w:iCs/>
          <w:sz w:val="28"/>
          <w:szCs w:val="28"/>
          <w:lang w:val="uk-UA"/>
        </w:rPr>
        <w:t xml:space="preserve">метою уникнення різноманітних трактувань у майбутньому. Що стосується самовідводу, доцільним вбачається, щоб суддя сам встановлював ступінь своєї зацікавленості </w:t>
      </w:r>
      <w:r>
        <w:rPr>
          <w:rFonts w:ascii="Times New Roman CYR" w:eastAsia="MS Mincho" w:hAnsi="Times New Roman CYR" w:cs="Times New Roman CYR"/>
          <w:bCs/>
          <w:iCs/>
          <w:sz w:val="28"/>
          <w:szCs w:val="28"/>
          <w:lang w:val="uk-UA"/>
        </w:rPr>
        <w:t>[13</w:t>
      </w:r>
      <w:r w:rsidRPr="00882E15">
        <w:rPr>
          <w:rFonts w:ascii="Times New Roman CYR" w:eastAsia="MS Mincho" w:hAnsi="Times New Roman CYR" w:cs="Times New Roman CYR"/>
          <w:bCs/>
          <w:iCs/>
          <w:sz w:val="28"/>
          <w:szCs w:val="28"/>
          <w:lang w:val="uk-UA"/>
        </w:rPr>
        <w:t>, с. 67]. Погоджуючись з цією думкою, слід додати, що не можна залишати повноваження вирішувати відвід усьому складу суду чи більшості його членів за цим же складом суду, адже воно суперечить ідеї інституту відводу як ефективному засобу досягнути справедливого, неупередженого складу суду.</w:t>
      </w:r>
    </w:p>
    <w:p w14:paraId="58A06191" w14:textId="77777777" w:rsidR="001C6AA0" w:rsidRPr="00882E15"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Pr>
          <w:rFonts w:ascii="Times New Roman CYR" w:eastAsia="MS Mincho" w:hAnsi="Times New Roman CYR" w:cs="Times New Roman CYR"/>
          <w:bCs/>
          <w:iCs/>
          <w:sz w:val="28"/>
          <w:szCs w:val="28"/>
          <w:lang w:val="uk-UA"/>
        </w:rPr>
        <w:t>Крім того, слід зауважити, що ч</w:t>
      </w:r>
      <w:r w:rsidRPr="00882E15">
        <w:rPr>
          <w:rFonts w:ascii="Times New Roman CYR" w:eastAsia="MS Mincho" w:hAnsi="Times New Roman CYR" w:cs="Times New Roman CYR"/>
          <w:bCs/>
          <w:iCs/>
          <w:sz w:val="28"/>
          <w:szCs w:val="28"/>
        </w:rPr>
        <w:t>инними КПК України, ЦПК України, КАС України передбачена можливість відводу (самовідводу) не тільки судді, а й судового експерта, секретаря судового засід</w:t>
      </w:r>
      <w:r>
        <w:rPr>
          <w:rFonts w:ascii="Times New Roman CYR" w:eastAsia="MS Mincho" w:hAnsi="Times New Roman CYR" w:cs="Times New Roman CYR"/>
          <w:bCs/>
          <w:iCs/>
          <w:sz w:val="28"/>
          <w:szCs w:val="28"/>
        </w:rPr>
        <w:t xml:space="preserve">ання, спеціаліста, перекладача </w:t>
      </w:r>
      <w:r w:rsidRPr="00774B9C">
        <w:rPr>
          <w:rFonts w:ascii="Times New Roman CYR" w:eastAsia="MS Mincho" w:hAnsi="Times New Roman CYR" w:cs="Times New Roman CYR"/>
          <w:bCs/>
          <w:iCs/>
          <w:sz w:val="28"/>
          <w:szCs w:val="28"/>
        </w:rPr>
        <w:t>[47</w:t>
      </w:r>
      <w:r w:rsidRPr="00BE0B1A">
        <w:rPr>
          <w:rFonts w:ascii="Times New Roman CYR" w:eastAsia="MS Mincho" w:hAnsi="Times New Roman CYR" w:cs="Times New Roman CYR"/>
          <w:bCs/>
          <w:iCs/>
          <w:sz w:val="28"/>
          <w:szCs w:val="28"/>
          <w:lang w:val="uk-UA"/>
        </w:rPr>
        <w:t>, с. 74</w:t>
      </w:r>
      <w:r w:rsidRPr="00774B9C">
        <w:rPr>
          <w:rFonts w:ascii="Times New Roman CYR" w:eastAsia="MS Mincho" w:hAnsi="Times New Roman CYR" w:cs="Times New Roman CYR"/>
          <w:bCs/>
          <w:iCs/>
          <w:sz w:val="28"/>
          <w:szCs w:val="28"/>
        </w:rPr>
        <w:t>]</w:t>
      </w:r>
      <w:r w:rsidRPr="00BE0B1A">
        <w:rPr>
          <w:rFonts w:ascii="Times New Roman CYR" w:eastAsia="MS Mincho" w:hAnsi="Times New Roman CYR" w:cs="Times New Roman CYR"/>
          <w:bCs/>
          <w:iCs/>
          <w:sz w:val="28"/>
          <w:szCs w:val="28"/>
        </w:rPr>
        <w:t>.</w:t>
      </w:r>
      <w:r>
        <w:rPr>
          <w:rFonts w:ascii="Times New Roman CYR" w:eastAsia="MS Mincho" w:hAnsi="Times New Roman CYR" w:cs="Times New Roman CYR"/>
          <w:bCs/>
          <w:iCs/>
          <w:sz w:val="28"/>
          <w:szCs w:val="28"/>
          <w:lang w:val="uk-UA"/>
        </w:rPr>
        <w:t xml:space="preserve"> </w:t>
      </w:r>
    </w:p>
    <w:p w14:paraId="1BCBDC4F" w14:textId="77777777" w:rsidR="001C6AA0" w:rsidRPr="00774B9C"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774B9C">
        <w:rPr>
          <w:rFonts w:ascii="Times New Roman CYR" w:eastAsia="MS Mincho" w:hAnsi="Times New Roman CYR" w:cs="Times New Roman CYR"/>
          <w:bCs/>
          <w:iCs/>
          <w:sz w:val="28"/>
          <w:szCs w:val="28"/>
          <w:lang w:val="uk-UA"/>
        </w:rPr>
        <w:t>Безумовно, найважливішими є питання, пов’язані з відводом судді, оскільки відвід судді є одним із тих механізмів, що забезпечують законність та обґрунтованість рішень і покликані гарантувати захист від впливу на суд різних зовнішніх факторів.</w:t>
      </w:r>
    </w:p>
    <w:p w14:paraId="76CF7400" w14:textId="77777777" w:rsidR="001C6AA0" w:rsidRPr="00882E15"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774B9C">
        <w:rPr>
          <w:rFonts w:ascii="Times New Roman CYR" w:eastAsia="MS Mincho" w:hAnsi="Times New Roman CYR" w:cs="Times New Roman CYR"/>
          <w:bCs/>
          <w:iCs/>
          <w:sz w:val="28"/>
          <w:szCs w:val="28"/>
          <w:lang w:val="uk-UA"/>
        </w:rPr>
        <w:t>Для аналізу норм чинного процесуального законодавства щодо відводів доцільно здійснити аналіз тих норм (юридичних конструкцій), що регламентують ці питання у КПК України, ЦПК України, ГПК України та КАС України з метою в подальшому об'єднання норм в один єдиний кодифікований акт, який би врегульовув</w:t>
      </w:r>
      <w:r>
        <w:rPr>
          <w:rFonts w:ascii="Times New Roman CYR" w:eastAsia="MS Mincho" w:hAnsi="Times New Roman CYR" w:cs="Times New Roman CYR"/>
          <w:bCs/>
          <w:iCs/>
          <w:sz w:val="28"/>
          <w:szCs w:val="28"/>
          <w:lang w:val="uk-UA"/>
        </w:rPr>
        <w:t>ав питання відводу судді.</w:t>
      </w:r>
    </w:p>
    <w:p w14:paraId="0FA211C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lastRenderedPageBreak/>
        <w:t xml:space="preserve">Для проведення такого аналізу скористаємося критеріями Пащенко О. та запропонуємо наступний план </w:t>
      </w:r>
      <w:r>
        <w:rPr>
          <w:rFonts w:ascii="Times New Roman CYR" w:eastAsia="MS Mincho" w:hAnsi="Times New Roman CYR" w:cs="Times New Roman CYR"/>
          <w:bCs/>
          <w:sz w:val="28"/>
          <w:szCs w:val="28"/>
        </w:rPr>
        <w:t>[46</w:t>
      </w:r>
      <w:r w:rsidRPr="00BE0B1A">
        <w:rPr>
          <w:rFonts w:ascii="Times New Roman CYR" w:eastAsia="MS Mincho" w:hAnsi="Times New Roman CYR" w:cs="Times New Roman CYR"/>
          <w:bCs/>
          <w:sz w:val="28"/>
          <w:szCs w:val="28"/>
        </w:rPr>
        <w:t xml:space="preserve">, с. 54–59]: </w:t>
      </w:r>
    </w:p>
    <w:p w14:paraId="57909073"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1. Підстави відводу судді. </w:t>
      </w:r>
    </w:p>
    <w:p w14:paraId="60027C7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2. Момент подання заяви про відвід. </w:t>
      </w:r>
    </w:p>
    <w:p w14:paraId="5A6DE8A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3. Порядок вирішення заяви про відвід. </w:t>
      </w:r>
    </w:p>
    <w:p w14:paraId="4582249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4. Процесуальний документ, яким оформлюються наслідки розгляду заяви про відвід. </w:t>
      </w:r>
    </w:p>
    <w:p w14:paraId="2CC2358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5. Можливість оскарження. 6. Наслідки відводу.</w:t>
      </w:r>
    </w:p>
    <w:p w14:paraId="318C6E3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Отже, спільними (тобто такими, що визначені у всіх чотирьох кодексах) підставами відводу судді є: </w:t>
      </w:r>
    </w:p>
    <w:p w14:paraId="736DC6B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а) попередня участь судді у розгляді справи.</w:t>
      </w:r>
    </w:p>
    <w:p w14:paraId="556E43C9" w14:textId="77777777" w:rsidR="001C6AA0" w:rsidRPr="00774B9C"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 xml:space="preserve">б) наявність прямої чи побічної заінтересованості у результаті розгляду справи є спільною ознакою для КПК України, ЦПК України та КАС України; </w:t>
      </w:r>
    </w:p>
    <w:p w14:paraId="022B4B1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в) наявність родинних зв’язків з особами, які беруть участь у судовому процесі; </w:t>
      </w:r>
    </w:p>
    <w:p w14:paraId="51EB84DF"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г) інші обставини, що викликають сумнів у неупередженості суддів;</w:t>
      </w:r>
    </w:p>
    <w:p w14:paraId="5355339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ґ) у разі порушення порядку визначення судді для розгляду справи, встановленого автоматизованою системою документообігу в судах.</w:t>
      </w:r>
    </w:p>
    <w:p w14:paraId="06A9B4E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Здійснюючи аналіз та порівняння норм чинного процесуального законодавства (КПК України, ЦПК України, КАСУ України, ГПК України) за критерієм «момент подання заяви», слід зазначити, що у всіх чотирьох кодексах визначення моменту подання заяви є тотожним</w:t>
      </w:r>
      <w:r w:rsidRPr="00BE0B1A">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rPr>
        <w:t>[8</w:t>
      </w:r>
      <w:r w:rsidRPr="00BE0B1A">
        <w:rPr>
          <w:rFonts w:ascii="Times New Roman CYR" w:eastAsia="MS Mincho" w:hAnsi="Times New Roman CYR" w:cs="Times New Roman CYR"/>
          <w:bCs/>
          <w:sz w:val="28"/>
          <w:szCs w:val="28"/>
          <w:lang w:val="uk-UA"/>
        </w:rPr>
        <w:t>, с. 35</w:t>
      </w:r>
      <w:r w:rsidRPr="00774B9C">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rPr>
        <w:t>.</w:t>
      </w:r>
    </w:p>
    <w:p w14:paraId="378EA5F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Відвід (самовідвід) має бути вмотивованим і заявленим до початку з’ясування обставин у справі та перевірки їх доказами.</w:t>
      </w:r>
    </w:p>
    <w:p w14:paraId="7682B61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Заявляти відвід (самовідвід) після цього дозволяється лише у випадках, коли про підставу відводу (самовідводу) стало відомо після початку з’ясування обставин у справі та перевірки їх доказами.</w:t>
      </w:r>
    </w:p>
    <w:p w14:paraId="0F90B91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Порядок відводу судді передбачений у КПК України (ст. </w:t>
      </w:r>
      <w:r w:rsidRPr="00BE0B1A">
        <w:rPr>
          <w:rFonts w:ascii="Times New Roman CYR" w:eastAsia="MS Mincho" w:hAnsi="Times New Roman CYR" w:cs="Times New Roman CYR"/>
          <w:bCs/>
          <w:sz w:val="28"/>
          <w:szCs w:val="28"/>
          <w:lang w:val="uk-UA"/>
        </w:rPr>
        <w:t>81</w:t>
      </w:r>
      <w:r w:rsidRPr="00BE0B1A">
        <w:rPr>
          <w:rFonts w:ascii="Times New Roman CYR" w:eastAsia="MS Mincho" w:hAnsi="Times New Roman CYR" w:cs="Times New Roman CYR"/>
          <w:bCs/>
          <w:sz w:val="28"/>
          <w:szCs w:val="28"/>
        </w:rPr>
        <w:t xml:space="preserve">), ЦПК України (ст. </w:t>
      </w:r>
      <w:r w:rsidRPr="00BE0B1A">
        <w:rPr>
          <w:rFonts w:ascii="Times New Roman CYR" w:eastAsia="MS Mincho" w:hAnsi="Times New Roman CYR" w:cs="Times New Roman CYR"/>
          <w:bCs/>
          <w:sz w:val="28"/>
          <w:szCs w:val="28"/>
          <w:lang w:val="uk-UA"/>
        </w:rPr>
        <w:t>40</w:t>
      </w:r>
      <w:r w:rsidRPr="00BE0B1A">
        <w:rPr>
          <w:rFonts w:ascii="Times New Roman CYR" w:eastAsia="MS Mincho" w:hAnsi="Times New Roman CYR" w:cs="Times New Roman CYR"/>
          <w:bCs/>
          <w:sz w:val="28"/>
          <w:szCs w:val="28"/>
        </w:rPr>
        <w:t xml:space="preserve">), ГПК України (ст. </w:t>
      </w:r>
      <w:r w:rsidRPr="00BE0B1A">
        <w:rPr>
          <w:rFonts w:ascii="Times New Roman CYR" w:eastAsia="MS Mincho" w:hAnsi="Times New Roman CYR" w:cs="Times New Roman CYR"/>
          <w:bCs/>
          <w:sz w:val="28"/>
          <w:szCs w:val="28"/>
          <w:lang w:val="uk-UA"/>
        </w:rPr>
        <w:t>39</w:t>
      </w:r>
      <w:r w:rsidRPr="00BE0B1A">
        <w:rPr>
          <w:rFonts w:ascii="Times New Roman CYR" w:eastAsia="MS Mincho" w:hAnsi="Times New Roman CYR" w:cs="Times New Roman CYR"/>
          <w:bCs/>
          <w:sz w:val="28"/>
          <w:szCs w:val="28"/>
        </w:rPr>
        <w:t xml:space="preserve">) і КАС України (ст. </w:t>
      </w:r>
      <w:r w:rsidRPr="00BE0B1A">
        <w:rPr>
          <w:rFonts w:ascii="Times New Roman CYR" w:eastAsia="MS Mincho" w:hAnsi="Times New Roman CYR" w:cs="Times New Roman CYR"/>
          <w:bCs/>
          <w:sz w:val="28"/>
          <w:szCs w:val="28"/>
          <w:lang w:val="uk-UA"/>
        </w:rPr>
        <w:t>40</w:t>
      </w:r>
      <w:r w:rsidRPr="00BE0B1A">
        <w:rPr>
          <w:rFonts w:ascii="Times New Roman CYR" w:eastAsia="MS Mincho" w:hAnsi="Times New Roman CYR" w:cs="Times New Roman CYR"/>
          <w:bCs/>
          <w:sz w:val="28"/>
          <w:szCs w:val="28"/>
        </w:rPr>
        <w:t>).</w:t>
      </w:r>
    </w:p>
    <w:p w14:paraId="3E19A9A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Питання про відвід (самовідвід) судді може бути вирішено як до, так і </w:t>
      </w:r>
      <w:r w:rsidRPr="00BE0B1A">
        <w:rPr>
          <w:rFonts w:ascii="Times New Roman CYR" w:eastAsia="MS Mincho" w:hAnsi="Times New Roman CYR" w:cs="Times New Roman CYR"/>
          <w:bCs/>
          <w:sz w:val="28"/>
          <w:szCs w:val="28"/>
        </w:rPr>
        <w:lastRenderedPageBreak/>
        <w:t>після відкриття провадження у справі.</w:t>
      </w:r>
    </w:p>
    <w:p w14:paraId="798E66FF"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Питання про відвід судді вирішує суд, який розглядає справу. Суд задовольняє відвід, якщо доходить висновку про його обґрунтованість.</w:t>
      </w:r>
    </w:p>
    <w:p w14:paraId="6712441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Якщо суд доходить висновку про необґрунтованість заявленого відводу, він вирішує питання про зупинення провадження у справі. У такому випадку вирішення питання про відвід судді здійснюється суддею, який не входить до складу суду, що розглядає справу, і визначається у порядку, встановленому частиною першою статті 33 цього Кодексу. Такому судді не може бути заявлений відвід</w:t>
      </w:r>
      <w:r w:rsidRPr="00BE0B1A">
        <w:rPr>
          <w:rFonts w:ascii="Times New Roman CYR" w:eastAsia="MS Mincho" w:hAnsi="Times New Roman CYR" w:cs="Times New Roman CYR"/>
          <w:bCs/>
          <w:sz w:val="28"/>
          <w:szCs w:val="28"/>
          <w:lang w:val="uk-UA"/>
        </w:rPr>
        <w:t xml:space="preserve"> (ст. 40 ЦПК)</w:t>
      </w:r>
      <w:r w:rsidRPr="00BE0B1A">
        <w:rPr>
          <w:rFonts w:ascii="Times New Roman CYR" w:eastAsia="MS Mincho" w:hAnsi="Times New Roman CYR" w:cs="Times New Roman CYR"/>
          <w:bCs/>
          <w:sz w:val="28"/>
          <w:szCs w:val="28"/>
        </w:rPr>
        <w:t>.</w:t>
      </w:r>
    </w:p>
    <w:p w14:paraId="42CAFF2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Питання про самовідвід судді може бути вирішено як до, так і після відкриття провадження у справі.</w:t>
      </w:r>
    </w:p>
    <w:p w14:paraId="00AB11A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bookmarkStart w:id="20" w:name="n9862"/>
      <w:bookmarkEnd w:id="20"/>
      <w:r w:rsidRPr="00BE0B1A">
        <w:rPr>
          <w:rFonts w:ascii="Times New Roman CYR" w:eastAsia="MS Mincho" w:hAnsi="Times New Roman CYR" w:cs="Times New Roman CYR"/>
          <w:bCs/>
          <w:sz w:val="28"/>
          <w:szCs w:val="28"/>
        </w:rPr>
        <w:t>Питання про самовідвід вирішується в нарадчій кімнаті ухвалою суду, що розглядає справу.</w:t>
      </w:r>
    </w:p>
    <w:p w14:paraId="3DD0D3AA"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bookmarkStart w:id="21" w:name="n9863"/>
      <w:bookmarkEnd w:id="21"/>
      <w:r w:rsidRPr="00BE0B1A">
        <w:rPr>
          <w:rFonts w:ascii="Times New Roman CYR" w:eastAsia="MS Mincho" w:hAnsi="Times New Roman CYR" w:cs="Times New Roman CYR"/>
          <w:bCs/>
          <w:sz w:val="28"/>
          <w:szCs w:val="28"/>
        </w:rPr>
        <w:t>Питання про відвід судді вирішується судом, який розглядає справу. Суд задовольняє відвід, якщо доходить висновку про його обґрунтованість</w:t>
      </w:r>
      <w:r w:rsidRPr="00BE0B1A">
        <w:rPr>
          <w:rFonts w:ascii="Times New Roman CYR" w:eastAsia="MS Mincho" w:hAnsi="Times New Roman CYR" w:cs="Times New Roman CYR"/>
          <w:bCs/>
          <w:sz w:val="28"/>
          <w:szCs w:val="28"/>
          <w:lang w:val="uk-UA"/>
        </w:rPr>
        <w:t xml:space="preserve"> (ст. 40 КАС)</w:t>
      </w:r>
      <w:r w:rsidRPr="00BE0B1A">
        <w:rPr>
          <w:rFonts w:ascii="Times New Roman CYR" w:eastAsia="MS Mincho" w:hAnsi="Times New Roman CYR" w:cs="Times New Roman CYR"/>
          <w:bCs/>
          <w:sz w:val="28"/>
          <w:szCs w:val="28"/>
        </w:rPr>
        <w:t>.</w:t>
      </w:r>
    </w:p>
    <w:p w14:paraId="0F54E9B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При розгляді відводу має бути вислухана особа, якій заявлено відвід, якщо вона бажає дати пояснення, а також думка осіб, які беруть участь у кримінальному провадженні. Питання про відвід вирішується в нарадчій кімнаті вмотивованою ухвалою слідчого судді, судді (суду). Заява про відвід, що розглядається судом колегіально, вирішується простою більшістю голосів.</w:t>
      </w:r>
    </w:p>
    <w:p w14:paraId="4797D9D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bookmarkStart w:id="22" w:name="n1035"/>
      <w:bookmarkEnd w:id="22"/>
      <w:r w:rsidRPr="00BE0B1A">
        <w:rPr>
          <w:rFonts w:ascii="Times New Roman CYR" w:eastAsia="MS Mincho" w:hAnsi="Times New Roman CYR" w:cs="Times New Roman CYR"/>
          <w:bCs/>
          <w:sz w:val="28"/>
          <w:szCs w:val="28"/>
        </w:rPr>
        <w:t>Якщо повторно заявлений відвід має ознаки зловживання правом на відвід з метою затягування кримінального провадження, суд, який здійснює провадження, має право залишити таку заяву без розгляду</w:t>
      </w:r>
      <w:r w:rsidRPr="00BE0B1A">
        <w:rPr>
          <w:rFonts w:ascii="Times New Roman CYR" w:eastAsia="MS Mincho" w:hAnsi="Times New Roman CYR" w:cs="Times New Roman CYR"/>
          <w:bCs/>
          <w:sz w:val="28"/>
          <w:szCs w:val="28"/>
          <w:lang w:val="uk-UA"/>
        </w:rPr>
        <w:t xml:space="preserve"> (ст.81 КПК)</w:t>
      </w:r>
      <w:r w:rsidRPr="00BE0B1A">
        <w:rPr>
          <w:rFonts w:ascii="Times New Roman CYR" w:eastAsia="MS Mincho" w:hAnsi="Times New Roman CYR" w:cs="Times New Roman CYR"/>
          <w:bCs/>
          <w:sz w:val="28"/>
          <w:szCs w:val="28"/>
        </w:rPr>
        <w:t>.</w:t>
      </w:r>
    </w:p>
    <w:p w14:paraId="278BFED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Питання про відвід (самовідвід) судді може бути вирішено як до, так і після відкриття провадження у справі.</w:t>
      </w:r>
    </w:p>
    <w:p w14:paraId="40BB743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bookmarkStart w:id="23" w:name="n1807"/>
      <w:bookmarkEnd w:id="23"/>
      <w:r w:rsidRPr="00BE0B1A">
        <w:rPr>
          <w:rFonts w:ascii="Times New Roman CYR" w:eastAsia="MS Mincho" w:hAnsi="Times New Roman CYR" w:cs="Times New Roman CYR"/>
          <w:bCs/>
          <w:sz w:val="28"/>
          <w:szCs w:val="28"/>
        </w:rPr>
        <w:t>Питання про відвід судді вирішує суд, який розглядає справу. Суд задовольняє відвід, якщо доходить висновку про його обґрунтованість</w:t>
      </w:r>
      <w:r w:rsidRPr="00BE0B1A">
        <w:rPr>
          <w:rFonts w:ascii="Times New Roman CYR" w:eastAsia="MS Mincho" w:hAnsi="Times New Roman CYR" w:cs="Times New Roman CYR"/>
          <w:bCs/>
          <w:sz w:val="28"/>
          <w:szCs w:val="28"/>
          <w:lang w:val="uk-UA"/>
        </w:rPr>
        <w:t xml:space="preserve"> (ст. 39 ГПК)</w:t>
      </w:r>
      <w:r w:rsidRPr="00BE0B1A">
        <w:rPr>
          <w:rFonts w:ascii="Times New Roman CYR" w:eastAsia="MS Mincho" w:hAnsi="Times New Roman CYR" w:cs="Times New Roman CYR"/>
          <w:bCs/>
          <w:sz w:val="28"/>
          <w:szCs w:val="28"/>
        </w:rPr>
        <w:t>.</w:t>
      </w:r>
    </w:p>
    <w:p w14:paraId="7267199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 xml:space="preserve">Також необхідно зазначити, що можливість процедури самовідводу </w:t>
      </w:r>
      <w:r w:rsidRPr="00BE0B1A">
        <w:rPr>
          <w:rFonts w:ascii="Times New Roman CYR" w:eastAsia="MS Mincho" w:hAnsi="Times New Roman CYR" w:cs="Times New Roman CYR"/>
          <w:bCs/>
          <w:sz w:val="28"/>
          <w:szCs w:val="28"/>
        </w:rPr>
        <w:lastRenderedPageBreak/>
        <w:t>передбачена у всіх процесуальних кодексах України, тобто законодавець покладає на суддів (за наявності певних підстав) обов’язок ініціювати процедуру самовідводу, що безсумнівно має свідчити про високу сумлінність судді як особистості, його самосвідомість, професіоналізм, незалежність та</w:t>
      </w:r>
      <w:r w:rsidRPr="00BE0B1A">
        <w:t xml:space="preserve"> </w:t>
      </w:r>
      <w:r w:rsidRPr="00BE0B1A">
        <w:rPr>
          <w:rFonts w:ascii="Times New Roman CYR" w:eastAsia="MS Mincho" w:hAnsi="Times New Roman CYR" w:cs="Times New Roman CYR"/>
          <w:bCs/>
          <w:sz w:val="28"/>
          <w:szCs w:val="28"/>
        </w:rPr>
        <w:t>неупередженість, що є неодмінною гарантією справедливого вирішення судових спорів</w:t>
      </w:r>
      <w:r w:rsidRPr="00BE0B1A">
        <w:rPr>
          <w:rFonts w:ascii="Times New Roman CYR" w:eastAsia="MS Mincho" w:hAnsi="Times New Roman CYR" w:cs="Times New Roman CYR"/>
          <w:bCs/>
          <w:sz w:val="28"/>
          <w:szCs w:val="28"/>
          <w:lang w:val="uk-UA"/>
        </w:rPr>
        <w:t>.</w:t>
      </w:r>
    </w:p>
    <w:p w14:paraId="784E3A2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Підбиваючи підсумок, слід відзначити загальну недосконалість </w:t>
      </w:r>
      <w:r>
        <w:rPr>
          <w:rFonts w:ascii="Times New Roman CYR" w:eastAsia="MS Mincho" w:hAnsi="Times New Roman CYR" w:cs="Times New Roman CYR"/>
          <w:bCs/>
          <w:sz w:val="28"/>
          <w:szCs w:val="28"/>
          <w:lang w:val="uk-UA"/>
        </w:rPr>
        <w:t xml:space="preserve">та незавершеність </w:t>
      </w:r>
      <w:r w:rsidRPr="00BE0B1A">
        <w:rPr>
          <w:rFonts w:ascii="Times New Roman CYR" w:eastAsia="MS Mincho" w:hAnsi="Times New Roman CYR" w:cs="Times New Roman CYR"/>
          <w:bCs/>
          <w:sz w:val="28"/>
          <w:szCs w:val="28"/>
        </w:rPr>
        <w:t xml:space="preserve">застосування відводів у кримінальному, цивільному, адміністративному та господарському процесі. Загальною проблемою зазначених процесів є неможливість оскарження ухвал про задоволення (незадоволення) заяв про відвід суддів (чинним законодавством України така можливість не передбачена). </w:t>
      </w:r>
      <w:r>
        <w:rPr>
          <w:rFonts w:ascii="Times New Roman CYR" w:eastAsia="MS Mincho" w:hAnsi="Times New Roman CYR" w:cs="Times New Roman CYR"/>
          <w:bCs/>
          <w:sz w:val="28"/>
          <w:szCs w:val="28"/>
          <w:lang w:val="uk-UA"/>
        </w:rPr>
        <w:t>Крмі того, н</w:t>
      </w:r>
      <w:r w:rsidRPr="00BE0B1A">
        <w:rPr>
          <w:rFonts w:ascii="Times New Roman CYR" w:eastAsia="MS Mincho" w:hAnsi="Times New Roman CYR" w:cs="Times New Roman CYR"/>
          <w:bCs/>
          <w:sz w:val="28"/>
          <w:szCs w:val="28"/>
        </w:rPr>
        <w:t xml:space="preserve">езважаючи на це, на практиці мають місце непоодинокі випадки оскарження таких ухвал. Якщо законодавець все ж таки наважиться надати таке право, йому необхідно бути обережним, оскільки це може стати засобом звичайного затягування процесу. </w:t>
      </w:r>
    </w:p>
    <w:p w14:paraId="6C19EB44"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Для подолання недосконалості при формулюванні норм чинного законодавства, що регулюють відводи в сучасному процесуальному праві, законодавцю потрібно врахувати наступне: </w:t>
      </w:r>
    </w:p>
    <w:p w14:paraId="39638EB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lang w:val="uk-UA"/>
        </w:rPr>
        <w:t xml:space="preserve">- </w:t>
      </w:r>
      <w:r w:rsidRPr="00BE0B1A">
        <w:rPr>
          <w:rFonts w:ascii="Times New Roman CYR" w:eastAsia="MS Mincho" w:hAnsi="Times New Roman CYR" w:cs="Times New Roman CYR"/>
          <w:bCs/>
          <w:sz w:val="28"/>
          <w:szCs w:val="28"/>
        </w:rPr>
        <w:t xml:space="preserve">необхідність оперативного та ефективного розгляду заяв про відвід та </w:t>
      </w:r>
      <w:r>
        <w:rPr>
          <w:rFonts w:ascii="Times New Roman CYR" w:eastAsia="MS Mincho" w:hAnsi="Times New Roman CYR" w:cs="Times New Roman CYR"/>
          <w:bCs/>
          <w:sz w:val="28"/>
          <w:szCs w:val="28"/>
          <w:lang w:val="uk-UA"/>
        </w:rPr>
        <w:t xml:space="preserve">врегулювання </w:t>
      </w:r>
      <w:r w:rsidRPr="00BE0B1A">
        <w:rPr>
          <w:rFonts w:ascii="Times New Roman CYR" w:eastAsia="MS Mincho" w:hAnsi="Times New Roman CYR" w:cs="Times New Roman CYR"/>
          <w:bCs/>
          <w:sz w:val="28"/>
          <w:szCs w:val="28"/>
        </w:rPr>
        <w:t>суб’єкт</w:t>
      </w:r>
      <w:r>
        <w:rPr>
          <w:rFonts w:ascii="Times New Roman CYR" w:eastAsia="MS Mincho" w:hAnsi="Times New Roman CYR" w:cs="Times New Roman CYR"/>
          <w:bCs/>
          <w:sz w:val="28"/>
          <w:szCs w:val="28"/>
          <w:lang w:val="uk-UA"/>
        </w:rPr>
        <w:t>ів</w:t>
      </w:r>
      <w:r w:rsidRPr="00BE0B1A">
        <w:rPr>
          <w:rFonts w:ascii="Times New Roman CYR" w:eastAsia="MS Mincho" w:hAnsi="Times New Roman CYR" w:cs="Times New Roman CYR"/>
          <w:bCs/>
          <w:sz w:val="28"/>
          <w:szCs w:val="28"/>
        </w:rPr>
        <w:t xml:space="preserve"> вирішення цієї заяви; </w:t>
      </w:r>
    </w:p>
    <w:p w14:paraId="3B668B1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lang w:val="uk-UA"/>
        </w:rPr>
        <w:t xml:space="preserve">- </w:t>
      </w:r>
      <w:r w:rsidRPr="00BE0B1A">
        <w:rPr>
          <w:rFonts w:ascii="Times New Roman CYR" w:eastAsia="MS Mincho" w:hAnsi="Times New Roman CYR" w:cs="Times New Roman CYR"/>
          <w:bCs/>
          <w:sz w:val="28"/>
          <w:szCs w:val="28"/>
        </w:rPr>
        <w:t xml:space="preserve">необхідність надання права на оскарження ухвал про задоволення (незадоволення) заяв про відвід суддів; </w:t>
      </w:r>
    </w:p>
    <w:p w14:paraId="67F313A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lang w:val="uk-UA"/>
        </w:rPr>
        <w:t xml:space="preserve">- </w:t>
      </w:r>
      <w:r w:rsidRPr="00BE0B1A">
        <w:rPr>
          <w:rFonts w:ascii="Times New Roman CYR" w:eastAsia="MS Mincho" w:hAnsi="Times New Roman CYR" w:cs="Times New Roman CYR"/>
          <w:bCs/>
          <w:sz w:val="28"/>
          <w:szCs w:val="28"/>
        </w:rPr>
        <w:t>запобігання недобросовісного користування сторонами своїми правами шляхом заявлення учасниками процесу безпідставних та невмотивованих відводів</w:t>
      </w:r>
      <w:r>
        <w:rPr>
          <w:rFonts w:ascii="Times New Roman CYR" w:eastAsia="MS Mincho" w:hAnsi="Times New Roman CYR" w:cs="Times New Roman CYR"/>
          <w:bCs/>
          <w:sz w:val="28"/>
          <w:szCs w:val="28"/>
          <w:lang w:val="uk-UA"/>
        </w:rPr>
        <w:t xml:space="preserve"> суддям</w:t>
      </w:r>
      <w:r w:rsidRPr="00BE0B1A">
        <w:rPr>
          <w:rFonts w:ascii="Times New Roman CYR" w:eastAsia="MS Mincho" w:hAnsi="Times New Roman CYR" w:cs="Times New Roman CYR"/>
          <w:bCs/>
          <w:sz w:val="28"/>
          <w:szCs w:val="28"/>
        </w:rPr>
        <w:t>;</w:t>
      </w:r>
    </w:p>
    <w:p w14:paraId="7345B1C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lang w:val="uk-UA"/>
        </w:rPr>
        <w:t xml:space="preserve">- </w:t>
      </w:r>
      <w:r w:rsidRPr="00BE0B1A">
        <w:rPr>
          <w:rFonts w:ascii="Times New Roman CYR" w:eastAsia="MS Mincho" w:hAnsi="Times New Roman CYR" w:cs="Times New Roman CYR"/>
          <w:bCs/>
          <w:sz w:val="28"/>
          <w:szCs w:val="28"/>
        </w:rPr>
        <w:t xml:space="preserve">пошук шляхів, які б унеможливлювали існування суддівської упередженості чи зацікавленості при розгляді справи. При пошуку шляхів вирішення таких недосконалостей найбільш вдалою видається модель, коли заяву розглядає голова відповідного суду або суд вищої інстанції, але у чітко визначені строки. Проте, з огляду на завантаженість судів, такі строки навряд чи </w:t>
      </w:r>
      <w:r w:rsidRPr="00BE0B1A">
        <w:rPr>
          <w:rFonts w:ascii="Times New Roman CYR" w:eastAsia="MS Mincho" w:hAnsi="Times New Roman CYR" w:cs="Times New Roman CYR"/>
          <w:bCs/>
          <w:sz w:val="28"/>
          <w:szCs w:val="28"/>
        </w:rPr>
        <w:lastRenderedPageBreak/>
        <w:t>будуть дотримані.</w:t>
      </w:r>
    </w:p>
    <w:p w14:paraId="53C1FD6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В межах цього питання </w:t>
      </w:r>
      <w:r w:rsidRPr="00BE0B1A">
        <w:rPr>
          <w:rFonts w:ascii="Times New Roman CYR" w:eastAsia="MS Mincho" w:hAnsi="Times New Roman CYR" w:cs="Times New Roman CYR"/>
          <w:bCs/>
          <w:iCs/>
          <w:sz w:val="28"/>
          <w:szCs w:val="28"/>
        </w:rPr>
        <w:t xml:space="preserve">надзвичайно актуальним питанням для розуміння сутності й закономірності розвитку інституту відводів у </w:t>
      </w:r>
      <w:r w:rsidRPr="00BE0B1A">
        <w:rPr>
          <w:rFonts w:ascii="Times New Roman CYR" w:eastAsia="MS Mincho" w:hAnsi="Times New Roman CYR" w:cs="Times New Roman CYR"/>
          <w:bCs/>
          <w:iCs/>
          <w:sz w:val="28"/>
          <w:szCs w:val="28"/>
          <w:lang w:val="uk-UA"/>
        </w:rPr>
        <w:t>господарському</w:t>
      </w:r>
      <w:r w:rsidRPr="00BE0B1A">
        <w:rPr>
          <w:rFonts w:ascii="Times New Roman CYR" w:eastAsia="MS Mincho" w:hAnsi="Times New Roman CYR" w:cs="Times New Roman CYR"/>
          <w:bCs/>
          <w:iCs/>
          <w:sz w:val="28"/>
          <w:szCs w:val="28"/>
        </w:rPr>
        <w:t xml:space="preserve"> судочинстві є визначення та характеристика його принципів, що ілюструють найбільш важливі моменти у регулюванні питання про відвід. Важливими характеристиками принципів права, на що звертають увагу практично всі процесуалісти, є їх системність, тобто зв’язок принципів між собою за змісту, їх взаємообумовленість та взаємодія </w:t>
      </w:r>
      <w:r>
        <w:rPr>
          <w:rFonts w:ascii="Times New Roman CYR" w:eastAsia="MS Mincho" w:hAnsi="Times New Roman CYR" w:cs="Times New Roman CYR"/>
          <w:bCs/>
          <w:iCs/>
          <w:sz w:val="28"/>
          <w:szCs w:val="28"/>
        </w:rPr>
        <w:t>[13</w:t>
      </w:r>
      <w:r w:rsidRPr="00BE0B1A">
        <w:rPr>
          <w:rFonts w:ascii="Times New Roman CYR" w:eastAsia="MS Mincho" w:hAnsi="Times New Roman CYR" w:cs="Times New Roman CYR"/>
          <w:bCs/>
          <w:iCs/>
          <w:sz w:val="28"/>
          <w:szCs w:val="28"/>
        </w:rPr>
        <w:t xml:space="preserve">, </w:t>
      </w:r>
      <w:r w:rsidRPr="00BE0B1A">
        <w:rPr>
          <w:rFonts w:ascii="Times New Roman CYR" w:eastAsia="MS Mincho" w:hAnsi="Times New Roman CYR" w:cs="Times New Roman CYR"/>
          <w:bCs/>
          <w:iCs/>
          <w:sz w:val="28"/>
          <w:szCs w:val="28"/>
          <w:lang w:val="uk-UA"/>
        </w:rPr>
        <w:t>с. </w:t>
      </w:r>
      <w:r w:rsidRPr="00BE0B1A">
        <w:rPr>
          <w:rFonts w:ascii="Times New Roman CYR" w:eastAsia="MS Mincho" w:hAnsi="Times New Roman CYR" w:cs="Times New Roman CYR"/>
          <w:bCs/>
          <w:iCs/>
          <w:sz w:val="28"/>
          <w:szCs w:val="28"/>
        </w:rPr>
        <w:t>152]. Проте системність принципів права при цьому розуміється не однозначно. Зокрема, невирішеною у правовій науці донині залишається проблема можливості виділення в системі права, поряд із загальними, міжгалузевими та галузевими принципами, принципів окремих правових інститутів</w:t>
      </w:r>
      <w:r w:rsidRPr="00BE0B1A">
        <w:rPr>
          <w:rFonts w:ascii="Times New Roman CYR" w:eastAsia="MS Mincho" w:hAnsi="Times New Roman CYR" w:cs="Times New Roman CYR"/>
          <w:bCs/>
          <w:iCs/>
          <w:sz w:val="28"/>
          <w:szCs w:val="28"/>
          <w:lang w:val="uk-UA"/>
        </w:rPr>
        <w:t>.</w:t>
      </w:r>
    </w:p>
    <w:p w14:paraId="542337A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Важливим аспектом будь-якої юридично значимої діяльності є її засади, які виконують роль вихідних основоположних ідей і положень цієї діяльності, забезпечуючи її результативність, виваженість, оптимальність та відповідність принципам права і нормам закону. </w:t>
      </w:r>
    </w:p>
    <w:p w14:paraId="661AD65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Проблема принципів останнім часом викликає велике зацікавлення у наукових колах і в юридичній літературі. Це зумовлено, зокрема, тим, що саме поняття “принцип” відноситься до числа фундаментальних, містить багатогранні і багатоякісні сторони і опосередкування, які важко охопити якою-небудь однією загальною дефініцією. </w:t>
      </w:r>
    </w:p>
    <w:p w14:paraId="2E9D84D3"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П</w:t>
      </w:r>
      <w:r w:rsidRPr="00BE0B1A">
        <w:rPr>
          <w:rFonts w:ascii="Times New Roman CYR" w:eastAsia="MS Mincho" w:hAnsi="Times New Roman CYR" w:cs="Times New Roman CYR"/>
          <w:bCs/>
          <w:iCs/>
          <w:sz w:val="28"/>
          <w:szCs w:val="28"/>
          <w:lang w:val="uk-UA"/>
        </w:rPr>
        <w:t xml:space="preserve">итання про поняття засад (принципів) </w:t>
      </w:r>
      <w:r w:rsidRPr="00BE0B1A">
        <w:rPr>
          <w:rFonts w:ascii="Times New Roman CYR" w:eastAsia="MS Mincho" w:hAnsi="Times New Roman CYR" w:cs="Times New Roman CYR"/>
          <w:bCs/>
          <w:iCs/>
          <w:sz w:val="28"/>
          <w:szCs w:val="28"/>
        </w:rPr>
        <w:t>в господарському</w:t>
      </w:r>
      <w:r w:rsidRPr="00BE0B1A">
        <w:rPr>
          <w:rFonts w:ascii="Times New Roman CYR" w:eastAsia="MS Mincho" w:hAnsi="Times New Roman CYR" w:cs="Times New Roman CYR"/>
          <w:bCs/>
          <w:iCs/>
          <w:sz w:val="28"/>
          <w:szCs w:val="28"/>
          <w:lang w:val="uk-UA"/>
        </w:rPr>
        <w:t xml:space="preserve"> процесуальному</w:t>
      </w:r>
      <w:r w:rsidRPr="00BE0B1A">
        <w:rPr>
          <w:rFonts w:ascii="Times New Roman CYR" w:eastAsia="MS Mincho" w:hAnsi="Times New Roman CYR" w:cs="Times New Roman CYR"/>
          <w:bCs/>
          <w:iCs/>
          <w:sz w:val="28"/>
          <w:szCs w:val="28"/>
        </w:rPr>
        <w:t xml:space="preserve"> праві</w:t>
      </w:r>
      <w:r w:rsidRPr="00BE0B1A">
        <w:rPr>
          <w:rFonts w:ascii="Times New Roman CYR" w:eastAsia="MS Mincho" w:hAnsi="Times New Roman CYR" w:cs="Times New Roman CYR"/>
          <w:bCs/>
          <w:iCs/>
          <w:sz w:val="28"/>
          <w:szCs w:val="28"/>
          <w:lang w:val="uk-UA"/>
        </w:rPr>
        <w:t xml:space="preserve"> є одним із найважливіших та найскладніших у науці права </w:t>
      </w:r>
      <w:r w:rsidRPr="00774B9C">
        <w:rPr>
          <w:rFonts w:ascii="Times New Roman CYR" w:eastAsia="MS Mincho" w:hAnsi="Times New Roman CYR" w:cs="Times New Roman CYR"/>
          <w:bCs/>
          <w:iCs/>
          <w:sz w:val="28"/>
          <w:szCs w:val="28"/>
        </w:rPr>
        <w:t>[17</w:t>
      </w:r>
      <w:r w:rsidRPr="00BE0B1A">
        <w:rPr>
          <w:rFonts w:ascii="Times New Roman CYR" w:eastAsia="MS Mincho" w:hAnsi="Times New Roman CYR" w:cs="Times New Roman CYR"/>
          <w:bCs/>
          <w:iCs/>
          <w:sz w:val="28"/>
          <w:szCs w:val="28"/>
          <w:lang w:val="uk-UA"/>
        </w:rPr>
        <w:t>, с. 55</w:t>
      </w:r>
      <w:r w:rsidRPr="00774B9C">
        <w:rPr>
          <w:rFonts w:ascii="Times New Roman CYR" w:eastAsia="MS Mincho" w:hAnsi="Times New Roman CYR" w:cs="Times New Roman CYR"/>
          <w:bCs/>
          <w:iCs/>
          <w:sz w:val="28"/>
          <w:szCs w:val="28"/>
        </w:rPr>
        <w:t>]</w:t>
      </w:r>
      <w:r w:rsidRPr="00BE0B1A">
        <w:rPr>
          <w:rFonts w:ascii="Times New Roman CYR" w:eastAsia="MS Mincho" w:hAnsi="Times New Roman CYR" w:cs="Times New Roman CYR"/>
          <w:bCs/>
          <w:iCs/>
          <w:sz w:val="28"/>
          <w:szCs w:val="28"/>
          <w:lang w:val="uk-UA"/>
        </w:rPr>
        <w:t xml:space="preserve">. </w:t>
      </w:r>
    </w:p>
    <w:p w14:paraId="6BFD557C" w14:textId="77777777" w:rsidR="001C6AA0"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Pr>
          <w:rFonts w:ascii="Times New Roman CYR" w:eastAsia="MS Mincho" w:hAnsi="Times New Roman CYR" w:cs="Times New Roman CYR"/>
          <w:bCs/>
          <w:iCs/>
          <w:sz w:val="28"/>
          <w:szCs w:val="28"/>
          <w:lang w:val="uk-UA"/>
        </w:rPr>
        <w:t xml:space="preserve">З метою з’ясування специфіки та правової природі інституту відводу доцільним є розгляд </w:t>
      </w:r>
      <w:r w:rsidRPr="004F3938">
        <w:rPr>
          <w:rFonts w:ascii="Times New Roman CYR" w:eastAsia="MS Mincho" w:hAnsi="Times New Roman CYR" w:cs="Times New Roman CYR"/>
          <w:bCs/>
          <w:iCs/>
          <w:sz w:val="28"/>
          <w:szCs w:val="28"/>
          <w:lang w:val="uk-UA"/>
        </w:rPr>
        <w:t xml:space="preserve">принципів </w:t>
      </w:r>
      <w:r>
        <w:rPr>
          <w:rFonts w:ascii="Times New Roman CYR" w:eastAsia="MS Mincho" w:hAnsi="Times New Roman CYR" w:cs="Times New Roman CYR"/>
          <w:bCs/>
          <w:iCs/>
          <w:sz w:val="28"/>
          <w:szCs w:val="28"/>
          <w:lang w:val="uk-UA"/>
        </w:rPr>
        <w:t xml:space="preserve">інституту відводу </w:t>
      </w:r>
      <w:r w:rsidRPr="004F3938">
        <w:rPr>
          <w:rFonts w:ascii="Times New Roman CYR" w:eastAsia="MS Mincho" w:hAnsi="Times New Roman CYR" w:cs="Times New Roman CYR"/>
          <w:bCs/>
          <w:iCs/>
          <w:sz w:val="28"/>
          <w:szCs w:val="28"/>
        </w:rPr>
        <w:t xml:space="preserve">в господарському </w:t>
      </w:r>
      <w:r w:rsidRPr="004F3938">
        <w:rPr>
          <w:rFonts w:ascii="Times New Roman CYR" w:eastAsia="MS Mincho" w:hAnsi="Times New Roman CYR" w:cs="Times New Roman CYR"/>
          <w:bCs/>
          <w:iCs/>
          <w:sz w:val="28"/>
          <w:szCs w:val="28"/>
          <w:lang w:val="uk-UA"/>
        </w:rPr>
        <w:t>судочинстві</w:t>
      </w:r>
      <w:r>
        <w:rPr>
          <w:rFonts w:ascii="Times New Roman CYR" w:eastAsia="MS Mincho" w:hAnsi="Times New Roman CYR" w:cs="Times New Roman CYR"/>
          <w:bCs/>
          <w:iCs/>
          <w:sz w:val="28"/>
          <w:szCs w:val="28"/>
          <w:lang w:val="uk-UA"/>
        </w:rPr>
        <w:t>.</w:t>
      </w:r>
    </w:p>
    <w:p w14:paraId="70C5772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При розгляді принципів </w:t>
      </w:r>
      <w:r w:rsidRPr="00BE0B1A">
        <w:rPr>
          <w:rFonts w:ascii="Times New Roman CYR" w:eastAsia="MS Mincho" w:hAnsi="Times New Roman CYR" w:cs="Times New Roman CYR"/>
          <w:bCs/>
          <w:iCs/>
          <w:sz w:val="28"/>
          <w:szCs w:val="28"/>
        </w:rPr>
        <w:t xml:space="preserve">в господарському </w:t>
      </w:r>
      <w:r w:rsidRPr="00BE0B1A">
        <w:rPr>
          <w:rFonts w:ascii="Times New Roman CYR" w:eastAsia="MS Mincho" w:hAnsi="Times New Roman CYR" w:cs="Times New Roman CYR"/>
          <w:bCs/>
          <w:iCs/>
          <w:sz w:val="28"/>
          <w:szCs w:val="28"/>
          <w:lang w:val="uk-UA"/>
        </w:rPr>
        <w:t xml:space="preserve">судочинстві хотілося б акцентувати увагу на тому, що проблема наукового пошуку змісту та сутності принципів має сьогодні актуальне теоретичне і практичне значення. </w:t>
      </w:r>
    </w:p>
    <w:p w14:paraId="6278C57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lastRenderedPageBreak/>
        <w:t>П</w:t>
      </w:r>
      <w:r w:rsidRPr="00BE0B1A">
        <w:rPr>
          <w:rFonts w:ascii="Times New Roman CYR" w:eastAsia="MS Mincho" w:hAnsi="Times New Roman CYR" w:cs="Times New Roman CYR"/>
          <w:bCs/>
          <w:iCs/>
          <w:sz w:val="28"/>
          <w:szCs w:val="28"/>
          <w:lang w:val="uk-UA"/>
        </w:rPr>
        <w:t xml:space="preserve">ерш за все, перед дослідженням принципів </w:t>
      </w:r>
      <w:r w:rsidRPr="00BE0B1A">
        <w:rPr>
          <w:rFonts w:ascii="Times New Roman CYR" w:eastAsia="MS Mincho" w:hAnsi="Times New Roman CYR" w:cs="Times New Roman CYR"/>
          <w:bCs/>
          <w:iCs/>
          <w:sz w:val="28"/>
          <w:szCs w:val="28"/>
        </w:rPr>
        <w:t>в господарському праві</w:t>
      </w:r>
      <w:r w:rsidRPr="00BE0B1A">
        <w:rPr>
          <w:rFonts w:ascii="Times New Roman CYR" w:eastAsia="MS Mincho" w:hAnsi="Times New Roman CYR" w:cs="Times New Roman CYR"/>
          <w:bCs/>
          <w:iCs/>
          <w:sz w:val="28"/>
          <w:szCs w:val="28"/>
          <w:lang w:val="uk-UA"/>
        </w:rPr>
        <w:t xml:space="preserve"> визначимося щодо етимології поняття “принцип”. Отже, термін “принцип” походить від латинського слова “principium” (основа, начало), яке означає основні, найзагальніші, вихідні положення, засоби, правила, що визначають природу і соціальну сутність явища, його спрямованість і найсуттєвіші властивості </w:t>
      </w:r>
      <w:r>
        <w:rPr>
          <w:rFonts w:ascii="Times New Roman CYR" w:eastAsia="MS Mincho" w:hAnsi="Times New Roman CYR" w:cs="Times New Roman CYR"/>
          <w:bCs/>
          <w:iCs/>
          <w:sz w:val="28"/>
          <w:szCs w:val="28"/>
          <w:lang w:val="uk-UA"/>
        </w:rPr>
        <w:t>[44</w:t>
      </w:r>
      <w:r w:rsidRPr="00BE0B1A">
        <w:rPr>
          <w:rFonts w:ascii="Times New Roman CYR" w:eastAsia="MS Mincho" w:hAnsi="Times New Roman CYR" w:cs="Times New Roman CYR"/>
          <w:bCs/>
          <w:iCs/>
          <w:sz w:val="28"/>
          <w:szCs w:val="28"/>
          <w:lang w:val="uk-UA"/>
        </w:rPr>
        <w:t xml:space="preserve">, с. 693; 42, с. 43]; основне вихідне положення якої-небудь наукової системи, теорії; особливість, покладена в основу створення або здійснення чогось; переконання, норма, правило, яким керується хто-небудь в житті, поведінці </w:t>
      </w:r>
      <w:r>
        <w:rPr>
          <w:rFonts w:ascii="Times New Roman CYR" w:eastAsia="MS Mincho" w:hAnsi="Times New Roman CYR" w:cs="Times New Roman CYR"/>
          <w:bCs/>
          <w:iCs/>
          <w:sz w:val="28"/>
          <w:szCs w:val="28"/>
          <w:lang w:val="uk-UA"/>
        </w:rPr>
        <w:t>[69</w:t>
      </w:r>
      <w:r w:rsidRPr="00BE0B1A">
        <w:rPr>
          <w:rFonts w:ascii="Times New Roman CYR" w:eastAsia="MS Mincho" w:hAnsi="Times New Roman CYR" w:cs="Times New Roman CYR"/>
          <w:bCs/>
          <w:iCs/>
          <w:sz w:val="28"/>
          <w:szCs w:val="28"/>
          <w:lang w:val="uk-UA"/>
        </w:rPr>
        <w:t>, с. 99].</w:t>
      </w:r>
    </w:p>
    <w:p w14:paraId="4E3B7BC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В юридичній енциклопедії під принципами розуміються основні засади, вихідні ідеї, що характеризуються універсальністю, загальною значущістю, вищою імперативністю і відображають суттєві положення теорії, вчення, науки, системи внутрішнього і міжнародного права </w:t>
      </w:r>
      <w:r>
        <w:rPr>
          <w:rFonts w:ascii="Times New Roman CYR" w:eastAsia="MS Mincho" w:hAnsi="Times New Roman CYR" w:cs="Times New Roman CYR"/>
          <w:bCs/>
          <w:iCs/>
          <w:sz w:val="28"/>
          <w:szCs w:val="28"/>
          <w:lang w:val="uk-UA"/>
        </w:rPr>
        <w:t>[29</w:t>
      </w:r>
      <w:r w:rsidRPr="00BE0B1A">
        <w:rPr>
          <w:rFonts w:ascii="Times New Roman CYR" w:eastAsia="MS Mincho" w:hAnsi="Times New Roman CYR" w:cs="Times New Roman CYR"/>
          <w:bCs/>
          <w:iCs/>
          <w:sz w:val="28"/>
          <w:szCs w:val="28"/>
          <w:lang w:val="uk-UA"/>
        </w:rPr>
        <w:t xml:space="preserve">, с. 110-111]. </w:t>
      </w:r>
      <w:r>
        <w:rPr>
          <w:rFonts w:ascii="Times New Roman CYR" w:eastAsia="MS Mincho" w:hAnsi="Times New Roman CYR" w:cs="Times New Roman CYR"/>
          <w:bCs/>
          <w:iCs/>
          <w:sz w:val="28"/>
          <w:szCs w:val="28"/>
          <w:lang w:val="uk-UA"/>
        </w:rPr>
        <w:t>Проведений аналіз дозволяє зауважити, що під принципом слід розуміти вихідні та головні положення системи, теорії тощо.</w:t>
      </w:r>
    </w:p>
    <w:p w14:paraId="5B07970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При характеристиці принципу зазвичай звертається увага на те, що він, по-перше, являє собою ідею, положення, вимогу, по-друге, він є не простим положенням (ідеєю, вимогою), а основним, засадничим, фундаментальним, вихідним, загальним, керівним, відправним, провідним, чільним </w:t>
      </w:r>
      <w:r>
        <w:rPr>
          <w:rFonts w:ascii="Times New Roman CYR" w:eastAsia="MS Mincho" w:hAnsi="Times New Roman CYR" w:cs="Times New Roman CYR"/>
          <w:bCs/>
          <w:iCs/>
          <w:sz w:val="28"/>
          <w:szCs w:val="28"/>
          <w:lang w:val="uk-UA"/>
        </w:rPr>
        <w:t>[71</w:t>
      </w:r>
      <w:r w:rsidRPr="00BE0B1A">
        <w:rPr>
          <w:rFonts w:ascii="Times New Roman CYR" w:eastAsia="MS Mincho" w:hAnsi="Times New Roman CYR" w:cs="Times New Roman CYR"/>
          <w:bCs/>
          <w:iCs/>
          <w:sz w:val="28"/>
          <w:szCs w:val="28"/>
          <w:lang w:val="uk-UA"/>
        </w:rPr>
        <w:t xml:space="preserve">, с. 396]. Отже, категорія “принцип” використовується у всіх випадках, коли йдеться про відправні ідеї, положення і концептуальні засади. Принципи в господарському судочинстві є основними, вихідними положеннями, основними правилами діяльності; найбільш повно виражають зміст міжнародного права. </w:t>
      </w:r>
    </w:p>
    <w:p w14:paraId="4D3A6B7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З точки зору гносеології важливо підкреслити, що категорія “принцип” надзвичайно тісно пов’язана з категоріями “закономірність” і “сутність”. Однопорядковий характер цих понять дає підстави визначати правові принципи через закономірності розвитку суспільства (загальносоціальні принципи) і права (юридичні принципи), а також через сутність і головний зміст останнього </w:t>
      </w:r>
      <w:r>
        <w:rPr>
          <w:rFonts w:ascii="Times New Roman CYR" w:eastAsia="MS Mincho" w:hAnsi="Times New Roman CYR" w:cs="Times New Roman CYR"/>
          <w:bCs/>
          <w:iCs/>
          <w:sz w:val="28"/>
          <w:szCs w:val="28"/>
          <w:lang w:val="uk-UA"/>
        </w:rPr>
        <w:t>[58</w:t>
      </w:r>
      <w:r w:rsidRPr="00BE0B1A">
        <w:rPr>
          <w:rFonts w:ascii="Times New Roman CYR" w:eastAsia="MS Mincho" w:hAnsi="Times New Roman CYR" w:cs="Times New Roman CYR"/>
          <w:bCs/>
          <w:iCs/>
          <w:sz w:val="28"/>
          <w:szCs w:val="28"/>
          <w:lang w:val="uk-UA"/>
        </w:rPr>
        <w:t>, с. 16].</w:t>
      </w:r>
    </w:p>
    <w:p w14:paraId="5539B8B4"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Отже, можна зробити висновок, що категорія “принцип” розглядається </w:t>
      </w:r>
      <w:r w:rsidRPr="00BE0B1A">
        <w:rPr>
          <w:rFonts w:ascii="Times New Roman CYR" w:eastAsia="MS Mincho" w:hAnsi="Times New Roman CYR" w:cs="Times New Roman CYR"/>
          <w:bCs/>
          <w:iCs/>
          <w:sz w:val="28"/>
          <w:szCs w:val="28"/>
          <w:lang w:val="uk-UA"/>
        </w:rPr>
        <w:lastRenderedPageBreak/>
        <w:t>як певна фундаментальна ідея, засада, за якими відбувається формування всієї системи господарського права.</w:t>
      </w:r>
    </w:p>
    <w:p w14:paraId="226FB0A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Цінність принципів права полягає в тому, що вони одночасно здатні визначати зміст системи права та її структурних елементів, бути засобом для тлумачення правових норм, а також бути безпосередньо регулятором правовідносин, у тому числі долаючи прогалини у праві, що особливо є актуальним для галузі господарського права через стрімку динаміку розвитку господарських відносин та постійне розширення сфер господарювання. </w:t>
      </w:r>
    </w:p>
    <w:p w14:paraId="31D7BEC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Принципи права впливають як на процес нормотворчості, так і на процес правозастосування. Разом із тим у середовищі практикуючих юристів принципи права сприймаються лише як теоретична, навіть ідеологічна складова права, яка позбавлена будь-якого практичного значення. </w:t>
      </w:r>
    </w:p>
    <w:p w14:paraId="3CBF5554"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Такий формальний підхід до принципів права обумовлений, зокрема, неналежним приділенням уваги до цієї тематики як у курсах навчання та підготовки фахівців у галузі права, так і недостатньою увагою до цієї теми з боку теоретичних досліджень, що, у свою чергу, відображається в недоліках як нормотворчості, так і правозастосування.</w:t>
      </w:r>
    </w:p>
    <w:p w14:paraId="13393A5B" w14:textId="77777777" w:rsidR="001C6AA0" w:rsidRPr="004F3938"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lang w:val="uk-UA"/>
        </w:rPr>
        <w:t xml:space="preserve">Також слід відмітити </w:t>
      </w:r>
      <w:r>
        <w:rPr>
          <w:rFonts w:ascii="Times New Roman CYR" w:eastAsia="MS Mincho" w:hAnsi="Times New Roman CYR" w:cs="Times New Roman CYR"/>
          <w:bCs/>
          <w:iCs/>
          <w:sz w:val="28"/>
          <w:szCs w:val="28"/>
          <w:lang w:val="uk-UA"/>
        </w:rPr>
        <w:t>наявність</w:t>
      </w:r>
      <w:r w:rsidRPr="00BE0B1A">
        <w:rPr>
          <w:rFonts w:ascii="Times New Roman CYR" w:eastAsia="MS Mincho" w:hAnsi="Times New Roman CYR" w:cs="Times New Roman CYR"/>
          <w:bCs/>
          <w:iCs/>
          <w:sz w:val="28"/>
          <w:szCs w:val="28"/>
          <w:lang w:val="uk-UA"/>
        </w:rPr>
        <w:t xml:space="preserve"> у Господарському </w:t>
      </w:r>
      <w:r>
        <w:rPr>
          <w:rFonts w:ascii="Times New Roman CYR" w:eastAsia="MS Mincho" w:hAnsi="Times New Roman CYR" w:cs="Times New Roman CYR"/>
          <w:bCs/>
          <w:iCs/>
          <w:sz w:val="28"/>
          <w:szCs w:val="28"/>
          <w:lang w:val="uk-UA"/>
        </w:rPr>
        <w:t xml:space="preserve">процесуальному </w:t>
      </w:r>
      <w:r w:rsidRPr="00BE0B1A">
        <w:rPr>
          <w:rFonts w:ascii="Times New Roman CYR" w:eastAsia="MS Mincho" w:hAnsi="Times New Roman CYR" w:cs="Times New Roman CYR"/>
          <w:bCs/>
          <w:iCs/>
          <w:sz w:val="28"/>
          <w:szCs w:val="28"/>
          <w:lang w:val="uk-UA"/>
        </w:rPr>
        <w:t xml:space="preserve">кодексі України статті, яка </w:t>
      </w:r>
      <w:r>
        <w:rPr>
          <w:rFonts w:ascii="Times New Roman CYR" w:eastAsia="MS Mincho" w:hAnsi="Times New Roman CYR" w:cs="Times New Roman CYR"/>
          <w:bCs/>
          <w:iCs/>
          <w:sz w:val="28"/>
          <w:szCs w:val="28"/>
          <w:lang w:val="uk-UA"/>
        </w:rPr>
        <w:t xml:space="preserve">містить </w:t>
      </w:r>
      <w:r w:rsidRPr="004F3938">
        <w:rPr>
          <w:rFonts w:ascii="Times New Roman CYR" w:eastAsia="MS Mincho" w:hAnsi="Times New Roman CYR" w:cs="Times New Roman CYR"/>
          <w:bCs/>
          <w:iCs/>
          <w:sz w:val="28"/>
          <w:szCs w:val="28"/>
          <w:lang w:val="uk-UA"/>
        </w:rPr>
        <w:t>основн</w:t>
      </w:r>
      <w:r>
        <w:rPr>
          <w:rFonts w:ascii="Times New Roman CYR" w:eastAsia="MS Mincho" w:hAnsi="Times New Roman CYR" w:cs="Times New Roman CYR"/>
          <w:bCs/>
          <w:iCs/>
          <w:sz w:val="28"/>
          <w:szCs w:val="28"/>
          <w:lang w:val="uk-UA"/>
        </w:rPr>
        <w:t>і</w:t>
      </w:r>
      <w:r w:rsidRPr="004F3938">
        <w:rPr>
          <w:rFonts w:ascii="Times New Roman CYR" w:eastAsia="MS Mincho" w:hAnsi="Times New Roman CYR" w:cs="Times New Roman CYR"/>
          <w:bCs/>
          <w:iCs/>
          <w:sz w:val="28"/>
          <w:szCs w:val="28"/>
          <w:lang w:val="uk-UA"/>
        </w:rPr>
        <w:t xml:space="preserve"> </w:t>
      </w:r>
      <w:r>
        <w:rPr>
          <w:rFonts w:ascii="Times New Roman CYR" w:eastAsia="MS Mincho" w:hAnsi="Times New Roman CYR" w:cs="Times New Roman CYR"/>
          <w:bCs/>
          <w:iCs/>
          <w:sz w:val="28"/>
          <w:szCs w:val="28"/>
          <w:lang w:val="uk-UA"/>
        </w:rPr>
        <w:t>засади (принцип</w:t>
      </w:r>
      <w:r w:rsidRPr="004F3938">
        <w:rPr>
          <w:rFonts w:ascii="Times New Roman CYR" w:eastAsia="MS Mincho" w:hAnsi="Times New Roman CYR" w:cs="Times New Roman CYR"/>
          <w:bCs/>
          <w:iCs/>
          <w:sz w:val="28"/>
          <w:szCs w:val="28"/>
          <w:lang w:val="uk-UA"/>
        </w:rPr>
        <w:t>и) господарського судочинства</w:t>
      </w:r>
      <w:r w:rsidRPr="00BE0B1A">
        <w:rPr>
          <w:rFonts w:ascii="Times New Roman CYR" w:eastAsia="MS Mincho" w:hAnsi="Times New Roman CYR" w:cs="Times New Roman CYR"/>
          <w:bCs/>
          <w:iCs/>
          <w:sz w:val="28"/>
          <w:szCs w:val="28"/>
          <w:lang w:val="uk-UA"/>
        </w:rPr>
        <w:t>.</w:t>
      </w:r>
      <w:r>
        <w:rPr>
          <w:rFonts w:ascii="Times New Roman CYR" w:eastAsia="MS Mincho" w:hAnsi="Times New Roman CYR" w:cs="Times New Roman CYR"/>
          <w:bCs/>
          <w:iCs/>
          <w:sz w:val="28"/>
          <w:szCs w:val="28"/>
          <w:lang w:val="uk-UA"/>
        </w:rPr>
        <w:t xml:space="preserve"> Так, відповідно до ч. 3 ст. 2 ГПК України </w:t>
      </w:r>
      <w:r w:rsidRPr="004F3938">
        <w:rPr>
          <w:rFonts w:ascii="Times New Roman CYR" w:eastAsia="MS Mincho" w:hAnsi="Times New Roman CYR" w:cs="Times New Roman CYR"/>
          <w:bCs/>
          <w:iCs/>
          <w:sz w:val="28"/>
          <w:szCs w:val="28"/>
        </w:rPr>
        <w:t>основними засадами (принципами) господарського судочинства є:</w:t>
      </w:r>
    </w:p>
    <w:p w14:paraId="15806970" w14:textId="77777777" w:rsidR="001C6AA0" w:rsidRPr="004F3938"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bookmarkStart w:id="24" w:name="n1496"/>
      <w:bookmarkEnd w:id="24"/>
      <w:r w:rsidRPr="004F3938">
        <w:rPr>
          <w:rFonts w:ascii="Times New Roman CYR" w:eastAsia="MS Mincho" w:hAnsi="Times New Roman CYR" w:cs="Times New Roman CYR"/>
          <w:bCs/>
          <w:iCs/>
          <w:sz w:val="28"/>
          <w:szCs w:val="28"/>
        </w:rPr>
        <w:t>1) верховенство права;</w:t>
      </w:r>
    </w:p>
    <w:p w14:paraId="7A599FE3" w14:textId="77777777" w:rsidR="001C6AA0" w:rsidRPr="004F3938"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bookmarkStart w:id="25" w:name="n1497"/>
      <w:bookmarkEnd w:id="25"/>
      <w:r w:rsidRPr="004F3938">
        <w:rPr>
          <w:rFonts w:ascii="Times New Roman CYR" w:eastAsia="MS Mincho" w:hAnsi="Times New Roman CYR" w:cs="Times New Roman CYR"/>
          <w:bCs/>
          <w:iCs/>
          <w:sz w:val="28"/>
          <w:szCs w:val="28"/>
        </w:rPr>
        <w:t>2) рівність усіх учасників судового процесу перед законом і судом;</w:t>
      </w:r>
    </w:p>
    <w:p w14:paraId="5B57BC20" w14:textId="77777777" w:rsidR="001C6AA0" w:rsidRPr="004F3938"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bookmarkStart w:id="26" w:name="n1498"/>
      <w:bookmarkEnd w:id="26"/>
      <w:r w:rsidRPr="004F3938">
        <w:rPr>
          <w:rFonts w:ascii="Times New Roman CYR" w:eastAsia="MS Mincho" w:hAnsi="Times New Roman CYR" w:cs="Times New Roman CYR"/>
          <w:bCs/>
          <w:iCs/>
          <w:sz w:val="28"/>
          <w:szCs w:val="28"/>
        </w:rPr>
        <w:t>3) гласність і відкритість судового процесу та його повне фіксування технічними засобами;</w:t>
      </w:r>
    </w:p>
    <w:p w14:paraId="4FD910C9" w14:textId="77777777" w:rsidR="001C6AA0" w:rsidRPr="004F3938"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bookmarkStart w:id="27" w:name="n1499"/>
      <w:bookmarkEnd w:id="27"/>
      <w:r w:rsidRPr="004F3938">
        <w:rPr>
          <w:rFonts w:ascii="Times New Roman CYR" w:eastAsia="MS Mincho" w:hAnsi="Times New Roman CYR" w:cs="Times New Roman CYR"/>
          <w:bCs/>
          <w:iCs/>
          <w:sz w:val="28"/>
          <w:szCs w:val="28"/>
        </w:rPr>
        <w:t>4) змагальність сторін;</w:t>
      </w:r>
    </w:p>
    <w:p w14:paraId="5565BDD8" w14:textId="77777777" w:rsidR="001C6AA0" w:rsidRPr="004F3938"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bookmarkStart w:id="28" w:name="n1500"/>
      <w:bookmarkEnd w:id="28"/>
      <w:r w:rsidRPr="004F3938">
        <w:rPr>
          <w:rFonts w:ascii="Times New Roman CYR" w:eastAsia="MS Mincho" w:hAnsi="Times New Roman CYR" w:cs="Times New Roman CYR"/>
          <w:bCs/>
          <w:iCs/>
          <w:sz w:val="28"/>
          <w:szCs w:val="28"/>
        </w:rPr>
        <w:t>5) диспозитивність;</w:t>
      </w:r>
    </w:p>
    <w:p w14:paraId="3B30E49B" w14:textId="77777777" w:rsidR="001C6AA0" w:rsidRPr="004F3938"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bookmarkStart w:id="29" w:name="n1501"/>
      <w:bookmarkEnd w:id="29"/>
      <w:r w:rsidRPr="004F3938">
        <w:rPr>
          <w:rFonts w:ascii="Times New Roman CYR" w:eastAsia="MS Mincho" w:hAnsi="Times New Roman CYR" w:cs="Times New Roman CYR"/>
          <w:bCs/>
          <w:iCs/>
          <w:sz w:val="28"/>
          <w:szCs w:val="28"/>
        </w:rPr>
        <w:t>6) пропорційність;</w:t>
      </w:r>
    </w:p>
    <w:p w14:paraId="5DBEDFAE" w14:textId="77777777" w:rsidR="001C6AA0" w:rsidRPr="004F3938"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bookmarkStart w:id="30" w:name="n1502"/>
      <w:bookmarkEnd w:id="30"/>
      <w:r w:rsidRPr="004F3938">
        <w:rPr>
          <w:rFonts w:ascii="Times New Roman CYR" w:eastAsia="MS Mincho" w:hAnsi="Times New Roman CYR" w:cs="Times New Roman CYR"/>
          <w:bCs/>
          <w:iCs/>
          <w:sz w:val="28"/>
          <w:szCs w:val="28"/>
        </w:rPr>
        <w:t>7) обов’язковість судового рішення;</w:t>
      </w:r>
    </w:p>
    <w:p w14:paraId="7E97FA16" w14:textId="77777777" w:rsidR="001C6AA0" w:rsidRPr="004F3938"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bookmarkStart w:id="31" w:name="n1503"/>
      <w:bookmarkEnd w:id="31"/>
      <w:r w:rsidRPr="004F3938">
        <w:rPr>
          <w:rFonts w:ascii="Times New Roman CYR" w:eastAsia="MS Mincho" w:hAnsi="Times New Roman CYR" w:cs="Times New Roman CYR"/>
          <w:bCs/>
          <w:iCs/>
          <w:sz w:val="28"/>
          <w:szCs w:val="28"/>
        </w:rPr>
        <w:t>8) забезпечення права на апеляційний перегляд справи;</w:t>
      </w:r>
    </w:p>
    <w:p w14:paraId="27622311" w14:textId="77777777" w:rsidR="001C6AA0" w:rsidRPr="004F3938"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bookmarkStart w:id="32" w:name="n1504"/>
      <w:bookmarkEnd w:id="32"/>
      <w:r w:rsidRPr="004F3938">
        <w:rPr>
          <w:rFonts w:ascii="Times New Roman CYR" w:eastAsia="MS Mincho" w:hAnsi="Times New Roman CYR" w:cs="Times New Roman CYR"/>
          <w:bCs/>
          <w:iCs/>
          <w:sz w:val="28"/>
          <w:szCs w:val="28"/>
        </w:rPr>
        <w:lastRenderedPageBreak/>
        <w:t>9) забезпечення права на касаційне оскарження судового рішення у визначених законом випадках;</w:t>
      </w:r>
    </w:p>
    <w:p w14:paraId="7AE80D6D" w14:textId="77777777" w:rsidR="001C6AA0" w:rsidRPr="004F3938"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bookmarkStart w:id="33" w:name="n1505"/>
      <w:bookmarkEnd w:id="33"/>
      <w:r w:rsidRPr="004F3938">
        <w:rPr>
          <w:rFonts w:ascii="Times New Roman CYR" w:eastAsia="MS Mincho" w:hAnsi="Times New Roman CYR" w:cs="Times New Roman CYR"/>
          <w:bCs/>
          <w:iCs/>
          <w:sz w:val="28"/>
          <w:szCs w:val="28"/>
        </w:rPr>
        <w:t>10) розумність строків розгляду справи судом;</w:t>
      </w:r>
    </w:p>
    <w:p w14:paraId="33580F07" w14:textId="77777777" w:rsidR="001C6AA0" w:rsidRPr="004F3938"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bookmarkStart w:id="34" w:name="n1506"/>
      <w:bookmarkEnd w:id="34"/>
      <w:r w:rsidRPr="004F3938">
        <w:rPr>
          <w:rFonts w:ascii="Times New Roman CYR" w:eastAsia="MS Mincho" w:hAnsi="Times New Roman CYR" w:cs="Times New Roman CYR"/>
          <w:bCs/>
          <w:iCs/>
          <w:sz w:val="28"/>
          <w:szCs w:val="28"/>
        </w:rPr>
        <w:t>11) неприпустимість зловживання процесуальними правами;</w:t>
      </w:r>
    </w:p>
    <w:p w14:paraId="54453FE8" w14:textId="77777777" w:rsidR="001C6AA0" w:rsidRPr="004F3938"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bookmarkStart w:id="35" w:name="n1507"/>
      <w:bookmarkEnd w:id="35"/>
      <w:r w:rsidRPr="004F3938">
        <w:rPr>
          <w:rFonts w:ascii="Times New Roman CYR" w:eastAsia="MS Mincho" w:hAnsi="Times New Roman CYR" w:cs="Times New Roman CYR"/>
          <w:bCs/>
          <w:iCs/>
          <w:sz w:val="28"/>
          <w:szCs w:val="28"/>
        </w:rPr>
        <w:t>12) відшкодування судових витрат сторони, на користь якої ухвалене судове рішення</w:t>
      </w:r>
      <w:r>
        <w:rPr>
          <w:rFonts w:ascii="Times New Roman CYR" w:eastAsia="MS Mincho" w:hAnsi="Times New Roman CYR" w:cs="Times New Roman CYR"/>
          <w:bCs/>
          <w:iCs/>
          <w:sz w:val="28"/>
          <w:szCs w:val="28"/>
          <w:lang w:val="uk-UA"/>
        </w:rPr>
        <w:t xml:space="preserve"> </w:t>
      </w:r>
      <w:r w:rsidRPr="00774B9C">
        <w:rPr>
          <w:rFonts w:ascii="Times New Roman CYR" w:eastAsia="MS Mincho" w:hAnsi="Times New Roman CYR" w:cs="Times New Roman CYR"/>
          <w:bCs/>
          <w:iCs/>
          <w:sz w:val="28"/>
          <w:szCs w:val="28"/>
        </w:rPr>
        <w:t>[1]</w:t>
      </w:r>
      <w:r w:rsidRPr="004F3938">
        <w:rPr>
          <w:rFonts w:ascii="Times New Roman CYR" w:eastAsia="MS Mincho" w:hAnsi="Times New Roman CYR" w:cs="Times New Roman CYR"/>
          <w:bCs/>
          <w:iCs/>
          <w:sz w:val="28"/>
          <w:szCs w:val="28"/>
        </w:rPr>
        <w:t>.</w:t>
      </w:r>
    </w:p>
    <w:p w14:paraId="7FB1823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Не можна не звернути увагу й на те, що для багатьох правових інститутів, які є загальними, характерним є їх значення для всієї сукупності різнорідних відносин, що формуються в рамках галузі права. А тому твердження, що принципи правових інститутів заперечують прояв принципів у межах всієї галузі права, не зовсім відповідає дійсності. Так, інститут відводу (самовідводу) в цивільному процесі є характерним для всіх видів судочинства та всіх видів стадій цивільного процесу. Отже, принципи інституту відводу не тільки покликані показати його сутність та закономірність розвитку, але й мають значення в рамках всього цивільного судочинства під час руху цивільної справи від початку до завершення.</w:t>
      </w:r>
    </w:p>
    <w:p w14:paraId="57DE71F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Питанню принципів правових інститутів у науці приділялося дуже мало уваги. На сьогодні можна</w:t>
      </w:r>
      <w:r>
        <w:rPr>
          <w:rFonts w:ascii="Times New Roman CYR" w:eastAsia="MS Mincho" w:hAnsi="Times New Roman CYR" w:cs="Times New Roman CYR"/>
          <w:bCs/>
          <w:iCs/>
          <w:sz w:val="28"/>
          <w:szCs w:val="28"/>
        </w:rPr>
        <w:t xml:space="preserve"> погодитися з позицією К. А. Чу</w:t>
      </w:r>
      <w:r w:rsidRPr="00BE0B1A">
        <w:rPr>
          <w:rFonts w:ascii="Times New Roman CYR" w:eastAsia="MS Mincho" w:hAnsi="Times New Roman CYR" w:cs="Times New Roman CYR"/>
          <w:bCs/>
          <w:iCs/>
          <w:sz w:val="28"/>
          <w:szCs w:val="28"/>
        </w:rPr>
        <w:t>діновського про те, що можна виділити існування принципів декількох правових інститутів цивільного процесу</w:t>
      </w:r>
      <w:r>
        <w:rPr>
          <w:rFonts w:ascii="Times New Roman CYR" w:eastAsia="MS Mincho" w:hAnsi="Times New Roman CYR" w:cs="Times New Roman CYR"/>
          <w:bCs/>
          <w:iCs/>
          <w:sz w:val="28"/>
          <w:szCs w:val="28"/>
        </w:rPr>
        <w:t xml:space="preserve">, </w:t>
      </w:r>
      <w:r>
        <w:rPr>
          <w:rFonts w:ascii="Times New Roman CYR" w:eastAsia="MS Mincho" w:hAnsi="Times New Roman CYR" w:cs="Times New Roman CYR"/>
          <w:bCs/>
          <w:iCs/>
          <w:sz w:val="28"/>
          <w:szCs w:val="28"/>
          <w:lang w:val="uk-UA"/>
        </w:rPr>
        <w:t>в тому числі господарського процесу</w:t>
      </w:r>
      <w:r w:rsidRPr="00BE0B1A">
        <w:rPr>
          <w:rFonts w:ascii="Times New Roman CYR" w:eastAsia="MS Mincho" w:hAnsi="Times New Roman CYR" w:cs="Times New Roman CYR"/>
          <w:bCs/>
          <w:iCs/>
          <w:sz w:val="28"/>
          <w:szCs w:val="28"/>
        </w:rPr>
        <w:t xml:space="preserve">: процесуальної форми; участі іноземців у </w:t>
      </w:r>
      <w:r>
        <w:rPr>
          <w:rFonts w:ascii="Times New Roman CYR" w:eastAsia="MS Mincho" w:hAnsi="Times New Roman CYR" w:cs="Times New Roman CYR"/>
          <w:bCs/>
          <w:iCs/>
          <w:sz w:val="28"/>
          <w:szCs w:val="28"/>
          <w:lang w:val="uk-UA"/>
        </w:rPr>
        <w:t>судовому</w:t>
      </w:r>
      <w:r w:rsidRPr="00BE0B1A">
        <w:rPr>
          <w:rFonts w:ascii="Times New Roman CYR" w:eastAsia="MS Mincho" w:hAnsi="Times New Roman CYR" w:cs="Times New Roman CYR"/>
          <w:bCs/>
          <w:iCs/>
          <w:sz w:val="28"/>
          <w:szCs w:val="28"/>
        </w:rPr>
        <w:t xml:space="preserve"> процесі; судового доказування; підвідомчості юридичних справ </w:t>
      </w:r>
      <w:r>
        <w:rPr>
          <w:rFonts w:ascii="Times New Roman CYR" w:eastAsia="MS Mincho" w:hAnsi="Times New Roman CYR" w:cs="Times New Roman CYR"/>
          <w:bCs/>
          <w:iCs/>
          <w:sz w:val="28"/>
          <w:szCs w:val="28"/>
        </w:rPr>
        <w:t>[79</w:t>
      </w:r>
      <w:r w:rsidRPr="00BE0B1A">
        <w:rPr>
          <w:rFonts w:ascii="Times New Roman CYR" w:eastAsia="MS Mincho" w:hAnsi="Times New Roman CYR" w:cs="Times New Roman CYR"/>
          <w:bCs/>
          <w:iCs/>
          <w:sz w:val="28"/>
          <w:szCs w:val="28"/>
        </w:rPr>
        <w:t xml:space="preserve">, </w:t>
      </w:r>
      <w:r w:rsidRPr="00BE0B1A">
        <w:rPr>
          <w:rFonts w:ascii="Times New Roman CYR" w:eastAsia="MS Mincho" w:hAnsi="Times New Roman CYR" w:cs="Times New Roman CYR"/>
          <w:bCs/>
          <w:iCs/>
          <w:sz w:val="28"/>
          <w:szCs w:val="28"/>
          <w:lang w:val="uk-UA"/>
        </w:rPr>
        <w:t>с.</w:t>
      </w:r>
      <w:r w:rsidRPr="00BE0B1A">
        <w:rPr>
          <w:rFonts w:ascii="Times New Roman CYR" w:eastAsia="MS Mincho" w:hAnsi="Times New Roman CYR" w:cs="Times New Roman CYR"/>
          <w:bCs/>
          <w:iCs/>
          <w:sz w:val="28"/>
          <w:szCs w:val="28"/>
        </w:rPr>
        <w:t xml:space="preserve">81]. До цього списку, думається, можна додати ще один правовий інститут, у якому варто виділити та проаналізувати принципи – інституту відводу в </w:t>
      </w:r>
      <w:r>
        <w:rPr>
          <w:rFonts w:ascii="Times New Roman CYR" w:eastAsia="MS Mincho" w:hAnsi="Times New Roman CYR" w:cs="Times New Roman CYR"/>
          <w:bCs/>
          <w:iCs/>
          <w:sz w:val="28"/>
          <w:szCs w:val="28"/>
          <w:lang w:val="uk-UA"/>
        </w:rPr>
        <w:t>господарському</w:t>
      </w:r>
      <w:r w:rsidRPr="00BE0B1A">
        <w:rPr>
          <w:rFonts w:ascii="Times New Roman CYR" w:eastAsia="MS Mincho" w:hAnsi="Times New Roman CYR" w:cs="Times New Roman CYR"/>
          <w:bCs/>
          <w:iCs/>
          <w:sz w:val="28"/>
          <w:szCs w:val="28"/>
        </w:rPr>
        <w:t xml:space="preserve"> процесуальному праві.</w:t>
      </w:r>
    </w:p>
    <w:p w14:paraId="0BC805A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 xml:space="preserve">Якщо виходити з того, що принципи правового інституту є керівні, загальні положення, котрі виражають сутність та особливість правового інституту, до принципів інституту відводу в ци - вільному процесі, на нашу думку, варто віднести такі принципи: </w:t>
      </w:r>
    </w:p>
    <w:p w14:paraId="138D8C1F"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 xml:space="preserve">1) принцип відводу судді та осіб, які сприяють йому у вирішенні справи; </w:t>
      </w:r>
    </w:p>
    <w:p w14:paraId="38453A6F"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 xml:space="preserve">2) принцип обґрунтування заявленого відводу в цивільному процесі; </w:t>
      </w:r>
    </w:p>
    <w:p w14:paraId="52DF7E8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lastRenderedPageBreak/>
        <w:t xml:space="preserve">3) принцип наявності визначених (безумовних) підстав для відводу в цивільному процесі; </w:t>
      </w:r>
    </w:p>
    <w:p w14:paraId="6304EDF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4) принцип вирішення питання відводу виключно судом.</w:t>
      </w:r>
    </w:p>
    <w:p w14:paraId="4F29BAB4"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 xml:space="preserve">1. Принцип відводу судді та осіб, які сприяють йому у вирішенні справи. Цей принцип правового інституту відводу є визначальним, оскільки покликаний показати коло тих суб’єктів, яким у </w:t>
      </w:r>
      <w:r w:rsidRPr="00BE0B1A">
        <w:rPr>
          <w:rFonts w:ascii="Times New Roman CYR" w:eastAsia="MS Mincho" w:hAnsi="Times New Roman CYR" w:cs="Times New Roman CYR"/>
          <w:bCs/>
          <w:iCs/>
          <w:sz w:val="28"/>
          <w:szCs w:val="28"/>
          <w:lang w:val="uk-UA"/>
        </w:rPr>
        <w:t>господарському</w:t>
      </w:r>
      <w:r w:rsidRPr="00BE0B1A">
        <w:rPr>
          <w:rFonts w:ascii="Times New Roman CYR" w:eastAsia="MS Mincho" w:hAnsi="Times New Roman CYR" w:cs="Times New Roman CYR"/>
          <w:bCs/>
          <w:iCs/>
          <w:sz w:val="28"/>
          <w:szCs w:val="28"/>
        </w:rPr>
        <w:t xml:space="preserve"> процесі можна заявити відвід. В історичному плані, якщо розглядати норми про відвід у справі, можна побачити, що законодавець свого часу це питання вирішував неоднаково.</w:t>
      </w:r>
    </w:p>
    <w:p w14:paraId="0EEC580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Стосовно необхідності відводу перекладача, то його роль у розгляді цивільної справи є надзвичайно важливою. Перекладач не тільки гарантує заінтересованим учасникам процесу, що не володіють мовою судочинства, право на судовий захист, а і сприяє суду в постановленні обґрунтованого рішення у справі, оскільки належний переклад пояснень сторін, третіх осіб, їхніх представників, свідків, письмових документів у справі надалі може бути використаний в обґрунтуванні судового рішення та висновків суду щодо прав і обов’язків сторін, третіх осіб, заявників.</w:t>
      </w:r>
    </w:p>
    <w:p w14:paraId="1BFA70DF"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 xml:space="preserve">Як зазначають практики, реальну можливість вести судочинство іншою мовою, окрім української, забезпечує хіба що російська мова. В Закарпатті є місцевості, де угорці складають більшість населення, але, щоб вести засідання угорською мовою, потрібно мати відповідні кадри суддів, переклад всього законодавства України угорською мовою, а реальна ситуація в Україні зробити цього не дозволяє </w:t>
      </w:r>
      <w:r>
        <w:rPr>
          <w:rFonts w:ascii="Times New Roman CYR" w:eastAsia="MS Mincho" w:hAnsi="Times New Roman CYR" w:cs="Times New Roman CYR"/>
          <w:bCs/>
          <w:iCs/>
          <w:sz w:val="28"/>
          <w:szCs w:val="28"/>
        </w:rPr>
        <w:t>[21</w:t>
      </w:r>
      <w:r w:rsidRPr="00BE0B1A">
        <w:rPr>
          <w:rFonts w:ascii="Times New Roman CYR" w:eastAsia="MS Mincho" w:hAnsi="Times New Roman CYR" w:cs="Times New Roman CYR"/>
          <w:bCs/>
          <w:iCs/>
          <w:sz w:val="28"/>
          <w:szCs w:val="28"/>
        </w:rPr>
        <w:t xml:space="preserve">, </w:t>
      </w:r>
      <w:r w:rsidRPr="00BE0B1A">
        <w:rPr>
          <w:rFonts w:ascii="Times New Roman CYR" w:eastAsia="MS Mincho" w:hAnsi="Times New Roman CYR" w:cs="Times New Roman CYR"/>
          <w:bCs/>
          <w:iCs/>
          <w:sz w:val="28"/>
          <w:szCs w:val="28"/>
          <w:lang w:val="uk-UA"/>
        </w:rPr>
        <w:t>с.</w:t>
      </w:r>
      <w:r w:rsidRPr="00BE0B1A">
        <w:rPr>
          <w:rFonts w:ascii="Times New Roman CYR" w:eastAsia="MS Mincho" w:hAnsi="Times New Roman CYR" w:cs="Times New Roman CYR"/>
          <w:bCs/>
          <w:iCs/>
          <w:sz w:val="28"/>
          <w:szCs w:val="28"/>
        </w:rPr>
        <w:t xml:space="preserve">17]. Ось чому важко переоцінити роль перекладача в </w:t>
      </w:r>
      <w:r w:rsidRPr="00BE0B1A">
        <w:rPr>
          <w:rFonts w:ascii="Times New Roman CYR" w:eastAsia="MS Mincho" w:hAnsi="Times New Roman CYR" w:cs="Times New Roman CYR"/>
          <w:bCs/>
          <w:iCs/>
          <w:sz w:val="28"/>
          <w:szCs w:val="28"/>
          <w:lang w:val="uk-UA"/>
        </w:rPr>
        <w:t>судовому</w:t>
      </w:r>
      <w:r w:rsidRPr="00BE0B1A">
        <w:rPr>
          <w:rFonts w:ascii="Times New Roman CYR" w:eastAsia="MS Mincho" w:hAnsi="Times New Roman CYR" w:cs="Times New Roman CYR"/>
          <w:bCs/>
          <w:iCs/>
          <w:sz w:val="28"/>
          <w:szCs w:val="28"/>
        </w:rPr>
        <w:t xml:space="preserve"> процесі, тим більше, що він викликається не тільки у випадку перекладу з іноземної мови, але також і в разі необхідності здійснення спілкування з німими, глухими або глухонімими особами. Відвід перекладача передбачений у </w:t>
      </w:r>
      <w:r w:rsidRPr="00BE0B1A">
        <w:rPr>
          <w:rFonts w:ascii="Times New Roman CYR" w:eastAsia="MS Mincho" w:hAnsi="Times New Roman CYR" w:cs="Times New Roman CYR"/>
          <w:bCs/>
          <w:iCs/>
          <w:sz w:val="28"/>
          <w:szCs w:val="28"/>
          <w:lang w:val="uk-UA"/>
        </w:rPr>
        <w:t>господарському</w:t>
      </w:r>
      <w:r w:rsidRPr="00BE0B1A">
        <w:rPr>
          <w:rFonts w:ascii="Times New Roman CYR" w:eastAsia="MS Mincho" w:hAnsi="Times New Roman CYR" w:cs="Times New Roman CYR"/>
          <w:bCs/>
          <w:iCs/>
          <w:sz w:val="28"/>
          <w:szCs w:val="28"/>
        </w:rPr>
        <w:t xml:space="preserve"> процесі, оскільки його діяльність направлена на сприяння судді у вирішенні справи та може істотно вплинути на кінцеве рішення у ній.</w:t>
      </w:r>
    </w:p>
    <w:p w14:paraId="71C8CA7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 xml:space="preserve">Не менш важливою є роль експерта в судовому процесі, в тому числі й </w:t>
      </w:r>
      <w:r w:rsidRPr="00BE0B1A">
        <w:rPr>
          <w:rFonts w:ascii="Times New Roman CYR" w:eastAsia="MS Mincho" w:hAnsi="Times New Roman CYR" w:cs="Times New Roman CYR"/>
          <w:bCs/>
          <w:iCs/>
          <w:sz w:val="28"/>
          <w:szCs w:val="28"/>
          <w:lang w:val="uk-UA"/>
        </w:rPr>
        <w:t>господарському</w:t>
      </w:r>
      <w:r w:rsidRPr="00BE0B1A">
        <w:rPr>
          <w:rFonts w:ascii="Times New Roman CYR" w:eastAsia="MS Mincho" w:hAnsi="Times New Roman CYR" w:cs="Times New Roman CYR"/>
          <w:bCs/>
          <w:iCs/>
          <w:sz w:val="28"/>
          <w:szCs w:val="28"/>
        </w:rPr>
        <w:t xml:space="preserve">. Якщо брати до уваги власне </w:t>
      </w:r>
      <w:r w:rsidRPr="00BE0B1A">
        <w:rPr>
          <w:rFonts w:ascii="Times New Roman CYR" w:eastAsia="MS Mincho" w:hAnsi="Times New Roman CYR" w:cs="Times New Roman CYR"/>
          <w:bCs/>
          <w:iCs/>
          <w:sz w:val="28"/>
          <w:szCs w:val="28"/>
          <w:lang w:val="uk-UA"/>
        </w:rPr>
        <w:t>господарський</w:t>
      </w:r>
      <w:r w:rsidRPr="00BE0B1A">
        <w:rPr>
          <w:rFonts w:ascii="Times New Roman CYR" w:eastAsia="MS Mincho" w:hAnsi="Times New Roman CYR" w:cs="Times New Roman CYR"/>
          <w:bCs/>
          <w:iCs/>
          <w:sz w:val="28"/>
          <w:szCs w:val="28"/>
        </w:rPr>
        <w:t xml:space="preserve"> процес, то у ньому </w:t>
      </w:r>
      <w:r w:rsidRPr="00BE0B1A">
        <w:rPr>
          <w:rFonts w:ascii="Times New Roman CYR" w:eastAsia="MS Mincho" w:hAnsi="Times New Roman CYR" w:cs="Times New Roman CYR"/>
          <w:bCs/>
          <w:iCs/>
          <w:sz w:val="28"/>
          <w:szCs w:val="28"/>
        </w:rPr>
        <w:lastRenderedPageBreak/>
        <w:t xml:space="preserve">можна виділити п’ять засобів доказування, якими можна підтверджувати обставини справи. Одним з них є висновок експерта, який кладеться в обґрунтування судового рішення. Свого часу в Німеччині вкоренилася теорія (вона була сприйнята у дореволюційній Росії), що розглядала судового експерта як суддю факту, де експерт, як і суд, вирішували питання, що мали значення для справи, але різниця полягала у тому, що експерт це робив за допомогою спеціальних знань. В такому разі рішення у справі ставало результатом діяльності не тільки суду, а й експерта </w:t>
      </w:r>
      <w:r>
        <w:rPr>
          <w:rFonts w:ascii="Times New Roman CYR" w:eastAsia="MS Mincho" w:hAnsi="Times New Roman CYR" w:cs="Times New Roman CYR"/>
          <w:bCs/>
          <w:iCs/>
          <w:sz w:val="28"/>
          <w:szCs w:val="28"/>
        </w:rPr>
        <w:t>[63</w:t>
      </w:r>
      <w:r w:rsidRPr="00BE0B1A">
        <w:rPr>
          <w:rFonts w:ascii="Times New Roman CYR" w:eastAsia="MS Mincho" w:hAnsi="Times New Roman CYR" w:cs="Times New Roman CYR"/>
          <w:bCs/>
          <w:iCs/>
          <w:sz w:val="28"/>
          <w:szCs w:val="28"/>
        </w:rPr>
        <w:t xml:space="preserve">, </w:t>
      </w:r>
      <w:r w:rsidRPr="00BE0B1A">
        <w:rPr>
          <w:rFonts w:ascii="Times New Roman CYR" w:eastAsia="MS Mincho" w:hAnsi="Times New Roman CYR" w:cs="Times New Roman CYR"/>
          <w:bCs/>
          <w:iCs/>
          <w:sz w:val="28"/>
          <w:szCs w:val="28"/>
          <w:lang w:val="uk-UA"/>
        </w:rPr>
        <w:t>с.</w:t>
      </w:r>
      <w:r w:rsidRPr="00BE0B1A">
        <w:rPr>
          <w:rFonts w:ascii="Times New Roman CYR" w:eastAsia="MS Mincho" w:hAnsi="Times New Roman CYR" w:cs="Times New Roman CYR"/>
          <w:bCs/>
          <w:iCs/>
          <w:sz w:val="28"/>
          <w:szCs w:val="28"/>
        </w:rPr>
        <w:t>172].</w:t>
      </w:r>
    </w:p>
    <w:p w14:paraId="3F0B2A1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 xml:space="preserve">Інститут відводу експерта покликаний забезпечити адекватне виконання поставлених судом перед експертом завдань. Тому в </w:t>
      </w:r>
      <w:r w:rsidRPr="00BE0B1A">
        <w:rPr>
          <w:rFonts w:ascii="Times New Roman CYR" w:eastAsia="MS Mincho" w:hAnsi="Times New Roman CYR" w:cs="Times New Roman CYR"/>
          <w:bCs/>
          <w:iCs/>
          <w:sz w:val="28"/>
          <w:szCs w:val="28"/>
          <w:lang w:val="uk-UA"/>
        </w:rPr>
        <w:t>господарському</w:t>
      </w:r>
      <w:r w:rsidRPr="00BE0B1A">
        <w:rPr>
          <w:rFonts w:ascii="Times New Roman CYR" w:eastAsia="MS Mincho" w:hAnsi="Times New Roman CYR" w:cs="Times New Roman CYR"/>
          <w:bCs/>
          <w:iCs/>
          <w:sz w:val="28"/>
          <w:szCs w:val="28"/>
        </w:rPr>
        <w:t xml:space="preserve"> судочинстві трапляються випадки, коли заявляється відвід судовому експерту.</w:t>
      </w:r>
    </w:p>
    <w:p w14:paraId="2A599FE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774B9C">
        <w:rPr>
          <w:rFonts w:ascii="Times New Roman CYR" w:eastAsia="MS Mincho" w:hAnsi="Times New Roman CYR" w:cs="Times New Roman CYR"/>
          <w:bCs/>
          <w:iCs/>
          <w:sz w:val="28"/>
          <w:szCs w:val="28"/>
          <w:lang w:val="uk-UA"/>
        </w:rPr>
        <w:t xml:space="preserve">Участь у справі спеціаліста як консультанта і технічного помічника є важливою, оскільки його діяльність здебільшого пов’язана з проведенням різного виду оглядів доказів у справі [15, </w:t>
      </w:r>
      <w:r w:rsidRPr="00BE0B1A">
        <w:rPr>
          <w:rFonts w:ascii="Times New Roman CYR" w:eastAsia="MS Mincho" w:hAnsi="Times New Roman CYR" w:cs="Times New Roman CYR"/>
          <w:bCs/>
          <w:iCs/>
          <w:sz w:val="28"/>
          <w:szCs w:val="28"/>
          <w:lang w:val="uk-UA"/>
        </w:rPr>
        <w:t>с.</w:t>
      </w:r>
      <w:r w:rsidRPr="00774B9C">
        <w:rPr>
          <w:rFonts w:ascii="Times New Roman CYR" w:eastAsia="MS Mincho" w:hAnsi="Times New Roman CYR" w:cs="Times New Roman CYR"/>
          <w:bCs/>
          <w:iCs/>
          <w:sz w:val="28"/>
          <w:szCs w:val="28"/>
          <w:lang w:val="uk-UA"/>
        </w:rPr>
        <w:t xml:space="preserve">7]. Зокрема, спеціаліст може здійснювати консультування під час вчинення процесуальних дій з питань, що потребують відповідних спеціальних знань і навичок, або може бути залучений в цивільний процес для надання безпосередньої технічної допомоги під час вчинення процесуальних дій. Наприклад, в одній з цивільних справ про повернення земельної ділянки з чужого незаконного володіння та усунення перешкод у її використанні суддя залучив спеціаліста з питань землевпорядкування і геодезії для вирішення питання, чи немає накладок у технічній документації на земельні ділянки сторін. </w:t>
      </w:r>
      <w:r w:rsidRPr="00BE0B1A">
        <w:rPr>
          <w:rFonts w:ascii="Times New Roman CYR" w:eastAsia="MS Mincho" w:hAnsi="Times New Roman CYR" w:cs="Times New Roman CYR"/>
          <w:bCs/>
          <w:iCs/>
          <w:sz w:val="28"/>
          <w:szCs w:val="28"/>
        </w:rPr>
        <w:t>Без цього висновку спеціаліста було неможливо вирішити питання про наявність чи відсутність захоплення землі.</w:t>
      </w:r>
    </w:p>
    <w:p w14:paraId="4B59011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774B9C">
        <w:rPr>
          <w:rFonts w:ascii="Times New Roman CYR" w:eastAsia="MS Mincho" w:hAnsi="Times New Roman CYR" w:cs="Times New Roman CYR"/>
          <w:bCs/>
          <w:iCs/>
          <w:sz w:val="28"/>
          <w:szCs w:val="28"/>
          <w:lang w:val="uk-UA"/>
        </w:rPr>
        <w:t xml:space="preserve">Отже, як видно з аналізу тих суб’єктів, яким можна заявити відвід у справі, їх процесуальний статус дійсно є впливовим щодо результатів вирішення. </w:t>
      </w:r>
      <w:r w:rsidRPr="00BE0B1A">
        <w:rPr>
          <w:rFonts w:ascii="Times New Roman CYR" w:eastAsia="MS Mincho" w:hAnsi="Times New Roman CYR" w:cs="Times New Roman CYR"/>
          <w:bCs/>
          <w:iCs/>
          <w:sz w:val="28"/>
          <w:szCs w:val="28"/>
        </w:rPr>
        <w:t>Інститут відводу покликаний забезпечити такий склад суду, а також осіб, які йому будуть сприяти у вирішенні справи, щоб було гарантоване виконання завдань цивільного судочинства.</w:t>
      </w:r>
    </w:p>
    <w:p w14:paraId="308BBFD3"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 xml:space="preserve">2. Принцип обґрунтування заявленого відводу в </w:t>
      </w:r>
      <w:r w:rsidRPr="00BE0B1A">
        <w:rPr>
          <w:rFonts w:ascii="Times New Roman CYR" w:eastAsia="MS Mincho" w:hAnsi="Times New Roman CYR" w:cs="Times New Roman CYR"/>
          <w:bCs/>
          <w:iCs/>
          <w:sz w:val="28"/>
          <w:szCs w:val="28"/>
          <w:lang w:val="uk-UA"/>
        </w:rPr>
        <w:t>господарському</w:t>
      </w:r>
      <w:r w:rsidRPr="00BE0B1A">
        <w:rPr>
          <w:rFonts w:ascii="Times New Roman CYR" w:eastAsia="MS Mincho" w:hAnsi="Times New Roman CYR" w:cs="Times New Roman CYR"/>
          <w:bCs/>
          <w:iCs/>
          <w:sz w:val="28"/>
          <w:szCs w:val="28"/>
        </w:rPr>
        <w:t xml:space="preserve"> процесі. </w:t>
      </w:r>
      <w:r w:rsidRPr="00BE0B1A">
        <w:rPr>
          <w:rFonts w:ascii="Times New Roman CYR" w:eastAsia="MS Mincho" w:hAnsi="Times New Roman CYR" w:cs="Times New Roman CYR"/>
          <w:bCs/>
          <w:iCs/>
          <w:sz w:val="28"/>
          <w:szCs w:val="28"/>
        </w:rPr>
        <w:lastRenderedPageBreak/>
        <w:t xml:space="preserve">При аналізі цього принципу важливо визначити, що відвід (самовідвід) у </w:t>
      </w:r>
      <w:r w:rsidRPr="00BE0B1A">
        <w:rPr>
          <w:rFonts w:ascii="Times New Roman CYR" w:eastAsia="MS Mincho" w:hAnsi="Times New Roman CYR" w:cs="Times New Roman CYR"/>
          <w:bCs/>
          <w:iCs/>
          <w:sz w:val="28"/>
          <w:szCs w:val="28"/>
          <w:lang w:val="uk-UA"/>
        </w:rPr>
        <w:t>господарському</w:t>
      </w:r>
      <w:r w:rsidRPr="00BE0B1A">
        <w:rPr>
          <w:rFonts w:ascii="Times New Roman CYR" w:eastAsia="MS Mincho" w:hAnsi="Times New Roman CYR" w:cs="Times New Roman CYR"/>
          <w:bCs/>
          <w:iCs/>
          <w:sz w:val="28"/>
          <w:szCs w:val="28"/>
        </w:rPr>
        <w:t xml:space="preserve"> судочинстві повинен бути мотивований. В науці </w:t>
      </w:r>
      <w:r>
        <w:rPr>
          <w:rFonts w:ascii="Times New Roman CYR" w:eastAsia="MS Mincho" w:hAnsi="Times New Roman CYR" w:cs="Times New Roman CYR"/>
          <w:bCs/>
          <w:iCs/>
          <w:sz w:val="28"/>
          <w:szCs w:val="28"/>
          <w:lang w:val="uk-UA"/>
        </w:rPr>
        <w:t>виникають</w:t>
      </w:r>
      <w:r w:rsidRPr="00BE0B1A">
        <w:rPr>
          <w:rFonts w:ascii="Times New Roman CYR" w:eastAsia="MS Mincho" w:hAnsi="Times New Roman CYR" w:cs="Times New Roman CYR"/>
          <w:bCs/>
          <w:iCs/>
          <w:sz w:val="28"/>
          <w:szCs w:val="28"/>
        </w:rPr>
        <w:t xml:space="preserve"> питання </w:t>
      </w:r>
      <w:r>
        <w:rPr>
          <w:rFonts w:ascii="Times New Roman CYR" w:eastAsia="MS Mincho" w:hAnsi="Times New Roman CYR" w:cs="Times New Roman CYR"/>
          <w:bCs/>
          <w:iCs/>
          <w:sz w:val="28"/>
          <w:szCs w:val="28"/>
          <w:lang w:val="uk-UA"/>
        </w:rPr>
        <w:t>щодо</w:t>
      </w:r>
      <w:r w:rsidRPr="00BE0B1A">
        <w:rPr>
          <w:rFonts w:ascii="Times New Roman CYR" w:eastAsia="MS Mincho" w:hAnsi="Times New Roman CYR" w:cs="Times New Roman CYR"/>
          <w:bCs/>
          <w:iCs/>
          <w:sz w:val="28"/>
          <w:szCs w:val="28"/>
        </w:rPr>
        <w:t xml:space="preserve"> нормативн</w:t>
      </w:r>
      <w:r>
        <w:rPr>
          <w:rFonts w:ascii="Times New Roman CYR" w:eastAsia="MS Mincho" w:hAnsi="Times New Roman CYR" w:cs="Times New Roman CYR"/>
          <w:bCs/>
          <w:iCs/>
          <w:sz w:val="28"/>
          <w:szCs w:val="28"/>
          <w:lang w:val="uk-UA"/>
        </w:rPr>
        <w:t>ого</w:t>
      </w:r>
      <w:r w:rsidRPr="00BE0B1A">
        <w:rPr>
          <w:rFonts w:ascii="Times New Roman CYR" w:eastAsia="MS Mincho" w:hAnsi="Times New Roman CYR" w:cs="Times New Roman CYR"/>
          <w:bCs/>
          <w:iCs/>
          <w:sz w:val="28"/>
          <w:szCs w:val="28"/>
        </w:rPr>
        <w:t xml:space="preserve"> закріплення мотивованого чи немотивованого відводу </w:t>
      </w:r>
      <w:r>
        <w:rPr>
          <w:rFonts w:ascii="Times New Roman CYR" w:eastAsia="MS Mincho" w:hAnsi="Times New Roman CYR" w:cs="Times New Roman CYR"/>
          <w:bCs/>
          <w:iCs/>
          <w:sz w:val="28"/>
          <w:szCs w:val="28"/>
          <w:lang w:val="uk-UA"/>
        </w:rPr>
        <w:t>суддів</w:t>
      </w:r>
      <w:r w:rsidRPr="00BE0B1A">
        <w:rPr>
          <w:rFonts w:ascii="Times New Roman CYR" w:eastAsia="MS Mincho" w:hAnsi="Times New Roman CYR" w:cs="Times New Roman CYR"/>
          <w:bCs/>
          <w:iCs/>
          <w:sz w:val="28"/>
          <w:szCs w:val="28"/>
        </w:rPr>
        <w:t xml:space="preserve"> у </w:t>
      </w:r>
      <w:r>
        <w:rPr>
          <w:rFonts w:ascii="Times New Roman CYR" w:eastAsia="MS Mincho" w:hAnsi="Times New Roman CYR" w:cs="Times New Roman CYR"/>
          <w:bCs/>
          <w:iCs/>
          <w:sz w:val="28"/>
          <w:szCs w:val="28"/>
          <w:lang w:val="uk-UA"/>
        </w:rPr>
        <w:t xml:space="preserve">господарському </w:t>
      </w:r>
      <w:r w:rsidRPr="00BE0B1A">
        <w:rPr>
          <w:rFonts w:ascii="Times New Roman CYR" w:eastAsia="MS Mincho" w:hAnsi="Times New Roman CYR" w:cs="Times New Roman CYR"/>
          <w:bCs/>
          <w:iCs/>
          <w:sz w:val="28"/>
          <w:szCs w:val="28"/>
        </w:rPr>
        <w:t xml:space="preserve">судочинстві. Є автори, які вважають, що відвід </w:t>
      </w:r>
      <w:r>
        <w:rPr>
          <w:rFonts w:ascii="Times New Roman CYR" w:eastAsia="MS Mincho" w:hAnsi="Times New Roman CYR" w:cs="Times New Roman CYR"/>
          <w:bCs/>
          <w:iCs/>
          <w:sz w:val="28"/>
          <w:szCs w:val="28"/>
          <w:lang w:val="uk-UA"/>
        </w:rPr>
        <w:t>суддів</w:t>
      </w:r>
      <w:r w:rsidRPr="00BE0B1A">
        <w:rPr>
          <w:rFonts w:ascii="Times New Roman CYR" w:eastAsia="MS Mincho" w:hAnsi="Times New Roman CYR" w:cs="Times New Roman CYR"/>
          <w:bCs/>
          <w:iCs/>
          <w:sz w:val="28"/>
          <w:szCs w:val="28"/>
        </w:rPr>
        <w:t xml:space="preserve"> без мотиву об’єктивно буде принижувати їхню честь та гідність, оскільки вони н</w:t>
      </w:r>
      <w:r>
        <w:rPr>
          <w:rFonts w:ascii="Times New Roman CYR" w:eastAsia="MS Mincho" w:hAnsi="Times New Roman CYR" w:cs="Times New Roman CYR"/>
          <w:bCs/>
          <w:iCs/>
          <w:sz w:val="28"/>
          <w:szCs w:val="28"/>
        </w:rPr>
        <w:t>е матимуть можливості дати по</w:t>
      </w:r>
      <w:r w:rsidRPr="00BE0B1A">
        <w:rPr>
          <w:rFonts w:ascii="Times New Roman CYR" w:eastAsia="MS Mincho" w:hAnsi="Times New Roman CYR" w:cs="Times New Roman CYR"/>
          <w:bCs/>
          <w:iCs/>
          <w:sz w:val="28"/>
          <w:szCs w:val="28"/>
        </w:rPr>
        <w:t xml:space="preserve">яснення з приводу причин відводу </w:t>
      </w:r>
      <w:r>
        <w:rPr>
          <w:rFonts w:ascii="Times New Roman CYR" w:eastAsia="MS Mincho" w:hAnsi="Times New Roman CYR" w:cs="Times New Roman CYR"/>
          <w:bCs/>
          <w:iCs/>
          <w:sz w:val="28"/>
          <w:szCs w:val="28"/>
        </w:rPr>
        <w:t>[39</w:t>
      </w:r>
      <w:r w:rsidRPr="00BE0B1A">
        <w:rPr>
          <w:rFonts w:ascii="Times New Roman CYR" w:eastAsia="MS Mincho" w:hAnsi="Times New Roman CYR" w:cs="Times New Roman CYR"/>
          <w:bCs/>
          <w:iCs/>
          <w:sz w:val="28"/>
          <w:szCs w:val="28"/>
        </w:rPr>
        <w:t xml:space="preserve">, </w:t>
      </w:r>
      <w:r w:rsidRPr="00BE0B1A">
        <w:rPr>
          <w:rFonts w:ascii="Times New Roman CYR" w:eastAsia="MS Mincho" w:hAnsi="Times New Roman CYR" w:cs="Times New Roman CYR"/>
          <w:bCs/>
          <w:iCs/>
          <w:sz w:val="28"/>
          <w:szCs w:val="28"/>
          <w:lang w:val="uk-UA"/>
        </w:rPr>
        <w:t xml:space="preserve">с. </w:t>
      </w:r>
      <w:r w:rsidRPr="00BE0B1A">
        <w:rPr>
          <w:rFonts w:ascii="Times New Roman CYR" w:eastAsia="MS Mincho" w:hAnsi="Times New Roman CYR" w:cs="Times New Roman CYR"/>
          <w:bCs/>
          <w:iCs/>
          <w:sz w:val="28"/>
          <w:szCs w:val="28"/>
        </w:rPr>
        <w:t>232]. Водночас інші науковці їм заперечують, вказуючи, що процедура немотивованого відводу є конститутивним елементом суду у всіх країнах світу, де діє англійська модель правосуддя.</w:t>
      </w:r>
    </w:p>
    <w:p w14:paraId="7C4ACDC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 xml:space="preserve">Виходячи з сучасних реалій, передбачати таке правило, скажімо для </w:t>
      </w:r>
      <w:r>
        <w:rPr>
          <w:rFonts w:ascii="Times New Roman CYR" w:eastAsia="MS Mincho" w:hAnsi="Times New Roman CYR" w:cs="Times New Roman CYR"/>
          <w:bCs/>
          <w:iCs/>
          <w:sz w:val="28"/>
          <w:szCs w:val="28"/>
          <w:lang w:val="uk-UA"/>
        </w:rPr>
        <w:t>суддів</w:t>
      </w:r>
      <w:r w:rsidRPr="00BE0B1A">
        <w:rPr>
          <w:rFonts w:ascii="Times New Roman CYR" w:eastAsia="MS Mincho" w:hAnsi="Times New Roman CYR" w:cs="Times New Roman CYR"/>
          <w:bCs/>
          <w:iCs/>
          <w:sz w:val="28"/>
          <w:szCs w:val="28"/>
        </w:rPr>
        <w:t xml:space="preserve"> у </w:t>
      </w:r>
      <w:r w:rsidRPr="00BE0B1A">
        <w:rPr>
          <w:rFonts w:ascii="Times New Roman CYR" w:eastAsia="MS Mincho" w:hAnsi="Times New Roman CYR" w:cs="Times New Roman CYR"/>
          <w:bCs/>
          <w:iCs/>
          <w:sz w:val="28"/>
          <w:szCs w:val="28"/>
          <w:lang w:val="uk-UA"/>
        </w:rPr>
        <w:t>господарському</w:t>
      </w:r>
      <w:r w:rsidRPr="00BE0B1A">
        <w:rPr>
          <w:rFonts w:ascii="Times New Roman CYR" w:eastAsia="MS Mincho" w:hAnsi="Times New Roman CYR" w:cs="Times New Roman CYR"/>
          <w:bCs/>
          <w:iCs/>
          <w:sz w:val="28"/>
          <w:szCs w:val="28"/>
        </w:rPr>
        <w:t xml:space="preserve"> процесі, було б недоречним, оскільки це тільки призвело б до зловживання ним і сприяло б затягуванню у вирішенні справи</w:t>
      </w:r>
      <w:r w:rsidRPr="00BE0B1A">
        <w:rPr>
          <w:rFonts w:ascii="Times New Roman CYR" w:eastAsia="MS Mincho" w:hAnsi="Times New Roman CYR" w:cs="Times New Roman CYR"/>
          <w:bCs/>
          <w:iCs/>
          <w:sz w:val="28"/>
          <w:szCs w:val="28"/>
          <w:lang w:val="uk-UA"/>
        </w:rPr>
        <w:t>.</w:t>
      </w:r>
    </w:p>
    <w:p w14:paraId="5CC53A1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774B9C">
        <w:rPr>
          <w:rFonts w:ascii="Times New Roman CYR" w:eastAsia="MS Mincho" w:hAnsi="Times New Roman CYR" w:cs="Times New Roman CYR"/>
          <w:bCs/>
          <w:iCs/>
          <w:sz w:val="28"/>
          <w:szCs w:val="28"/>
          <w:lang w:val="uk-UA"/>
        </w:rPr>
        <w:t xml:space="preserve">Таким чином, змістом принципу обґрунтування заявленого відводу в </w:t>
      </w:r>
      <w:r w:rsidRPr="00BE0B1A">
        <w:rPr>
          <w:rFonts w:ascii="Times New Roman CYR" w:eastAsia="MS Mincho" w:hAnsi="Times New Roman CYR" w:cs="Times New Roman CYR"/>
          <w:bCs/>
          <w:iCs/>
          <w:sz w:val="28"/>
          <w:szCs w:val="28"/>
          <w:lang w:val="uk-UA"/>
        </w:rPr>
        <w:t>господарському</w:t>
      </w:r>
      <w:r w:rsidRPr="00774B9C">
        <w:rPr>
          <w:rFonts w:ascii="Times New Roman CYR" w:eastAsia="MS Mincho" w:hAnsi="Times New Roman CYR" w:cs="Times New Roman CYR"/>
          <w:bCs/>
          <w:iCs/>
          <w:sz w:val="28"/>
          <w:szCs w:val="28"/>
          <w:lang w:val="uk-UA"/>
        </w:rPr>
        <w:t xml:space="preserve"> процесі є необхідність мотивувати заявлене клопотання про відвід (самовідвід) певними фактами, що повинні свідчити про наявність необ’єктивності або упередженості особи, якій відвід заявляють. Вказані факти необхідно довести за допомогою доказів, що цілком відповідає змагальній моделі судочинства України.</w:t>
      </w:r>
    </w:p>
    <w:p w14:paraId="155336E4"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 xml:space="preserve">3. Принцип наявності визначених (безумовних) підстав для відводу в </w:t>
      </w:r>
      <w:r w:rsidRPr="00BE0B1A">
        <w:rPr>
          <w:rFonts w:ascii="Times New Roman CYR" w:eastAsia="MS Mincho" w:hAnsi="Times New Roman CYR" w:cs="Times New Roman CYR"/>
          <w:bCs/>
          <w:iCs/>
          <w:sz w:val="28"/>
          <w:szCs w:val="28"/>
          <w:lang w:val="uk-UA"/>
        </w:rPr>
        <w:t>господарському</w:t>
      </w:r>
      <w:r w:rsidRPr="00BE0B1A">
        <w:rPr>
          <w:rFonts w:ascii="Times New Roman CYR" w:eastAsia="MS Mincho" w:hAnsi="Times New Roman CYR" w:cs="Times New Roman CYR"/>
          <w:bCs/>
          <w:iCs/>
          <w:sz w:val="28"/>
          <w:szCs w:val="28"/>
        </w:rPr>
        <w:t xml:space="preserve"> процесі. Всі підстави для відводу в </w:t>
      </w:r>
      <w:r w:rsidRPr="00BE0B1A">
        <w:rPr>
          <w:rFonts w:ascii="Times New Roman CYR" w:eastAsia="MS Mincho" w:hAnsi="Times New Roman CYR" w:cs="Times New Roman CYR"/>
          <w:bCs/>
          <w:iCs/>
          <w:sz w:val="28"/>
          <w:szCs w:val="28"/>
          <w:lang w:val="uk-UA"/>
        </w:rPr>
        <w:t>господарському</w:t>
      </w:r>
      <w:r w:rsidRPr="00BE0B1A">
        <w:rPr>
          <w:rFonts w:ascii="Times New Roman CYR" w:eastAsia="MS Mincho" w:hAnsi="Times New Roman CYR" w:cs="Times New Roman CYR"/>
          <w:bCs/>
          <w:iCs/>
          <w:sz w:val="28"/>
          <w:szCs w:val="28"/>
        </w:rPr>
        <w:t xml:space="preserve"> процесі можна поділити на дві великі групи: визначені (безумовні) та відносно-визначені (умовні). Наприклад, до визначених (безумовних) підстав на - лежить наявність родинних відносин зі стороною справи, участь у попередньому вирішенні справи як свідка, експерта і т. ін., якщо був порушений порядок визначення справи для розгляду судді. До відносно-визначених (умовних) підстав для відводу, зокрема, можна віднести пряму чи побічну зацікавленість судді у результатах розгляду справи.</w:t>
      </w:r>
    </w:p>
    <w:p w14:paraId="346D7FD4"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На нашу думку, в системі нормативно заявлених підстав для відводу повинні міститися також підстави, які є визначеними (безумовними), оскільки вони виступають процесуальною гарантією для сторін справи.</w:t>
      </w:r>
    </w:p>
    <w:p w14:paraId="67CDA7E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774B9C">
        <w:rPr>
          <w:rFonts w:ascii="Times New Roman CYR" w:eastAsia="MS Mincho" w:hAnsi="Times New Roman CYR" w:cs="Times New Roman CYR"/>
          <w:bCs/>
          <w:iCs/>
          <w:sz w:val="28"/>
          <w:szCs w:val="28"/>
          <w:lang w:val="uk-UA"/>
        </w:rPr>
        <w:lastRenderedPageBreak/>
        <w:t xml:space="preserve">В історії становлення та розвитку інституту відводу був такий період, коли законодавець абсолютно не виділяв серед підстав відводу судді та учасників процесу, що сприяють йому у вирішенні справи, ті підстави, які чітко окреслені у нормі права і не вимагають якої-небудь конкретизації правозастосовним органом. </w:t>
      </w:r>
      <w:r w:rsidRPr="00BE0B1A">
        <w:rPr>
          <w:rFonts w:ascii="Times New Roman CYR" w:eastAsia="MS Mincho" w:hAnsi="Times New Roman CYR" w:cs="Times New Roman CYR"/>
          <w:bCs/>
          <w:iCs/>
          <w:sz w:val="28"/>
          <w:szCs w:val="28"/>
        </w:rPr>
        <w:t xml:space="preserve">Зокрема, у період НЕПу в Радянській Україні були розроблені два Цивільні процесуальні кодекси: 1924 та 1929 рр. З їх аналізу чітко видно, що суддя, народний засідатель, свідок, експерт могли відводитися тільки за відносно-визначеними (умовними) підставами відводу. Зокрема, ст. 104 ЦПК УСРР 1924 р. вказувала, що підставами відводу судді може бути «зацікавленість у вирішенні справи» або «особливі відносини з сторонами» </w:t>
      </w:r>
      <w:r>
        <w:rPr>
          <w:rFonts w:ascii="Times New Roman CYR" w:eastAsia="MS Mincho" w:hAnsi="Times New Roman CYR" w:cs="Times New Roman CYR"/>
          <w:bCs/>
          <w:iCs/>
          <w:sz w:val="28"/>
          <w:szCs w:val="28"/>
        </w:rPr>
        <w:t>[76</w:t>
      </w:r>
      <w:r w:rsidRPr="00BE0B1A">
        <w:rPr>
          <w:rFonts w:ascii="Times New Roman CYR" w:eastAsia="MS Mincho" w:hAnsi="Times New Roman CYR" w:cs="Times New Roman CYR"/>
          <w:bCs/>
          <w:iCs/>
          <w:sz w:val="28"/>
          <w:szCs w:val="28"/>
        </w:rPr>
        <w:t xml:space="preserve">, </w:t>
      </w:r>
      <w:r w:rsidRPr="00BE0B1A">
        <w:rPr>
          <w:rFonts w:ascii="Times New Roman CYR" w:eastAsia="MS Mincho" w:hAnsi="Times New Roman CYR" w:cs="Times New Roman CYR"/>
          <w:bCs/>
          <w:iCs/>
          <w:sz w:val="28"/>
          <w:szCs w:val="28"/>
          <w:lang w:val="uk-UA"/>
        </w:rPr>
        <w:t xml:space="preserve">с. </w:t>
      </w:r>
      <w:r w:rsidRPr="00BE0B1A">
        <w:rPr>
          <w:rFonts w:ascii="Times New Roman CYR" w:eastAsia="MS Mincho" w:hAnsi="Times New Roman CYR" w:cs="Times New Roman CYR"/>
          <w:bCs/>
          <w:iCs/>
          <w:sz w:val="28"/>
          <w:szCs w:val="28"/>
        </w:rPr>
        <w:t xml:space="preserve">118]. Аналогічні підстави були в кодексі 1929 р. (ст. 122) </w:t>
      </w:r>
      <w:r>
        <w:rPr>
          <w:rFonts w:ascii="Times New Roman CYR" w:eastAsia="MS Mincho" w:hAnsi="Times New Roman CYR" w:cs="Times New Roman CYR"/>
          <w:bCs/>
          <w:iCs/>
          <w:sz w:val="28"/>
          <w:szCs w:val="28"/>
        </w:rPr>
        <w:t>[72</w:t>
      </w:r>
      <w:r w:rsidRPr="00BE0B1A">
        <w:rPr>
          <w:rFonts w:ascii="Times New Roman CYR" w:eastAsia="MS Mincho" w:hAnsi="Times New Roman CYR" w:cs="Times New Roman CYR"/>
          <w:bCs/>
          <w:iCs/>
          <w:sz w:val="28"/>
          <w:szCs w:val="28"/>
        </w:rPr>
        <w:t xml:space="preserve">, </w:t>
      </w:r>
      <w:r w:rsidRPr="00BE0B1A">
        <w:rPr>
          <w:rFonts w:ascii="Times New Roman CYR" w:eastAsia="MS Mincho" w:hAnsi="Times New Roman CYR" w:cs="Times New Roman CYR"/>
          <w:bCs/>
          <w:iCs/>
          <w:sz w:val="28"/>
          <w:szCs w:val="28"/>
          <w:lang w:val="uk-UA"/>
        </w:rPr>
        <w:t xml:space="preserve">с. </w:t>
      </w:r>
      <w:r w:rsidRPr="00BE0B1A">
        <w:rPr>
          <w:rFonts w:ascii="Times New Roman CYR" w:eastAsia="MS Mincho" w:hAnsi="Times New Roman CYR" w:cs="Times New Roman CYR"/>
          <w:bCs/>
          <w:iCs/>
          <w:sz w:val="28"/>
          <w:szCs w:val="28"/>
        </w:rPr>
        <w:t>40].</w:t>
      </w:r>
    </w:p>
    <w:p w14:paraId="57B02CFA"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В кінцевому результаті на практиці це приводило до того, що в одних випадках судді відводили, наприклад, експертів, а в інших — ні, але це не вважалося істотним процесуальним правопорушенням, що тягнуло за собою скасування рішення у справі.</w:t>
      </w:r>
    </w:p>
    <w:p w14:paraId="1CBA52A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Для того щоб не допускати подібної ситуації на практиці, яка негативно відображається на можливості залучити у процес певного суб’єкта, необхідно обов’язково передбачати визначені (безумовні) підстави відводу судді, секретаря судового засідання, перекладача, експерта та спеціаліста</w:t>
      </w:r>
      <w:r w:rsidRPr="00BE0B1A">
        <w:rPr>
          <w:rFonts w:ascii="Times New Roman CYR" w:eastAsia="MS Mincho" w:hAnsi="Times New Roman CYR" w:cs="Times New Roman CYR"/>
          <w:bCs/>
          <w:iCs/>
          <w:sz w:val="28"/>
          <w:szCs w:val="28"/>
          <w:lang w:val="uk-UA"/>
        </w:rPr>
        <w:t xml:space="preserve"> </w:t>
      </w:r>
      <w:r w:rsidRPr="00774B9C">
        <w:rPr>
          <w:rFonts w:ascii="Times New Roman CYR" w:eastAsia="MS Mincho" w:hAnsi="Times New Roman CYR" w:cs="Times New Roman CYR"/>
          <w:bCs/>
          <w:iCs/>
          <w:sz w:val="28"/>
          <w:szCs w:val="28"/>
        </w:rPr>
        <w:t>[61</w:t>
      </w:r>
      <w:r w:rsidRPr="00BE0B1A">
        <w:rPr>
          <w:rFonts w:ascii="Times New Roman CYR" w:eastAsia="MS Mincho" w:hAnsi="Times New Roman CYR" w:cs="Times New Roman CYR"/>
          <w:bCs/>
          <w:iCs/>
          <w:sz w:val="28"/>
          <w:szCs w:val="28"/>
          <w:lang w:val="uk-UA"/>
        </w:rPr>
        <w:t>, с. 95</w:t>
      </w:r>
      <w:r w:rsidRPr="00774B9C">
        <w:rPr>
          <w:rFonts w:ascii="Times New Roman CYR" w:eastAsia="MS Mincho" w:hAnsi="Times New Roman CYR" w:cs="Times New Roman CYR"/>
          <w:bCs/>
          <w:iCs/>
          <w:sz w:val="28"/>
          <w:szCs w:val="28"/>
        </w:rPr>
        <w:t>]</w:t>
      </w:r>
      <w:r w:rsidRPr="00BE0B1A">
        <w:rPr>
          <w:rFonts w:ascii="Times New Roman CYR" w:eastAsia="MS Mincho" w:hAnsi="Times New Roman CYR" w:cs="Times New Roman CYR"/>
          <w:bCs/>
          <w:iCs/>
          <w:sz w:val="28"/>
          <w:szCs w:val="28"/>
        </w:rPr>
        <w:t>.</w:t>
      </w:r>
    </w:p>
    <w:p w14:paraId="3301B6B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Отже, наявність визначених (безумовних) підстав для відводу, поряд з відносно-визначеними (умовними), можна вважати позитивним явищем, яке обов’язково повинно бути складовою сучасного інституту відводу в цивільному процесі. Більше того, під час узагальнення судової практики перелік визначених підстав час від часу потрібно переглядати з тим, щоб вирішити питання про можливість його поповнення.</w:t>
      </w:r>
    </w:p>
    <w:p w14:paraId="63CB99D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4. Принцип вирішення питань відводу виключно судом. Вирішення питань про відвід на перший погляд пов’язане тільки з процедурою розгляду спору, а тому за рамки процедурного характеру ніби не виходить. Водночас це питання безпосередньо пов’язане з незалежністю судової влади як однієї з гілок влади, а тому існує зв’язок між його вирішенням та організацією судової влади.</w:t>
      </w:r>
    </w:p>
    <w:p w14:paraId="14D8D32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lastRenderedPageBreak/>
        <w:t>Історично питання відводу не завжди вирішувалося судовим органом, а давалося на «відкуп» іншим суб’єктам. Зокрема, в римському цивільному процесі (І-ІІІ ст. н. е.) воно вирішувалося самими сторонами, що пояснювалося договірними засадами судового процесу. Так, позивач наділявся правом вибрати суддю зі списку кандидатів, що складалися претором. Відповідач мав право не погодитися, що по суті виступало відводом судді, оскільки у відповідь позивач повинен був запропонувати іншого суддю із списку [</w:t>
      </w:r>
      <w:r w:rsidRPr="00BE0B1A">
        <w:rPr>
          <w:rFonts w:ascii="Times New Roman CYR" w:eastAsia="MS Mincho" w:hAnsi="Times New Roman CYR" w:cs="Times New Roman CYR"/>
          <w:bCs/>
          <w:iCs/>
          <w:sz w:val="28"/>
          <w:szCs w:val="28"/>
          <w:lang w:val="uk-UA"/>
        </w:rPr>
        <w:t>57</w:t>
      </w:r>
      <w:r w:rsidRPr="00BE0B1A">
        <w:rPr>
          <w:rFonts w:ascii="Times New Roman CYR" w:eastAsia="MS Mincho" w:hAnsi="Times New Roman CYR" w:cs="Times New Roman CYR"/>
          <w:bCs/>
          <w:iCs/>
          <w:sz w:val="28"/>
          <w:szCs w:val="28"/>
        </w:rPr>
        <w:t>,</w:t>
      </w:r>
      <w:r w:rsidRPr="00BE0B1A">
        <w:rPr>
          <w:rFonts w:ascii="Times New Roman CYR" w:eastAsia="MS Mincho" w:hAnsi="Times New Roman CYR" w:cs="Times New Roman CYR"/>
          <w:bCs/>
          <w:iCs/>
          <w:sz w:val="28"/>
          <w:szCs w:val="28"/>
          <w:lang w:val="uk-UA"/>
        </w:rPr>
        <w:t xml:space="preserve"> с.</w:t>
      </w:r>
      <w:r w:rsidRPr="00BE0B1A">
        <w:rPr>
          <w:rFonts w:ascii="Times New Roman CYR" w:eastAsia="MS Mincho" w:hAnsi="Times New Roman CYR" w:cs="Times New Roman CYR"/>
          <w:bCs/>
          <w:iCs/>
          <w:sz w:val="28"/>
          <w:szCs w:val="28"/>
        </w:rPr>
        <w:t xml:space="preserve"> 44</w:t>
      </w:r>
      <w:r w:rsidRPr="00BE0B1A">
        <w:rPr>
          <w:rFonts w:ascii="Times New Roman CYR" w:eastAsia="MS Mincho" w:hAnsi="Times New Roman CYR" w:cs="Times New Roman CYR"/>
          <w:bCs/>
          <w:iCs/>
          <w:sz w:val="28"/>
          <w:szCs w:val="28"/>
          <w:lang w:val="uk-UA"/>
        </w:rPr>
        <w:t>-</w:t>
      </w:r>
      <w:r w:rsidRPr="00BE0B1A">
        <w:rPr>
          <w:rFonts w:ascii="Times New Roman CYR" w:eastAsia="MS Mincho" w:hAnsi="Times New Roman CYR" w:cs="Times New Roman CYR"/>
          <w:bCs/>
          <w:iCs/>
          <w:sz w:val="28"/>
          <w:szCs w:val="28"/>
        </w:rPr>
        <w:t>45].</w:t>
      </w:r>
      <w:r w:rsidRPr="00BE0B1A">
        <w:rPr>
          <w:rFonts w:ascii="Times New Roman CYR" w:eastAsia="MS Mincho" w:hAnsi="Times New Roman CYR" w:cs="Times New Roman CYR"/>
          <w:bCs/>
          <w:iCs/>
          <w:sz w:val="28"/>
          <w:szCs w:val="28"/>
          <w:lang w:val="uk-UA"/>
        </w:rPr>
        <w:t xml:space="preserve"> </w:t>
      </w:r>
    </w:p>
    <w:p w14:paraId="5D28313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Проведений аналіз дозволяє зауважити, що </w:t>
      </w:r>
      <w:r w:rsidRPr="00BE0B1A">
        <w:rPr>
          <w:rFonts w:ascii="Times New Roman CYR" w:eastAsia="MS Mincho" w:hAnsi="Times New Roman CYR" w:cs="Times New Roman CYR"/>
          <w:bCs/>
          <w:iCs/>
          <w:sz w:val="28"/>
          <w:szCs w:val="28"/>
        </w:rPr>
        <w:t xml:space="preserve">в інституті відводу </w:t>
      </w:r>
      <w:r w:rsidRPr="00BE0B1A">
        <w:rPr>
          <w:rFonts w:ascii="Times New Roman CYR" w:eastAsia="MS Mincho" w:hAnsi="Times New Roman CYR" w:cs="Times New Roman CYR"/>
          <w:bCs/>
          <w:iCs/>
          <w:sz w:val="28"/>
          <w:szCs w:val="28"/>
          <w:lang w:val="uk-UA"/>
        </w:rPr>
        <w:t>господарського</w:t>
      </w:r>
      <w:r w:rsidRPr="00BE0B1A">
        <w:rPr>
          <w:rFonts w:ascii="Times New Roman CYR" w:eastAsia="MS Mincho" w:hAnsi="Times New Roman CYR" w:cs="Times New Roman CYR"/>
          <w:bCs/>
          <w:iCs/>
          <w:sz w:val="28"/>
          <w:szCs w:val="28"/>
        </w:rPr>
        <w:t xml:space="preserve"> процесу можна виділити систему принципів, які показують закономірність розвитку інституту відводу та характеризують його сутність.</w:t>
      </w:r>
    </w:p>
    <w:p w14:paraId="69F3F1FA"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Реалізація учасниками господарського судочинства права на відвід можлива із використанням передбаченого законодавством механізму відводу. Недотримання встановленого порядку не тягне юридичних наслідків заявлення відводу</w:t>
      </w:r>
      <w:r w:rsidRPr="00BE0B1A">
        <w:rPr>
          <w:rFonts w:ascii="Times New Roman CYR" w:eastAsia="MS Mincho" w:hAnsi="Times New Roman CYR" w:cs="Times New Roman CYR"/>
          <w:bCs/>
          <w:iCs/>
          <w:sz w:val="28"/>
          <w:szCs w:val="28"/>
          <w:lang w:val="uk-UA"/>
        </w:rPr>
        <w:t>.</w:t>
      </w:r>
    </w:p>
    <w:p w14:paraId="4E96E11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Господарський процесуальний кодекс України (далі – ГПК України) присвячує регулюванню механізму відводу небагато уваги, і лише Пленум Вищого господарського суду України уточнює і роз’яснює його, що не можна підтримати.</w:t>
      </w:r>
    </w:p>
    <w:p w14:paraId="0D46A81F"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Механізм відводу у господарському судочинстві – це сукупність процесуальних дій, вчинених у певній послідовності, стрямованих на отримання конкретного результату – відсторонення певного учасника від господарської справи.</w:t>
      </w:r>
    </w:p>
    <w:p w14:paraId="6AAC628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Механізм відводу умовно може бути поділений на декілька етапів.</w:t>
      </w:r>
    </w:p>
    <w:p w14:paraId="724D013A"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І. Першим етапом механізму реалізації права на відвід є заявлення відводу. Відповідно до ч. 3 ст. 20 ГПК України відвід може заявлятись у письмовій формі до початку вирішення спору. Заявляти відвід після цього можна лише у разі, якщо про підставу відводу сторона чи прокурор дізналися після початку розгляду справи по суті. Таким чином, законодавець встановлює наступні обов’язкові складові механізму заявлення відводу: а) суб’єктний склад; б) форма заявлення відводу; в) зміст заяви; г) момент подання заяви.</w:t>
      </w:r>
    </w:p>
    <w:p w14:paraId="0F34F7A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lastRenderedPageBreak/>
        <w:t xml:space="preserve">Розглянемо детальніше кожну з вказаних складових. </w:t>
      </w:r>
    </w:p>
    <w:p w14:paraId="7E0D4C3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А. Суб’єктний склад.</w:t>
      </w:r>
    </w:p>
    <w:p w14:paraId="5F3264B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Кодексом визначено</w:t>
      </w:r>
      <w:r w:rsidRPr="00BE0B1A">
        <w:rPr>
          <w:rFonts w:ascii="Times New Roman CYR" w:eastAsia="MS Mincho" w:hAnsi="Times New Roman CYR" w:cs="Times New Roman CYR"/>
          <w:bCs/>
          <w:iCs/>
          <w:sz w:val="28"/>
          <w:szCs w:val="28"/>
          <w:lang w:val="uk-UA"/>
        </w:rPr>
        <w:t>, що п</w:t>
      </w:r>
      <w:r w:rsidRPr="00BE0B1A">
        <w:rPr>
          <w:rFonts w:ascii="Times New Roman CYR" w:eastAsia="MS Mincho" w:hAnsi="Times New Roman CYR" w:cs="Times New Roman CYR"/>
          <w:bCs/>
          <w:iCs/>
          <w:sz w:val="28"/>
          <w:szCs w:val="28"/>
        </w:rPr>
        <w:t>итання про відвід судді вирішує суд, який розглядає справу. Суд задовольняє відвід, якщо доходить вис</w:t>
      </w:r>
      <w:r>
        <w:rPr>
          <w:rFonts w:ascii="Times New Roman CYR" w:eastAsia="MS Mincho" w:hAnsi="Times New Roman CYR" w:cs="Times New Roman CYR"/>
          <w:bCs/>
          <w:iCs/>
          <w:sz w:val="28"/>
          <w:szCs w:val="28"/>
        </w:rPr>
        <w:t>новку про його обґрунтованість.</w:t>
      </w:r>
    </w:p>
    <w:p w14:paraId="2B4EFFA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Б. Форма заявлення відводу.</w:t>
      </w:r>
    </w:p>
    <w:p w14:paraId="10B15E9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Відвід ініціюється у формі процесуального документа – заяви. Якщо відвід заявлено усно, господарський суд має запропонувати заявникові викласти його в письмовій формі (за необхідності надавши йому потрібний для цього час), а в разі відмови від заявлення відводу в такій формі – продовжити розгляд справи по суті. Отже, заяви про відвід, висловлені виключно в усній формі, судом навіть не беруться до уваги і не тягнуть процесуальних наслідків. Суд ігнорує їх і продовжує розгляд господарської справи по суті. Наприклад, рішенням господарського суду Львівської області від 22.09.2011 р. у справі № 5015/5021/11 було встановлено, що судом усні повідомлення про відвід судді до розгляду не прийнято, оскільки відвід судді у належній формі і з правових підстав не заявлено</w:t>
      </w:r>
      <w:r>
        <w:rPr>
          <w:rFonts w:ascii="Times New Roman CYR" w:eastAsia="MS Mincho" w:hAnsi="Times New Roman CYR" w:cs="Times New Roman CYR"/>
          <w:bCs/>
          <w:iCs/>
          <w:sz w:val="28"/>
          <w:szCs w:val="28"/>
          <w:lang w:val="uk-UA"/>
        </w:rPr>
        <w:t xml:space="preserve"> </w:t>
      </w:r>
      <w:r w:rsidRPr="00774B9C">
        <w:rPr>
          <w:rFonts w:ascii="Times New Roman CYR" w:eastAsia="MS Mincho" w:hAnsi="Times New Roman CYR" w:cs="Times New Roman CYR"/>
          <w:bCs/>
          <w:iCs/>
          <w:sz w:val="28"/>
          <w:szCs w:val="28"/>
        </w:rPr>
        <w:t>[57</w:t>
      </w:r>
      <w:r>
        <w:rPr>
          <w:rFonts w:ascii="Times New Roman CYR" w:eastAsia="MS Mincho" w:hAnsi="Times New Roman CYR" w:cs="Times New Roman CYR"/>
          <w:bCs/>
          <w:iCs/>
          <w:sz w:val="28"/>
          <w:szCs w:val="28"/>
        </w:rPr>
        <w:t>, с. 44</w:t>
      </w:r>
      <w:r w:rsidRPr="00774B9C">
        <w:rPr>
          <w:rFonts w:ascii="Times New Roman CYR" w:eastAsia="MS Mincho" w:hAnsi="Times New Roman CYR" w:cs="Times New Roman CYR"/>
          <w:bCs/>
          <w:iCs/>
          <w:sz w:val="28"/>
          <w:szCs w:val="28"/>
        </w:rPr>
        <w:t>]</w:t>
      </w:r>
      <w:r w:rsidRPr="00BE0B1A">
        <w:rPr>
          <w:rFonts w:ascii="Times New Roman CYR" w:eastAsia="MS Mincho" w:hAnsi="Times New Roman CYR" w:cs="Times New Roman CYR"/>
          <w:bCs/>
          <w:iCs/>
          <w:sz w:val="28"/>
          <w:szCs w:val="28"/>
        </w:rPr>
        <w:t>.</w:t>
      </w:r>
    </w:p>
    <w:p w14:paraId="7F877D6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Вважаємо, що з огляду на ідентичність імперативного припису стосовно письмового заявлення відводу судді, вказане роз’яснення слід застосовувати і до відводу судового експерта. Тобто, якщо відвід судовому експертові заявлено усно, господарський суд має запропонувати заявникові викласти його в письмовій формі (за необхідності, надавши особі потрібний для цього час), а в разі відмови від заявлення відводу в такій формі – продовжити розгляд господарської справи по суті.</w:t>
      </w:r>
    </w:p>
    <w:p w14:paraId="0BE3E15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В. Зміст заяви про відвід</w:t>
      </w:r>
      <w:r w:rsidRPr="00BE0B1A">
        <w:rPr>
          <w:rFonts w:ascii="Times New Roman CYR" w:eastAsia="MS Mincho" w:hAnsi="Times New Roman CYR" w:cs="Times New Roman CYR"/>
          <w:bCs/>
          <w:iCs/>
          <w:sz w:val="28"/>
          <w:szCs w:val="28"/>
          <w:lang w:val="uk-UA"/>
        </w:rPr>
        <w:t>.</w:t>
      </w:r>
    </w:p>
    <w:p w14:paraId="4048B48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Заява про відвід є офіційним документом, який господарському суду подає учасник господарського процесу. Тому даний документ повинен мати всі необхідні складові, властиві офіційним документам, що подаються до суду.</w:t>
      </w:r>
    </w:p>
    <w:p w14:paraId="4042646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 xml:space="preserve">Зокрема, у вступній частині заяви необхідно зазначити офіційну назву суду, прізвище, ім’я та по батькові (для фізичної особи) або найменування </w:t>
      </w:r>
      <w:r w:rsidRPr="00BE0B1A">
        <w:rPr>
          <w:rFonts w:ascii="Times New Roman CYR" w:eastAsia="MS Mincho" w:hAnsi="Times New Roman CYR" w:cs="Times New Roman CYR"/>
          <w:bCs/>
          <w:iCs/>
          <w:sz w:val="28"/>
          <w:szCs w:val="28"/>
        </w:rPr>
        <w:lastRenderedPageBreak/>
        <w:t>заявника-юридичної особи із вказівкою процесуального статусу (додатково можна зазначити відомості з Єдиного державного реєстру юридичних осіб, фізичних осіб-підприємців та громадських формувань і контактний номер зв’язку представника), номер справи, назву документа – заява</w:t>
      </w:r>
      <w:r w:rsidRPr="00BE0B1A">
        <w:rPr>
          <w:rFonts w:ascii="Times New Roman CYR" w:eastAsia="MS Mincho" w:hAnsi="Times New Roman CYR" w:cs="Times New Roman CYR"/>
          <w:bCs/>
          <w:iCs/>
          <w:sz w:val="28"/>
          <w:szCs w:val="28"/>
          <w:lang w:val="uk-UA"/>
        </w:rPr>
        <w:t>.</w:t>
      </w:r>
    </w:p>
    <w:p w14:paraId="4E138B14" w14:textId="77777777" w:rsidR="001C6AA0" w:rsidRPr="00774B9C"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774B9C">
        <w:rPr>
          <w:rFonts w:ascii="Times New Roman CYR" w:eastAsia="MS Mincho" w:hAnsi="Times New Roman CYR" w:cs="Times New Roman CYR"/>
          <w:bCs/>
          <w:iCs/>
          <w:sz w:val="28"/>
          <w:szCs w:val="28"/>
          <w:lang w:val="uk-UA"/>
        </w:rPr>
        <w:t>Особливістю заяв про відвід (самовідвід) є відсутність описової частини, оскільки заява не повинна містити ані стислого викладу вимог сторін, ані опису дій, виконаних господарським судом або судовим експертом, адже вказане може бути ані прямо, ані опосередковано не пов’язаним з обґрунтуванням відводу цій особі.</w:t>
      </w:r>
    </w:p>
    <w:p w14:paraId="5ECB642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Мотивувальна частина заяви про відвід має викладати мотивування відводу, вимога та підстави якої містяться у статтях ГПК України.</w:t>
      </w:r>
    </w:p>
    <w:p w14:paraId="3BCEA0A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Вмотивованість відводу гарантується переліком підстав, що виключають можливість розгляду даної справи конкретним суддею або проведення судової експертизи конкретною особою. В заяві про відвід повинно міститися конкретне посилання та аргументовано доведено можливість впливу вказаних факторів (підстав) на вирішення даної справи. Кожна сторона повинна довести ті обставини, на які вона посилається як на підставу своїх вимог і заперечень.</w:t>
      </w:r>
    </w:p>
    <w:p w14:paraId="00F6417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 xml:space="preserve">Згідно з постановою Пленуму Вищого господарського суду України від 26.12.2011 р. № 18 </w:t>
      </w:r>
      <w:r w:rsidRPr="00774B9C">
        <w:rPr>
          <w:rFonts w:ascii="Times New Roman CYR" w:eastAsia="MS Mincho" w:hAnsi="Times New Roman CYR" w:cs="Times New Roman CYR"/>
          <w:bCs/>
          <w:iCs/>
          <w:sz w:val="28"/>
          <w:szCs w:val="28"/>
        </w:rPr>
        <w:t>[5]</w:t>
      </w:r>
      <w:r>
        <w:rPr>
          <w:rFonts w:ascii="Times New Roman CYR" w:eastAsia="MS Mincho" w:hAnsi="Times New Roman CYR" w:cs="Times New Roman CYR"/>
          <w:bCs/>
          <w:iCs/>
          <w:sz w:val="28"/>
          <w:szCs w:val="28"/>
        </w:rPr>
        <w:t xml:space="preserve"> </w:t>
      </w:r>
      <w:r w:rsidRPr="00BE0B1A">
        <w:rPr>
          <w:rFonts w:ascii="Times New Roman CYR" w:eastAsia="MS Mincho" w:hAnsi="Times New Roman CYR" w:cs="Times New Roman CYR"/>
          <w:bCs/>
          <w:iCs/>
          <w:sz w:val="28"/>
          <w:szCs w:val="28"/>
        </w:rPr>
        <w:t>не є підставами для відводу суддів заяви, які містять лише припущення про існування відповідних обставин, не підтверджених належними і допустимими доказами, а також наявність скарг, поданих на суддю (суддів) у зв’язку з розглядом даної чи іншої справи, обставини, пов’язані з прийняттям суддями рішень з інших справ. Логічним видається застосування вказаного положення і до відводу судового експерта. Тобто заяви про відвідсудового експерта, які містять лише припущення про існування обставин, не підтверджених належними і допустимими доказами, не є підставами для відводу судового експерта</w:t>
      </w:r>
      <w:r w:rsidRPr="00BE0B1A">
        <w:rPr>
          <w:rFonts w:ascii="Times New Roman CYR" w:eastAsia="MS Mincho" w:hAnsi="Times New Roman CYR" w:cs="Times New Roman CYR"/>
          <w:bCs/>
          <w:iCs/>
          <w:sz w:val="28"/>
          <w:szCs w:val="28"/>
          <w:lang w:val="uk-UA"/>
        </w:rPr>
        <w:t>.</w:t>
      </w:r>
    </w:p>
    <w:p w14:paraId="023A7CC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 xml:space="preserve">Остання частина заяви – прохальна – у якій заявник просить господарський суд задовольнити вказану заяву про відвід. Слід зауважити, що заяви про відвід повинні бути викладені в коректній формі з повагою до </w:t>
      </w:r>
      <w:r w:rsidRPr="00BE0B1A">
        <w:rPr>
          <w:rFonts w:ascii="Times New Roman CYR" w:eastAsia="MS Mincho" w:hAnsi="Times New Roman CYR" w:cs="Times New Roman CYR"/>
          <w:bCs/>
          <w:iCs/>
          <w:sz w:val="28"/>
          <w:szCs w:val="28"/>
        </w:rPr>
        <w:lastRenderedPageBreak/>
        <w:t>правосуддя та конкретного складу суду.</w:t>
      </w:r>
    </w:p>
    <w:p w14:paraId="18D18C2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До заяви додаються докази, що підтверджують існування підстав для відводу</w:t>
      </w:r>
    </w:p>
    <w:p w14:paraId="39FA797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774B9C">
        <w:rPr>
          <w:rFonts w:ascii="Times New Roman CYR" w:eastAsia="MS Mincho" w:hAnsi="Times New Roman CYR" w:cs="Times New Roman CYR"/>
          <w:bCs/>
          <w:iCs/>
          <w:sz w:val="28"/>
          <w:szCs w:val="28"/>
          <w:lang w:val="uk-UA"/>
        </w:rPr>
        <w:t xml:space="preserve">Всі вищевказані складові заяви про відвід є обов’язковими. </w:t>
      </w:r>
      <w:r w:rsidRPr="00BE0B1A">
        <w:rPr>
          <w:rFonts w:ascii="Times New Roman CYR" w:eastAsia="MS Mincho" w:hAnsi="Times New Roman CYR" w:cs="Times New Roman CYR"/>
          <w:bCs/>
          <w:iCs/>
          <w:sz w:val="28"/>
          <w:szCs w:val="28"/>
        </w:rPr>
        <w:t>І за відсутності хоча б однієї з них заява не може бути задоволена господарським судом.</w:t>
      </w:r>
    </w:p>
    <w:p w14:paraId="591190E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 xml:space="preserve">Г. Момент подання заяви. </w:t>
      </w:r>
    </w:p>
    <w:p w14:paraId="11F08333"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Необхідно зазначити, що відвід судді і судового експерта повинен бути заявленим до початку вирішення спору по суті.</w:t>
      </w:r>
    </w:p>
    <w:p w14:paraId="52E6057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ІІ. Прийняття заяви до розгляду.</w:t>
      </w:r>
    </w:p>
    <w:p w14:paraId="5D6D243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Подання заяви на різних стадіях розгляду господарської справи породжує різні наслідки. Зокрема, подання заяви до початку розгляду справи по суті завжди спричиняє її прийняття та розгляд.</w:t>
      </w:r>
    </w:p>
    <w:p w14:paraId="3F1408D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У випадках заявлення відводу після початку розгляду справи по суті механізм може бути змінений. Виходячи з акцентування уваги законодавцем на моменті подання заяви про відвід, якщо вказане право було використано після початку розгляду справи по суті, то про це необхідно обов’язково зазначити в заяві та обґрунтувати неможливість подання даної заяви раніше, оскільки факт з’ясування обставин виявився саме в цей час. У протилежному випадку заява про відвід не приймається у зв’язку з порушенням строку на заявлення відводу.</w:t>
      </w:r>
    </w:p>
    <w:p w14:paraId="7EA4AB7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Якщо відвід судовому експерту заявлено після призначення судової експертизи та зупинення провадження у справі у випадку, зазначеному в ч. 7 ст. 31 ГПК України, то господарський суд поновлює провадження у справі, витребувавши матеріали справи з експертної установи або у особи, якій доручено проведення судової експертизи, і вирішує питання про відвід; у разі відхилення останнього матеріали справи надсилаються тій же установі або особі для продовження судової експертизи, а провадження у справі, за необхідності, зупиняється.</w:t>
      </w:r>
    </w:p>
    <w:p w14:paraId="0E52383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 xml:space="preserve">У випадку надходження заяви про відвід судді після закінчення розгляду справи (проголошення рішення або ухвали, якою закінчується розгляд справи) </w:t>
      </w:r>
      <w:r w:rsidRPr="00BE0B1A">
        <w:rPr>
          <w:rFonts w:ascii="Times New Roman CYR" w:eastAsia="MS Mincho" w:hAnsi="Times New Roman CYR" w:cs="Times New Roman CYR"/>
          <w:bCs/>
          <w:iCs/>
          <w:sz w:val="28"/>
          <w:szCs w:val="28"/>
        </w:rPr>
        <w:lastRenderedPageBreak/>
        <w:t>така заява з відміткою про дату і точний час її надходження приєднується до матеріалів справи без її розгляду [3, п. 1.2.6]. Зазначена відмітка робиться відповідальним працівником канцелярії суду</w:t>
      </w:r>
      <w:r w:rsidRPr="00BE0B1A">
        <w:rPr>
          <w:rFonts w:ascii="Times New Roman CYR" w:eastAsia="MS Mincho" w:hAnsi="Times New Roman CYR" w:cs="Times New Roman CYR"/>
          <w:bCs/>
          <w:iCs/>
          <w:sz w:val="28"/>
          <w:szCs w:val="28"/>
          <w:lang w:val="uk-UA"/>
        </w:rPr>
        <w:t>.</w:t>
      </w:r>
    </w:p>
    <w:p w14:paraId="03435CF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Таким чином, законом передбачено лише два моменти подання заяви з виникненням правових наслідків у вигляді розгляду заяви про відвід судді: до початку розгляду справи по суті та – у виняткових випадках – після початку розгляду справи по суті. Для виникнення правових наслідків у вигляді розгляду заяви про відвід судового експерта законом також передбачено лише два моменти подання заяви: до початку проведення судової експертизи та – у виняткових випадках – після початку проведення судової експертизи</w:t>
      </w:r>
      <w:r w:rsidRPr="00BE0B1A">
        <w:rPr>
          <w:rFonts w:ascii="Times New Roman CYR" w:eastAsia="MS Mincho" w:hAnsi="Times New Roman CYR" w:cs="Times New Roman CYR"/>
          <w:bCs/>
          <w:iCs/>
          <w:sz w:val="28"/>
          <w:szCs w:val="28"/>
          <w:lang w:val="uk-UA"/>
        </w:rPr>
        <w:t>.</w:t>
      </w:r>
    </w:p>
    <w:p w14:paraId="4A513D8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ІІІ. Наступним етапом механізму відводу є розгляд заяви.</w:t>
      </w:r>
    </w:p>
    <w:p w14:paraId="29B3265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Питання про відвід судді вирішується в нарадчій кімнаті судом у тому складі, який розглядає справу, про що виноситься ухвала. Заява про відвід кільком суддям або всьому складу суду вирішується простою більшістю голосів. Заява про відвід судового експерта вирішується суддею</w:t>
      </w:r>
      <w:r w:rsidRPr="00BE0B1A">
        <w:rPr>
          <w:rFonts w:ascii="Times New Roman CYR" w:eastAsia="MS Mincho" w:hAnsi="Times New Roman CYR" w:cs="Times New Roman CYR"/>
          <w:bCs/>
          <w:iCs/>
          <w:sz w:val="28"/>
          <w:szCs w:val="28"/>
          <w:lang w:val="uk-UA"/>
        </w:rPr>
        <w:t>.</w:t>
      </w:r>
    </w:p>
    <w:p w14:paraId="58D19E9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Спільним у господарському, цивільному та адміністративному процесах України є те, що заява про відвід вирішується в нарадчій кімнаті ухвалою суду, що розглядає справу. Вимога статті про видалення судді до нарадчої кімнати при винесенні ухвали за результатами розгляду заяви про відвід судді є імперативною. Проте, при вирішенні питання про відвід судового експерта суддя не повинен видалятися до нарадчої кімнати. Суддя не позбавлений цього права, але обов’язку, як при вирішенні питання про відвід судді, він не має.</w:t>
      </w:r>
    </w:p>
    <w:p w14:paraId="7CBE8E73"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ІV. Винесення ухвали господарського суду.</w:t>
      </w:r>
    </w:p>
    <w:p w14:paraId="356BD26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Процесуальним документом, яким оформлюється результат розгляду заяви про відвід судді або судового експерта, є ухвала господарського суду про задоволення заяви про відвід або відмову у задоволенні заяви про відвід. Судова практика показує, що суди часто відмовляють у задоволенні заяв про відвід судді листом, що дає сторонам додаткову підставу для оскарження такого рішення через порушення процесуальних норм</w:t>
      </w:r>
      <w:r w:rsidRPr="00BE0B1A">
        <w:rPr>
          <w:rFonts w:ascii="Times New Roman CYR" w:eastAsia="MS Mincho" w:hAnsi="Times New Roman CYR" w:cs="Times New Roman CYR"/>
          <w:bCs/>
          <w:iCs/>
          <w:sz w:val="28"/>
          <w:szCs w:val="28"/>
          <w:lang w:val="uk-UA"/>
        </w:rPr>
        <w:t>.</w:t>
      </w:r>
    </w:p>
    <w:p w14:paraId="04749B2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 xml:space="preserve">Деякі автори вважають, що оголошення перерви або відкладення </w:t>
      </w:r>
      <w:r w:rsidRPr="00BE0B1A">
        <w:rPr>
          <w:rFonts w:ascii="Times New Roman CYR" w:eastAsia="MS Mincho" w:hAnsi="Times New Roman CYR" w:cs="Times New Roman CYR"/>
          <w:bCs/>
          <w:iCs/>
          <w:sz w:val="28"/>
          <w:szCs w:val="28"/>
        </w:rPr>
        <w:lastRenderedPageBreak/>
        <w:t>розгляду справи повинен здійснювати новий суддя, оскільки йому необхідний час для ознайомлення з матеріалами справи. Проте, вважаємо, що відведений суддя повинен в ухвалі про задоволення заяви про відвід (самовідвід) одночасно вказати про відкладення розгляду справи, перерву в засіданні.</w:t>
      </w:r>
    </w:p>
    <w:p w14:paraId="0871152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 xml:space="preserve">V. Оскарження ухвали господарського суду. </w:t>
      </w:r>
    </w:p>
    <w:p w14:paraId="7545B89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Хоча вказана стадія є факультативною, проте щодо відмови у задоволенні заяви про відвід слід зауважити, що основною прогалиною щодо наслідків винесення такої ухвали є неможливість її оскарження. Слід зазначити, що інші вітчизняні процесуальні кодекси також не надають права на оскарження таких актів. Проте на практиці непоодинокі випадки оскарження таких ухвал.</w:t>
      </w:r>
    </w:p>
    <w:p w14:paraId="0EC8160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З одного боку, надання такого права відкриває шлях до розширення способів затягування господарського процесу, оскільки, як правило, до судів апеляційної та касаційної інстанції разом зі скаргою передаються усі матеріали господарської справи. З іншого боку, ухвала про відмову в задоволенні заяви про відвід повинна бути віднесена до ухвал, які підлягають оскарженню, оскільки в протилежному випадку можлива ситуація, коли справу розглядатиме заангажований суддя, який відмовив у задоволенні заяви про відвід та продовжив розгляд справи, у якій він є зацікавленою особою.</w:t>
      </w:r>
      <w:r w:rsidRPr="00BE0B1A">
        <w:t xml:space="preserve"> </w:t>
      </w:r>
      <w:r w:rsidRPr="00BE0B1A">
        <w:rPr>
          <w:rFonts w:ascii="Times New Roman CYR" w:eastAsia="MS Mincho" w:hAnsi="Times New Roman CYR" w:cs="Times New Roman CYR"/>
          <w:bCs/>
          <w:iCs/>
          <w:sz w:val="28"/>
          <w:szCs w:val="28"/>
        </w:rPr>
        <w:t>Тому доречним видається надати позивачеві, відповідачеві, третім особам та прокурору можливість оскарження ухвал про відмову у задоволенні заяви про відвід.</w:t>
      </w:r>
    </w:p>
    <w:p w14:paraId="2D02175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Судова практика показує, що через відсутність можливості оскарження ухвал про відводи частіше за все у вказаних ухвалах лише поверхнево зазначається, що заяви не містять підстав, що підтверджують сумніви в необ’єктивності судді або судового експерта. На</w:t>
      </w:r>
      <w:r w:rsidRPr="00BE0B1A">
        <w:rPr>
          <w:rFonts w:ascii="Times New Roman CYR" w:eastAsia="MS Mincho" w:hAnsi="Times New Roman CYR" w:cs="Times New Roman CYR"/>
          <w:bCs/>
          <w:iCs/>
          <w:sz w:val="28"/>
          <w:szCs w:val="28"/>
          <w:lang w:val="uk-UA"/>
        </w:rPr>
        <w:t xml:space="preserve"> </w:t>
      </w:r>
      <w:r w:rsidRPr="00BE0B1A">
        <w:rPr>
          <w:rFonts w:ascii="Times New Roman CYR" w:eastAsia="MS Mincho" w:hAnsi="Times New Roman CYR" w:cs="Times New Roman CYR"/>
          <w:bCs/>
          <w:iCs/>
          <w:sz w:val="28"/>
          <w:szCs w:val="28"/>
        </w:rPr>
        <w:t>практиці трапляються випадки, коли суди не лише не обґрунтовують відмову, але й надають невірне обґрунтування відмови в задоволенні відводу. Можливість оскарження ухвали про відмову у задоволенні відводу дисциплінуватиме суддю, змусить його відповідальніше підходити до обґрунтування власної позиції при винесенні ухвали</w:t>
      </w:r>
      <w:r w:rsidRPr="00BE0B1A">
        <w:rPr>
          <w:rFonts w:ascii="Times New Roman CYR" w:eastAsia="MS Mincho" w:hAnsi="Times New Roman CYR" w:cs="Times New Roman CYR"/>
          <w:bCs/>
          <w:iCs/>
          <w:sz w:val="28"/>
          <w:szCs w:val="28"/>
          <w:lang w:val="uk-UA"/>
        </w:rPr>
        <w:t xml:space="preserve"> </w:t>
      </w:r>
      <w:r w:rsidRPr="00774B9C">
        <w:rPr>
          <w:rFonts w:ascii="Times New Roman CYR" w:eastAsia="MS Mincho" w:hAnsi="Times New Roman CYR" w:cs="Times New Roman CYR"/>
          <w:bCs/>
          <w:iCs/>
          <w:sz w:val="28"/>
          <w:szCs w:val="28"/>
        </w:rPr>
        <w:t>[66</w:t>
      </w:r>
      <w:r w:rsidRPr="00BE0B1A">
        <w:rPr>
          <w:rFonts w:ascii="Times New Roman CYR" w:eastAsia="MS Mincho" w:hAnsi="Times New Roman CYR" w:cs="Times New Roman CYR"/>
          <w:bCs/>
          <w:iCs/>
          <w:sz w:val="28"/>
          <w:szCs w:val="28"/>
          <w:lang w:val="uk-UA"/>
        </w:rPr>
        <w:t>, с. 111</w:t>
      </w:r>
      <w:r w:rsidRPr="00774B9C">
        <w:rPr>
          <w:rFonts w:ascii="Times New Roman CYR" w:eastAsia="MS Mincho" w:hAnsi="Times New Roman CYR" w:cs="Times New Roman CYR"/>
          <w:bCs/>
          <w:iCs/>
          <w:sz w:val="28"/>
          <w:szCs w:val="28"/>
        </w:rPr>
        <w:t>]</w:t>
      </w:r>
      <w:r w:rsidRPr="00BE0B1A">
        <w:rPr>
          <w:rFonts w:ascii="Times New Roman CYR" w:eastAsia="MS Mincho" w:hAnsi="Times New Roman CYR" w:cs="Times New Roman CYR"/>
          <w:bCs/>
          <w:iCs/>
          <w:sz w:val="28"/>
          <w:szCs w:val="28"/>
          <w:lang w:val="uk-UA"/>
        </w:rPr>
        <w:t>.</w:t>
      </w:r>
    </w:p>
    <w:p w14:paraId="4445FD5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 xml:space="preserve">Щодо наслідків відхилення заявленого відводу судовому експертові, то </w:t>
      </w:r>
      <w:r w:rsidRPr="00BE0B1A">
        <w:rPr>
          <w:rFonts w:ascii="Times New Roman CYR" w:eastAsia="MS Mincho" w:hAnsi="Times New Roman CYR" w:cs="Times New Roman CYR"/>
          <w:bCs/>
          <w:iCs/>
          <w:sz w:val="28"/>
          <w:szCs w:val="28"/>
        </w:rPr>
        <w:lastRenderedPageBreak/>
        <w:t xml:space="preserve">матеріали справи надсилаються тій же установі або особі для продовження експертизи, а провадження у справі, за необхідності, зупиняється </w:t>
      </w:r>
      <w:r>
        <w:rPr>
          <w:rFonts w:ascii="Times New Roman CYR" w:eastAsia="MS Mincho" w:hAnsi="Times New Roman CYR" w:cs="Times New Roman CYR"/>
          <w:bCs/>
          <w:iCs/>
          <w:sz w:val="28"/>
          <w:szCs w:val="28"/>
        </w:rPr>
        <w:t>[5</w:t>
      </w:r>
      <w:r w:rsidRPr="00BE0B1A">
        <w:rPr>
          <w:rFonts w:ascii="Times New Roman CYR" w:eastAsia="MS Mincho" w:hAnsi="Times New Roman CYR" w:cs="Times New Roman CYR"/>
          <w:bCs/>
          <w:iCs/>
          <w:sz w:val="28"/>
          <w:szCs w:val="28"/>
        </w:rPr>
        <w:t>].</w:t>
      </w:r>
    </w:p>
    <w:p w14:paraId="4C147D7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Досліджуючи питання розгляду та винесення ухвали про відвід, слід зауважити, що в Україні, на жаль, існує і певна проблема зловживання правами, в тому числі і правом на відвід. Зокрема, слід розцінювати як зловживання учасником судового процесу своїми процесуальними правами, зокрема, подання ним другої і наступних заяв про відвід судді (суддів) господарських судів з одних і тих самих підстав (у тому числі з викладенням відповідної заяви в іншій стилістичній формі), або, хоча й з інших підстав, ніж у первісній заяві, але з таких, що з урахуванням обставин справи були або мали бути відомі заявникові під час подання ним первісної заяви, і, отже, повинні були зазначатися саме в ній. Якщо спір вирішується (справа розглядається) колегіально, то відповідним зловживанням процесуальними правами може вважатися послідовне заявлення відводів суддям, що входять до складу відповідної колегії, з одних і тих самих підстав, хоча первісну заяву про відвід одного з цих суддів з тих же підстав залишено без задоволення. Якщо заяви про відводи суддів містять лише припущення, то вказане також призводить до зловживання сторонами процесуальними правами з метою штучного затягування розгляду господарської справи.</w:t>
      </w:r>
    </w:p>
    <w:p w14:paraId="491E4B6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Іноді відвід використовують і для отримання можливості долучити до матеріалів справи докази, які суд раніше відмовився долучати, наприклад, за тих підстав, що вони не мають відношення до предмету спор</w:t>
      </w:r>
      <w:r>
        <w:rPr>
          <w:rFonts w:ascii="Times New Roman CYR" w:eastAsia="MS Mincho" w:hAnsi="Times New Roman CYR" w:cs="Times New Roman CYR"/>
          <w:bCs/>
          <w:iCs/>
          <w:sz w:val="28"/>
          <w:szCs w:val="28"/>
        </w:rPr>
        <w:tab/>
      </w:r>
      <w:r w:rsidRPr="00BE0B1A">
        <w:rPr>
          <w:rFonts w:ascii="Times New Roman CYR" w:eastAsia="MS Mincho" w:hAnsi="Times New Roman CYR" w:cs="Times New Roman CYR"/>
          <w:bCs/>
          <w:iCs/>
          <w:sz w:val="28"/>
          <w:szCs w:val="28"/>
        </w:rPr>
        <w:t>у</w:t>
      </w:r>
      <w:r w:rsidRPr="00BE0B1A">
        <w:rPr>
          <w:rFonts w:ascii="Times New Roman CYR" w:eastAsia="MS Mincho" w:hAnsi="Times New Roman CYR" w:cs="Times New Roman CYR"/>
          <w:bCs/>
          <w:iCs/>
          <w:sz w:val="28"/>
          <w:szCs w:val="28"/>
          <w:lang w:val="uk-UA"/>
        </w:rPr>
        <w:t xml:space="preserve"> </w:t>
      </w:r>
      <w:r w:rsidRPr="00774B9C">
        <w:rPr>
          <w:rFonts w:ascii="Times New Roman CYR" w:eastAsia="MS Mincho" w:hAnsi="Times New Roman CYR" w:cs="Times New Roman CYR"/>
          <w:bCs/>
          <w:iCs/>
          <w:sz w:val="28"/>
          <w:szCs w:val="28"/>
        </w:rPr>
        <w:t>[</w:t>
      </w:r>
      <w:r w:rsidRPr="00BE0B1A">
        <w:rPr>
          <w:rFonts w:ascii="Times New Roman CYR" w:eastAsia="MS Mincho" w:hAnsi="Times New Roman CYR" w:cs="Times New Roman CYR"/>
          <w:bCs/>
          <w:iCs/>
          <w:sz w:val="28"/>
          <w:szCs w:val="28"/>
          <w:lang w:val="uk-UA"/>
        </w:rPr>
        <w:t>7</w:t>
      </w:r>
      <w:r w:rsidRPr="00774B9C">
        <w:rPr>
          <w:rFonts w:ascii="Times New Roman CYR" w:eastAsia="MS Mincho" w:hAnsi="Times New Roman CYR" w:cs="Times New Roman CYR"/>
          <w:bCs/>
          <w:iCs/>
          <w:sz w:val="28"/>
          <w:szCs w:val="28"/>
        </w:rPr>
        <w:t>]</w:t>
      </w:r>
      <w:r w:rsidRPr="00BE0B1A">
        <w:rPr>
          <w:rFonts w:ascii="Times New Roman CYR" w:eastAsia="MS Mincho" w:hAnsi="Times New Roman CYR" w:cs="Times New Roman CYR"/>
          <w:bCs/>
          <w:iCs/>
          <w:sz w:val="28"/>
          <w:szCs w:val="28"/>
        </w:rPr>
        <w:t>. Долучивши вказані докази разом із заявою про відвід судді, сторона в подальшому отримує право посилатися на них в обґрунтування власної позиції, що є основною та частіше за все єдиною метою подання заяви про відвід. Суддя повинен запобігати реалізації прихованих цілей учасників господарського процесу шляхом безпідставного заявлення відводів</w:t>
      </w:r>
      <w:r w:rsidRPr="00BE0B1A">
        <w:rPr>
          <w:rFonts w:ascii="Times New Roman CYR" w:eastAsia="MS Mincho" w:hAnsi="Times New Roman CYR" w:cs="Times New Roman CYR"/>
          <w:bCs/>
          <w:iCs/>
          <w:sz w:val="28"/>
          <w:szCs w:val="28"/>
          <w:lang w:val="uk-UA"/>
        </w:rPr>
        <w:t>.</w:t>
      </w:r>
    </w:p>
    <w:p w14:paraId="2A3F43A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rPr>
        <w:t xml:space="preserve">Механізм відводу умовно може бути поділений на декілька етапів, кожен з яких потребує глибокого дослідження та вдосконалення. Досліджуючи прогалини механізму відводів і самовідводів, доречно зауважити, що </w:t>
      </w:r>
      <w:r w:rsidRPr="00BE0B1A">
        <w:rPr>
          <w:rFonts w:ascii="Times New Roman CYR" w:eastAsia="MS Mincho" w:hAnsi="Times New Roman CYR" w:cs="Times New Roman CYR"/>
          <w:bCs/>
          <w:iCs/>
          <w:sz w:val="28"/>
          <w:szCs w:val="28"/>
        </w:rPr>
        <w:lastRenderedPageBreak/>
        <w:t>вдосконалення такого механізму створюватиме додаткову гарантію захисту прав учасників господарського процесу, оскільки, по-перше, запобігатиме можливостям зловживань при розгляді господарських справ, по-друге, забезпечуватиме належний рівень захисту прав та законних інтересів учасників господарського процесу, неупередженість судді та судового експерта, а також передбачуваність результатів розгляду господарської справи, виходячи з належних та достовірних доказів у справі.</w:t>
      </w:r>
    </w:p>
    <w:p w14:paraId="5812141C" w14:textId="77777777" w:rsidR="001C6AA0"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Таким чином, </w:t>
      </w:r>
      <w:r>
        <w:rPr>
          <w:rFonts w:ascii="Times New Roman CYR" w:eastAsia="MS Mincho" w:hAnsi="Times New Roman CYR" w:cs="Times New Roman CYR"/>
          <w:bCs/>
          <w:iCs/>
          <w:sz w:val="28"/>
          <w:szCs w:val="28"/>
          <w:lang w:val="uk-UA"/>
        </w:rPr>
        <w:t xml:space="preserve">забезпечення незалежності судової влади, обов’язкове для кожної держави, є необхідним та важливим для реалізації вказаного права та випливає з права кожного на спрведливий та неупереджений суд. Підтримка незалежності судової влади має суттєве значення для досягнення цілей судочинства та належного виконання функцій на користь ефективного судочинтсва. При цьому інститут відводу є концентрованим виразом юридичних гарантій досягнення справедливого судочинства. </w:t>
      </w:r>
    </w:p>
    <w:p w14:paraId="65357B27" w14:textId="25DFA558" w:rsidR="001C6AA0" w:rsidRPr="00A65373" w:rsidRDefault="001C6AA0" w:rsidP="00A65373">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 xml:space="preserve">Наявність інституту відводу судді гарантує забезпечення законності судового процесу, здійснення його неупередженою особою відповідно до норм чинного законодавства України. Звідси тема відводу судді є актуальною на сьогодні, адже кожна демократична країна прагне досконалості у прийнятті обґрунтованих правових рішень, об’єктивного та неупередженого вирішенні правового спору. </w:t>
      </w:r>
    </w:p>
    <w:p w14:paraId="4FC27C94"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73322BCE" w14:textId="77777777" w:rsidR="001C6AA0" w:rsidRPr="00BE0B1A" w:rsidRDefault="001C6AA0" w:rsidP="001C6AA0">
      <w:pPr>
        <w:pStyle w:val="1"/>
        <w:shd w:val="clear" w:color="auto" w:fill="auto"/>
        <w:ind w:right="57" w:firstLine="851"/>
        <w:jc w:val="both"/>
        <w:rPr>
          <w:bCs/>
          <w:noProof w:val="0"/>
          <w:kern w:val="32"/>
          <w:szCs w:val="28"/>
        </w:rPr>
      </w:pPr>
      <w:bookmarkStart w:id="36" w:name="_Toc532751462"/>
      <w:r w:rsidRPr="00BE0B1A">
        <w:rPr>
          <w:bCs/>
          <w:noProof w:val="0"/>
          <w:kern w:val="32"/>
          <w:szCs w:val="28"/>
        </w:rPr>
        <w:t>2.</w:t>
      </w:r>
      <w:r w:rsidRPr="00BE0B1A">
        <w:rPr>
          <w:bCs/>
          <w:noProof w:val="0"/>
          <w:kern w:val="32"/>
          <w:szCs w:val="28"/>
          <w:lang w:val="ru-RU"/>
        </w:rPr>
        <w:t>2</w:t>
      </w:r>
      <w:r w:rsidRPr="00BE0B1A">
        <w:rPr>
          <w:bCs/>
          <w:noProof w:val="0"/>
          <w:kern w:val="32"/>
          <w:szCs w:val="28"/>
        </w:rPr>
        <w:t>. Характеристика підстав для відводу суддів та сучасних результатів розгляду судами заяв про відвід/самовідвід суддів в Україні</w:t>
      </w:r>
      <w:bookmarkEnd w:id="36"/>
      <w:r w:rsidRPr="00BE0B1A">
        <w:rPr>
          <w:bCs/>
          <w:noProof w:val="0"/>
          <w:kern w:val="32"/>
          <w:szCs w:val="28"/>
        </w:rPr>
        <w:t xml:space="preserve"> </w:t>
      </w:r>
    </w:p>
    <w:p w14:paraId="66C7693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0B1BFB5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Держава завжди зацікавлена у тому, щоб суддя не брав участі у розгляді справи за наявності таких підстав, які роблять неможливим виконання його суддівських обов’язків </w:t>
      </w:r>
      <w:r>
        <w:rPr>
          <w:rFonts w:ascii="Times New Roman CYR" w:eastAsia="MS Mincho" w:hAnsi="Times New Roman CYR" w:cs="Times New Roman CYR"/>
          <w:bCs/>
          <w:sz w:val="28"/>
          <w:szCs w:val="28"/>
        </w:rPr>
        <w:t>[68</w:t>
      </w:r>
      <w:r w:rsidRPr="00BE0B1A">
        <w:rPr>
          <w:rFonts w:ascii="Times New Roman CYR" w:eastAsia="MS Mincho" w:hAnsi="Times New Roman CYR" w:cs="Times New Roman CYR"/>
          <w:bCs/>
          <w:sz w:val="28"/>
          <w:szCs w:val="28"/>
          <w:lang w:val="uk-UA"/>
        </w:rPr>
        <w:t>, с. 114</w:t>
      </w:r>
      <w:r w:rsidRPr="00BE0B1A">
        <w:rPr>
          <w:rFonts w:ascii="Times New Roman CYR" w:eastAsia="MS Mincho" w:hAnsi="Times New Roman CYR" w:cs="Times New Roman CYR"/>
          <w:bCs/>
          <w:sz w:val="28"/>
          <w:szCs w:val="28"/>
        </w:rPr>
        <w:t xml:space="preserve">]. Такі випадки принижують авторитет суду як органу державної влади, покликаного безсторонньо та об’єктивно розглянути цивільну справу. Сказане також можна екстраполювати на інших учасників процесу, яким можна заявити відвід, оскільки вони також сприяють судді в </w:t>
      </w:r>
      <w:r w:rsidRPr="00BE0B1A">
        <w:rPr>
          <w:rFonts w:ascii="Times New Roman CYR" w:eastAsia="MS Mincho" w:hAnsi="Times New Roman CYR" w:cs="Times New Roman CYR"/>
          <w:bCs/>
          <w:sz w:val="28"/>
          <w:szCs w:val="28"/>
        </w:rPr>
        <w:lastRenderedPageBreak/>
        <w:t>розгляді та вирішенні цивільної справи і від результатів їхньої процесуальної діяльності залежить законність та обґрунтованість винесеного рішення.</w:t>
      </w:r>
    </w:p>
    <w:p w14:paraId="4B85C6F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Об’єктивність та неупередженість суду та інших учасників процесу забезпечується тим, що законодавство наказує зазначеним суб’єктам самоусунутися за наявності підстав для цього, а у випадку невиконання цієї вимоги дозволяє заявити їм відвід по цих самих підставах</w:t>
      </w:r>
      <w:r w:rsidRPr="00BE0B1A">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lang w:val="uk-UA"/>
        </w:rPr>
        <w:t>57, с. 88</w:t>
      </w:r>
      <w:r w:rsidRPr="00774B9C">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rPr>
        <w:t>.</w:t>
      </w:r>
    </w:p>
    <w:p w14:paraId="662FD35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Забезпечення кожному громадянину права на справедливи та неупереджений суд – це одна із основних засад судочинства демократичної держави </w:t>
      </w:r>
      <w:r w:rsidRPr="00774B9C">
        <w:rPr>
          <w:rFonts w:ascii="Times New Roman CYR" w:eastAsia="MS Mincho" w:hAnsi="Times New Roman CYR" w:cs="Times New Roman CYR"/>
          <w:bCs/>
          <w:sz w:val="28"/>
          <w:szCs w:val="28"/>
        </w:rPr>
        <w:t>[14</w:t>
      </w:r>
      <w:r w:rsidRPr="00BE0B1A">
        <w:rPr>
          <w:rFonts w:ascii="Times New Roman CYR" w:eastAsia="MS Mincho" w:hAnsi="Times New Roman CYR" w:cs="Times New Roman CYR"/>
          <w:bCs/>
          <w:sz w:val="28"/>
          <w:szCs w:val="28"/>
        </w:rPr>
        <w:t>, с. 57</w:t>
      </w:r>
      <w:r w:rsidRPr="00774B9C">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lang w:val="uk-UA"/>
        </w:rPr>
        <w:t>.</w:t>
      </w:r>
    </w:p>
    <w:p w14:paraId="53CAAA7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Судова процедура вважається справедливою тільки тоді, коли вона спрямована на забезпечення верховенства права, законності, рівності учасників процесу перед законом і судом, змагальності, гласності та відкритості. Професіоналізм, незалежність та неупередженість суддів є неодмінною гарантією справедливого вирішення судових спорів </w:t>
      </w:r>
      <w:r w:rsidRPr="00774B9C">
        <w:rPr>
          <w:rFonts w:ascii="Times New Roman CYR" w:eastAsia="MS Mincho" w:hAnsi="Times New Roman CYR" w:cs="Times New Roman CYR"/>
          <w:bCs/>
          <w:sz w:val="28"/>
          <w:szCs w:val="28"/>
        </w:rPr>
        <w:t>[50</w:t>
      </w:r>
      <w:r w:rsidRPr="00BE0B1A">
        <w:rPr>
          <w:rFonts w:ascii="Times New Roman CYR" w:eastAsia="MS Mincho" w:hAnsi="Times New Roman CYR" w:cs="Times New Roman CYR"/>
          <w:bCs/>
          <w:sz w:val="28"/>
          <w:szCs w:val="28"/>
          <w:lang w:val="uk-UA"/>
        </w:rPr>
        <w:t>, с. 23</w:t>
      </w:r>
      <w:r w:rsidRPr="00774B9C">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lang w:val="uk-UA"/>
        </w:rPr>
        <w:t>.</w:t>
      </w:r>
    </w:p>
    <w:p w14:paraId="20FB2BA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Невипадково справедливий та неупереджений розгляд і вирішення господарських справ віднесено до завдань господарського судочинства (ст. 2 ГПК України), а принцип незалежності судів є однією із основоположних засад організації та діяльності судових органів в Україні.</w:t>
      </w:r>
    </w:p>
    <w:p w14:paraId="5EC60F3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Свого часу Європейський суд з прав людини встановив, що вимога «неупередженості» має два аспекти. По-перше, суддя повинен бути суб’єктивно вільний від особистих упереджень або пристрастей. По-друге, він повинен бути об’єктивно неупереджений, тобто гарантовано виключати будь-які обгрунтовані сумніви щодо цього. Європейський Суд також вказав, що для віри в незалежність і неупередженість суду важливі їх зовнішні ознаки, оскільки від питанням знаходяться повага та авторитет, які суди в демократичному суспільстві повинні вселяти громадськості.</w:t>
      </w:r>
    </w:p>
    <w:p w14:paraId="6F4191C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В Україні, як і в багатьох інших державах, цей принцип реалізується в тому числі за допомогою встановлення в галузі процесуального права існтитуту відводу судді від участі в розгляді справи, що має на меті відсторонення від участі в справі суддів, щодо неупередженості яких є сумніви.</w:t>
      </w:r>
    </w:p>
    <w:p w14:paraId="418199D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lastRenderedPageBreak/>
        <w:t>Інститут відводу судді є не тільки важливим процесуальним засобом забезпечення неупередженого й об’єктивного судочинства, шляхом усунення з процесу розгляду справи будь-якого упередженого ставлення до осіб, які беруть участь у справі, з боку суду, а й гарантією авторитету суду як органу правосуддя в очах громадян. Разом із тим поодинокі дослідження проблеми відводу суддів, що мали місце в юридичній доктрині, безумовно не втратили свого значення в даний час. однак, сучасне українське господарське процесуальне законодаство та практика його застосування свідчать про нагальну необхідність реформування інституту відводу.</w:t>
      </w:r>
    </w:p>
    <w:p w14:paraId="23F7A95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 xml:space="preserve">Відвід судді та інших учасників процесу покликаний гарантувати принцип презумпції істинності судового рішення </w:t>
      </w:r>
      <w:r>
        <w:rPr>
          <w:rFonts w:ascii="Times New Roman CYR" w:eastAsia="MS Mincho" w:hAnsi="Times New Roman CYR" w:cs="Times New Roman CYR"/>
          <w:bCs/>
          <w:sz w:val="28"/>
          <w:szCs w:val="28"/>
        </w:rPr>
        <w:t>[15</w:t>
      </w:r>
      <w:r w:rsidRPr="00BE0B1A">
        <w:rPr>
          <w:rFonts w:ascii="Times New Roman CYR" w:eastAsia="MS Mincho" w:hAnsi="Times New Roman CYR" w:cs="Times New Roman CYR"/>
          <w:bCs/>
          <w:sz w:val="28"/>
          <w:szCs w:val="28"/>
        </w:rPr>
        <w:t xml:space="preserve">, </w:t>
      </w:r>
      <w:r w:rsidRPr="00BE0B1A">
        <w:rPr>
          <w:rFonts w:ascii="Times New Roman CYR" w:eastAsia="MS Mincho" w:hAnsi="Times New Roman CYR" w:cs="Times New Roman CYR"/>
          <w:bCs/>
          <w:sz w:val="28"/>
          <w:szCs w:val="28"/>
          <w:lang w:val="uk-UA"/>
        </w:rPr>
        <w:t xml:space="preserve">с. </w:t>
      </w:r>
      <w:r w:rsidRPr="00BE0B1A">
        <w:rPr>
          <w:rFonts w:ascii="Times New Roman CYR" w:eastAsia="MS Mincho" w:hAnsi="Times New Roman CYR" w:cs="Times New Roman CYR"/>
          <w:bCs/>
          <w:sz w:val="28"/>
          <w:szCs w:val="28"/>
        </w:rPr>
        <w:t>108]. Держава в особі суду повинна встановити істину в цивільній справі, а суддя, обтяжений родинними, службовими та іншими зв’язками з учасниками цивільного процесу, не в змозі винести правосудного рішення на базі чинного законодавства, не вступаючи у конфлікт з власними інтересами. Ось чому, за наявності підстав, передбачених законом, суддя або інший учасник процесу має бути відведений для гарантування ефективного судового захисту порушених, оспорених чи невизнаних прав, свобод та інтересів</w:t>
      </w:r>
      <w:r w:rsidRPr="00BE0B1A">
        <w:rPr>
          <w:rFonts w:ascii="Times New Roman CYR" w:eastAsia="MS Mincho" w:hAnsi="Times New Roman CYR" w:cs="Times New Roman CYR"/>
          <w:bCs/>
          <w:sz w:val="28"/>
          <w:szCs w:val="28"/>
          <w:lang w:val="uk-UA"/>
        </w:rPr>
        <w:t>.</w:t>
      </w:r>
    </w:p>
    <w:p w14:paraId="6F285F7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Підстави для відводу (самовідводу) судді регламентован</w:t>
      </w:r>
      <w:r w:rsidRPr="00BE0B1A">
        <w:rPr>
          <w:rFonts w:ascii="Times New Roman CYR" w:eastAsia="MS Mincho" w:hAnsi="Times New Roman CYR" w:cs="Times New Roman CYR"/>
          <w:bCs/>
          <w:sz w:val="28"/>
          <w:szCs w:val="28"/>
          <w:lang w:val="uk-UA"/>
        </w:rPr>
        <w:t xml:space="preserve">і у ст. 35 ГПК України. Так, відповідно до ч. 1 ст. 35 ГПК </w:t>
      </w:r>
      <w:r w:rsidRPr="00BE0B1A">
        <w:rPr>
          <w:rFonts w:ascii="Times New Roman CYR" w:eastAsia="MS Mincho" w:hAnsi="Times New Roman CYR" w:cs="Times New Roman CYR"/>
          <w:bCs/>
          <w:sz w:val="28"/>
          <w:szCs w:val="28"/>
        </w:rPr>
        <w:t>суддя не може розглядати справу і підлягає відводу (самовідводу), якщо:</w:t>
      </w:r>
    </w:p>
    <w:p w14:paraId="7AE2876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bookmarkStart w:id="37" w:name="n1779"/>
      <w:bookmarkEnd w:id="37"/>
      <w:r w:rsidRPr="00BE0B1A">
        <w:rPr>
          <w:rFonts w:ascii="Times New Roman CYR" w:eastAsia="MS Mincho" w:hAnsi="Times New Roman CYR" w:cs="Times New Roman CYR"/>
          <w:bCs/>
          <w:sz w:val="28"/>
          <w:szCs w:val="28"/>
        </w:rPr>
        <w:t>1) він є членом сім’ї або близьким родичем (чоловік, дружина, батько, мати, вітчим, мачуха, син, дочка, пасинок, падчерка, брат, сестра, дід, баба, внук, внучка, усиновлювач чи усиновлений, опікун чи піклувальник, член сім’ї або близький родич цих осіб) сторони або інших учасників судового процесу, або осіб, які надавали стороні або іншим учасникам справи правничу допомогу у цій справі, або іншого судді, який входить до складу суду, що розглядає чи розглядав справу;</w:t>
      </w:r>
    </w:p>
    <w:p w14:paraId="5F7094E3"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bookmarkStart w:id="38" w:name="n1780"/>
      <w:bookmarkEnd w:id="38"/>
      <w:r w:rsidRPr="00BE0B1A">
        <w:rPr>
          <w:rFonts w:ascii="Times New Roman CYR" w:eastAsia="MS Mincho" w:hAnsi="Times New Roman CYR" w:cs="Times New Roman CYR"/>
          <w:bCs/>
          <w:sz w:val="28"/>
          <w:szCs w:val="28"/>
        </w:rPr>
        <w:t xml:space="preserve">2) він брав участь у справі як свідок, експерт, спеціаліст, перекладач, представник, адвокат, секретар судового засідання, або надавав стороні чи </w:t>
      </w:r>
      <w:r w:rsidRPr="00BE0B1A">
        <w:rPr>
          <w:rFonts w:ascii="Times New Roman CYR" w:eastAsia="MS Mincho" w:hAnsi="Times New Roman CYR" w:cs="Times New Roman CYR"/>
          <w:bCs/>
          <w:sz w:val="28"/>
          <w:szCs w:val="28"/>
        </w:rPr>
        <w:lastRenderedPageBreak/>
        <w:t>іншим учасникам справи правничу допомогу в цій чи іншій справі;</w:t>
      </w:r>
    </w:p>
    <w:p w14:paraId="7D0CC40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bookmarkStart w:id="39" w:name="n1781"/>
      <w:bookmarkEnd w:id="39"/>
      <w:r w:rsidRPr="00BE0B1A">
        <w:rPr>
          <w:rFonts w:ascii="Times New Roman CYR" w:eastAsia="MS Mincho" w:hAnsi="Times New Roman CYR" w:cs="Times New Roman CYR"/>
          <w:bCs/>
          <w:sz w:val="28"/>
          <w:szCs w:val="28"/>
        </w:rPr>
        <w:t>3) він прямо чи побічно заінтересований у результаті розгляду справи;</w:t>
      </w:r>
    </w:p>
    <w:p w14:paraId="6DC8E1CF"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bookmarkStart w:id="40" w:name="n1782"/>
      <w:bookmarkEnd w:id="40"/>
      <w:r w:rsidRPr="00BE0B1A">
        <w:rPr>
          <w:rFonts w:ascii="Times New Roman CYR" w:eastAsia="MS Mincho" w:hAnsi="Times New Roman CYR" w:cs="Times New Roman CYR"/>
          <w:bCs/>
          <w:sz w:val="28"/>
          <w:szCs w:val="28"/>
        </w:rPr>
        <w:t>4) було порушено порядок визначення судді для розгляду справи;</w:t>
      </w:r>
    </w:p>
    <w:p w14:paraId="4E8BB4EA"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bookmarkStart w:id="41" w:name="n1783"/>
      <w:bookmarkEnd w:id="41"/>
      <w:r w:rsidRPr="00BE0B1A">
        <w:rPr>
          <w:rFonts w:ascii="Times New Roman CYR" w:eastAsia="MS Mincho" w:hAnsi="Times New Roman CYR" w:cs="Times New Roman CYR"/>
          <w:bCs/>
          <w:sz w:val="28"/>
          <w:szCs w:val="28"/>
        </w:rPr>
        <w:t>5) є інші обставини, які викликають сумнів у неупередженості або об’єктивності судді</w:t>
      </w:r>
      <w:r>
        <w:rPr>
          <w:rFonts w:ascii="Times New Roman CYR" w:eastAsia="MS Mincho" w:hAnsi="Times New Roman CYR" w:cs="Times New Roman CYR"/>
          <w:bCs/>
          <w:sz w:val="28"/>
          <w:szCs w:val="28"/>
          <w:lang w:val="uk-UA"/>
        </w:rPr>
        <w:t xml:space="preserve"> (Див. Дод.1)</w:t>
      </w:r>
      <w:r w:rsidRPr="00BE0B1A">
        <w:rPr>
          <w:rFonts w:ascii="Times New Roman CYR" w:eastAsia="MS Mincho" w:hAnsi="Times New Roman CYR" w:cs="Times New Roman CYR"/>
          <w:bCs/>
          <w:sz w:val="28"/>
          <w:szCs w:val="28"/>
        </w:rPr>
        <w:t>.</w:t>
      </w:r>
    </w:p>
    <w:p w14:paraId="60A8527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Суддя підлягає відводу (самовідводу) також за наявності обставин, встановлених статтею 36 цього Кодексу.</w:t>
      </w:r>
    </w:p>
    <w:p w14:paraId="346FA64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До складу суду не можуть входити особи, які є членами сім’ї, родичами між собою чи родичами подружжя.</w:t>
      </w:r>
    </w:p>
    <w:p w14:paraId="3A4B850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Незгода сторони з процесуальними рішеннями судді, рішення або окрема думка судді в інших справах, висловлена публічно думка судді щодо того чи іншого юридичного питання не може бути підставою для відводу.</w:t>
      </w:r>
    </w:p>
    <w:p w14:paraId="7E3A579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Як бачимо, суддя підлягає відводу, якщо він прямо чи побічно заінтересований у результаті розгляду справи. Утім, якщо згадати, що справа слухається одноособово, а відвід, заявлений судді, вирішується ним самим, то цілком закономірно виникає запитання, чи визнає суддя, що він прямо чи побічно заінтересований у вирішенні справи.</w:t>
      </w:r>
    </w:p>
    <w:p w14:paraId="1F3E5E9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Доцільно звернути увагу на той аспект, що законодавець передбачив наявність як прямої, так і побічної заінтересованості судді при вирішення справи. Пряму заінтересованість слід розцінювати як бозпосереднє отримання суддею вигоди, яку він може офікувати в результаті постановлення конкретного рішення у справі, тобто наслідки якого можуть стосуватись саме його або він сам може бути учасников цивільного процесу </w:t>
      </w:r>
      <w:r w:rsidRPr="00774B9C">
        <w:rPr>
          <w:rFonts w:ascii="Times New Roman CYR" w:eastAsia="MS Mincho" w:hAnsi="Times New Roman CYR" w:cs="Times New Roman CYR"/>
          <w:bCs/>
          <w:sz w:val="28"/>
          <w:szCs w:val="28"/>
        </w:rPr>
        <w:t>[70</w:t>
      </w:r>
      <w:r w:rsidRPr="00BE0B1A">
        <w:rPr>
          <w:rFonts w:ascii="Times New Roman CYR" w:eastAsia="MS Mincho" w:hAnsi="Times New Roman CYR" w:cs="Times New Roman CYR"/>
          <w:bCs/>
          <w:sz w:val="28"/>
          <w:szCs w:val="28"/>
          <w:lang w:val="uk-UA"/>
        </w:rPr>
        <w:t>, с.</w:t>
      </w:r>
      <w:r w:rsidRPr="00BE0B1A">
        <w:rPr>
          <w:rFonts w:eastAsia="MS Mincho"/>
          <w:sz w:val="28"/>
          <w:szCs w:val="28"/>
          <w:lang w:val="uk-UA"/>
        </w:rPr>
        <w:t>102</w:t>
      </w:r>
      <w:r w:rsidRPr="00774B9C">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lang w:val="uk-UA"/>
        </w:rPr>
        <w:t>.</w:t>
      </w:r>
    </w:p>
    <w:p w14:paraId="36BEDB7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Щодо побічної заінтересованості, то це питання є складним, оскільки при постановленні рішення суддю безпосередньо можуть не цікавити саме наслідки, які викличе це рішення, але можуть мати місце обставини, які побічно впливатимусть на судду при постановленні судового рішення, наприклад, перебування в підлеглості, товариські стосунки з однією із сторін. Утакому випадку вирішальним є питання: чи можуть побоювання заявника щодо заінтересованості судді вважатися об’єктивно обгрунтованими. Для цього </w:t>
      </w:r>
      <w:r w:rsidRPr="00BE0B1A">
        <w:rPr>
          <w:rFonts w:ascii="Times New Roman CYR" w:eastAsia="MS Mincho" w:hAnsi="Times New Roman CYR" w:cs="Times New Roman CYR"/>
          <w:bCs/>
          <w:sz w:val="28"/>
          <w:szCs w:val="28"/>
          <w:lang w:val="uk-UA"/>
        </w:rPr>
        <w:lastRenderedPageBreak/>
        <w:t>заявник повинен володіти достовірною інформацією про особисте життя судді, щоб мотивувати заяву про відвід, а це практично неможливо, тому й ця підстава застосовується в реальній судовій практиці не часто. Тут мова радше може йти про заінтересованість на яку прямо вказують норми права.</w:t>
      </w:r>
    </w:p>
    <w:p w14:paraId="52F6F2B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Обставинами, що викликають сумнів в об’єктивності та неупередженості судді, можуть бути незаконні дії судді під час розгляду справи, ігнорування законних вимог сторони, створення перешкод для реалізації процесуальних прав, нерівне ставлення до сторін, нетактовна поведінка судді тощо. Для того щоб ці обставини лягли в основу заяви про відвід, вони повинні бути доведеними. Ця підстава може бути підставою для відводу лише з ініціативи осіб, які беруть участь у справі. Самовідвід з цієї підстави суддя заявити не може, адже в нього не може бути сумнівів у власній об’єктивності чи неупередженості </w:t>
      </w:r>
      <w:r w:rsidRPr="00774B9C">
        <w:rPr>
          <w:rFonts w:ascii="Times New Roman CYR" w:eastAsia="MS Mincho" w:hAnsi="Times New Roman CYR" w:cs="Times New Roman CYR"/>
          <w:bCs/>
          <w:sz w:val="28"/>
          <w:szCs w:val="28"/>
        </w:rPr>
        <w:t>[34</w:t>
      </w:r>
      <w:r w:rsidRPr="00BE0B1A">
        <w:rPr>
          <w:rFonts w:ascii="Times New Roman CYR" w:eastAsia="MS Mincho" w:hAnsi="Times New Roman CYR" w:cs="Times New Roman CYR"/>
          <w:bCs/>
          <w:sz w:val="28"/>
          <w:szCs w:val="28"/>
          <w:lang w:val="uk-UA"/>
        </w:rPr>
        <w:t>, с. 125</w:t>
      </w:r>
      <w:r w:rsidRPr="00774B9C">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lang w:val="uk-UA"/>
        </w:rPr>
        <w:t>.</w:t>
      </w:r>
    </w:p>
    <w:p w14:paraId="66CA726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Pr>
          <w:rFonts w:ascii="Times New Roman CYR" w:eastAsia="MS Mincho" w:hAnsi="Times New Roman CYR" w:cs="Times New Roman CYR"/>
          <w:bCs/>
          <w:sz w:val="28"/>
          <w:szCs w:val="28"/>
          <w:lang w:val="uk-UA"/>
        </w:rPr>
        <w:t>Важливо підкреслити, що в</w:t>
      </w:r>
      <w:r w:rsidRPr="00BE0B1A">
        <w:rPr>
          <w:rFonts w:ascii="Times New Roman CYR" w:eastAsia="MS Mincho" w:hAnsi="Times New Roman CYR" w:cs="Times New Roman CYR"/>
          <w:bCs/>
          <w:sz w:val="28"/>
          <w:szCs w:val="28"/>
          <w:lang w:val="uk-UA"/>
        </w:rPr>
        <w:t>изначення п. 5 ч. 1 ст. 35 ГПК України свідчить про те, що підстави для заявлення клопотання про відвід не носять вичерпного характеру.</w:t>
      </w:r>
      <w:r>
        <w:rPr>
          <w:rFonts w:ascii="Times New Roman CYR" w:eastAsia="MS Mincho" w:hAnsi="Times New Roman CYR" w:cs="Times New Roman CYR"/>
          <w:bCs/>
          <w:sz w:val="28"/>
          <w:szCs w:val="28"/>
          <w:lang w:val="uk-UA"/>
        </w:rPr>
        <w:t xml:space="preserve"> Формулювання про те, що </w:t>
      </w:r>
      <w:r w:rsidRPr="00654814">
        <w:rPr>
          <w:rFonts w:ascii="Times New Roman CYR" w:eastAsia="MS Mincho" w:hAnsi="Times New Roman CYR" w:cs="Times New Roman CYR"/>
          <w:bCs/>
          <w:sz w:val="28"/>
          <w:szCs w:val="28"/>
          <w:lang w:val="uk-UA"/>
        </w:rPr>
        <w:t>є інші обставини, які викликають сумнів у неупередженості а</w:t>
      </w:r>
      <w:r>
        <w:rPr>
          <w:rFonts w:ascii="Times New Roman CYR" w:eastAsia="MS Mincho" w:hAnsi="Times New Roman CYR" w:cs="Times New Roman CYR"/>
          <w:bCs/>
          <w:sz w:val="28"/>
          <w:szCs w:val="28"/>
          <w:lang w:val="uk-UA"/>
        </w:rPr>
        <w:t>бо об’єктивності судді свідчать про невичерпний характер таких обставин.</w:t>
      </w:r>
    </w:p>
    <w:p w14:paraId="7F93D964" w14:textId="77777777" w:rsidR="001C6AA0" w:rsidRPr="00774B9C"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Отже, підстави для відводу судді можуть мати об’єктивний чи суб’єктивний характер. Об’єктивною підставою для відводу судді є його попередня участь у справі. Зазначена обставина є безумовною підставою для відводу й у разі її наявності суддя повинен заявити самовідвід. Під попереднім вирішенням справи слід розуміти усі випадки, коли справа розглядалася в судовому засіданні незалежно від того, чи завершився її розгляд постановленням рішення суду. Підставою для відводу може бути лише безпосередня участь судді, про відвід якого йдеться, у цій справі. Також об’єктивною підставою для відводу є родинні стосунки з особами, які беруть участь у справі. Так, с</w:t>
      </w:r>
      <w:r w:rsidRPr="00774B9C">
        <w:rPr>
          <w:rFonts w:ascii="Times New Roman CYR" w:eastAsia="MS Mincho" w:hAnsi="Times New Roman CYR" w:cs="Times New Roman CYR"/>
          <w:bCs/>
          <w:sz w:val="28"/>
          <w:szCs w:val="28"/>
          <w:lang w:val="uk-UA"/>
        </w:rPr>
        <w:t>уддя не може розглядати справу і підлягає відводу (самовідводу), якщо</w:t>
      </w:r>
      <w:r w:rsidRPr="00BE0B1A">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lang w:val="uk-UA"/>
        </w:rPr>
        <w:t xml:space="preserve">він є членом сім’ї або близьким родичем (чоловік, дружина, батько, мати, вітчим, мачуха, син, дочка, пасинок, падчерка, брат, сестра, дід, </w:t>
      </w:r>
      <w:r w:rsidRPr="00774B9C">
        <w:rPr>
          <w:rFonts w:ascii="Times New Roman CYR" w:eastAsia="MS Mincho" w:hAnsi="Times New Roman CYR" w:cs="Times New Roman CYR"/>
          <w:bCs/>
          <w:sz w:val="28"/>
          <w:szCs w:val="28"/>
          <w:lang w:val="uk-UA"/>
        </w:rPr>
        <w:lastRenderedPageBreak/>
        <w:t>баба, внук, внучка, усиновлювач чи усиновлений, опікун чи піклувальник, член сім’ї або близький родич цих осіб) сторони або інших учасників судового процесу, або осіб, які надавали стороні або іншим учасникам справи правничу допомогу у цій справі, або іншого судді, який входить до складу суду, що розглядає чи розглядав справу.</w:t>
      </w:r>
    </w:p>
    <w:p w14:paraId="6607DAD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З цих підстав суддя підлягає відводу й тоді, коли зазгачені в ній особи вступили або залучені в справі після початку розгляду справи.</w:t>
      </w:r>
    </w:p>
    <w:p w14:paraId="5662901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Перелік родичів є виключний. По самій природі здійснення правосуддя між суддями не повинно існувати будь-яких відносин, які б негативно впливали на їх внутрішнє переконання при вирішенні справи. Коже суддя повинен залишатися абсолютно самостійним у своїх судженнямх та діях. Очевидно, що родинні стосунки між суддями можеть бути перешкодою для повного й всебічного розгляду справи. Суддя, який би знаходився в родинних стосунках з іншими суддями по справі ч іншими її учасниками, обов’язково викликав би недовіру до себе, і це потягнуло б скасування вироку (рішення) </w:t>
      </w:r>
      <w:r w:rsidRPr="00774B9C">
        <w:rPr>
          <w:rFonts w:ascii="Times New Roman CYR" w:eastAsia="MS Mincho" w:hAnsi="Times New Roman CYR" w:cs="Times New Roman CYR"/>
          <w:bCs/>
          <w:sz w:val="28"/>
          <w:szCs w:val="28"/>
        </w:rPr>
        <w:t>[18</w:t>
      </w:r>
      <w:r w:rsidRPr="00BE0B1A">
        <w:rPr>
          <w:rFonts w:ascii="Times New Roman CYR" w:eastAsia="MS Mincho" w:hAnsi="Times New Roman CYR" w:cs="Times New Roman CYR"/>
          <w:bCs/>
          <w:sz w:val="28"/>
          <w:szCs w:val="28"/>
          <w:lang w:val="uk-UA"/>
        </w:rPr>
        <w:t>, с. 33</w:t>
      </w:r>
      <w:r w:rsidRPr="00774B9C">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lang w:val="uk-UA"/>
        </w:rPr>
        <w:t>.</w:t>
      </w:r>
    </w:p>
    <w:p w14:paraId="1E3FA2F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Відповідно до ч. ст. 35 ГПК України суддя підлягає відводу (самовідводу) також за наявності обставин, встановлених статтею 36 цього Кодексу.</w:t>
      </w:r>
    </w:p>
    <w:p w14:paraId="0A5BD64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Суддя, який брав участь у вирішенні справи в суді першої інстанції, не може брати участі в розгляді цієї самої справи в судах апеляційної і касаційної інстанцій, а так само у новому розгляді справи судом першої інстанції після скасування рішення суду або ухвали про закриття провадження в справі.</w:t>
      </w:r>
    </w:p>
    <w:p w14:paraId="0038B8B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Суддя, який брав участь у врегулюванні спору у справі за участю судді, не може брати участі в розгляді цієї справи по суті або перегляді будь-якого ухваленого в ній судового рішення.</w:t>
      </w:r>
    </w:p>
    <w:p w14:paraId="1B120FA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Суддя, який брав участь у вирішенні справи в суді апеляційної інстанції, не може брати участі у розгляді цієї самої справи в судах касаційної або першої інстанцій, а також у новому розгляді справи після скасування постанови суду апеляційної інстанції.</w:t>
      </w:r>
    </w:p>
    <w:p w14:paraId="1EF0549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Суддя, який брав участь у перегляді справи в суді касаційної інстанції, не може брати участі в розгляді цієї справи в суді першої чи апеляційної інстанцій, </w:t>
      </w:r>
      <w:r w:rsidRPr="00BE0B1A">
        <w:rPr>
          <w:rFonts w:ascii="Times New Roman CYR" w:eastAsia="MS Mincho" w:hAnsi="Times New Roman CYR" w:cs="Times New Roman CYR"/>
          <w:bCs/>
          <w:sz w:val="28"/>
          <w:szCs w:val="28"/>
          <w:lang w:val="uk-UA"/>
        </w:rPr>
        <w:lastRenderedPageBreak/>
        <w:t>а також у новому її розгляді після скасування постанови суду касаційної інстанції.</w:t>
      </w:r>
    </w:p>
    <w:p w14:paraId="04E9E69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Суддя, який брав участь у вирішенні справи, рішення в якій було в подальшому скасоване судом вищої інстанції, не може брати участі у розгляді заяви про перегляд за нововиявленими обставинами рішення суду у цій справі.</w:t>
      </w:r>
    </w:p>
    <w:p w14:paraId="1C3F2DF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Суддя, який брав участь у вирішенні справи в суді першої, апеляційної, касаційної інстанцій, не може брати участі у розгляді заяви про перегляд судового рішення у зв’язку з виключними обставинами у цій справі.</w:t>
      </w:r>
    </w:p>
    <w:p w14:paraId="3ED3BFD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Якщо говорити про процесуальні особливості самовідводу, то необхідно зазначити, що, установлюючи правило про самовідвід, законодавець виходить із того, що є випадки, коли певним учасникам процесу відомі підстави для відводу, передбачені законом. Норма про самовідвід гарантує неупередженість здійснення правосуддя, попереджає можливість скасування рішень за мотивами незаконності складу суду, заінтересованості пенвих суб’єктів, що з’ясувалися під час перегляду справи вищестоящими інстанціями </w:t>
      </w:r>
      <w:r w:rsidRPr="00774B9C">
        <w:rPr>
          <w:rFonts w:ascii="Times New Roman CYR" w:eastAsia="MS Mincho" w:hAnsi="Times New Roman CYR" w:cs="Times New Roman CYR"/>
          <w:bCs/>
          <w:sz w:val="28"/>
          <w:szCs w:val="28"/>
          <w:lang w:val="uk-UA"/>
        </w:rPr>
        <w:t>[36</w:t>
      </w:r>
      <w:r w:rsidRPr="00BE0B1A">
        <w:rPr>
          <w:rFonts w:ascii="Times New Roman CYR" w:eastAsia="MS Mincho" w:hAnsi="Times New Roman CYR" w:cs="Times New Roman CYR"/>
          <w:bCs/>
          <w:sz w:val="28"/>
          <w:szCs w:val="28"/>
          <w:lang w:val="uk-UA"/>
        </w:rPr>
        <w:t>, с. 233</w:t>
      </w:r>
      <w:r w:rsidRPr="00774B9C">
        <w:rPr>
          <w:rFonts w:ascii="Times New Roman CYR" w:eastAsia="MS Mincho" w:hAnsi="Times New Roman CYR" w:cs="Times New Roman CYR"/>
          <w:bCs/>
          <w:sz w:val="28"/>
          <w:szCs w:val="28"/>
          <w:lang w:val="uk-UA"/>
        </w:rPr>
        <w:t>]</w:t>
      </w:r>
      <w:r w:rsidRPr="00BE0B1A">
        <w:rPr>
          <w:rFonts w:ascii="Times New Roman CYR" w:eastAsia="MS Mincho" w:hAnsi="Times New Roman CYR" w:cs="Times New Roman CYR"/>
          <w:bCs/>
          <w:sz w:val="28"/>
          <w:szCs w:val="28"/>
          <w:lang w:val="uk-UA"/>
        </w:rPr>
        <w:t>.</w:t>
      </w:r>
    </w:p>
    <w:p w14:paraId="5C7363C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Наявність визначених (безумовних) підстав для відводу, поряд з відносно-визначеними (умовними), можна вважати позитивним явищем, яке обов’язково повинно бути складовою сучасного інституту відводу в </w:t>
      </w:r>
      <w:r w:rsidRPr="00BE0B1A">
        <w:rPr>
          <w:rFonts w:ascii="Times New Roman CYR" w:eastAsia="MS Mincho" w:hAnsi="Times New Roman CYR" w:cs="Times New Roman CYR"/>
          <w:bCs/>
          <w:sz w:val="28"/>
          <w:szCs w:val="28"/>
          <w:lang w:val="uk-UA"/>
        </w:rPr>
        <w:t>господарському</w:t>
      </w:r>
      <w:r w:rsidRPr="00BE0B1A">
        <w:rPr>
          <w:rFonts w:ascii="Times New Roman CYR" w:eastAsia="MS Mincho" w:hAnsi="Times New Roman CYR" w:cs="Times New Roman CYR"/>
          <w:bCs/>
          <w:sz w:val="28"/>
          <w:szCs w:val="28"/>
        </w:rPr>
        <w:t xml:space="preserve"> процесі. Більше того, під час узагальнення судової практики перелік визначених підстав час від часу потрібно переглядати з тим, щоб вирішити питання про можливість його поповнення</w:t>
      </w:r>
    </w:p>
    <w:p w14:paraId="51C7F733"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 xml:space="preserve">Отже, підстави для відводу у </w:t>
      </w:r>
      <w:r w:rsidRPr="00BE0B1A">
        <w:rPr>
          <w:rFonts w:ascii="Times New Roman CYR" w:eastAsia="MS Mincho" w:hAnsi="Times New Roman CYR" w:cs="Times New Roman CYR"/>
          <w:bCs/>
          <w:sz w:val="28"/>
          <w:szCs w:val="28"/>
          <w:lang w:val="uk-UA"/>
        </w:rPr>
        <w:t>господарському</w:t>
      </w:r>
      <w:r w:rsidRPr="00BE0B1A">
        <w:rPr>
          <w:rFonts w:ascii="Times New Roman CYR" w:eastAsia="MS Mincho" w:hAnsi="Times New Roman CYR" w:cs="Times New Roman CYR"/>
          <w:bCs/>
          <w:sz w:val="28"/>
          <w:szCs w:val="28"/>
        </w:rPr>
        <w:t xml:space="preserve"> процесі можуть мати матеріально-правовий та процесуальний характер. Переважна маса фактів, що служать спільною підставою для відводу судді, секретаря судових засідань, експерта, спеціаліста та перекладача, є фактами матеріально-правового характеру, оскільки вони формувалися за межами процесуальних відносин під час взаємостосунків з особами, які беруть участь у розгляді справи. Але процесуально-правове значення ці факти мають в рамках розвитку процесуальних відносин під час вирішення поточних процесуальних питань. Водночас, крім вищевказаних фактів матеріально-правового та процесуального </w:t>
      </w:r>
      <w:r w:rsidRPr="00BE0B1A">
        <w:rPr>
          <w:rFonts w:ascii="Times New Roman CYR" w:eastAsia="MS Mincho" w:hAnsi="Times New Roman CYR" w:cs="Times New Roman CYR"/>
          <w:bCs/>
          <w:sz w:val="28"/>
          <w:szCs w:val="28"/>
        </w:rPr>
        <w:lastRenderedPageBreak/>
        <w:t>характеру, важливе значення у структурі предмета доказування надається доказовим фактам, які використовуються в суді для встановлення названих вище двох видів юридичних фактів. Самі по собі ці факти яких-небудь матеріально-правових наслідків не мають, адже вони не описані у структурі норми права, яка підлягає застосуванню до розглядуваних судом відносин. Але з їх допомогою приходять до висновку про існування чи відсутність пошукового юридичного факту, тобто такого, який потрібно встановити</w:t>
      </w:r>
      <w:r w:rsidRPr="00BE0B1A">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rPr>
        <w:t>[11</w:t>
      </w:r>
      <w:r w:rsidRPr="00BE0B1A">
        <w:rPr>
          <w:rFonts w:ascii="Times New Roman CYR" w:eastAsia="MS Mincho" w:hAnsi="Times New Roman CYR" w:cs="Times New Roman CYR"/>
          <w:bCs/>
          <w:sz w:val="28"/>
          <w:szCs w:val="28"/>
          <w:lang w:val="uk-UA"/>
        </w:rPr>
        <w:t>, с. 202</w:t>
      </w:r>
      <w:r w:rsidRPr="00774B9C">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rPr>
        <w:t xml:space="preserve">. Тому доказові факти інколи називають у теорії </w:t>
      </w:r>
      <w:r w:rsidRPr="00BE0B1A">
        <w:rPr>
          <w:rFonts w:ascii="Times New Roman CYR" w:eastAsia="MS Mincho" w:hAnsi="Times New Roman CYR" w:cs="Times New Roman CYR"/>
          <w:bCs/>
          <w:sz w:val="28"/>
          <w:szCs w:val="28"/>
          <w:lang w:val="uk-UA"/>
        </w:rPr>
        <w:t>судового</w:t>
      </w:r>
      <w:r w:rsidRPr="00BE0B1A">
        <w:rPr>
          <w:rFonts w:ascii="Times New Roman CYR" w:eastAsia="MS Mincho" w:hAnsi="Times New Roman CYR" w:cs="Times New Roman CYR"/>
          <w:bCs/>
          <w:sz w:val="28"/>
          <w:szCs w:val="28"/>
        </w:rPr>
        <w:t xml:space="preserve"> процесу умовиводними доказами. Хоча тут потрібно розуміти, що навіть доказові факти, оскільки вони входять до предмета доказування, необхідно підтверджувати за допомогою доказів </w:t>
      </w:r>
      <w:r w:rsidRPr="00774B9C">
        <w:rPr>
          <w:rFonts w:ascii="Times New Roman CYR" w:eastAsia="MS Mincho" w:hAnsi="Times New Roman CYR" w:cs="Times New Roman CYR"/>
          <w:bCs/>
          <w:sz w:val="28"/>
          <w:szCs w:val="28"/>
        </w:rPr>
        <w:t>[10</w:t>
      </w:r>
      <w:r w:rsidRPr="00BE0B1A">
        <w:rPr>
          <w:rFonts w:ascii="Times New Roman CYR" w:eastAsia="MS Mincho" w:hAnsi="Times New Roman CYR" w:cs="Times New Roman CYR"/>
          <w:bCs/>
          <w:sz w:val="28"/>
          <w:szCs w:val="28"/>
          <w:lang w:val="uk-UA"/>
        </w:rPr>
        <w:t>, с. 12</w:t>
      </w:r>
      <w:r w:rsidRPr="00774B9C">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rPr>
        <w:t>.</w:t>
      </w:r>
    </w:p>
    <w:p w14:paraId="7F634FEB" w14:textId="77777777" w:rsidR="001C6AA0" w:rsidRPr="00EF04F2"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Доказовий факт може знаходитися в певному зв’язку з тим або іншим фактом предмета доказування, тому встановлення його існування може дати підставу для істинного висновку про наявність (чи відсутність) насправді того або іншого факту предмета доказування</w:t>
      </w:r>
      <w:r w:rsidRPr="00BE0B1A">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lang w:val="uk-UA"/>
        </w:rPr>
        <w:t>82, с. 100</w:t>
      </w:r>
      <w:r w:rsidRPr="00774B9C">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rPr>
        <w:t>. Іноді цей зв’язок однозначний, в силу чого з наявності доказового факту неминуче випливає існування або, навпаки, не існування пошукового юридичного факту. Зокрема, Я. П. Зейкан, коментуючи підстави для відводу судді, навів такий приклад із власної судової практики. Суддя М. вирішував спір щодо будинку, в якому мав намір поселитися. Після задоволення вимог суддя викупив цей бу - динок у нового власника. Будинок був відсуджений за ціною, значно меншою від реальної ціни на такі будинки у тій місцевості. У задоволенні відводу судді, посилаючись на наявність прямої чи опосередкованої зацікавленості у результатах розгляду справи, було відмовлено, а вищестоящі інстанції виявили із суддею М. солідарність і не звернули увагу на факт його зацікавленості. Таким чином, щоб довести існування процесуально-правового факту зацікавленості судді у вирішенні цивільної справи, адвокат довів існування доказового факту – факту бажання судді оселитися у спірному будинку</w:t>
      </w:r>
      <w:r>
        <w:rPr>
          <w:rFonts w:ascii="Times New Roman CYR" w:eastAsia="MS Mincho" w:hAnsi="Times New Roman CYR" w:cs="Times New Roman CYR"/>
          <w:bCs/>
          <w:sz w:val="28"/>
          <w:szCs w:val="28"/>
        </w:rPr>
        <w:t xml:space="preserve"> </w:t>
      </w:r>
      <w:r w:rsidRPr="00774B9C">
        <w:rPr>
          <w:rFonts w:ascii="Times New Roman CYR" w:eastAsia="MS Mincho" w:hAnsi="Times New Roman CYR" w:cs="Times New Roman CYR"/>
          <w:bCs/>
          <w:sz w:val="28"/>
          <w:szCs w:val="28"/>
        </w:rPr>
        <w:t>[47</w:t>
      </w:r>
      <w:r>
        <w:rPr>
          <w:rFonts w:ascii="Times New Roman CYR" w:eastAsia="MS Mincho" w:hAnsi="Times New Roman CYR" w:cs="Times New Roman CYR"/>
          <w:bCs/>
          <w:sz w:val="28"/>
          <w:szCs w:val="28"/>
          <w:lang w:val="uk-UA"/>
        </w:rPr>
        <w:t>, с. 115</w:t>
      </w:r>
      <w:r w:rsidRPr="00774B9C">
        <w:rPr>
          <w:rFonts w:ascii="Times New Roman CYR" w:eastAsia="MS Mincho" w:hAnsi="Times New Roman CYR" w:cs="Times New Roman CYR"/>
          <w:bCs/>
          <w:sz w:val="28"/>
          <w:szCs w:val="28"/>
        </w:rPr>
        <w:t>]</w:t>
      </w:r>
      <w:r>
        <w:rPr>
          <w:rFonts w:ascii="Times New Roman CYR" w:eastAsia="MS Mincho" w:hAnsi="Times New Roman CYR" w:cs="Times New Roman CYR"/>
          <w:bCs/>
          <w:sz w:val="28"/>
          <w:szCs w:val="28"/>
        </w:rPr>
        <w:t>.</w:t>
      </w:r>
    </w:p>
    <w:p w14:paraId="1FFDD5E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 xml:space="preserve">Сам по собі доказовий факт не може бути підставою для відводу судді. Він має бути пов’язаний логічно-правовим зв’язком з тим фактом, що і буде безпосередньою підставою для відводу. Водночас усі підстави відводу </w:t>
      </w:r>
      <w:r w:rsidRPr="00BE0B1A">
        <w:rPr>
          <w:rFonts w:ascii="Times New Roman CYR" w:eastAsia="MS Mincho" w:hAnsi="Times New Roman CYR" w:cs="Times New Roman CYR"/>
          <w:bCs/>
          <w:sz w:val="28"/>
          <w:szCs w:val="28"/>
        </w:rPr>
        <w:lastRenderedPageBreak/>
        <w:t>абсолютно чи відносно визначені нормами цивільного процесуального законодавства, оскільки в іншому разі заінтересованість в об’єктивному судочинстві осіб, які беруть участь у розгляді справи, не була б гарантована.</w:t>
      </w:r>
    </w:p>
    <w:p w14:paraId="68037ED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 xml:space="preserve">Таким чином, факти матеріально-правового характеру, процесуальні факти та доказові факти мають значення при вирішенні питання про наявність чи відсутність підстав для відводу. Безпосередньо підставами для відводу можуть бути або матеріально-правові, або процесуальні факти. Доказові факти самі по собі підставами для відводу не є, оскільки вони не описані в нормі </w:t>
      </w:r>
      <w:r w:rsidRPr="00BE0B1A">
        <w:rPr>
          <w:rFonts w:ascii="Times New Roman CYR" w:eastAsia="MS Mincho" w:hAnsi="Times New Roman CYR" w:cs="Times New Roman CYR"/>
          <w:bCs/>
          <w:sz w:val="28"/>
          <w:szCs w:val="28"/>
          <w:lang w:val="uk-UA"/>
        </w:rPr>
        <w:t>Г</w:t>
      </w:r>
      <w:r w:rsidRPr="00BE0B1A">
        <w:rPr>
          <w:rFonts w:ascii="Times New Roman CYR" w:eastAsia="MS Mincho" w:hAnsi="Times New Roman CYR" w:cs="Times New Roman CYR"/>
          <w:bCs/>
          <w:sz w:val="28"/>
          <w:szCs w:val="28"/>
        </w:rPr>
        <w:t xml:space="preserve">ПК України, що вказує на підстави відводу. Проте вони можуть встановлюватися за допомогою доказів, а надалі на їх підставі суд буде приходити до висновку про наявність чи відсутність фактівпідстав відводу у </w:t>
      </w:r>
      <w:r w:rsidRPr="00BE0B1A">
        <w:rPr>
          <w:rFonts w:ascii="Times New Roman CYR" w:eastAsia="MS Mincho" w:hAnsi="Times New Roman CYR" w:cs="Times New Roman CYR"/>
          <w:bCs/>
          <w:sz w:val="28"/>
          <w:szCs w:val="28"/>
          <w:lang w:val="uk-UA"/>
        </w:rPr>
        <w:t>господарському</w:t>
      </w:r>
      <w:r w:rsidRPr="00BE0B1A">
        <w:rPr>
          <w:rFonts w:ascii="Times New Roman CYR" w:eastAsia="MS Mincho" w:hAnsi="Times New Roman CYR" w:cs="Times New Roman CYR"/>
          <w:bCs/>
          <w:sz w:val="28"/>
          <w:szCs w:val="28"/>
        </w:rPr>
        <w:t xml:space="preserve"> процесі</w:t>
      </w:r>
      <w:r w:rsidRPr="00BE0B1A">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rPr>
        <w:t>[49</w:t>
      </w:r>
      <w:r w:rsidRPr="00BE0B1A">
        <w:rPr>
          <w:rFonts w:ascii="Times New Roman CYR" w:eastAsia="MS Mincho" w:hAnsi="Times New Roman CYR" w:cs="Times New Roman CYR"/>
          <w:bCs/>
          <w:sz w:val="28"/>
          <w:szCs w:val="28"/>
          <w:lang w:val="uk-UA"/>
        </w:rPr>
        <w:t>, с. 40</w:t>
      </w:r>
      <w:r w:rsidRPr="00774B9C">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rPr>
        <w:t>.</w:t>
      </w:r>
    </w:p>
    <w:p w14:paraId="6925F75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Судова практика доводить, що відвести суддю з підстав, які вказують на сумніви в його об’єктивності та неупередженості під час процесу дуже складно</w:t>
      </w:r>
      <w:r>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rPr>
        <w:t>[47</w:t>
      </w:r>
      <w:r>
        <w:rPr>
          <w:rFonts w:ascii="Times New Roman CYR" w:eastAsia="MS Mincho" w:hAnsi="Times New Roman CYR" w:cs="Times New Roman CYR"/>
          <w:bCs/>
          <w:sz w:val="28"/>
          <w:szCs w:val="28"/>
        </w:rPr>
        <w:t>, с. 115-121</w:t>
      </w:r>
      <w:r w:rsidRPr="00774B9C">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lang w:val="uk-UA"/>
        </w:rPr>
        <w:t xml:space="preserve">. </w:t>
      </w:r>
    </w:p>
    <w:p w14:paraId="708E9A6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Таким чином, </w:t>
      </w:r>
      <w:r w:rsidRPr="00BE0B1A">
        <w:rPr>
          <w:rFonts w:ascii="Times New Roman CYR" w:eastAsia="MS Mincho" w:hAnsi="Times New Roman CYR" w:cs="Times New Roman CYR"/>
          <w:bCs/>
          <w:sz w:val="28"/>
          <w:szCs w:val="28"/>
        </w:rPr>
        <w:t>підстави відводу – це юридичні факти матеріально-правового або процесуально-правового характеру, при встановленні яких за допомогою доказів для забезпечення законності та обґрунтованості судового рішення із розгляду справи усувається суддя, секретар судового засідання, експерт, спеціаліст або перекладач.</w:t>
      </w:r>
    </w:p>
    <w:p w14:paraId="29C6141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lang w:val="uk-UA"/>
        </w:rPr>
        <w:t>П</w:t>
      </w:r>
      <w:r w:rsidRPr="00BE0B1A">
        <w:rPr>
          <w:rFonts w:ascii="Times New Roman CYR" w:eastAsia="MS Mincho" w:hAnsi="Times New Roman CYR" w:cs="Times New Roman CYR"/>
          <w:bCs/>
          <w:sz w:val="28"/>
          <w:szCs w:val="28"/>
        </w:rPr>
        <w:t>ідстави для відводу (самовідводу) судді регламентован</w:t>
      </w:r>
      <w:r w:rsidRPr="00BE0B1A">
        <w:rPr>
          <w:rFonts w:ascii="Times New Roman CYR" w:eastAsia="MS Mincho" w:hAnsi="Times New Roman CYR" w:cs="Times New Roman CYR"/>
          <w:bCs/>
          <w:sz w:val="28"/>
          <w:szCs w:val="28"/>
          <w:lang w:val="uk-UA"/>
        </w:rPr>
        <w:t xml:space="preserve">і у ст. 35 ГПК України. Так, відповідно до ч. 1 ст. 35 ГПК </w:t>
      </w:r>
      <w:r w:rsidRPr="00BE0B1A">
        <w:rPr>
          <w:rFonts w:ascii="Times New Roman CYR" w:eastAsia="MS Mincho" w:hAnsi="Times New Roman CYR" w:cs="Times New Roman CYR"/>
          <w:bCs/>
          <w:sz w:val="28"/>
          <w:szCs w:val="28"/>
        </w:rPr>
        <w:t>суддя не може розглядати справу і підлягає відводу (самовідводу), якщо:</w:t>
      </w:r>
    </w:p>
    <w:p w14:paraId="2EFCC84A"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1) він є членом сім’ї або близьким родичем (чоловік, дружина, батько, мати, вітчим, мачуха, син, дочка, пасинок, падчерка, брат, сестра, дід, баба, внук, внучка, усиновлювач чи усиновлений, опікун чи піклувальник, член сім’ї або близький родич цих осіб) сторони або інших учасників судового процесу, або осіб, які надавали стороні або іншим учасникам справи правничу допомогу у цій справі, або іншого судді, який входить до складу суду, що розглядає чи розглядав справу;</w:t>
      </w:r>
    </w:p>
    <w:p w14:paraId="329C78E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lastRenderedPageBreak/>
        <w:t>2) він брав участь у справі як свідок, експерт, спеціаліст, перекладач, представник, адвокат, секретар судового засідання, або надавав стороні чи іншим учасникам справи правничу допомогу в цій чи іншій справі;</w:t>
      </w:r>
    </w:p>
    <w:p w14:paraId="37D619D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3) він прямо чи побічно заінтересований у результаті розгляду справи;</w:t>
      </w:r>
    </w:p>
    <w:p w14:paraId="2BAA3F9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4) було порушено порядок визначення судді для розгляду справи;</w:t>
      </w:r>
    </w:p>
    <w:p w14:paraId="3D56990A"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5) є інші обставини, які викликають сумнів у неупередженості або об’єктивності судді.</w:t>
      </w:r>
    </w:p>
    <w:p w14:paraId="3E39E0E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Суддя підлягає відводу (самовідводу) також за наявності обставин, встановлених чинним законодавством.</w:t>
      </w:r>
    </w:p>
    <w:p w14:paraId="47DE40AB" w14:textId="0FD6D50C" w:rsidR="001C6AA0" w:rsidRPr="00BE0B1A" w:rsidRDefault="001C6AA0" w:rsidP="00A65373">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Pr>
          <w:rFonts w:ascii="Times New Roman CYR" w:eastAsia="MS Mincho" w:hAnsi="Times New Roman CYR" w:cs="Times New Roman CYR"/>
          <w:bCs/>
          <w:sz w:val="28"/>
          <w:szCs w:val="28"/>
          <w:lang w:val="uk-UA"/>
        </w:rPr>
        <w:t>Визначення п. 5 ч. 1 ст. 35 ГПК України свідчить про те, що підстави для заявлення клопотання про відвід не носять вичерпного характеру. Формулювання про те, що є інші обставини, які викликають сумнів у неупередженості або об’єктивності судді свідчать про невичерпний характер таких обставин.</w:t>
      </w:r>
    </w:p>
    <w:p w14:paraId="3463B744"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707A68B1" w14:textId="77777777" w:rsidR="001C6AA0" w:rsidRPr="00BE0B1A" w:rsidRDefault="001C6AA0" w:rsidP="001C6AA0">
      <w:pPr>
        <w:pStyle w:val="1"/>
        <w:shd w:val="clear" w:color="auto" w:fill="auto"/>
        <w:ind w:right="57" w:firstLine="851"/>
        <w:jc w:val="both"/>
        <w:rPr>
          <w:bCs/>
          <w:noProof w:val="0"/>
          <w:kern w:val="32"/>
          <w:szCs w:val="28"/>
          <w:lang w:val="ru-RU"/>
        </w:rPr>
      </w:pPr>
      <w:bookmarkStart w:id="42" w:name="_Toc532751463"/>
      <w:r w:rsidRPr="00BE0B1A">
        <w:rPr>
          <w:bCs/>
          <w:noProof w:val="0"/>
          <w:kern w:val="32"/>
          <w:szCs w:val="28"/>
        </w:rPr>
        <w:t>2.</w:t>
      </w:r>
      <w:r w:rsidRPr="00BE0B1A">
        <w:rPr>
          <w:bCs/>
          <w:noProof w:val="0"/>
          <w:kern w:val="32"/>
          <w:szCs w:val="28"/>
          <w:lang w:val="ru-RU"/>
        </w:rPr>
        <w:t>3</w:t>
      </w:r>
      <w:r w:rsidRPr="00BE0B1A">
        <w:rPr>
          <w:bCs/>
          <w:noProof w:val="0"/>
          <w:kern w:val="32"/>
          <w:szCs w:val="28"/>
        </w:rPr>
        <w:t>. Дружба в соціальній мережі як новітня підстава для відводу судді</w:t>
      </w:r>
      <w:bookmarkEnd w:id="42"/>
    </w:p>
    <w:p w14:paraId="230F48F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1C6EC62F"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Сучасний стан суспільного розвитку характеризують як етап формування інформаційного суспільства. Запровадження новітніх інформаційних технологій, значно прискорює процес отримання, обробки, аналізу інформації. Широкий і оперативний доступ до інформації підвищує ефективність її використання, що стає невід’ємним елементом управління всіма інститутами та процесами. </w:t>
      </w:r>
    </w:p>
    <w:p w14:paraId="60B5B11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Глобалізаційні тенденції сучасної цивілізаційної епохи, передусім, проявляються в інформаційній сфері, забезпечуючи діалог культур і цивілізацій у всіх напрямках життєдіяльності людства.</w:t>
      </w:r>
    </w:p>
    <w:p w14:paraId="3558C70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Становлення інформаційного суспільства має як позитивні, так і негативні наслідки. З одного боку, пришвидшилася передача інформації значного обсягу, прискорилась її обробка та впровадження. З іншого - серйозне занепокоєння викликає поширення фактів протизаконного збору і використання </w:t>
      </w:r>
      <w:r w:rsidRPr="00BE0B1A">
        <w:rPr>
          <w:rFonts w:ascii="Times New Roman CYR" w:eastAsia="MS Mincho" w:hAnsi="Times New Roman CYR" w:cs="Times New Roman CYR"/>
          <w:bCs/>
          <w:sz w:val="28"/>
          <w:szCs w:val="28"/>
          <w:lang w:val="uk-UA"/>
        </w:rPr>
        <w:lastRenderedPageBreak/>
        <w:t>інформації, несанкціонованого доступу до інформаційних ресурсів, незаконного копіювання інформації в інформаційних системах, викрадення інформації з бібліотек, архівів, банків та баз даних, порушення технологій обробки інформації, запуску програм-вірусів, знищення та модифікація даних у інформаційних системах, перехоплення інформації в технічних каналах її витоку тощо.</w:t>
      </w:r>
    </w:p>
    <w:p w14:paraId="29D75BEA"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Наразі, інформація може бути як засобом забезпечення безпеки, так, у свою чергу, і як загроза та небезпека. Саме цим зумовлена актуальність забезпечення інформаційної безпеки України як результат управління інформаційними загрозами з метою задоволення національних інтересів людини (громадянина), суспільства та держави в інформаційній сфері.</w:t>
      </w:r>
    </w:p>
    <w:p w14:paraId="45EDDEB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Вищезазначене обумовлює актуальність дослідження </w:t>
      </w:r>
      <w:r w:rsidRPr="00774B9C">
        <w:rPr>
          <w:rFonts w:ascii="Times New Roman CYR" w:eastAsia="MS Mincho" w:hAnsi="Times New Roman CYR" w:cs="Times New Roman CYR"/>
          <w:bCs/>
          <w:sz w:val="28"/>
          <w:szCs w:val="28"/>
          <w:lang w:val="uk-UA"/>
        </w:rPr>
        <w:t>дружб</w:t>
      </w:r>
      <w:r w:rsidRPr="00BE0B1A">
        <w:rPr>
          <w:rFonts w:ascii="Times New Roman CYR" w:eastAsia="MS Mincho" w:hAnsi="Times New Roman CYR" w:cs="Times New Roman CYR"/>
          <w:bCs/>
          <w:sz w:val="28"/>
          <w:szCs w:val="28"/>
          <w:lang w:val="uk-UA"/>
        </w:rPr>
        <w:t>и</w:t>
      </w:r>
      <w:r w:rsidRPr="00774B9C">
        <w:rPr>
          <w:rFonts w:ascii="Times New Roman CYR" w:eastAsia="MS Mincho" w:hAnsi="Times New Roman CYR" w:cs="Times New Roman CYR"/>
          <w:bCs/>
          <w:sz w:val="28"/>
          <w:szCs w:val="28"/>
          <w:lang w:val="uk-UA"/>
        </w:rPr>
        <w:t xml:space="preserve"> в соціальній мережі як новітн</w:t>
      </w:r>
      <w:r w:rsidRPr="00BE0B1A">
        <w:rPr>
          <w:rFonts w:ascii="Times New Roman CYR" w:eastAsia="MS Mincho" w:hAnsi="Times New Roman CYR" w:cs="Times New Roman CYR"/>
          <w:bCs/>
          <w:sz w:val="28"/>
          <w:szCs w:val="28"/>
          <w:lang w:val="uk-UA"/>
        </w:rPr>
        <w:t>ньої</w:t>
      </w:r>
      <w:r w:rsidRPr="00774B9C">
        <w:rPr>
          <w:rFonts w:ascii="Times New Roman CYR" w:eastAsia="MS Mincho" w:hAnsi="Times New Roman CYR" w:cs="Times New Roman CYR"/>
          <w:bCs/>
          <w:sz w:val="28"/>
          <w:szCs w:val="28"/>
          <w:lang w:val="uk-UA"/>
        </w:rPr>
        <w:t xml:space="preserve"> підстав</w:t>
      </w:r>
      <w:r w:rsidRPr="00BE0B1A">
        <w:rPr>
          <w:rFonts w:ascii="Times New Roman CYR" w:eastAsia="MS Mincho" w:hAnsi="Times New Roman CYR" w:cs="Times New Roman CYR"/>
          <w:bCs/>
          <w:sz w:val="28"/>
          <w:szCs w:val="28"/>
          <w:lang w:val="uk-UA"/>
        </w:rPr>
        <w:t>и</w:t>
      </w:r>
      <w:r w:rsidRPr="00774B9C">
        <w:rPr>
          <w:rFonts w:ascii="Times New Roman CYR" w:eastAsia="MS Mincho" w:hAnsi="Times New Roman CYR" w:cs="Times New Roman CYR"/>
          <w:bCs/>
          <w:sz w:val="28"/>
          <w:szCs w:val="28"/>
          <w:lang w:val="uk-UA"/>
        </w:rPr>
        <w:t xml:space="preserve"> для відводу судді</w:t>
      </w:r>
      <w:r w:rsidRPr="00BE0B1A">
        <w:rPr>
          <w:rFonts w:ascii="Times New Roman CYR" w:eastAsia="MS Mincho" w:hAnsi="Times New Roman CYR" w:cs="Times New Roman CYR"/>
          <w:bCs/>
          <w:sz w:val="28"/>
          <w:szCs w:val="28"/>
          <w:lang w:val="uk-UA"/>
        </w:rPr>
        <w:t xml:space="preserve"> в умовах інформаційної політики в галузі інформаційної безпеки. </w:t>
      </w:r>
    </w:p>
    <w:p w14:paraId="51863A5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Соціальні мережі заполонили весь світ. Сучасний ритм життя важко уявити без цілодобового «онлайн». Новини вже мало хто дивиться по телевізору. Диспути в соціальних мережах між представниками влади набувають все більшої популярності. Публічні люди відкривають власні сторінки в соціальних мережах та висловлюють своє бачення щодо різноманітних питань. У світі починають прирівнювати соціальні мережі до засобів масової інформації</w:t>
      </w:r>
      <w:r w:rsidRPr="00BE0B1A">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rPr>
        <w:t>[16]</w:t>
      </w:r>
      <w:r w:rsidRPr="00BE0B1A">
        <w:rPr>
          <w:rFonts w:ascii="Times New Roman CYR" w:eastAsia="MS Mincho" w:hAnsi="Times New Roman CYR" w:cs="Times New Roman CYR"/>
          <w:bCs/>
          <w:sz w:val="28"/>
          <w:szCs w:val="28"/>
        </w:rPr>
        <w:t>.</w:t>
      </w:r>
    </w:p>
    <w:p w14:paraId="257830D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Але публічні люди залишаються все тими ж людьми. Серед них є і судді. Судді, які мають власні сторінки в соціальних мережах, – це такі ж звичайні користувачі, як і всі інші</w:t>
      </w:r>
      <w:r w:rsidRPr="00BE0B1A">
        <w:rPr>
          <w:rFonts w:ascii="Times New Roman CYR" w:eastAsia="MS Mincho" w:hAnsi="Times New Roman CYR" w:cs="Times New Roman CYR"/>
          <w:bCs/>
          <w:sz w:val="28"/>
          <w:szCs w:val="28"/>
          <w:lang w:val="uk-UA"/>
        </w:rPr>
        <w:t>.</w:t>
      </w:r>
    </w:p>
    <w:p w14:paraId="0EF63B7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774B9C">
        <w:rPr>
          <w:rFonts w:ascii="Times New Roman CYR" w:eastAsia="MS Mincho" w:hAnsi="Times New Roman CYR" w:cs="Times New Roman CYR"/>
          <w:bCs/>
          <w:sz w:val="28"/>
          <w:szCs w:val="28"/>
          <w:lang w:val="uk-UA"/>
        </w:rPr>
        <w:t xml:space="preserve">Чималу хвилю дискусій в соціальних мережах викликало цьогорічне рішення Касаційного суду Франції щодо «дружби» в соціальній мережі </w:t>
      </w:r>
      <w:r w:rsidRPr="00BE0B1A">
        <w:rPr>
          <w:rFonts w:ascii="Times New Roman CYR" w:eastAsia="MS Mincho" w:hAnsi="Times New Roman CYR" w:cs="Times New Roman CYR"/>
          <w:bCs/>
          <w:sz w:val="28"/>
          <w:szCs w:val="28"/>
        </w:rPr>
        <w:t>Facebook</w:t>
      </w:r>
      <w:r w:rsidRPr="00774B9C">
        <w:rPr>
          <w:rFonts w:ascii="Times New Roman CYR" w:eastAsia="MS Mincho" w:hAnsi="Times New Roman CYR" w:cs="Times New Roman CYR"/>
          <w:bCs/>
          <w:sz w:val="28"/>
          <w:szCs w:val="28"/>
          <w:lang w:val="uk-UA"/>
        </w:rPr>
        <w:t xml:space="preserve"> між суддями та адвокатами. </w:t>
      </w:r>
      <w:r w:rsidRPr="00BE0B1A">
        <w:rPr>
          <w:rFonts w:ascii="Times New Roman CYR" w:eastAsia="MS Mincho" w:hAnsi="Times New Roman CYR" w:cs="Times New Roman CYR"/>
          <w:bCs/>
          <w:sz w:val="28"/>
          <w:szCs w:val="28"/>
        </w:rPr>
        <w:t>Хіба що ледачий користувач соціальних мереж не зіштовхувався з обговоренням на зазначену тему. Навіть суддя Європейського суду з прав людини Ганна Юдківська не пройшла повз цієї новини та виклала на своїй сторінці цитату з рішення Касаційного суду Франції: </w:t>
      </w:r>
      <w:r w:rsidRPr="00BE0B1A">
        <w:rPr>
          <w:rFonts w:ascii="Times New Roman CYR" w:eastAsia="MS Mincho" w:hAnsi="Times New Roman CYR" w:cs="Times New Roman CYR"/>
          <w:bCs/>
          <w:iCs/>
          <w:sz w:val="28"/>
          <w:szCs w:val="28"/>
        </w:rPr>
        <w:t xml:space="preserve">«…термін «друг», що використовується для позначення людей, які згодні увійти в контакт через </w:t>
      </w:r>
      <w:r w:rsidRPr="00BE0B1A">
        <w:rPr>
          <w:rFonts w:ascii="Times New Roman CYR" w:eastAsia="MS Mincho" w:hAnsi="Times New Roman CYR" w:cs="Times New Roman CYR"/>
          <w:bCs/>
          <w:iCs/>
          <w:sz w:val="28"/>
          <w:szCs w:val="28"/>
        </w:rPr>
        <w:lastRenderedPageBreak/>
        <w:t>соціальні мережі, не відсилає до дружніх стосунків у традиційному сенсі цього слова, … існування контактів між різними людьми через ці мережі не достатньо, щоб встановити конкретну упередженість; соціальна мережа є просто специфічним засобом комунікації між людьми, які мають спільні інтереси, і в цьому випадку – однаковий рід занять»</w:t>
      </w:r>
      <w:r>
        <w:rPr>
          <w:rFonts w:ascii="Times New Roman CYR" w:eastAsia="MS Mincho" w:hAnsi="Times New Roman CYR" w:cs="Times New Roman CYR"/>
          <w:bCs/>
          <w:iCs/>
          <w:sz w:val="28"/>
          <w:szCs w:val="28"/>
          <w:lang w:val="uk-UA"/>
        </w:rPr>
        <w:t xml:space="preserve"> </w:t>
      </w:r>
      <w:r w:rsidRPr="00774B9C">
        <w:rPr>
          <w:rFonts w:ascii="Times New Roman CYR" w:eastAsia="MS Mincho" w:hAnsi="Times New Roman CYR" w:cs="Times New Roman CYR"/>
          <w:bCs/>
          <w:iCs/>
          <w:sz w:val="28"/>
          <w:szCs w:val="28"/>
        </w:rPr>
        <w:t>[16]</w:t>
      </w:r>
      <w:r w:rsidRPr="00BE0B1A">
        <w:rPr>
          <w:rFonts w:ascii="Times New Roman CYR" w:eastAsia="MS Mincho" w:hAnsi="Times New Roman CYR" w:cs="Times New Roman CYR"/>
          <w:bCs/>
          <w:iCs/>
          <w:sz w:val="28"/>
          <w:szCs w:val="28"/>
        </w:rPr>
        <w:t>.</w:t>
      </w:r>
    </w:p>
    <w:p w14:paraId="17530C4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Проте така практика не є загальною для всіх країн Європи. Наприклад, за інформацією бельгійського видання RTBF.be, подібний інцидент стався в Бельгії два роки тому. Суд першої інстанції зобов’язав бельгійця сплачувати дружині аліменти. Пізніше чоловік помітив, що адвокат його дружини був «другом» в соціальній мережі Facebook судді, який приймав рішення у цій справі. Винахідливий бельгієць не розгубився та написав скаргу до Вищої ради юстиції (Le Conseil Supérieur de la Justice). Скарга виявилася прийнятною та була задоволена. Тему цієї скарги навіть було винесено на щорічну доповідь Вищої ради юстиції Бельгії. Зазначений випадок був поданий як приклад для інформування суддів про важливість неупередженості при розгляді справ. Ще одна рекомендація – потрібно проявляти велику обережність при користуванні соціальними мережами.</w:t>
      </w:r>
    </w:p>
    <w:p w14:paraId="680B02C4"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У наш час соціальні мережі в Інтернеті запанували серед способів суспільних комунікацій. Зважаючи на те, що судді також є членами суспільства, з такими ж правами, як і всі інші громадяни (проте з більшою відповідальністю за свої дії та рішення), звичайною є їхня участь в мережевих платформах для спілкування, що не можна заборонити чи піддавати осуду. При цьому, на моє переконання, такого роду комунікація може мати, насамперед, пізнавальний та споглядальний характер, що дозволяє особі формувати думку стосовно актуальних питань, які виникають у суспільстві, дати їй можливість для більш глибокого розуміння соціальних проблем тощо. Це надзвичайно важливий аспект у нашій професійній сфері, оскільки процес здійснення судочинства не є та не повинен бути відірваним від суспільства</w:t>
      </w:r>
      <w:r w:rsidRPr="00774B9C">
        <w:rPr>
          <w:rFonts w:ascii="Times New Roman CYR" w:eastAsia="MS Mincho" w:hAnsi="Times New Roman CYR" w:cs="Times New Roman CYR"/>
          <w:bCs/>
          <w:sz w:val="28"/>
          <w:szCs w:val="28"/>
        </w:rPr>
        <w:t xml:space="preserve"> [16]</w:t>
      </w:r>
      <w:r w:rsidRPr="00BE0B1A">
        <w:rPr>
          <w:rFonts w:ascii="Times New Roman CYR" w:eastAsia="MS Mincho" w:hAnsi="Times New Roman CYR" w:cs="Times New Roman CYR"/>
          <w:bCs/>
          <w:sz w:val="28"/>
          <w:szCs w:val="28"/>
          <w:lang w:val="uk-UA"/>
        </w:rPr>
        <w:t>.</w:t>
      </w:r>
    </w:p>
    <w:p w14:paraId="0976068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 xml:space="preserve">Однією з гарантій реалізації принципу неупередженості суддів є можливість заявити відвід (самовідвід) судді. </w:t>
      </w:r>
      <w:r>
        <w:rPr>
          <w:rFonts w:ascii="Times New Roman CYR" w:eastAsia="MS Mincho" w:hAnsi="Times New Roman CYR" w:cs="Times New Roman CYR"/>
          <w:bCs/>
          <w:sz w:val="28"/>
          <w:szCs w:val="28"/>
          <w:lang w:val="uk-UA"/>
        </w:rPr>
        <w:t>Так, статтею 35 ГПК</w:t>
      </w:r>
      <w:r w:rsidRPr="00BE0B1A">
        <w:rPr>
          <w:rFonts w:ascii="Times New Roman CYR" w:eastAsia="MS Mincho" w:hAnsi="Times New Roman CYR" w:cs="Times New Roman CYR"/>
          <w:bCs/>
          <w:sz w:val="28"/>
          <w:szCs w:val="28"/>
        </w:rPr>
        <w:t xml:space="preserve"> передбач</w:t>
      </w:r>
      <w:r>
        <w:rPr>
          <w:rFonts w:ascii="Times New Roman CYR" w:eastAsia="MS Mincho" w:hAnsi="Times New Roman CYR" w:cs="Times New Roman CYR"/>
          <w:bCs/>
          <w:sz w:val="28"/>
          <w:szCs w:val="28"/>
          <w:lang w:val="uk-UA"/>
        </w:rPr>
        <w:t>ено</w:t>
      </w:r>
      <w:r w:rsidRPr="00BE0B1A">
        <w:rPr>
          <w:rFonts w:ascii="Times New Roman CYR" w:eastAsia="MS Mincho" w:hAnsi="Times New Roman CYR" w:cs="Times New Roman CYR"/>
          <w:bCs/>
          <w:sz w:val="28"/>
          <w:szCs w:val="28"/>
        </w:rPr>
        <w:t xml:space="preserve">, </w:t>
      </w:r>
      <w:r w:rsidRPr="00BE0B1A">
        <w:rPr>
          <w:rFonts w:ascii="Times New Roman CYR" w:eastAsia="MS Mincho" w:hAnsi="Times New Roman CYR" w:cs="Times New Roman CYR"/>
          <w:bCs/>
          <w:sz w:val="28"/>
          <w:szCs w:val="28"/>
        </w:rPr>
        <w:lastRenderedPageBreak/>
        <w:t xml:space="preserve">в яких випадках суддя не може брати участь у розгляді справи та підлягає відводу (самовідводу). Цей перелік </w:t>
      </w:r>
      <w:r w:rsidRPr="00BE0B1A">
        <w:rPr>
          <w:rFonts w:ascii="Times New Roman CYR" w:eastAsia="MS Mincho" w:hAnsi="Times New Roman CYR" w:cs="Times New Roman CYR"/>
          <w:bCs/>
          <w:sz w:val="28"/>
          <w:szCs w:val="28"/>
          <w:lang w:val="uk-UA"/>
        </w:rPr>
        <w:t xml:space="preserve">не </w:t>
      </w:r>
      <w:r w:rsidRPr="00BE0B1A">
        <w:rPr>
          <w:rFonts w:ascii="Times New Roman CYR" w:eastAsia="MS Mincho" w:hAnsi="Times New Roman CYR" w:cs="Times New Roman CYR"/>
          <w:bCs/>
          <w:sz w:val="28"/>
          <w:szCs w:val="28"/>
        </w:rPr>
        <w:t>є вичерпним</w:t>
      </w:r>
      <w:r w:rsidRPr="00774B9C">
        <w:rPr>
          <w:rFonts w:ascii="Times New Roman CYR" w:eastAsia="MS Mincho" w:hAnsi="Times New Roman CYR" w:cs="Times New Roman CYR"/>
          <w:bCs/>
          <w:sz w:val="28"/>
          <w:szCs w:val="28"/>
        </w:rPr>
        <w:t xml:space="preserve"> [16]</w:t>
      </w:r>
      <w:r w:rsidRPr="00BE0B1A">
        <w:rPr>
          <w:rFonts w:ascii="Times New Roman CYR" w:eastAsia="MS Mincho" w:hAnsi="Times New Roman CYR" w:cs="Times New Roman CYR"/>
          <w:bCs/>
          <w:sz w:val="28"/>
          <w:szCs w:val="28"/>
        </w:rPr>
        <w:t>.</w:t>
      </w:r>
    </w:p>
    <w:p w14:paraId="0FE51D0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Отже, суддя підлягає самовідводу (відводу) у таких випадках:</w:t>
      </w:r>
    </w:p>
    <w:p w14:paraId="63980B1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1) він є членом сім’ї або близьким родичем (чоловік, дружина, батько, мати, вітчим, мачуха, син, дочка, пасинок, падчерка, брат, сестра, дід, баба, внук, внучка, усиновлювач чи усиновлений, опікун чи піклувальник, член сім’ї або близький родич цих осіб) сторони або інших учасників судового процесу, або осіб, які надавали стороні або іншим учасникам справи правничу допомогу у цій справі, або іншого судді, який входить до складу суду, що розглядає чи розглядав справу;</w:t>
      </w:r>
    </w:p>
    <w:p w14:paraId="5AEE078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2) він брав участь у справі як свідок, експерт, спеціаліст, перекладач, представник, адвокат, секретар судового засідання, або надавав стороні чи іншим учасникам справи правничу допомогу в цій чи іншій справі;</w:t>
      </w:r>
    </w:p>
    <w:p w14:paraId="78A3E39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3) він прямо чи побічно заінтересований у результаті розгляду справи;</w:t>
      </w:r>
    </w:p>
    <w:p w14:paraId="425FFDD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4) було порушено порядок визначення судді для розгляду справи;</w:t>
      </w:r>
    </w:p>
    <w:p w14:paraId="779ADCA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5) є інші обставини, які викликають сумнів у неупередженості або об’єктивності судді.</w:t>
      </w:r>
    </w:p>
    <w:p w14:paraId="0B0EE20F"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Майже всі пункти є обґрунтованими та зрозумілими</w:t>
      </w:r>
      <w:r w:rsidRPr="00BE0B1A">
        <w:rPr>
          <w:rFonts w:ascii="Times New Roman CYR" w:eastAsia="MS Mincho" w:hAnsi="Times New Roman CYR" w:cs="Times New Roman CYR"/>
          <w:bCs/>
          <w:sz w:val="28"/>
          <w:szCs w:val="28"/>
          <w:lang w:val="uk-UA"/>
        </w:rPr>
        <w:t>.</w:t>
      </w:r>
      <w:r w:rsidRPr="00BE0B1A">
        <w:rPr>
          <w:rFonts w:ascii="Times New Roman CYR" w:eastAsia="MS Mincho" w:hAnsi="Times New Roman CYR" w:cs="Times New Roman CYR"/>
          <w:bCs/>
          <w:sz w:val="28"/>
          <w:szCs w:val="28"/>
        </w:rPr>
        <w:t xml:space="preserve"> Відвід може бути заявлений навіть у тому випадку, якщо є сумнів. </w:t>
      </w:r>
    </w:p>
    <w:p w14:paraId="55031DB5" w14:textId="77777777" w:rsidR="001C6AA0" w:rsidRPr="00774B9C"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Академічний тлумачний словник української мови трактує слово «сумнів» наступним чином: «Непевність щодо вірогідності, можливості чого-небудь; нестача твердої впевненості в комусь, чомусь».</w:t>
      </w:r>
      <w:r w:rsidRPr="00BE0B1A">
        <w:rPr>
          <w:rFonts w:ascii="Times New Roman CYR" w:eastAsia="MS Mincho" w:hAnsi="Times New Roman CYR" w:cs="Times New Roman CYR"/>
          <w:bCs/>
          <w:sz w:val="28"/>
          <w:szCs w:val="28"/>
          <w:lang w:val="uk-UA"/>
        </w:rPr>
        <w:t xml:space="preserve"> </w:t>
      </w:r>
      <w:r w:rsidRPr="00BE0B1A">
        <w:rPr>
          <w:rFonts w:ascii="Times New Roman CYR" w:eastAsia="MS Mincho" w:hAnsi="Times New Roman CYR" w:cs="Times New Roman CYR"/>
          <w:bCs/>
          <w:sz w:val="28"/>
          <w:szCs w:val="28"/>
        </w:rPr>
        <w:t>Постає питання: «Якщо стає відомим, що суддя має в «друзях» у соціальній мережі адвоката, то чи не породжуватиме це сумнів у протилежної сторони під час розгляду справи</w:t>
      </w:r>
      <w:r w:rsidRPr="00BE0B1A">
        <w:rPr>
          <w:rFonts w:ascii="Times New Roman CYR" w:eastAsia="MS Mincho" w:hAnsi="Times New Roman CYR" w:cs="Times New Roman CYR"/>
          <w:bCs/>
          <w:sz w:val="28"/>
          <w:szCs w:val="28"/>
          <w:lang w:val="uk-UA"/>
        </w:rPr>
        <w:t>?</w:t>
      </w:r>
      <w:r w:rsidRPr="00BE0B1A">
        <w:rPr>
          <w:rFonts w:ascii="Times New Roman CYR" w:eastAsia="MS Mincho" w:hAnsi="Times New Roman CYR" w:cs="Times New Roman CYR"/>
          <w:bCs/>
          <w:sz w:val="28"/>
          <w:szCs w:val="28"/>
        </w:rPr>
        <w:t>»</w:t>
      </w:r>
      <w:r>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lang w:val="uk-UA"/>
        </w:rPr>
        <w:t>[16].</w:t>
      </w:r>
    </w:p>
    <w:p w14:paraId="739794CC" w14:textId="77777777" w:rsidR="001C6AA0" w:rsidRPr="00774B9C"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 xml:space="preserve">Як відомо, кожна соціальна мережа має власний довідковий центр. </w:t>
      </w:r>
      <w:r w:rsidRPr="00BE0B1A">
        <w:rPr>
          <w:rFonts w:ascii="Times New Roman CYR" w:eastAsia="MS Mincho" w:hAnsi="Times New Roman CYR" w:cs="Times New Roman CYR"/>
          <w:bCs/>
          <w:sz w:val="28"/>
          <w:szCs w:val="28"/>
        </w:rPr>
        <w:t>Facebook</w:t>
      </w:r>
      <w:r w:rsidRPr="00774B9C">
        <w:rPr>
          <w:rFonts w:ascii="Times New Roman CYR" w:eastAsia="MS Mincho" w:hAnsi="Times New Roman CYR" w:cs="Times New Roman CYR"/>
          <w:bCs/>
          <w:sz w:val="28"/>
          <w:szCs w:val="28"/>
          <w:lang w:val="uk-UA"/>
        </w:rPr>
        <w:t xml:space="preserve"> не є виключенням. В цій соціальній мережі існує розділ «</w:t>
      </w:r>
      <w:r w:rsidRPr="00BE0B1A">
        <w:rPr>
          <w:rFonts w:ascii="Times New Roman CYR" w:eastAsia="MS Mincho" w:hAnsi="Times New Roman CYR" w:cs="Times New Roman CYR"/>
          <w:bCs/>
          <w:sz w:val="28"/>
          <w:szCs w:val="28"/>
        </w:rPr>
        <w:t>Friending</w:t>
      </w:r>
      <w:r w:rsidRPr="00774B9C">
        <w:rPr>
          <w:rFonts w:ascii="Times New Roman CYR" w:eastAsia="MS Mincho" w:hAnsi="Times New Roman CYR" w:cs="Times New Roman CYR"/>
          <w:bCs/>
          <w:sz w:val="28"/>
          <w:szCs w:val="28"/>
          <w:lang w:val="uk-UA"/>
        </w:rPr>
        <w:t>» та підрозділ до нього «</w:t>
      </w:r>
      <w:r w:rsidRPr="00BE0B1A">
        <w:rPr>
          <w:rFonts w:ascii="Times New Roman CYR" w:eastAsia="MS Mincho" w:hAnsi="Times New Roman CYR" w:cs="Times New Roman CYR"/>
          <w:bCs/>
          <w:sz w:val="28"/>
          <w:szCs w:val="28"/>
        </w:rPr>
        <w:t>Who</w:t>
      </w:r>
      <w:r w:rsidRPr="00774B9C">
        <w:rPr>
          <w:rFonts w:ascii="Times New Roman CYR" w:eastAsia="MS Mincho" w:hAnsi="Times New Roman CYR" w:cs="Times New Roman CYR"/>
          <w:bCs/>
          <w:sz w:val="28"/>
          <w:szCs w:val="28"/>
          <w:lang w:val="uk-UA"/>
        </w:rPr>
        <w:t xml:space="preserve"> </w:t>
      </w:r>
      <w:r w:rsidRPr="00BE0B1A">
        <w:rPr>
          <w:rFonts w:ascii="Times New Roman CYR" w:eastAsia="MS Mincho" w:hAnsi="Times New Roman CYR" w:cs="Times New Roman CYR"/>
          <w:bCs/>
          <w:sz w:val="28"/>
          <w:szCs w:val="28"/>
        </w:rPr>
        <w:t>should</w:t>
      </w:r>
      <w:r w:rsidRPr="00774B9C">
        <w:rPr>
          <w:rFonts w:ascii="Times New Roman CYR" w:eastAsia="MS Mincho" w:hAnsi="Times New Roman CYR" w:cs="Times New Roman CYR"/>
          <w:bCs/>
          <w:sz w:val="28"/>
          <w:szCs w:val="28"/>
          <w:lang w:val="uk-UA"/>
        </w:rPr>
        <w:t xml:space="preserve"> </w:t>
      </w:r>
      <w:r w:rsidRPr="00BE0B1A">
        <w:rPr>
          <w:rFonts w:ascii="Times New Roman CYR" w:eastAsia="MS Mincho" w:hAnsi="Times New Roman CYR" w:cs="Times New Roman CYR"/>
          <w:bCs/>
          <w:sz w:val="28"/>
          <w:szCs w:val="28"/>
        </w:rPr>
        <w:t>I</w:t>
      </w:r>
      <w:r w:rsidRPr="00774B9C">
        <w:rPr>
          <w:rFonts w:ascii="Times New Roman CYR" w:eastAsia="MS Mincho" w:hAnsi="Times New Roman CYR" w:cs="Times New Roman CYR"/>
          <w:bCs/>
          <w:sz w:val="28"/>
          <w:szCs w:val="28"/>
          <w:lang w:val="uk-UA"/>
        </w:rPr>
        <w:t xml:space="preserve"> </w:t>
      </w:r>
      <w:r w:rsidRPr="00BE0B1A">
        <w:rPr>
          <w:rFonts w:ascii="Times New Roman CYR" w:eastAsia="MS Mincho" w:hAnsi="Times New Roman CYR" w:cs="Times New Roman CYR"/>
          <w:bCs/>
          <w:sz w:val="28"/>
          <w:szCs w:val="28"/>
        </w:rPr>
        <w:t>send</w:t>
      </w:r>
      <w:r w:rsidRPr="00774B9C">
        <w:rPr>
          <w:rFonts w:ascii="Times New Roman CYR" w:eastAsia="MS Mincho" w:hAnsi="Times New Roman CYR" w:cs="Times New Roman CYR"/>
          <w:bCs/>
          <w:sz w:val="28"/>
          <w:szCs w:val="28"/>
          <w:lang w:val="uk-UA"/>
        </w:rPr>
        <w:t xml:space="preserve"> </w:t>
      </w:r>
      <w:r w:rsidRPr="00BE0B1A">
        <w:rPr>
          <w:rFonts w:ascii="Times New Roman CYR" w:eastAsia="MS Mincho" w:hAnsi="Times New Roman CYR" w:cs="Times New Roman CYR"/>
          <w:bCs/>
          <w:sz w:val="28"/>
          <w:szCs w:val="28"/>
        </w:rPr>
        <w:t>friend</w:t>
      </w:r>
      <w:r w:rsidRPr="00774B9C">
        <w:rPr>
          <w:rFonts w:ascii="Times New Roman CYR" w:eastAsia="MS Mincho" w:hAnsi="Times New Roman CYR" w:cs="Times New Roman CYR"/>
          <w:bCs/>
          <w:sz w:val="28"/>
          <w:szCs w:val="28"/>
          <w:lang w:val="uk-UA"/>
        </w:rPr>
        <w:t xml:space="preserve"> </w:t>
      </w:r>
      <w:r w:rsidRPr="00BE0B1A">
        <w:rPr>
          <w:rFonts w:ascii="Times New Roman CYR" w:eastAsia="MS Mincho" w:hAnsi="Times New Roman CYR" w:cs="Times New Roman CYR"/>
          <w:bCs/>
          <w:sz w:val="28"/>
          <w:szCs w:val="28"/>
        </w:rPr>
        <w:t>requests</w:t>
      </w:r>
      <w:r w:rsidRPr="00774B9C">
        <w:rPr>
          <w:rFonts w:ascii="Times New Roman CYR" w:eastAsia="MS Mincho" w:hAnsi="Times New Roman CYR" w:cs="Times New Roman CYR"/>
          <w:bCs/>
          <w:sz w:val="28"/>
          <w:szCs w:val="28"/>
          <w:lang w:val="uk-UA"/>
        </w:rPr>
        <w:t xml:space="preserve"> </w:t>
      </w:r>
      <w:r w:rsidRPr="00BE0B1A">
        <w:rPr>
          <w:rFonts w:ascii="Times New Roman CYR" w:eastAsia="MS Mincho" w:hAnsi="Times New Roman CYR" w:cs="Times New Roman CYR"/>
          <w:bCs/>
          <w:sz w:val="28"/>
          <w:szCs w:val="28"/>
        </w:rPr>
        <w:t>to</w:t>
      </w:r>
      <w:r w:rsidRPr="00774B9C">
        <w:rPr>
          <w:rFonts w:ascii="Times New Roman CYR" w:eastAsia="MS Mincho" w:hAnsi="Times New Roman CYR" w:cs="Times New Roman CYR"/>
          <w:bCs/>
          <w:sz w:val="28"/>
          <w:szCs w:val="28"/>
          <w:lang w:val="uk-UA"/>
        </w:rPr>
        <w:t xml:space="preserve">?», тобто кому користувач може надіслати запит, щоб його додали до списку друзів. Далі йде відповідь </w:t>
      </w:r>
      <w:r w:rsidRPr="00BE0B1A">
        <w:rPr>
          <w:rFonts w:ascii="Times New Roman CYR" w:eastAsia="MS Mincho" w:hAnsi="Times New Roman CYR" w:cs="Times New Roman CYR"/>
          <w:bCs/>
          <w:sz w:val="28"/>
          <w:szCs w:val="28"/>
        </w:rPr>
        <w:t>Facebook</w:t>
      </w:r>
      <w:r w:rsidRPr="00774B9C">
        <w:rPr>
          <w:rFonts w:ascii="Times New Roman CYR" w:eastAsia="MS Mincho" w:hAnsi="Times New Roman CYR" w:cs="Times New Roman CYR"/>
          <w:bCs/>
          <w:sz w:val="28"/>
          <w:szCs w:val="28"/>
          <w:lang w:val="uk-UA"/>
        </w:rPr>
        <w:t xml:space="preserve"> – друзям, родичам, колегам, однокласникам. Окрім того, </w:t>
      </w:r>
      <w:r w:rsidRPr="00BE0B1A">
        <w:rPr>
          <w:rFonts w:ascii="Times New Roman CYR" w:eastAsia="MS Mincho" w:hAnsi="Times New Roman CYR" w:cs="Times New Roman CYR"/>
          <w:bCs/>
          <w:sz w:val="28"/>
          <w:szCs w:val="28"/>
        </w:rPr>
        <w:t>Facebook</w:t>
      </w:r>
      <w:r w:rsidRPr="00774B9C">
        <w:rPr>
          <w:rFonts w:ascii="Times New Roman CYR" w:eastAsia="MS Mincho" w:hAnsi="Times New Roman CYR" w:cs="Times New Roman CYR"/>
          <w:bCs/>
          <w:sz w:val="28"/>
          <w:szCs w:val="28"/>
          <w:lang w:val="uk-UA"/>
        </w:rPr>
        <w:t xml:space="preserve"> додає, для того щоб бачити у стрічці новин поновлення людей, з якими ви </w:t>
      </w:r>
      <w:r w:rsidRPr="00774B9C">
        <w:rPr>
          <w:rFonts w:ascii="Times New Roman CYR" w:eastAsia="MS Mincho" w:hAnsi="Times New Roman CYR" w:cs="Times New Roman CYR"/>
          <w:bCs/>
          <w:sz w:val="28"/>
          <w:szCs w:val="28"/>
          <w:lang w:val="uk-UA"/>
        </w:rPr>
        <w:lastRenderedPageBreak/>
        <w:t>особисто незнайомі (журналісти, видатні особи, політичні діячі), можна спробувати підписатися на них, замість того щоб додавати в друзі [16].</w:t>
      </w:r>
    </w:p>
    <w:p w14:paraId="1934537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Варто зазначити, що соціальна мережа Facebook містить таку допоміжну функцію як створення окремих сторінок. Окрема сторінка призначена для брендів, компаній, організацій та громадських діячів, які мають бажання створити свою присутність на Facebook, а профілі представляють окремих людей. Отже, якщо створити в соціальній мережі сторінку для певного суду та її вподобають кілька адвокатів, це в жодному разі не буде приводом для сумніву про знайомство адвоката з головою суду. Головне – не забувати, що це є лише рекомендаціями соціальної мережі.</w:t>
      </w:r>
    </w:p>
    <w:p w14:paraId="0772D1BA"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Повертаємося до принципу неупередженості суддів. Чи буде дотриманий цей принцип у разі «дружби» судді та учасників процесу в соціальній мережі? </w:t>
      </w:r>
    </w:p>
    <w:p w14:paraId="5AE489B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iCs/>
          <w:sz w:val="28"/>
          <w:szCs w:val="28"/>
        </w:rPr>
        <w:t xml:space="preserve">У цьому контексті </w:t>
      </w:r>
      <w:r w:rsidRPr="00BE0B1A">
        <w:rPr>
          <w:rFonts w:ascii="Times New Roman CYR" w:eastAsia="MS Mincho" w:hAnsi="Times New Roman CYR" w:cs="Times New Roman CYR"/>
          <w:bCs/>
          <w:iCs/>
          <w:sz w:val="28"/>
          <w:szCs w:val="28"/>
          <w:lang w:val="uk-UA"/>
        </w:rPr>
        <w:t>слід</w:t>
      </w:r>
      <w:r w:rsidRPr="00BE0B1A">
        <w:rPr>
          <w:rFonts w:ascii="Times New Roman CYR" w:eastAsia="MS Mincho" w:hAnsi="Times New Roman CYR" w:cs="Times New Roman CYR"/>
          <w:bCs/>
          <w:iCs/>
          <w:sz w:val="28"/>
          <w:szCs w:val="28"/>
        </w:rPr>
        <w:t xml:space="preserve"> відзначити, що позначення певної особи в соціальних мережах як «друга» не можна трактувати як вказівку на ступінь або інтенсивність відносин судді з такою особою, тобто про дружбу у звичайному розумінні цього слова. Отже, передчасно говорити про недотримання принципу неупередженості, оперуючи лише такими формальними ознакам»</w:t>
      </w:r>
      <w:r w:rsidRPr="00BE0B1A">
        <w:rPr>
          <w:rFonts w:ascii="Times New Roman CYR" w:eastAsia="MS Mincho" w:hAnsi="Times New Roman CYR" w:cs="Times New Roman CYR"/>
          <w:bCs/>
          <w:sz w:val="28"/>
          <w:szCs w:val="28"/>
        </w:rPr>
        <w:t>.</w:t>
      </w:r>
    </w:p>
    <w:p w14:paraId="0C83ED5A"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Відкритість сприяє відновленню довіри до судової влади в цілому. Вона впевнена, що «дружба» в соціальних мережах не є достатньою підставою для відводу чи самовідводу судді, звичайно, якщо до цього не приєднуються інші обставини, які можуть дати підстави для висновку про упередженість судді.</w:t>
      </w:r>
    </w:p>
    <w:p w14:paraId="3C354E3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Наявність інтернет-друга в недалекому майбутньому насправді може унеможливити розгляд справи суддею у зв’язку з його упередженістю.</w:t>
      </w:r>
      <w:r w:rsidRPr="00BE0B1A">
        <w:rPr>
          <w:rFonts w:ascii="Times New Roman CYR" w:eastAsia="MS Mincho" w:hAnsi="Times New Roman CYR" w:cs="Times New Roman CYR"/>
          <w:bCs/>
          <w:iCs/>
          <w:sz w:val="28"/>
          <w:szCs w:val="28"/>
        </w:rPr>
        <w:t xml:space="preserve"> Цього висновку можна дійти, якщо проаналізувати останні дослідження вчених футурологів, які стверджують, що з кожним днем змінюється парадигма взаємовідносин між людиною та гаджетом, електронними мережами, програмами. Електронні пристрої вже сприймаються як особисті асистенти та навіть друзі, а інтернет-друзі стануть ближчими для людини, ніж друзі у реальному житті</w:t>
      </w:r>
      <w:r w:rsidRPr="00BE0B1A">
        <w:rPr>
          <w:rFonts w:ascii="Times New Roman CYR" w:eastAsia="MS Mincho" w:hAnsi="Times New Roman CYR" w:cs="Times New Roman CYR"/>
          <w:bCs/>
          <w:sz w:val="28"/>
          <w:szCs w:val="28"/>
        </w:rPr>
        <w:t>.</w:t>
      </w:r>
    </w:p>
    <w:p w14:paraId="640585F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iCs/>
          <w:sz w:val="28"/>
          <w:szCs w:val="28"/>
        </w:rPr>
        <w:t xml:space="preserve">Учасники будь-якої соціальної мережі завжди сприйматимуть суддю </w:t>
      </w:r>
      <w:r w:rsidRPr="00BE0B1A">
        <w:rPr>
          <w:rFonts w:ascii="Times New Roman CYR" w:eastAsia="MS Mincho" w:hAnsi="Times New Roman CYR" w:cs="Times New Roman CYR"/>
          <w:bCs/>
          <w:iCs/>
          <w:sz w:val="28"/>
          <w:szCs w:val="28"/>
        </w:rPr>
        <w:lastRenderedPageBreak/>
        <w:t>саме як суддю. З огляду на цей статус вони будуть прискіпливо оцінювати все: його фото, слова, коментарі, жарти та навіть коло «друзів» судді, яке сформувалося в цій соціальній мережі. У процесі спілкування в соціальній мережі з різними людьми, а особливо якщо вони ще й учасники судового процесу, дуже складно чітко визначити ту межу, переступивши яку суддя породить сумніви у своїй неупередженості. Отже, на мою думку, суддя повинен утримуватися від будь-яких коментарів (у тому числі в соцмережах), які можуть породити хоча б найменші сумніви в його неупередженості.</w:t>
      </w:r>
    </w:p>
    <w:p w14:paraId="42F2331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iCs/>
          <w:sz w:val="28"/>
          <w:szCs w:val="28"/>
        </w:rPr>
        <w:t>Суддя повинен взяти самовідвід від участі в будь-якому процесі, коли для нього неможливе винесення неупередженого рішення у справі або коли сторонньому спостерігачеві може видатися, що суддя не здатен винести неупереджене рішення. З огляду на зазначене, я вважаю, що суддя повинен взяти самовідвід, якщо стороною у розглядуваній ним справі виявиться його «друг із соціальних мереж». І не тому, що суддя насправді буде упередженим. Навпаки, суддя може бути цілком неупередженим у такій справі, а особа учасника для нього не матиме жодного значення. Однак у сторонніх спостерігачів (користувачів тієї ж соціальної мережі, які знають про дружній характер стосунків судді та учасника процесу під час спілкування в мережі) можуть виникнути підозри щодо об’єктивності та неупередженості судового розгляду, особливо якщо спір буде вирішено на користь саме тієї особи, що «товаришує» з суддею</w:t>
      </w:r>
      <w:r w:rsidRPr="00BE0B1A">
        <w:rPr>
          <w:rFonts w:ascii="Times New Roman CYR" w:eastAsia="MS Mincho" w:hAnsi="Times New Roman CYR" w:cs="Times New Roman CYR"/>
          <w:bCs/>
          <w:sz w:val="28"/>
          <w:szCs w:val="28"/>
        </w:rPr>
        <w:t>.</w:t>
      </w:r>
    </w:p>
    <w:p w14:paraId="609F070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Можливо, тепер, коли адвокат прийде в суд та побачить свого «друга з Facebook», він замислиться про те, чи не заявити йому відвід. А як він відреагує на його відвід? Ці та інші питання вже зовсім скоро перестануть бути лише теоретичними. Можливо, вже перестали, тому зовсім скоро нам чекати яскравих українських справ.</w:t>
      </w:r>
    </w:p>
    <w:p w14:paraId="4FDE1D5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Слушн</w:t>
      </w:r>
      <w:r w:rsidRPr="00BE0B1A">
        <w:rPr>
          <w:rFonts w:ascii="Times New Roman CYR" w:eastAsia="MS Mincho" w:hAnsi="Times New Roman CYR" w:cs="Times New Roman CYR"/>
          <w:bCs/>
          <w:sz w:val="28"/>
          <w:szCs w:val="28"/>
          <w:lang w:val="uk-UA"/>
        </w:rPr>
        <w:t>о</w:t>
      </w:r>
      <w:r w:rsidRPr="00BE0B1A">
        <w:rPr>
          <w:rFonts w:ascii="Times New Roman CYR" w:eastAsia="MS Mincho" w:hAnsi="Times New Roman CYR" w:cs="Times New Roman CYR"/>
          <w:bCs/>
          <w:sz w:val="28"/>
          <w:szCs w:val="28"/>
        </w:rPr>
        <w:t xml:space="preserve"> в даному контексті </w:t>
      </w:r>
      <w:r w:rsidRPr="00BE0B1A">
        <w:rPr>
          <w:rFonts w:ascii="Times New Roman CYR" w:eastAsia="MS Mincho" w:hAnsi="Times New Roman CYR" w:cs="Times New Roman CYR"/>
          <w:bCs/>
          <w:sz w:val="28"/>
          <w:szCs w:val="28"/>
          <w:lang w:val="uk-UA"/>
        </w:rPr>
        <w:t>зазначити</w:t>
      </w:r>
      <w:r w:rsidRPr="00BE0B1A">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lang w:val="uk-UA"/>
        </w:rPr>
        <w:t xml:space="preserve"> що</w:t>
      </w:r>
      <w:r w:rsidRPr="00BE0B1A">
        <w:rPr>
          <w:rFonts w:ascii="Times New Roman CYR" w:eastAsia="MS Mincho" w:hAnsi="Times New Roman CYR" w:cs="Times New Roman CYR"/>
          <w:bCs/>
          <w:sz w:val="28"/>
          <w:szCs w:val="28"/>
        </w:rPr>
        <w:t xml:space="preserve"> суддя повинен, наскільки це можливо, поводити себе таким чином, щоб звести до мінімуму випадки, які можуть стати підставою для відсторонення його від розгляду справи або від винесення рішення. </w:t>
      </w:r>
    </w:p>
    <w:p w14:paraId="17188579" w14:textId="77777777" w:rsidR="001C6AA0" w:rsidRPr="00BE0B1A" w:rsidRDefault="001C6AA0" w:rsidP="001C6AA0">
      <w:pPr>
        <w:widowControl w:val="0"/>
        <w:autoSpaceDE w:val="0"/>
        <w:autoSpaceDN w:val="0"/>
        <w:adjustRightInd w:val="0"/>
        <w:spacing w:line="360" w:lineRule="auto"/>
        <w:ind w:right="57" w:firstLine="851"/>
        <w:jc w:val="both"/>
        <w:rPr>
          <w:color w:val="000000"/>
          <w:sz w:val="28"/>
          <w:szCs w:val="28"/>
        </w:rPr>
      </w:pPr>
      <w:r w:rsidRPr="00BE0B1A">
        <w:rPr>
          <w:rFonts w:ascii="Times New Roman CYR" w:eastAsia="MS Mincho" w:hAnsi="Times New Roman CYR" w:cs="Times New Roman CYR"/>
          <w:bCs/>
          <w:sz w:val="28"/>
          <w:szCs w:val="28"/>
          <w:lang w:val="uk-UA"/>
        </w:rPr>
        <w:lastRenderedPageBreak/>
        <w:t xml:space="preserve">В межах цього питання важливим є розкриття особливостей поведінки суддів, яка не відповідає вимогам  статті 14 Кодексу суддівської етики </w:t>
      </w:r>
      <w:r w:rsidRPr="00774B9C">
        <w:rPr>
          <w:rFonts w:ascii="Times New Roman CYR" w:eastAsia="MS Mincho" w:hAnsi="Times New Roman CYR" w:cs="Times New Roman CYR"/>
          <w:bCs/>
          <w:sz w:val="28"/>
          <w:szCs w:val="28"/>
        </w:rPr>
        <w:t>[32</w:t>
      </w:r>
      <w:r w:rsidRPr="00774B9C">
        <w:rPr>
          <w:bCs/>
          <w:color w:val="000000"/>
          <w:sz w:val="28"/>
          <w:szCs w:val="28"/>
        </w:rPr>
        <w:t>]</w:t>
      </w:r>
      <w:r w:rsidRPr="00BE0B1A">
        <w:rPr>
          <w:bCs/>
          <w:color w:val="000000"/>
          <w:sz w:val="28"/>
          <w:szCs w:val="28"/>
        </w:rPr>
        <w:t>. так, выдповыдно до ст. 14 вищеназваного Кодексу суддя повинен уникати позапроцесуальних взаємовідносин з одним із учасників процесу або його представником у справі за відсутності інших учасників процесу.</w:t>
      </w:r>
    </w:p>
    <w:p w14:paraId="22C537E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 xml:space="preserve">Положення, закріплені у </w:t>
      </w:r>
      <w:r w:rsidRPr="00BE0B1A">
        <w:rPr>
          <w:rFonts w:ascii="Times New Roman CYR" w:eastAsia="MS Mincho" w:hAnsi="Times New Roman CYR" w:cs="Times New Roman CYR"/>
          <w:bCs/>
          <w:sz w:val="28"/>
          <w:szCs w:val="28"/>
          <w:lang w:val="uk-UA"/>
        </w:rPr>
        <w:t>статті 14 Кодексу, є запорукою довіри не тільки до окремого судді, а й для всієї судової системи. Норми даної статті безпосередньо кореспондуються з такими принципами, визначеними у Бангалорських принципах поведінки суддів, як неупередженість, об’єктивність, чесність та непідкупність.</w:t>
      </w:r>
    </w:p>
    <w:p w14:paraId="02FE03D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Так, у пункті 1.6. Бангалорських принципів закріплений обов’язок судді виявляти та підтримувати високі стандарти поведінки суддів з метою укріплення суспільної довіри до судових органів, що має першочергове значення для підтримки незалежності судових органів</w:t>
      </w:r>
      <w:r>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lang w:val="uk-UA"/>
        </w:rPr>
        <w:t>[7]</w:t>
      </w:r>
      <w:r w:rsidRPr="00BE0B1A">
        <w:rPr>
          <w:rFonts w:ascii="Times New Roman CYR" w:eastAsia="MS Mincho" w:hAnsi="Times New Roman CYR" w:cs="Times New Roman CYR"/>
          <w:bCs/>
          <w:sz w:val="28"/>
          <w:szCs w:val="28"/>
          <w:lang w:val="uk-UA"/>
        </w:rPr>
        <w:t xml:space="preserve">. </w:t>
      </w:r>
    </w:p>
    <w:p w14:paraId="65E70D8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Згідно з пунктом 2.2. поведінка судді не лише в процесі засідання, а й за межами суду має сприяти підтримці та зростанню довіри суспільства, представників юридичної професії та сторін у справі до об’єктивності суддів та судових органів. Пунктом 2.3. передбачається, що суддя по можливості обмежує себе у здійсненні дій, що можуть стати приводом для позбавлення його права брати участь у судовому засіданні та виносити рішення у справах. Особливу увагу взаємовідносинам судді з адвокатами, що мають постійну практику в суді, де розглядає справи даний суддя, приділяється у пункті 4.3., при цьому робиться акцент на тому, що суддя має уникати ситуацій, що могли б викликати обґрунтовану підозру чи</w:t>
      </w:r>
      <w:r w:rsidRPr="00BE0B1A">
        <w:rPr>
          <w:rFonts w:ascii="Times New Roman CYR" w:eastAsia="MS Mincho" w:hAnsi="Times New Roman CYR" w:cs="Times New Roman CYR"/>
          <w:bCs/>
          <w:sz w:val="28"/>
          <w:szCs w:val="28"/>
        </w:rPr>
        <w:t> </w:t>
      </w:r>
      <w:r w:rsidRPr="00BE0B1A">
        <w:rPr>
          <w:rFonts w:ascii="Times New Roman CYR" w:eastAsia="MS Mincho" w:hAnsi="Times New Roman CYR" w:cs="Times New Roman CYR"/>
          <w:bCs/>
          <w:sz w:val="28"/>
          <w:szCs w:val="28"/>
          <w:lang w:val="uk-UA"/>
        </w:rPr>
        <w:t>створити видимість наявності у судді певних схильностей чи упередженого ставлення.</w:t>
      </w:r>
    </w:p>
    <w:p w14:paraId="6BFFB303"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Вимоги щодо уникнення поза процесуальних відносин судді з учасниками процесу випливають і з вимог національного законодавства. Згідно зі статтею 129 Конституції України до основних засад судочинства належать такі, як рівність усіх учасників судового процесу перед законом і судом, змагальність сторін та свобода в наданні ними суду своїх доказів і у доведенні </w:t>
      </w:r>
      <w:r w:rsidRPr="00BE0B1A">
        <w:rPr>
          <w:rFonts w:ascii="Times New Roman CYR" w:eastAsia="MS Mincho" w:hAnsi="Times New Roman CYR" w:cs="Times New Roman CYR"/>
          <w:bCs/>
          <w:sz w:val="28"/>
          <w:szCs w:val="28"/>
          <w:lang w:val="uk-UA"/>
        </w:rPr>
        <w:lastRenderedPageBreak/>
        <w:t xml:space="preserve">перед судом їх переконливості. У розвиток цього конституційного положення принципи рівності прав учасників процесу та змагальності сторін закріплюються і в процесуальних кодексах України. </w:t>
      </w:r>
    </w:p>
    <w:p w14:paraId="4B83744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Аналіз положень статті 14 Кодексу дає підстави для висновку, що суддя має спілкуватися з учасниками процесу лише під час розгляду справи по суті, забезпечуючи зі свого боку як незалежний арбітр рівне ставлення до всіх учасників судового розгляду. Формулювання коментованої статті допускає одночасне позапроцесуальне спілкування з усіма учасниками процесу. Водночас спілкування поза процесом з одним учасником за відсутності іншого може призвести до виникнення у відсутнього учасника сумнівів у неупередженості судді. </w:t>
      </w:r>
    </w:p>
    <w:p w14:paraId="0D116B5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Треба враховувати, що суддів неможливо повністю ізолювати від контактів зі сторонами по справі. Суддя є людиною, яка має певне коло спілкування, друзів, знайомих, сусідів. Нерідко трапляються випадки, коли у справу вступають особи, які раніше вчились з суддею в інституті або були колегами у юридичній фірмі, де раніше працював суддя, і з якими у судді склались дружні стосунки. Іноді може виникнути ситуація, коли хтось із знайомих зустріне суддю в коридорі приміщення суду і захоче привітатися, обмінятися новинами, а в подальшому з’ясується, що він є представником сторони в процесі. З одного боку, судді неввічливо не відповісти на привітання старого знайомого, а з іншого боку, на роботі суддя не має права виявляти прихильність до жодної із сторін процесу. У таких ситуаціях судді треба дати зрозуміти знайомому, що поспілкуватися вони можуть в інший час, а зараз він перебуває на роботі. </w:t>
      </w:r>
    </w:p>
    <w:p w14:paraId="704FB96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На практиці нерідко виникають ситуації, коли деякі представники сторін, адвокати чи співробітники правоохоронних органів до початку розгляду справи або після судових засідань намагаються поспілкуватись з суддею. Непоодинокими є випадки, коли громадяни після закінчення судового засідання чекають суддю під дверима кабінету, щоб висловити думки, які вони не змогли з певних причин висловити в процесі. </w:t>
      </w:r>
    </w:p>
    <w:p w14:paraId="3D8790B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lastRenderedPageBreak/>
        <w:t>Однак суддя повинен усвідомлювати, що навіть якщо таке спілкування не буде стосуватись судового розгляду справи та не вплине на неупередженість судді, у інших учасників процесу може складатись зовсім інше враження, що в подальшому може негативно вплинути на відношення громадян як до цього судді, так і до всієї судової системи. </w:t>
      </w:r>
    </w:p>
    <w:p w14:paraId="14C855B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Саме у зв’язку з цим суддя не має права запрошувати до свого кабінету одного учасника процесу, коли інший знаходиться в приміщенні суду. Суддя повинен уникати надання переваг одному учаснику порівняно з іншим, адже такі дії судді у стороннього спостерігача можуть створити уявлення про «вибіркове, договірне  правосуддя».</w:t>
      </w:r>
    </w:p>
    <w:p w14:paraId="648C0F2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Такі ситуації можуть призвести до заявлення відводу судді (заява учасника судового розгляду про неможливість участі судді у розгляді справи через наявність певних підстав, які можуть викликати сумніви у його неупередженості) або створити умови для заявлення ним самовідводу (заява судді про неможливість участі у розгляді справи у зв’язку з наявністю певних обставин, які виключають можливість його участі у судовому розгляді). Але до вирішення питання відводу судді треба ставитись виважено, аналізуючи, чи дійсно наявні підстави, які можуть викликати сумніви у його неупередженості, або такі відсутні.</w:t>
      </w:r>
    </w:p>
    <w:p w14:paraId="6C2E8A0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Судді не варто постійно користуватись своїм правом на самовідвід, оскільки це може потенційно призвести до того, що у невеликих містах з незначною чисельністю населення суддя буде відстороненим від майже кожної справи. Тому при спілкуванні з такими особами судді в своїх діях слід керуватись здоровим глуздом та проявляти обачність і передбачати потенційну можливість участі його знайомих осіб у тих справах, які є або можуть бути в його провадженні. При цьому не слід забувати про те, що поведінка судді оцінюватиметься з точки зору стороннього спостерігача. </w:t>
      </w:r>
    </w:p>
    <w:p w14:paraId="5071611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Позапроцесуальні контакти зі сторонами судового провадження (їх представниками) є неприпустимими, оскільки останні завжди зацікавлені в позитивному вирішенні справи. Ці стосунки створюють таке суб’єктивне </w:t>
      </w:r>
      <w:r w:rsidRPr="00BE0B1A">
        <w:rPr>
          <w:rFonts w:ascii="Times New Roman CYR" w:eastAsia="MS Mincho" w:hAnsi="Times New Roman CYR" w:cs="Times New Roman CYR"/>
          <w:bCs/>
          <w:sz w:val="28"/>
          <w:szCs w:val="28"/>
          <w:lang w:val="uk-UA"/>
        </w:rPr>
        <w:lastRenderedPageBreak/>
        <w:t xml:space="preserve">уявлення судді щодо сторін та обставин справи, яке не в повній мірі відповідає об’єктивним критеріям. </w:t>
      </w:r>
    </w:p>
    <w:p w14:paraId="28A5AA3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Наслідком позапроцесуальних стосунків судді з одним із учасників судового розгляду може стати конфлікт інтересів.</w:t>
      </w:r>
    </w:p>
    <w:p w14:paraId="767F95B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Слід відмежовувати активну та пасивну форми уникнення від позапроцесуального спілкування. Під активним уникненням слід розуміти вчинення активних дій, спрямованих на відмову судді від планування та здійснення зустрічей з окремими учасниками процесу як на роботі, так і поза межами суду (вдома, у місцях загального відвідування тощо). Пасивне уникнення – це розумна поведінка судді у разі випадкової зустрічі судді з особами, що беруть участь у справі, в місцях загального користування або на будь-яких громадських заходах, а саме: поводження відповідно до загальних правил етики, щоб у сторонніх осіб, які можуть спостерігати за таким спілкуванням, не виникло сумніву у порушенні суддею правил суддівської етики.</w:t>
      </w:r>
    </w:p>
    <w:p w14:paraId="179F348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
          <w:bCs/>
          <w:sz w:val="28"/>
          <w:szCs w:val="28"/>
          <w:lang w:val="uk-UA"/>
        </w:rPr>
      </w:pPr>
      <w:r w:rsidRPr="00BE0B1A">
        <w:rPr>
          <w:rFonts w:ascii="Times New Roman CYR" w:eastAsia="MS Mincho" w:hAnsi="Times New Roman CYR" w:cs="Times New Roman CYR"/>
          <w:bCs/>
          <w:sz w:val="28"/>
          <w:szCs w:val="28"/>
          <w:lang w:val="uk-UA"/>
        </w:rPr>
        <w:t>В свою чергу, в</w:t>
      </w:r>
      <w:r>
        <w:rPr>
          <w:rFonts w:ascii="Times New Roman CYR" w:eastAsia="MS Mincho" w:hAnsi="Times New Roman CYR" w:cs="Times New Roman CYR"/>
          <w:bCs/>
          <w:sz w:val="28"/>
          <w:szCs w:val="28"/>
          <w:lang w:val="uk-UA"/>
        </w:rPr>
        <w:t>і</w:t>
      </w:r>
      <w:r w:rsidRPr="00BE0B1A">
        <w:rPr>
          <w:rFonts w:ascii="Times New Roman CYR" w:eastAsia="MS Mincho" w:hAnsi="Times New Roman CYR" w:cs="Times New Roman CYR"/>
          <w:bCs/>
          <w:sz w:val="28"/>
          <w:szCs w:val="28"/>
          <w:lang w:val="uk-UA"/>
        </w:rPr>
        <w:t>дпов</w:t>
      </w:r>
      <w:r>
        <w:rPr>
          <w:rFonts w:ascii="Times New Roman CYR" w:eastAsia="MS Mincho" w:hAnsi="Times New Roman CYR" w:cs="Times New Roman CYR"/>
          <w:bCs/>
          <w:sz w:val="28"/>
          <w:szCs w:val="28"/>
          <w:lang w:val="uk-UA"/>
        </w:rPr>
        <w:t>і</w:t>
      </w:r>
      <w:r w:rsidRPr="00BE0B1A">
        <w:rPr>
          <w:rFonts w:ascii="Times New Roman CYR" w:eastAsia="MS Mincho" w:hAnsi="Times New Roman CYR" w:cs="Times New Roman CYR"/>
          <w:bCs/>
          <w:sz w:val="28"/>
          <w:szCs w:val="28"/>
          <w:lang w:val="uk-UA"/>
        </w:rPr>
        <w:t>дно до ст. 15 Кодексу неупереджений розгляд справ є основним обов’язком судді. Суддя має право заявити самовідвід у випадках, передбачених процесуальним законодавством, у разі наявності упередженості щодо одного з учасників процесу, а також у випадку, якщо судді з його власних джерел стали відомі докази чи факти, які можуть вплинути на результат розгляду справи.</w:t>
      </w:r>
    </w:p>
    <w:p w14:paraId="51AE9E3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Положення зазначеної коментованої статті випливають з принципу об’єктивності, визначеному у Бангалорських принципах поведінки суддів, відповідно до якого об’єктивність судді є необхідною умовою для належного виконання ним своїх обов’язків. Вона проявляється не тільки у змісті винесеного рішення, а й в усіх процесуальних діях, що супроводжують його прийняття.</w:t>
      </w:r>
    </w:p>
    <w:p w14:paraId="32F8A44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Вказаний принцип застосовується наступним чином.</w:t>
      </w:r>
    </w:p>
    <w:p w14:paraId="07C2509F"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Суддя заявляє самовідвід від участі в розгляді справи в тому випадку, якщо для нього не є можливим винесення об’єктивного рішення у справі, або в тому випадку, коли у стороннього спостерігача могли б виникнути сумніви в </w:t>
      </w:r>
      <w:r w:rsidRPr="00BE0B1A">
        <w:rPr>
          <w:rFonts w:ascii="Times New Roman CYR" w:eastAsia="MS Mincho" w:hAnsi="Times New Roman CYR" w:cs="Times New Roman CYR"/>
          <w:bCs/>
          <w:sz w:val="28"/>
          <w:szCs w:val="28"/>
          <w:lang w:val="uk-UA"/>
        </w:rPr>
        <w:lastRenderedPageBreak/>
        <w:t xml:space="preserve">неупередженості судді. </w:t>
      </w:r>
      <w:bookmarkStart w:id="43" w:name="34"/>
      <w:bookmarkEnd w:id="43"/>
      <w:r w:rsidRPr="00BE0B1A">
        <w:rPr>
          <w:rFonts w:ascii="Times New Roman CYR" w:eastAsia="MS Mincho" w:hAnsi="Times New Roman CYR" w:cs="Times New Roman CYR"/>
          <w:bCs/>
          <w:sz w:val="28"/>
          <w:szCs w:val="28"/>
          <w:lang w:val="uk-UA"/>
        </w:rPr>
        <w:t>До таких випадків, зокрема, належать:</w:t>
      </w:r>
      <w:bookmarkStart w:id="44" w:name="35"/>
      <w:bookmarkEnd w:id="44"/>
    </w:p>
    <w:p w14:paraId="449B92A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а) у судді склалося реальне упереджене ставлення до якоїсь зі сторін або судді з його власних джерел стали відомі певні докази чи факти стосовно справи, яка розглядається;</w:t>
      </w:r>
      <w:bookmarkStart w:id="45" w:name="36"/>
      <w:bookmarkEnd w:id="45"/>
    </w:p>
    <w:p w14:paraId="1F5678B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Pr>
          <w:rFonts w:ascii="Times New Roman CYR" w:eastAsia="MS Mincho" w:hAnsi="Times New Roman CYR" w:cs="Times New Roman CYR"/>
          <w:bCs/>
          <w:sz w:val="28"/>
          <w:szCs w:val="28"/>
          <w:lang w:val="uk-UA"/>
        </w:rPr>
        <w:t>б</w:t>
      </w:r>
      <w:r w:rsidRPr="00BE0B1A">
        <w:rPr>
          <w:rFonts w:ascii="Times New Roman CYR" w:eastAsia="MS Mincho" w:hAnsi="Times New Roman CYR" w:cs="Times New Roman CYR"/>
          <w:bCs/>
          <w:sz w:val="28"/>
          <w:szCs w:val="28"/>
          <w:lang w:val="uk-UA"/>
        </w:rPr>
        <w:t>) раніше при розгляді цього самого предмета спору суддя виступав як адвокат чи долучався до справи як важливий свідок;</w:t>
      </w:r>
      <w:bookmarkStart w:id="46" w:name="37"/>
      <w:bookmarkEnd w:id="46"/>
    </w:p>
    <w:p w14:paraId="5362197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Pr>
          <w:rFonts w:ascii="Times New Roman CYR" w:eastAsia="MS Mincho" w:hAnsi="Times New Roman CYR" w:cs="Times New Roman CYR"/>
          <w:bCs/>
          <w:sz w:val="28"/>
          <w:szCs w:val="28"/>
          <w:lang w:val="uk-UA"/>
        </w:rPr>
        <w:t>в</w:t>
      </w:r>
      <w:r w:rsidRPr="00BE0B1A">
        <w:rPr>
          <w:rFonts w:ascii="Times New Roman CYR" w:eastAsia="MS Mincho" w:hAnsi="Times New Roman CYR" w:cs="Times New Roman CYR"/>
          <w:bCs/>
          <w:sz w:val="28"/>
          <w:szCs w:val="28"/>
          <w:lang w:val="uk-UA"/>
        </w:rPr>
        <w:t>) суддя чи члени його родини матеріально зацікавлені в рішенні у відповідній справі</w:t>
      </w:r>
      <w:bookmarkStart w:id="47" w:name="38"/>
      <w:bookmarkEnd w:id="47"/>
      <w:r w:rsidRPr="00BE0B1A">
        <w:rPr>
          <w:rFonts w:ascii="Times New Roman CYR" w:eastAsia="MS Mincho" w:hAnsi="Times New Roman CYR" w:cs="Times New Roman CYR"/>
          <w:bCs/>
          <w:sz w:val="28"/>
          <w:szCs w:val="28"/>
          <w:lang w:val="uk-UA"/>
        </w:rPr>
        <w:t>.</w:t>
      </w:r>
    </w:p>
    <w:p w14:paraId="7576BB6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Проте суддя не може бути відсторонений від участі у розгляді справі в тому випадку, коди жодний інший суд не може бути призначений для розгляду даної справи або через терміновий характер справи, коли зволікання в її вирішенні може призвести до серйозної судової помилки (пункт 2.5).</w:t>
      </w:r>
    </w:p>
    <w:p w14:paraId="670100F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В Рекомендаціях № (94) 12 «Незалежність, дієвість та роль суддів» зазначено, що судді зобов’язані утримуватись від винесення вироку у справі чи відмовитись від розгляду справи, коли на те існують достатні причини, і лише в цьому випадку. Такі причини повинні бути визначені законом і можуть стосуватись, наприклад, серйозних захворювань, суперечності між інтересом судді та інтересами правосуддя. </w:t>
      </w:r>
    </w:p>
    <w:p w14:paraId="2C8FD35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У справі П’єрсак проти Бельгії ЄСПЛ, встановивши порушення положень частини 1 статті 6, зазначив, що будь-який суддя, стосовно неупередженості якого є законні сумніви, повинен вийти зі складу суду.</w:t>
      </w:r>
    </w:p>
    <w:p w14:paraId="24AB538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Правову основу вказаної статті становлять норми процесуальних законів, які визначають конкретні підстави для відводу та закріплені в статтях ЦПК, КПК, КАС, ГПК.</w:t>
      </w:r>
    </w:p>
    <w:p w14:paraId="5BB007E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Зокрема, загальними підставами для відводу (самовідводу) судді є такі: під час попереднього вирішення цієї справи суддя брав участь у процесі як свідок, експерт, спеціаліст, перекладач, представник, секретар судового засідання або інший учасник процесу;</w:t>
      </w:r>
      <w:bookmarkStart w:id="48" w:name="n138"/>
      <w:bookmarkEnd w:id="48"/>
      <w:r w:rsidRPr="00BE0B1A">
        <w:rPr>
          <w:rFonts w:ascii="Times New Roman CYR" w:eastAsia="MS Mincho" w:hAnsi="Times New Roman CYR" w:cs="Times New Roman CYR"/>
          <w:bCs/>
          <w:sz w:val="28"/>
          <w:szCs w:val="28"/>
          <w:lang w:val="uk-UA"/>
        </w:rPr>
        <w:t xml:space="preserve"> суддя є членом сім’ї або близьким родичем сторони або інших осіб, які беруть участь у справі; якщо є інші обставини, які викликають сумнів в об’єктивності та неупередженості судді; </w:t>
      </w:r>
      <w:r w:rsidRPr="00BE0B1A">
        <w:rPr>
          <w:rFonts w:ascii="Times New Roman CYR" w:eastAsia="MS Mincho" w:hAnsi="Times New Roman CYR" w:cs="Times New Roman CYR"/>
          <w:bCs/>
          <w:sz w:val="28"/>
          <w:szCs w:val="28"/>
          <w:lang w:val="uk-UA"/>
        </w:rPr>
        <w:lastRenderedPageBreak/>
        <w:t>було порушено порядок визначення судді для розгляду справи тощо.</w:t>
      </w:r>
      <w:bookmarkStart w:id="49" w:name="n1003"/>
      <w:bookmarkEnd w:id="49"/>
    </w:p>
    <w:p w14:paraId="0B2B388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Крім того, ЦПК, КПК, КАС визначають, що до складу суду не можуть входити особи, які є членами сім’ї або близькими родичами між собою, а суддя не має брати учать у повторному розгляді справи. У КУпАП відсутні положення щодо відводу судді, проте суддя може взяти самовідвід, керуючись загальними принципами, які випливають з Конституції України та вимог щодо об’єктивності і неупередженості судді, зазначених у міжнародно-правових актах.</w:t>
      </w:r>
    </w:p>
    <w:p w14:paraId="14245B34"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Не останню роль у вирішенні питань відводів (самовідводів) відіграють положення Закону України «Про запобігання корупції», в якому наведені поняття близьких осіб, приватного інтересу, потенційного конфлікту інтересів, тощо (стаття 1); застосування вказаних дефініцій стане гарантією того, що у сторонньої особи не буде сумнівів у неупередженості судді, наслідком чого буде зміцнення довіри до судової влади.</w:t>
      </w:r>
    </w:p>
    <w:p w14:paraId="51CB8A4B"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Суддя може розглядати справу за наявності обставин, які на думку поміркованої, розумної, законослухняної та поінформованої людини, можуть здаватися такими, що створюють конфлікт особистих інтересів судді з його професійними обов’язками, за умови, якщо він повідомив про існування таких обставин сторонам і вони не заперечують проти участі судді у розгляді справи, а сторони та їх адвокати мають можливість порадитися і прийняти рішення щодо продовження слухання справи даним суддею. Суддя, який має (або створює враження такого, що має) конфлікт інтересів, але вважає, що може розглядати справу неупереджено, може брати участь в провадженні у разі згоди сторін. Процес досягнення згоди має бути справедливим і неупередженим, і включати повідомлення сторонам підстав для конфлікту, можливість сторонам і їх адвокатам порадитися за відсутності судді, одностайну згоду сторін, а в разі її відсутності – неповідомлення судді про особи тих, хто погодився або не погодився.</w:t>
      </w:r>
    </w:p>
    <w:p w14:paraId="0885462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Необхідно пам’ятати, що інститут відводу (самовідводу) судді від участі у розгляді конкретної справи – це одна із найважливіших гарантій здійснення </w:t>
      </w:r>
      <w:r w:rsidRPr="00BE0B1A">
        <w:rPr>
          <w:rFonts w:ascii="Times New Roman CYR" w:eastAsia="MS Mincho" w:hAnsi="Times New Roman CYR" w:cs="Times New Roman CYR"/>
          <w:bCs/>
          <w:sz w:val="28"/>
          <w:szCs w:val="28"/>
          <w:lang w:val="uk-UA"/>
        </w:rPr>
        <w:lastRenderedPageBreak/>
        <w:t>правосуддя неупередженим та справедливим судом. Він покликаний ліквідувати найменшу підозру у заінтересованості судді в результатах розглянутої справи, навіть якщо такої заінтересованості немає, бо тут головним є публічний інтерес. Розглядаючи справу, в якій фігурує якась близька судді людина, йому дуже складно переконати суспільство у своїй неупередженості. Саме тому існують норми закону, які запобігають виникненню будь-яких підозр. Судді заборонено брати участь у розгляді справи за наявності будь-яких обставин, які викликають чи можуть викликати сумніви у його об’єктивності.</w:t>
      </w:r>
    </w:p>
    <w:p w14:paraId="7BDFFC2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У статті зазначається, що суддя має право заявити самовідвід у випадках, передбачених процесуальним законодавством, у разі наявності упередженості щодо одного з учасників процесу. Відчуття упередженості – це формування у судді до тієї чи іншої людини, яка є учасником судового розгляду, власного ставлення, заснованого не на об’єктивному критерії, а на особистих симпатіях або антипатіях. </w:t>
      </w:r>
    </w:p>
    <w:p w14:paraId="5AD9961F"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Згідно з положеннями коментованої статті підставою для самовідводу може стати обставина, коли судді з його власних джерел стали відомі докази чи факти, які можуть вплинути на результат розгляду справи. Це означає, що особисто судді стали відомі певні обставини або факти, які потенційно можуть вплинути на прийняття ним рішення по справі або викликати у сторін сумніви в справедливості та об</w:t>
      </w:r>
      <w:r w:rsidRPr="00BE0B1A">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lang w:val="uk-UA"/>
        </w:rPr>
        <w:t>єктивності судді. До таких ситуацій належать випадки, коли, наприклад, хтось із учасників процесу є родичем або знайомим когось з членів сім’ї судді, людиною, з якою суддя познайомився, перебуваючи в гостях у своїх знайомих, та інші подібні випадки. Навіть якщо про ці обставини невідомо учасникам процесу і ніхто про них не заявляє, суддя зобов</w:t>
      </w:r>
      <w:r w:rsidRPr="00BE0B1A">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lang w:val="uk-UA"/>
        </w:rPr>
        <w:t>язаний сповістити їх про наявність таких обставин для вирішення питання щодо відводу або заявити самовідвід.</w:t>
      </w:r>
    </w:p>
    <w:p w14:paraId="68610C6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Водночас, слід розуміти, що зловживання самовідводом не допускається і може потягнути застосування дисциплінарної відповідальності. У цьому контексті зловживання правом на самовідвід означає недобросовісне використання суддею незначного приводу для того, щоб уникнути розгляду </w:t>
      </w:r>
      <w:r w:rsidRPr="00BE0B1A">
        <w:rPr>
          <w:rFonts w:ascii="Times New Roman CYR" w:eastAsia="MS Mincho" w:hAnsi="Times New Roman CYR" w:cs="Times New Roman CYR"/>
          <w:bCs/>
          <w:sz w:val="28"/>
          <w:szCs w:val="28"/>
          <w:lang w:val="uk-UA"/>
        </w:rPr>
        <w:lastRenderedPageBreak/>
        <w:t>справи. За змістом коментованої статті заявлення суддею самовідводу є допустимим лише у випадку неможливості ухвалення суддею об’єктивного рішення у справі.</w:t>
      </w:r>
    </w:p>
    <w:p w14:paraId="6E2505BB" w14:textId="77777777" w:rsidR="001C6AA0" w:rsidRPr="00774B9C"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Як бачимо, </w:t>
      </w:r>
      <w:r w:rsidRPr="00774B9C">
        <w:rPr>
          <w:rFonts w:ascii="Times New Roman CYR" w:eastAsia="MS Mincho" w:hAnsi="Times New Roman CYR" w:cs="Times New Roman CYR"/>
          <w:bCs/>
          <w:sz w:val="28"/>
          <w:szCs w:val="28"/>
          <w:lang w:val="uk-UA"/>
        </w:rPr>
        <w:t>Бангалорські принципи лягли в основу Кодексу суддівської етики, принципів якого повинні дотримуватися всі судді України</w:t>
      </w:r>
      <w:r w:rsidRPr="00BE0B1A">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lang w:val="uk-UA"/>
        </w:rPr>
        <w:t>[7]. Взагал</w:t>
      </w:r>
      <w:r w:rsidRPr="00BE0B1A">
        <w:rPr>
          <w:rFonts w:ascii="Times New Roman CYR" w:eastAsia="MS Mincho" w:hAnsi="Times New Roman CYR" w:cs="Times New Roman CYR"/>
          <w:bCs/>
          <w:sz w:val="28"/>
          <w:szCs w:val="28"/>
          <w:lang w:val="uk-UA"/>
        </w:rPr>
        <w:t>і</w:t>
      </w:r>
      <w:r w:rsidRPr="00774B9C">
        <w:rPr>
          <w:rFonts w:ascii="Times New Roman CYR" w:eastAsia="MS Mincho" w:hAnsi="Times New Roman CYR" w:cs="Times New Roman CYR"/>
          <w:bCs/>
          <w:sz w:val="28"/>
          <w:szCs w:val="28"/>
          <w:lang w:val="uk-UA"/>
        </w:rPr>
        <w:t>, Бангалорські принципи є документом, який потенційно має величезну цінність не тільки для судових органів всіх країн, але й для широкої громадськості та всіх, хто прагне до забезпечення надійної основи для беззастережної доброчесності судочинства у всьому світі.</w:t>
      </w:r>
      <w:r w:rsidRPr="00BE0B1A">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lang w:val="uk-UA"/>
        </w:rPr>
        <w:t>Зазначимо, Вища кваліфікаційна комісія суддів України застосовує Бангалорські принципи та коментарі щодо них під час здійснення кваліфікаційного оцінювання суддів на відповідність займаній посаді, а також проведення конкурсних процедур.</w:t>
      </w:r>
    </w:p>
    <w:p w14:paraId="1D59D9F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На завершення варто додати, що звичайному пересічному громадянинові не важливо, зареєстрований суддя в соціальній мережі чи ні. Для нього головне, щоб суддя, керуючись принципом верховенства права, завжди діяв неупереджено. </w:t>
      </w:r>
    </w:p>
    <w:p w14:paraId="1B0C668D" w14:textId="77777777" w:rsidR="001C6AA0" w:rsidRPr="00EF04F2"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Pr>
          <w:rFonts w:ascii="Times New Roman CYR" w:eastAsia="MS Mincho" w:hAnsi="Times New Roman CYR" w:cs="Times New Roman CYR"/>
          <w:bCs/>
          <w:sz w:val="28"/>
          <w:szCs w:val="28"/>
          <w:lang w:val="uk-UA"/>
        </w:rPr>
        <w:t xml:space="preserve">Таким чином, </w:t>
      </w:r>
      <w:r w:rsidRPr="00EF04F2">
        <w:rPr>
          <w:rFonts w:ascii="Times New Roman CYR" w:eastAsia="MS Mincho" w:hAnsi="Times New Roman CYR" w:cs="Times New Roman CYR"/>
          <w:bCs/>
          <w:sz w:val="28"/>
          <w:szCs w:val="28"/>
          <w:lang w:val="uk-UA"/>
        </w:rPr>
        <w:t xml:space="preserve">надзвичайна важливість функціонального навантаження </w:t>
      </w:r>
      <w:r>
        <w:rPr>
          <w:rFonts w:ascii="Times New Roman CYR" w:eastAsia="MS Mincho" w:hAnsi="Times New Roman CYR" w:cs="Times New Roman CYR"/>
          <w:bCs/>
          <w:sz w:val="28"/>
          <w:szCs w:val="28"/>
          <w:lang w:val="uk-UA"/>
        </w:rPr>
        <w:t>суду</w:t>
      </w:r>
      <w:r w:rsidRPr="00EF04F2">
        <w:rPr>
          <w:rFonts w:ascii="Times New Roman CYR" w:eastAsia="MS Mincho" w:hAnsi="Times New Roman CYR" w:cs="Times New Roman CYR"/>
          <w:bCs/>
          <w:sz w:val="28"/>
          <w:szCs w:val="28"/>
          <w:lang w:val="uk-UA"/>
        </w:rPr>
        <w:t xml:space="preserve"> вимагає від </w:t>
      </w:r>
      <w:r>
        <w:rPr>
          <w:rFonts w:ascii="Times New Roman CYR" w:eastAsia="MS Mincho" w:hAnsi="Times New Roman CYR" w:cs="Times New Roman CYR"/>
          <w:bCs/>
          <w:sz w:val="28"/>
          <w:szCs w:val="28"/>
          <w:lang w:val="uk-UA"/>
        </w:rPr>
        <w:t>суддів</w:t>
      </w:r>
      <w:r w:rsidRPr="00EF04F2">
        <w:rPr>
          <w:rFonts w:ascii="Times New Roman CYR" w:eastAsia="MS Mincho" w:hAnsi="Times New Roman CYR" w:cs="Times New Roman CYR"/>
          <w:bCs/>
          <w:sz w:val="28"/>
          <w:szCs w:val="28"/>
          <w:lang w:val="uk-UA"/>
        </w:rPr>
        <w:t xml:space="preserve"> слідування високим етичним стандартам поведінки. При цьому специфіка, комплексний характер обов’язків, що покладені на </w:t>
      </w:r>
      <w:r>
        <w:rPr>
          <w:rFonts w:ascii="Times New Roman CYR" w:eastAsia="MS Mincho" w:hAnsi="Times New Roman CYR" w:cs="Times New Roman CYR"/>
          <w:bCs/>
          <w:sz w:val="28"/>
          <w:szCs w:val="28"/>
          <w:lang w:val="uk-UA"/>
        </w:rPr>
        <w:t>суддю</w:t>
      </w:r>
      <w:r w:rsidRPr="00EF04F2">
        <w:rPr>
          <w:rFonts w:ascii="Times New Roman CYR" w:eastAsia="MS Mincho" w:hAnsi="Times New Roman CYR" w:cs="Times New Roman CYR"/>
          <w:bCs/>
          <w:sz w:val="28"/>
          <w:szCs w:val="28"/>
          <w:lang w:val="uk-UA"/>
        </w:rPr>
        <w:t>, обумовлюють необхідність збалансування засад служіння інтересам окремо</w:t>
      </w:r>
      <w:r>
        <w:rPr>
          <w:rFonts w:ascii="Times New Roman CYR" w:eastAsia="MS Mincho" w:hAnsi="Times New Roman CYR" w:cs="Times New Roman CYR"/>
          <w:bCs/>
          <w:sz w:val="28"/>
          <w:szCs w:val="28"/>
          <w:lang w:val="uk-UA"/>
        </w:rPr>
        <w:t>ї особи</w:t>
      </w:r>
      <w:r w:rsidRPr="00EF04F2">
        <w:rPr>
          <w:rFonts w:ascii="Times New Roman CYR" w:eastAsia="MS Mincho" w:hAnsi="Times New Roman CYR" w:cs="Times New Roman CYR"/>
          <w:bCs/>
          <w:sz w:val="28"/>
          <w:szCs w:val="28"/>
          <w:lang w:val="uk-UA"/>
        </w:rPr>
        <w:t xml:space="preserve"> та інтересам суспільства в цілому, дотримання принципів законності і верховенства права.</w:t>
      </w:r>
    </w:p>
    <w:p w14:paraId="45C6E612" w14:textId="77777777" w:rsidR="001C6AA0" w:rsidRPr="00EF04F2"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EF04F2">
        <w:rPr>
          <w:rFonts w:ascii="Times New Roman CYR" w:eastAsia="MS Mincho" w:hAnsi="Times New Roman CYR" w:cs="Times New Roman CYR"/>
          <w:bCs/>
          <w:sz w:val="28"/>
          <w:szCs w:val="28"/>
          <w:lang w:val="uk-UA"/>
        </w:rPr>
        <w:t xml:space="preserve">Дотримання </w:t>
      </w:r>
      <w:r>
        <w:rPr>
          <w:rFonts w:ascii="Times New Roman CYR" w:eastAsia="MS Mincho" w:hAnsi="Times New Roman CYR" w:cs="Times New Roman CYR"/>
          <w:bCs/>
          <w:sz w:val="28"/>
          <w:szCs w:val="28"/>
          <w:lang w:val="uk-UA"/>
        </w:rPr>
        <w:t>суддями</w:t>
      </w:r>
      <w:r w:rsidRPr="00EF04F2">
        <w:rPr>
          <w:rFonts w:ascii="Times New Roman CYR" w:eastAsia="MS Mincho" w:hAnsi="Times New Roman CYR" w:cs="Times New Roman CYR"/>
          <w:bCs/>
          <w:sz w:val="28"/>
          <w:szCs w:val="28"/>
          <w:lang w:val="uk-UA"/>
        </w:rPr>
        <w:t xml:space="preserve"> особливих деонтологічних вимог і правил розглядається світовою спільнотою як необхідна передумова повноцінного функціонування </w:t>
      </w:r>
      <w:r>
        <w:rPr>
          <w:rFonts w:ascii="Times New Roman CYR" w:eastAsia="MS Mincho" w:hAnsi="Times New Roman CYR" w:cs="Times New Roman CYR"/>
          <w:bCs/>
          <w:sz w:val="28"/>
          <w:szCs w:val="28"/>
          <w:lang w:val="uk-UA"/>
        </w:rPr>
        <w:t>суду</w:t>
      </w:r>
      <w:r w:rsidRPr="00EF04F2">
        <w:rPr>
          <w:rFonts w:ascii="Times New Roman CYR" w:eastAsia="MS Mincho" w:hAnsi="Times New Roman CYR" w:cs="Times New Roman CYR"/>
          <w:bCs/>
          <w:sz w:val="28"/>
          <w:szCs w:val="28"/>
          <w:lang w:val="uk-UA"/>
        </w:rPr>
        <w:t xml:space="preserve">, виконання </w:t>
      </w:r>
      <w:r>
        <w:rPr>
          <w:rFonts w:ascii="Times New Roman CYR" w:eastAsia="MS Mincho" w:hAnsi="Times New Roman CYR" w:cs="Times New Roman CYR"/>
          <w:bCs/>
          <w:sz w:val="28"/>
          <w:szCs w:val="28"/>
          <w:lang w:val="uk-UA"/>
        </w:rPr>
        <w:t>ним</w:t>
      </w:r>
      <w:r w:rsidRPr="00EF04F2">
        <w:rPr>
          <w:rFonts w:ascii="Times New Roman CYR" w:eastAsia="MS Mincho" w:hAnsi="Times New Roman CYR" w:cs="Times New Roman CYR"/>
          <w:bCs/>
          <w:sz w:val="28"/>
          <w:szCs w:val="28"/>
          <w:lang w:val="uk-UA"/>
        </w:rPr>
        <w:t xml:space="preserve"> </w:t>
      </w:r>
      <w:r>
        <w:rPr>
          <w:rFonts w:ascii="Times New Roman CYR" w:eastAsia="MS Mincho" w:hAnsi="Times New Roman CYR" w:cs="Times New Roman CYR"/>
          <w:bCs/>
          <w:sz w:val="28"/>
          <w:szCs w:val="28"/>
          <w:lang w:val="uk-UA"/>
        </w:rPr>
        <w:t>його</w:t>
      </w:r>
      <w:r w:rsidRPr="00EF04F2">
        <w:rPr>
          <w:rFonts w:ascii="Times New Roman CYR" w:eastAsia="MS Mincho" w:hAnsi="Times New Roman CYR" w:cs="Times New Roman CYR"/>
          <w:bCs/>
          <w:sz w:val="28"/>
          <w:szCs w:val="28"/>
          <w:lang w:val="uk-UA"/>
        </w:rPr>
        <w:t xml:space="preserve"> важливої соціальної ролі в демократичному суспільстві. </w:t>
      </w:r>
    </w:p>
    <w:p w14:paraId="7A7518E0" w14:textId="77777777" w:rsidR="001C6AA0" w:rsidRPr="00517C4C"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517C4C">
        <w:rPr>
          <w:rFonts w:ascii="Times New Roman CYR" w:eastAsia="MS Mincho" w:hAnsi="Times New Roman CYR" w:cs="Times New Roman CYR"/>
          <w:bCs/>
          <w:sz w:val="28"/>
          <w:szCs w:val="28"/>
          <w:lang w:val="uk-UA"/>
        </w:rPr>
        <w:t xml:space="preserve">Отже, додержання норм професійної етики є важливою і специфічною засадою діяльності </w:t>
      </w:r>
      <w:r>
        <w:rPr>
          <w:rFonts w:ascii="Times New Roman CYR" w:eastAsia="MS Mincho" w:hAnsi="Times New Roman CYR" w:cs="Times New Roman CYR"/>
          <w:bCs/>
          <w:sz w:val="28"/>
          <w:szCs w:val="28"/>
          <w:lang w:val="uk-UA"/>
        </w:rPr>
        <w:t>суддів</w:t>
      </w:r>
      <w:r w:rsidRPr="00517C4C">
        <w:rPr>
          <w:rFonts w:ascii="Times New Roman CYR" w:eastAsia="MS Mincho" w:hAnsi="Times New Roman CYR" w:cs="Times New Roman CYR"/>
          <w:bCs/>
          <w:sz w:val="28"/>
          <w:szCs w:val="28"/>
          <w:lang w:val="uk-UA"/>
        </w:rPr>
        <w:t xml:space="preserve">. Наявна на сьогодні законодавча база, на жаль, не регулює діяльність </w:t>
      </w:r>
      <w:r>
        <w:rPr>
          <w:rFonts w:ascii="Times New Roman CYR" w:eastAsia="MS Mincho" w:hAnsi="Times New Roman CYR" w:cs="Times New Roman CYR"/>
          <w:bCs/>
          <w:sz w:val="28"/>
          <w:szCs w:val="28"/>
          <w:lang w:val="uk-UA"/>
        </w:rPr>
        <w:t>суддів</w:t>
      </w:r>
      <w:r w:rsidRPr="00517C4C">
        <w:rPr>
          <w:rFonts w:ascii="Times New Roman CYR" w:eastAsia="MS Mincho" w:hAnsi="Times New Roman CYR" w:cs="Times New Roman CYR"/>
          <w:bCs/>
          <w:sz w:val="28"/>
          <w:szCs w:val="28"/>
          <w:lang w:val="uk-UA"/>
        </w:rPr>
        <w:t xml:space="preserve"> так, щоб уникнути можливих суперечностей між етичними та юридичними нормами, та потребує вдосконалення. При цьому </w:t>
      </w:r>
      <w:r w:rsidRPr="00517C4C">
        <w:rPr>
          <w:rFonts w:ascii="Times New Roman CYR" w:eastAsia="MS Mincho" w:hAnsi="Times New Roman CYR" w:cs="Times New Roman CYR"/>
          <w:bCs/>
          <w:sz w:val="28"/>
          <w:szCs w:val="28"/>
          <w:lang w:val="uk-UA"/>
        </w:rPr>
        <w:lastRenderedPageBreak/>
        <w:t xml:space="preserve">важливим є реальний механізм контролю за дотриманням </w:t>
      </w:r>
      <w:r>
        <w:rPr>
          <w:rFonts w:ascii="Times New Roman CYR" w:eastAsia="MS Mincho" w:hAnsi="Times New Roman CYR" w:cs="Times New Roman CYR"/>
          <w:bCs/>
          <w:sz w:val="28"/>
          <w:szCs w:val="28"/>
          <w:lang w:val="uk-UA"/>
        </w:rPr>
        <w:t>суддями</w:t>
      </w:r>
      <w:r w:rsidRPr="00517C4C">
        <w:rPr>
          <w:rFonts w:ascii="Times New Roman CYR" w:eastAsia="MS Mincho" w:hAnsi="Times New Roman CYR" w:cs="Times New Roman CYR"/>
          <w:bCs/>
          <w:sz w:val="28"/>
          <w:szCs w:val="28"/>
          <w:lang w:val="uk-UA"/>
        </w:rPr>
        <w:t xml:space="preserve"> норм професійної етики та відповідальності за їх порушення, що забезпечило б гідний рівень </w:t>
      </w:r>
      <w:r>
        <w:rPr>
          <w:rFonts w:ascii="Times New Roman CYR" w:eastAsia="MS Mincho" w:hAnsi="Times New Roman CYR" w:cs="Times New Roman CYR"/>
          <w:bCs/>
          <w:sz w:val="28"/>
          <w:szCs w:val="28"/>
          <w:lang w:val="uk-UA"/>
        </w:rPr>
        <w:t>здійснення правосуддя</w:t>
      </w:r>
      <w:r w:rsidRPr="00517C4C">
        <w:rPr>
          <w:rFonts w:ascii="Times New Roman CYR" w:eastAsia="MS Mincho" w:hAnsi="Times New Roman CYR" w:cs="Times New Roman CYR"/>
          <w:bCs/>
          <w:sz w:val="28"/>
          <w:szCs w:val="28"/>
          <w:lang w:val="uk-UA"/>
        </w:rPr>
        <w:t>.</w:t>
      </w:r>
    </w:p>
    <w:p w14:paraId="79484F7E" w14:textId="77777777" w:rsidR="001C6AA0"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661E9A5E" w14:textId="3FB7EA0D" w:rsidR="001C6AA0" w:rsidRDefault="001C6AA0" w:rsidP="001C6AA0">
      <w:pPr>
        <w:widowControl w:val="0"/>
        <w:adjustRightInd w:val="0"/>
        <w:spacing w:line="360" w:lineRule="auto"/>
        <w:ind w:firstLine="851"/>
        <w:jc w:val="both"/>
        <w:textAlignment w:val="baseline"/>
        <w:outlineLvl w:val="0"/>
        <w:rPr>
          <w:b/>
          <w:sz w:val="28"/>
          <w:szCs w:val="28"/>
          <w:lang w:val="uk-UA"/>
        </w:rPr>
      </w:pPr>
      <w:bookmarkStart w:id="50" w:name="_Toc532751464"/>
      <w:r w:rsidRPr="00BE0B1A">
        <w:rPr>
          <w:b/>
          <w:sz w:val="28"/>
          <w:szCs w:val="28"/>
          <w:lang w:val="uk-UA"/>
        </w:rPr>
        <w:t>Висновки до другого розділу</w:t>
      </w:r>
      <w:bookmarkEnd w:id="50"/>
    </w:p>
    <w:p w14:paraId="0D9AD383" w14:textId="77777777" w:rsidR="00A65373" w:rsidRPr="00BE0B1A" w:rsidRDefault="00A65373" w:rsidP="001C6AA0">
      <w:pPr>
        <w:widowControl w:val="0"/>
        <w:adjustRightInd w:val="0"/>
        <w:spacing w:line="360" w:lineRule="auto"/>
        <w:ind w:firstLine="851"/>
        <w:jc w:val="both"/>
        <w:textAlignment w:val="baseline"/>
        <w:outlineLvl w:val="0"/>
        <w:rPr>
          <w:b/>
          <w:sz w:val="28"/>
          <w:szCs w:val="28"/>
          <w:lang w:val="uk-UA"/>
        </w:rPr>
      </w:pPr>
    </w:p>
    <w:p w14:paraId="3F150342" w14:textId="77777777" w:rsidR="001C6AA0" w:rsidRPr="00BE0B1A" w:rsidRDefault="001C6AA0" w:rsidP="001C6AA0">
      <w:pPr>
        <w:spacing w:line="360" w:lineRule="auto"/>
        <w:ind w:right="34" w:firstLine="851"/>
        <w:jc w:val="both"/>
        <w:rPr>
          <w:bCs/>
          <w:sz w:val="28"/>
          <w:lang w:val="uk-UA"/>
        </w:rPr>
      </w:pPr>
      <w:r w:rsidRPr="00BE0B1A">
        <w:rPr>
          <w:bCs/>
          <w:sz w:val="28"/>
          <w:lang w:val="uk-UA"/>
        </w:rPr>
        <w:t xml:space="preserve">1. </w:t>
      </w:r>
      <w:r w:rsidRPr="00BE0B1A">
        <w:rPr>
          <w:rFonts w:ascii="Times New Roman CYR" w:eastAsia="MS Mincho" w:hAnsi="Times New Roman CYR" w:cs="Times New Roman CYR"/>
          <w:bCs/>
          <w:iCs/>
          <w:sz w:val="28"/>
          <w:szCs w:val="28"/>
        </w:rPr>
        <w:t>Інститут відводу можна віднести до міжгалузевих правових інститутів, оскільки він регламентується нормами господарського процесуального права, цивільного процесуального права, адміністративного процесуального права, кримінального процесуального права</w:t>
      </w:r>
      <w:r w:rsidRPr="00BE0B1A">
        <w:rPr>
          <w:bCs/>
          <w:sz w:val="28"/>
          <w:lang w:val="uk-UA"/>
        </w:rPr>
        <w:t>.</w:t>
      </w:r>
      <w:r>
        <w:rPr>
          <w:bCs/>
          <w:sz w:val="28"/>
          <w:lang w:val="uk-UA"/>
        </w:rPr>
        <w:t xml:space="preserve"> З цього приводу доцільним є </w:t>
      </w:r>
      <w:r w:rsidRPr="00517C4C">
        <w:rPr>
          <w:bCs/>
          <w:iCs/>
          <w:sz w:val="28"/>
        </w:rPr>
        <w:t xml:space="preserve">об'єднання </w:t>
      </w:r>
      <w:r>
        <w:rPr>
          <w:bCs/>
          <w:iCs/>
          <w:sz w:val="28"/>
          <w:lang w:val="uk-UA"/>
        </w:rPr>
        <w:t xml:space="preserve">цих </w:t>
      </w:r>
      <w:r w:rsidRPr="00517C4C">
        <w:rPr>
          <w:bCs/>
          <w:iCs/>
          <w:sz w:val="28"/>
        </w:rPr>
        <w:t>норм в один єдиний кодифікований акт, який би врегульовув</w:t>
      </w:r>
      <w:r w:rsidRPr="00517C4C">
        <w:rPr>
          <w:bCs/>
          <w:iCs/>
          <w:sz w:val="28"/>
          <w:lang w:val="uk-UA"/>
        </w:rPr>
        <w:t>а</w:t>
      </w:r>
      <w:r>
        <w:rPr>
          <w:bCs/>
          <w:iCs/>
          <w:sz w:val="28"/>
          <w:lang w:val="uk-UA"/>
        </w:rPr>
        <w:t>в</w:t>
      </w:r>
      <w:r w:rsidRPr="00517C4C">
        <w:rPr>
          <w:bCs/>
          <w:iCs/>
          <w:sz w:val="28"/>
          <w:lang w:val="uk-UA"/>
        </w:rPr>
        <w:t xml:space="preserve"> питання відводу судді.</w:t>
      </w:r>
    </w:p>
    <w:p w14:paraId="242ABF2A"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Переважно правові норми ГПК, ЦПК, КАС, КПК України мають багато спільного в регулюванні питань відводу суддів та учасників процесу: існують майже аналогічні підстави для відводу; визначаються єдині правові наслідки під час задоволення клопотання про відвід; закріплюється обов’язок про самовідвід і т. д.</w:t>
      </w:r>
    </w:p>
    <w:p w14:paraId="16F46CFA" w14:textId="77777777" w:rsidR="001C6AA0" w:rsidRPr="00517C4C"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Pr>
          <w:rFonts w:ascii="Times New Roman CYR" w:eastAsia="MS Mincho" w:hAnsi="Times New Roman CYR" w:cs="Times New Roman CYR"/>
          <w:bCs/>
          <w:iCs/>
          <w:sz w:val="28"/>
          <w:szCs w:val="28"/>
          <w:lang w:val="uk-UA"/>
        </w:rPr>
        <w:t xml:space="preserve">2. </w:t>
      </w:r>
      <w:r w:rsidRPr="00517C4C">
        <w:rPr>
          <w:rFonts w:ascii="Times New Roman CYR" w:eastAsia="MS Mincho" w:hAnsi="Times New Roman CYR" w:cs="Times New Roman CYR"/>
          <w:bCs/>
          <w:iCs/>
          <w:sz w:val="28"/>
          <w:szCs w:val="28"/>
          <w:lang w:val="uk-UA"/>
        </w:rPr>
        <w:t>Забезпечення незалежності судової влади, обов’язкове для кожної держави, є необхідним та важливим для реалізації вказаного права та випливає з права кожного на спр</w:t>
      </w:r>
      <w:r>
        <w:rPr>
          <w:rFonts w:ascii="Times New Roman CYR" w:eastAsia="MS Mincho" w:hAnsi="Times New Roman CYR" w:cs="Times New Roman CYR"/>
          <w:bCs/>
          <w:iCs/>
          <w:sz w:val="28"/>
          <w:szCs w:val="28"/>
          <w:lang w:val="uk-UA"/>
        </w:rPr>
        <w:t>а</w:t>
      </w:r>
      <w:r w:rsidRPr="00517C4C">
        <w:rPr>
          <w:rFonts w:ascii="Times New Roman CYR" w:eastAsia="MS Mincho" w:hAnsi="Times New Roman CYR" w:cs="Times New Roman CYR"/>
          <w:bCs/>
          <w:iCs/>
          <w:sz w:val="28"/>
          <w:szCs w:val="28"/>
          <w:lang w:val="uk-UA"/>
        </w:rPr>
        <w:t xml:space="preserve">ведливий та неупереджений суд. Підтримка незалежності судової влади має суттєве значення для досягнення цілей судочинства та належного виконання функцій на користь ефективного судочинтсва. </w:t>
      </w:r>
    </w:p>
    <w:p w14:paraId="3A056792" w14:textId="77777777" w:rsidR="001C6AA0" w:rsidRPr="00517C4C"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517C4C">
        <w:rPr>
          <w:rFonts w:ascii="Times New Roman CYR" w:eastAsia="MS Mincho" w:hAnsi="Times New Roman CYR" w:cs="Times New Roman CYR"/>
          <w:bCs/>
          <w:iCs/>
          <w:sz w:val="28"/>
          <w:szCs w:val="28"/>
          <w:lang w:val="uk-UA"/>
        </w:rPr>
        <w:t xml:space="preserve">Наявність інституту відводу судді гарантує забезпечення законності судового процесу, здійснення його неупередженою особою відповідно до норм чинного законодавства України. Звідси тема відводу судді є актуальною на сьогодні, адже кожна демократична країна прагне досконалості у прийнятті обґрунтованих правових рішень, об’єктивного та неупередженого вирішенні правового спору. </w:t>
      </w:r>
    </w:p>
    <w:p w14:paraId="7C632114"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Pr>
          <w:rFonts w:ascii="Times New Roman CYR" w:eastAsia="MS Mincho" w:hAnsi="Times New Roman CYR" w:cs="Times New Roman CYR"/>
          <w:bCs/>
          <w:iCs/>
          <w:sz w:val="28"/>
          <w:szCs w:val="28"/>
          <w:lang w:val="uk-UA"/>
        </w:rPr>
        <w:t>3</w:t>
      </w:r>
      <w:r w:rsidRPr="00BE0B1A">
        <w:rPr>
          <w:rFonts w:ascii="Times New Roman CYR" w:eastAsia="MS Mincho" w:hAnsi="Times New Roman CYR" w:cs="Times New Roman CYR"/>
          <w:bCs/>
          <w:iCs/>
          <w:sz w:val="28"/>
          <w:szCs w:val="28"/>
          <w:lang w:val="uk-UA"/>
        </w:rPr>
        <w:t xml:space="preserve">. Главою 3 першого розділу ГПК України «Склад суду. Відводи» </w:t>
      </w:r>
      <w:r w:rsidRPr="00BE0B1A">
        <w:rPr>
          <w:rFonts w:ascii="Times New Roman CYR" w:eastAsia="MS Mincho" w:hAnsi="Times New Roman CYR" w:cs="Times New Roman CYR"/>
          <w:bCs/>
          <w:iCs/>
          <w:sz w:val="28"/>
          <w:szCs w:val="28"/>
          <w:lang w:val="uk-UA"/>
        </w:rPr>
        <w:lastRenderedPageBreak/>
        <w:t>визначено правові норми, які регулюють порядок відводу в господарському процесі. Вказані норми регламентують певну сферу господарських процесуальних відносин – відвід судді, секретаря судових засідань, експерта, спеціаліста, перекладача. Варто зазначити, що нормативного закріплення термін «відвід» ГПК України не містить.</w:t>
      </w:r>
    </w:p>
    <w:p w14:paraId="01F902B1"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iCs/>
          <w:sz w:val="28"/>
          <w:szCs w:val="28"/>
          <w:lang w:val="uk-UA"/>
        </w:rPr>
        <w:t>Обставинами, що викликають сумнів в об’єктивності та неупередженості судді, можуть бути незаконні дії судді під час розгляду справи, ігнорування законних вимог сторони, створення перешкод для реалізації процесуальних прав, нерівне ставлення до сторін, нетактовна поведінка судді тощо.</w:t>
      </w:r>
    </w:p>
    <w:p w14:paraId="48E8EEA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3. </w:t>
      </w:r>
      <w:r w:rsidRPr="00BE0B1A">
        <w:rPr>
          <w:rFonts w:ascii="Times New Roman CYR" w:eastAsia="MS Mincho" w:hAnsi="Times New Roman CYR" w:cs="Times New Roman CYR"/>
          <w:bCs/>
          <w:sz w:val="28"/>
          <w:szCs w:val="28"/>
        </w:rPr>
        <w:t>Підстави відводу – це юридичні факти матеріально-правового або процесуально-правового характеру, при встановленні яких за допомогою доказів для забезпечення законності та обґрунтованості судового рішення із розгляду справи усувається суддя, секретар судового засідання, експерт, спеціаліст або перекладач.</w:t>
      </w:r>
    </w:p>
    <w:p w14:paraId="2B1973C3"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4. </w:t>
      </w:r>
      <w:r w:rsidRPr="00BE0B1A">
        <w:rPr>
          <w:rFonts w:ascii="Times New Roman CYR" w:eastAsia="MS Mincho" w:hAnsi="Times New Roman CYR" w:cs="Times New Roman CYR"/>
          <w:bCs/>
          <w:sz w:val="28"/>
          <w:szCs w:val="28"/>
        </w:rPr>
        <w:t>Підстави для відводу (самовідводу) судді регламентован</w:t>
      </w:r>
      <w:r w:rsidRPr="00BE0B1A">
        <w:rPr>
          <w:rFonts w:ascii="Times New Roman CYR" w:eastAsia="MS Mincho" w:hAnsi="Times New Roman CYR" w:cs="Times New Roman CYR"/>
          <w:bCs/>
          <w:sz w:val="28"/>
          <w:szCs w:val="28"/>
          <w:lang w:val="uk-UA"/>
        </w:rPr>
        <w:t xml:space="preserve">і у ст. 35 ГПК України. Так, відповідно до ч. 1 ст. 35 ГПК </w:t>
      </w:r>
      <w:r w:rsidRPr="00774B9C">
        <w:rPr>
          <w:rFonts w:ascii="Times New Roman CYR" w:eastAsia="MS Mincho" w:hAnsi="Times New Roman CYR" w:cs="Times New Roman CYR"/>
          <w:bCs/>
          <w:sz w:val="28"/>
          <w:szCs w:val="28"/>
          <w:lang w:val="uk-UA"/>
        </w:rPr>
        <w:t>суддя не може розглядати справу і підлягає відводу (самовідводу), якщо:</w:t>
      </w:r>
      <w:r>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lang w:val="uk-UA"/>
        </w:rPr>
        <w:t>1) він є членом сім’ї або близьким родичем (чоловік, дружина, батько, мати, вітчим, мачуха, син, дочка, пасинок, падчерка, брат, сестра, дід, баба, внук, внучка, усиновлювач чи усиновлений, опікун чи піклувальник, член сім’ї або близький родич цих осіб) сторони або інших учасників судового процесу, або осіб, які надавали стороні або іншим учасникам справи правничу допомогу у цій справі, або іншого судді, який входить до складу суду, що розглядає чи розглядав справу;</w:t>
      </w:r>
      <w:r>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lang w:val="uk-UA"/>
        </w:rPr>
        <w:t>2) він брав участь у справі як свідок, експерт, спеціаліст, перекладач, представник, адвокат, секретар судового засідання, або надавав стороні чи іншим учасникам справи правничу допомогу в цій чи іншій справі;</w:t>
      </w:r>
      <w:r>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lang w:val="uk-UA"/>
        </w:rPr>
        <w:t>3) він прямо чи побічно заінтересований у результаті розгляду справи;</w:t>
      </w:r>
      <w:r>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lang w:val="uk-UA"/>
        </w:rPr>
        <w:t>4)</w:t>
      </w:r>
      <w:r>
        <w:rPr>
          <w:rFonts w:ascii="Times New Roman CYR" w:eastAsia="MS Mincho" w:hAnsi="Times New Roman CYR" w:cs="Times New Roman CYR"/>
          <w:bCs/>
          <w:sz w:val="28"/>
          <w:szCs w:val="28"/>
        </w:rPr>
        <w:t> </w:t>
      </w:r>
      <w:r w:rsidRPr="00774B9C">
        <w:rPr>
          <w:rFonts w:ascii="Times New Roman CYR" w:eastAsia="MS Mincho" w:hAnsi="Times New Roman CYR" w:cs="Times New Roman CYR"/>
          <w:bCs/>
          <w:sz w:val="28"/>
          <w:szCs w:val="28"/>
          <w:lang w:val="uk-UA"/>
        </w:rPr>
        <w:t>було порушено порядок визначення судді для розгляду справи;</w:t>
      </w:r>
      <w:r>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lang w:val="uk-UA"/>
        </w:rPr>
        <w:t>5) є інші обставини, які викликають сумнів у неупередженості або об’єктивності судді.</w:t>
      </w:r>
      <w:r w:rsidRPr="00BE0B1A">
        <w:rPr>
          <w:rFonts w:ascii="Times New Roman CYR" w:eastAsia="MS Mincho" w:hAnsi="Times New Roman CYR" w:cs="Times New Roman CYR"/>
          <w:bCs/>
          <w:sz w:val="28"/>
          <w:szCs w:val="28"/>
          <w:lang w:val="uk-UA"/>
        </w:rPr>
        <w:t xml:space="preserve"> </w:t>
      </w:r>
    </w:p>
    <w:p w14:paraId="0A7AD59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
          <w:szCs w:val="2"/>
          <w:lang w:val="uk-UA"/>
        </w:rPr>
      </w:pPr>
      <w:r w:rsidRPr="00BE0B1A">
        <w:rPr>
          <w:rFonts w:ascii="Times New Roman CYR" w:eastAsia="MS Mincho" w:hAnsi="Times New Roman CYR" w:cs="Times New Roman CYR"/>
          <w:bCs/>
          <w:sz w:val="28"/>
          <w:szCs w:val="28"/>
          <w:lang w:val="uk-UA"/>
        </w:rPr>
        <w:br w:type="page"/>
      </w:r>
    </w:p>
    <w:p w14:paraId="255FA0FF" w14:textId="71EAE367" w:rsidR="001C6AA0" w:rsidRPr="00BE0B1A" w:rsidRDefault="001C6AA0" w:rsidP="001C6AA0">
      <w:pPr>
        <w:pStyle w:val="1"/>
        <w:keepNext w:val="0"/>
        <w:shd w:val="clear" w:color="auto" w:fill="auto"/>
        <w:ind w:right="57" w:firstLine="851"/>
        <w:jc w:val="both"/>
        <w:rPr>
          <w:bCs/>
          <w:noProof w:val="0"/>
          <w:kern w:val="32"/>
          <w:szCs w:val="28"/>
        </w:rPr>
      </w:pPr>
      <w:bookmarkStart w:id="51" w:name="_Toc532751465"/>
      <w:r w:rsidRPr="00BE0B1A">
        <w:rPr>
          <w:bCs/>
          <w:noProof w:val="0"/>
          <w:kern w:val="32"/>
          <w:szCs w:val="28"/>
        </w:rPr>
        <w:lastRenderedPageBreak/>
        <w:t>РОЗДІЛ 3. УДОСКОНАЛЕННЯ ПРАВ</w:t>
      </w:r>
      <w:r w:rsidR="00142D5D">
        <w:rPr>
          <w:bCs/>
          <w:noProof w:val="0"/>
          <w:kern w:val="32"/>
          <w:szCs w:val="28"/>
        </w:rPr>
        <w:t xml:space="preserve">ОВОГО РЕГУЛЮВАННЯ (ДОСВІД </w:t>
      </w:r>
      <w:r w:rsidRPr="00BE0B1A">
        <w:rPr>
          <w:bCs/>
          <w:noProof w:val="0"/>
          <w:kern w:val="32"/>
          <w:szCs w:val="28"/>
        </w:rPr>
        <w:t xml:space="preserve"> КРАЇН ЄС) ТА ПЕРСПЕКТИВИ РОЗВИТКУ ІНСТИТУТУ ВІДВОДУ СУДДІ</w:t>
      </w:r>
      <w:bookmarkEnd w:id="51"/>
    </w:p>
    <w:p w14:paraId="60B02C81" w14:textId="25081556" w:rsidR="001C6AA0"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42275D1B" w14:textId="77777777" w:rsidR="00DD4441" w:rsidRPr="00BE0B1A" w:rsidRDefault="00DD4441"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61A830D8" w14:textId="77777777" w:rsidR="001C6AA0" w:rsidRPr="00BE0B1A" w:rsidRDefault="001C6AA0" w:rsidP="001C6AA0">
      <w:pPr>
        <w:pStyle w:val="1"/>
        <w:shd w:val="clear" w:color="auto" w:fill="auto"/>
        <w:ind w:right="57" w:firstLine="851"/>
        <w:jc w:val="both"/>
        <w:rPr>
          <w:bCs/>
          <w:noProof w:val="0"/>
          <w:kern w:val="32"/>
          <w:szCs w:val="28"/>
        </w:rPr>
      </w:pPr>
      <w:bookmarkStart w:id="52" w:name="_Toc532751466"/>
      <w:r w:rsidRPr="00BE0B1A">
        <w:rPr>
          <w:bCs/>
          <w:noProof w:val="0"/>
          <w:kern w:val="32"/>
          <w:szCs w:val="28"/>
        </w:rPr>
        <w:t>3.1. Стан дотримання загальних засад відводу судді в господарському судочинстві</w:t>
      </w:r>
      <w:bookmarkEnd w:id="52"/>
    </w:p>
    <w:p w14:paraId="0C66C276"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p>
    <w:p w14:paraId="50A061BE" w14:textId="7F303902"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Відповідно до пункту 1 ст. 6 Європейської Конвенції про захист прав людини та основоположних свобод, кожен при ви</w:t>
      </w:r>
      <w:r w:rsidR="00656411">
        <w:rPr>
          <w:rFonts w:ascii="Times New Roman CYR" w:eastAsia="MS Mincho" w:hAnsi="Times New Roman CYR" w:cs="Times New Roman CYR"/>
          <w:bCs/>
          <w:sz w:val="28"/>
          <w:szCs w:val="28"/>
          <w:lang w:val="uk-UA"/>
        </w:rPr>
        <w:t xml:space="preserve">рішені спору щодо його </w:t>
      </w:r>
      <w:r w:rsidRPr="0001117E">
        <w:rPr>
          <w:rFonts w:ascii="Times New Roman CYR" w:eastAsia="MS Mincho" w:hAnsi="Times New Roman CYR" w:cs="Times New Roman CYR"/>
          <w:bCs/>
          <w:sz w:val="28"/>
          <w:szCs w:val="28"/>
          <w:lang w:val="uk-UA"/>
        </w:rPr>
        <w:t xml:space="preserve"> прав та обов'язків має право на справедливий і публічний розгляд справи упродовж розумного строку незалежним і безстороннім судом, встановленим законом</w:t>
      </w:r>
      <w:r>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rPr>
        <w:t>[100]</w:t>
      </w:r>
      <w:r w:rsidRPr="0001117E">
        <w:rPr>
          <w:rFonts w:ascii="Times New Roman CYR" w:eastAsia="MS Mincho" w:hAnsi="Times New Roman CYR" w:cs="Times New Roman CYR"/>
          <w:bCs/>
          <w:sz w:val="28"/>
          <w:szCs w:val="28"/>
          <w:lang w:val="uk-UA"/>
        </w:rPr>
        <w:t>.</w:t>
      </w:r>
    </w:p>
    <w:p w14:paraId="18DB38A7"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 xml:space="preserve">Інститут відводу (самовідводу) залишається малодослідженим на науковому рівні. Зокрема, однією з підстав для відводу (самовідводу) відповідно до ч. 1 ст. </w:t>
      </w:r>
      <w:r w:rsidRPr="00BE0B1A">
        <w:rPr>
          <w:rFonts w:ascii="Times New Roman CYR" w:eastAsia="MS Mincho" w:hAnsi="Times New Roman CYR" w:cs="Times New Roman CYR"/>
          <w:bCs/>
          <w:sz w:val="28"/>
          <w:szCs w:val="28"/>
          <w:lang w:val="uk-UA"/>
        </w:rPr>
        <w:t>35</w:t>
      </w:r>
      <w:r w:rsidRPr="00BE0B1A">
        <w:rPr>
          <w:rFonts w:ascii="Times New Roman CYR" w:eastAsia="MS Mincho" w:hAnsi="Times New Roman CYR" w:cs="Times New Roman CYR"/>
          <w:bCs/>
          <w:sz w:val="28"/>
          <w:szCs w:val="28"/>
        </w:rPr>
        <w:t xml:space="preserve"> Господарського процесуального кодексу України (далі – ГПК України) є порушення порядку визначення судді для розгляду справи.</w:t>
      </w:r>
    </w:p>
    <w:p w14:paraId="2D19294C"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Слід зауважити, що автоматизована система документообігу суду є новацією, передбаченою ст. 15 Закону України «Про судоустрій та статус суддів» та впровадженою з 1 січня 2011 р. в результаті судової реформи. Із введенням у судочинство новітніх технологій інформатизація, автоматизація, віртуалізація процесів стала невід’ємною складовою всіх сфер життєдіяльності. Тому доречно погодитися з деякими дослідниками, що вже нині можна казати про певні позитивні рухи в напряму судової реформи, а саме: підвищення відкритості та доступності судочинства, загальної ефективності та прискорення всіх судових процедур, ускладнення корумпованості та інших негативних явищ, що викликають обурення і формують правовий нігілізм у населення протягом десятиліть [</w:t>
      </w:r>
      <w:r>
        <w:rPr>
          <w:rFonts w:ascii="Times New Roman CYR" w:eastAsia="MS Mincho" w:hAnsi="Times New Roman CYR" w:cs="Times New Roman CYR"/>
          <w:bCs/>
          <w:sz w:val="28"/>
          <w:szCs w:val="28"/>
          <w:lang w:val="uk-UA"/>
        </w:rPr>
        <w:t>39</w:t>
      </w:r>
      <w:r w:rsidRPr="00BE0B1A">
        <w:rPr>
          <w:rFonts w:ascii="Times New Roman CYR" w:eastAsia="MS Mincho" w:hAnsi="Times New Roman CYR" w:cs="Times New Roman CYR"/>
          <w:bCs/>
          <w:sz w:val="28"/>
          <w:szCs w:val="28"/>
        </w:rPr>
        <w:t>, c. 104]</w:t>
      </w:r>
      <w:r w:rsidRPr="00BE0B1A">
        <w:rPr>
          <w:rFonts w:ascii="Times New Roman CYR" w:eastAsia="MS Mincho" w:hAnsi="Times New Roman CYR" w:cs="Times New Roman CYR"/>
          <w:bCs/>
          <w:sz w:val="28"/>
          <w:szCs w:val="28"/>
          <w:lang w:val="uk-UA"/>
        </w:rPr>
        <w:t>.</w:t>
      </w:r>
    </w:p>
    <w:p w14:paraId="39521F27" w14:textId="77777777" w:rsidR="00D85D55" w:rsidRPr="005E7022"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5E7022">
        <w:rPr>
          <w:rFonts w:ascii="Times New Roman CYR" w:eastAsia="MS Mincho" w:hAnsi="Times New Roman CYR" w:cs="Times New Roman CYR"/>
          <w:bCs/>
          <w:sz w:val="28"/>
          <w:szCs w:val="28"/>
          <w:lang w:val="uk-UA"/>
        </w:rPr>
        <w:t>В Україні Положення про автоматизовану систему документообігу суду затверджено Рішенням Ради суддів України від 26 листопада 2010 р. №</w:t>
      </w:r>
      <w:r w:rsidRPr="00BE0B1A">
        <w:rPr>
          <w:rFonts w:ascii="Times New Roman CYR" w:eastAsia="MS Mincho" w:hAnsi="Times New Roman CYR" w:cs="Times New Roman CYR"/>
          <w:bCs/>
          <w:sz w:val="28"/>
          <w:szCs w:val="28"/>
        </w:rPr>
        <w:t> </w:t>
      </w:r>
      <w:r w:rsidRPr="005E7022">
        <w:rPr>
          <w:rFonts w:ascii="Times New Roman CYR" w:eastAsia="MS Mincho" w:hAnsi="Times New Roman CYR" w:cs="Times New Roman CYR"/>
          <w:bCs/>
          <w:sz w:val="28"/>
          <w:szCs w:val="28"/>
          <w:lang w:val="uk-UA"/>
        </w:rPr>
        <w:t xml:space="preserve">30 (далі </w:t>
      </w:r>
      <w:r w:rsidRPr="005E7022">
        <w:rPr>
          <w:rFonts w:ascii="Times New Roman CYR" w:eastAsia="MS Mincho" w:hAnsi="Times New Roman CYR" w:cs="Times New Roman CYR"/>
          <w:bCs/>
          <w:sz w:val="28"/>
          <w:szCs w:val="28"/>
          <w:lang w:val="uk-UA"/>
        </w:rPr>
        <w:lastRenderedPageBreak/>
        <w:t xml:space="preserve">– Положення), відповідно до п. 1.5. якого автоматизована система – це сукупність комп’ютерних програм, що забезпечують функціонування документообігу суду за допомогою використання відповідних програмно-апаратних комплексів судів, обіг інформації між судами різних інстанцій та спеціалізації, передачу інформації до центральних баз даних залежно від спеціалізації судів, захист на технологічних ланках від несанкціонованого доступу тощо. </w:t>
      </w:r>
    </w:p>
    <w:p w14:paraId="1E81ED24"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Автоматизована система документообігу забезпечує об’єктивний та неупереджений розподіл справ між суддями з додержанням принципів черговості та рівної кількості справ для кожного судді.</w:t>
      </w:r>
    </w:p>
    <w:p w14:paraId="79734CF9"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Так, відповідно до ч. 3 ст. 6 ГПК </w:t>
      </w:r>
      <w:r w:rsidRPr="005E7022">
        <w:rPr>
          <w:rFonts w:ascii="Times New Roman CYR" w:eastAsia="MS Mincho" w:hAnsi="Times New Roman CYR" w:cs="Times New Roman CYR"/>
          <w:bCs/>
          <w:sz w:val="28"/>
          <w:szCs w:val="28"/>
          <w:lang w:val="uk-UA"/>
        </w:rPr>
        <w:t>визначення судді або колегії суддів (судді-доповідача) для розгляду конкретної справи здійснюється Єдиною судовою інформаційно-телекомунікаційною системою у порядку, визначеному цим Кодексом (автоматизований розподіл справ).</w:t>
      </w:r>
    </w:p>
    <w:p w14:paraId="575CF6EC"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Таким чином, з цього витікає і причина, за якої порушення порядку призначення судді за автоматизованою системою є підставою для відводу, адже наслідком є порушення мети створення даної системи – забезпечення об’єктивного та неупередженого розподілу справ</w:t>
      </w:r>
      <w:r w:rsidRPr="00BE0B1A">
        <w:t xml:space="preserve"> </w:t>
      </w:r>
      <w:r w:rsidRPr="00BE0B1A">
        <w:rPr>
          <w:rFonts w:ascii="Times New Roman CYR" w:eastAsia="MS Mincho" w:hAnsi="Times New Roman CYR" w:cs="Times New Roman CYR"/>
          <w:bCs/>
          <w:sz w:val="28"/>
          <w:szCs w:val="28"/>
        </w:rPr>
        <w:t>між суддями, а також мети введення Закону – забезпечення не лише неупередженого розподілу, але й ефективна організація розгляду справ.</w:t>
      </w:r>
    </w:p>
    <w:p w14:paraId="2479AF5A"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Процедура призначення судді чітко встановлена чинним процесуальним законодавством. Загальні засади такого порядку визначаються ГПК України, згідно з </w:t>
      </w:r>
      <w:r w:rsidRPr="00BE0B1A">
        <w:rPr>
          <w:rFonts w:ascii="Times New Roman CYR" w:eastAsia="MS Mincho" w:hAnsi="Times New Roman CYR" w:cs="Times New Roman CYR"/>
          <w:bCs/>
          <w:sz w:val="28"/>
          <w:szCs w:val="28"/>
          <w:lang w:val="uk-UA"/>
        </w:rPr>
        <w:t>яким</w:t>
      </w:r>
      <w:r w:rsidRPr="00BE0B1A">
        <w:rPr>
          <w:rFonts w:ascii="Times New Roman CYR" w:eastAsia="MS Mincho" w:hAnsi="Times New Roman CYR" w:cs="Times New Roman CYR"/>
          <w:bCs/>
          <w:sz w:val="28"/>
          <w:szCs w:val="28"/>
        </w:rPr>
        <w:t xml:space="preserve"> Виачення судді або колегії суддів (судді-доповідача) для розгляду конкретної справи здійснюється Єдиною судовою інформаційно-телекомунікаційною системою у порядку, визначеному цим Кодексом (автоматизований розподіл справ).</w:t>
      </w:r>
    </w:p>
    <w:p w14:paraId="6B48CD95"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При автоматичному розподілі судових справ використовується та враховується така інформація: </w:t>
      </w:r>
    </w:p>
    <w:p w14:paraId="6303CEAE"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1) спеціалізація (за наявності) – відповідно до п. 3.1.3. Положення автоматичний розподіл судових справ між суддями у судах, у яких відсутня </w:t>
      </w:r>
      <w:r w:rsidRPr="00BE0B1A">
        <w:rPr>
          <w:rFonts w:ascii="Times New Roman CYR" w:eastAsia="MS Mincho" w:hAnsi="Times New Roman CYR" w:cs="Times New Roman CYR"/>
          <w:bCs/>
          <w:sz w:val="28"/>
          <w:szCs w:val="28"/>
        </w:rPr>
        <w:lastRenderedPageBreak/>
        <w:t xml:space="preserve">спеціалізація або її застосування неможливе, здійснюється між усіма суддями; </w:t>
      </w:r>
    </w:p>
    <w:p w14:paraId="241CC54D"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2) кількість судових справ, що надійшла на розгляд судді; </w:t>
      </w:r>
    </w:p>
    <w:p w14:paraId="7EC9D783"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3) кількість фактично відпрацьованого робочого часу (в днях); </w:t>
      </w:r>
    </w:p>
    <w:p w14:paraId="205DB3CE"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4) коефіцієнт складності категорій судових справ (до речі, розрахування коефіцієнту складності є позитивним нововведенням (у редакції рішення Ради суддів України від 25.05.2012 р. № 26), адже ще в 2010 р. заступник голови Вищого адміністративного суду України М. Цуркан зауважував, що складність справи, на відміну від кількості, визначити неможливо); </w:t>
      </w:r>
    </w:p>
    <w:p w14:paraId="45C79903"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5) коефіцієнт, що враховує форму участі судді у розгляді судової справи; </w:t>
      </w:r>
    </w:p>
    <w:p w14:paraId="1545E441"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6) категорія судової справи за загальним рядком відповідної форми звіту, що затверджується Державною судовою адміністрацією України, або загальним рядком класифікатора; </w:t>
      </w:r>
    </w:p>
    <w:p w14:paraId="35525520"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7) наявність у судді повноважень для здійснення правосуддя на момент розподілу судових справ;</w:t>
      </w:r>
    </w:p>
    <w:p w14:paraId="3298795A"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8) наявність обставин, що виключають або не допускають повторної участі судді (складу суду) у розгляді судової справи відповідно до законодавства; </w:t>
      </w:r>
    </w:p>
    <w:p w14:paraId="1E744B89"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9) наявність у судді допуску до державної таємниці; </w:t>
      </w:r>
    </w:p>
    <w:p w14:paraId="6E829870"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10) наявність у судді дозволу на розгляд судових справ з грифом «Для службового користування»; </w:t>
      </w:r>
    </w:p>
    <w:p w14:paraId="231F0071"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11) відсоток справ, що підлягає розгляду суддею, в разі виконання ним інших повноважень, не пов’язаних із здійсненням правосуддя; </w:t>
      </w:r>
    </w:p>
    <w:p w14:paraId="7760BD59"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 xml:space="preserve">12) участь у роботі з допуску справ до провадження у Верховному Суді України. </w:t>
      </w:r>
    </w:p>
    <w:p w14:paraId="554CF86A" w14:textId="77777777" w:rsidR="00D85D55" w:rsidRPr="005E7022"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5E7022">
        <w:rPr>
          <w:rFonts w:ascii="Times New Roman CYR" w:eastAsia="MS Mincho" w:hAnsi="Times New Roman CYR" w:cs="Times New Roman CYR"/>
          <w:bCs/>
          <w:sz w:val="28"/>
          <w:szCs w:val="28"/>
          <w:lang w:val="uk-UA"/>
        </w:rPr>
        <w:t>Автоматичний розподіл судових справ здійснюється на підставі внесеної до автоматизованої системи інформації у відповідному суді (у судовій палаті) протягом робочого дня після реєстрації відповідних документів, крім випадків, передбачених законодавством</w:t>
      </w:r>
      <w:r w:rsidRPr="00BE0B1A">
        <w:rPr>
          <w:rFonts w:ascii="Times New Roman CYR" w:eastAsia="MS Mincho" w:hAnsi="Times New Roman CYR" w:cs="Times New Roman CYR"/>
          <w:bCs/>
          <w:sz w:val="28"/>
          <w:szCs w:val="28"/>
          <w:lang w:val="uk-UA"/>
        </w:rPr>
        <w:t xml:space="preserve"> </w:t>
      </w:r>
      <w:r w:rsidRPr="005E7022">
        <w:rPr>
          <w:rFonts w:ascii="Times New Roman CYR" w:eastAsia="MS Mincho" w:hAnsi="Times New Roman CYR" w:cs="Times New Roman CYR"/>
          <w:bCs/>
          <w:sz w:val="28"/>
          <w:szCs w:val="28"/>
          <w:lang w:val="uk-UA"/>
        </w:rPr>
        <w:t>[</w:t>
      </w:r>
      <w:r>
        <w:rPr>
          <w:rFonts w:ascii="Times New Roman CYR" w:eastAsia="MS Mincho" w:hAnsi="Times New Roman CYR" w:cs="Times New Roman CYR"/>
          <w:bCs/>
          <w:sz w:val="28"/>
          <w:szCs w:val="28"/>
          <w:lang w:val="uk-UA"/>
        </w:rPr>
        <w:t>66</w:t>
      </w:r>
      <w:r w:rsidRPr="00BE0B1A">
        <w:rPr>
          <w:rFonts w:ascii="Times New Roman CYR" w:eastAsia="MS Mincho" w:hAnsi="Times New Roman CYR" w:cs="Times New Roman CYR"/>
          <w:bCs/>
          <w:sz w:val="28"/>
          <w:szCs w:val="28"/>
          <w:lang w:val="uk-UA"/>
        </w:rPr>
        <w:t>, с. 77</w:t>
      </w:r>
      <w:r w:rsidRPr="005E7022">
        <w:rPr>
          <w:rFonts w:ascii="Times New Roman CYR" w:eastAsia="MS Mincho" w:hAnsi="Times New Roman CYR" w:cs="Times New Roman CYR"/>
          <w:bCs/>
          <w:sz w:val="28"/>
          <w:szCs w:val="28"/>
          <w:lang w:val="uk-UA"/>
        </w:rPr>
        <w:t>].</w:t>
      </w:r>
    </w:p>
    <w:p w14:paraId="04E2E8BB"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5E7022">
        <w:rPr>
          <w:rFonts w:ascii="Times New Roman CYR" w:eastAsia="MS Mincho" w:hAnsi="Times New Roman CYR" w:cs="Times New Roman CYR"/>
          <w:bCs/>
          <w:sz w:val="28"/>
          <w:szCs w:val="28"/>
          <w:lang w:val="uk-UA"/>
        </w:rPr>
        <w:t xml:space="preserve">На підставі вищезазначеного можна зробити висновок, що порушення порядку призначення судді автоматизованою системою документообігу суду, як </w:t>
      </w:r>
      <w:r w:rsidRPr="005E7022">
        <w:rPr>
          <w:rFonts w:ascii="Times New Roman CYR" w:eastAsia="MS Mincho" w:hAnsi="Times New Roman CYR" w:cs="Times New Roman CYR"/>
          <w:bCs/>
          <w:sz w:val="28"/>
          <w:szCs w:val="28"/>
          <w:lang w:val="uk-UA"/>
        </w:rPr>
        <w:lastRenderedPageBreak/>
        <w:t xml:space="preserve">підстава для відводу судді, є порівняно новою міжгалузевою підставою для відводу, що виникла в результаті впровадження автоматизованих систем документообігу до всіх державних судів України і ще перебуває в стані вдосконалення. </w:t>
      </w:r>
      <w:r w:rsidRPr="00BE0B1A">
        <w:rPr>
          <w:rFonts w:ascii="Times New Roman CYR" w:eastAsia="MS Mincho" w:hAnsi="Times New Roman CYR" w:cs="Times New Roman CYR"/>
          <w:bCs/>
          <w:sz w:val="28"/>
          <w:szCs w:val="28"/>
        </w:rPr>
        <w:t>Специфічною рисою (особливістю) вказаної підстави є те, що вона може бути застосована в господарському судочинстві лише до судді. При цьому в процедурі банкрутства доречно впровадити вказаний інститут також відносно арбітражного керуючого, який відповідно до чинного законодавства призначається автоматизованою системою з числа осіб, внесених до Єдиного реєстру арбітражних керуючих (розпорядників майна, керуючих санацією, ліквідаторів) України</w:t>
      </w:r>
      <w:r w:rsidRPr="00BE0B1A">
        <w:rPr>
          <w:rFonts w:ascii="Times New Roman CYR" w:eastAsia="MS Mincho" w:hAnsi="Times New Roman CYR" w:cs="Times New Roman CYR"/>
          <w:bCs/>
          <w:sz w:val="28"/>
          <w:szCs w:val="28"/>
          <w:lang w:val="uk-UA"/>
        </w:rPr>
        <w:t>.</w:t>
      </w:r>
    </w:p>
    <w:p w14:paraId="100708D5"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Слід зауважити, </w:t>
      </w:r>
      <w:r w:rsidRPr="00BE0B1A">
        <w:rPr>
          <w:rFonts w:ascii="Times New Roman CYR" w:eastAsia="MS Mincho" w:hAnsi="Times New Roman CYR" w:cs="Times New Roman CYR"/>
          <w:bCs/>
          <w:sz w:val="28"/>
          <w:szCs w:val="28"/>
        </w:rPr>
        <w:t>інститут відводу судді в господарському судочинстві давно потребує вдосконалення</w:t>
      </w:r>
      <w:r w:rsidRPr="00BE0B1A">
        <w:rPr>
          <w:rFonts w:ascii="Times New Roman CYR" w:eastAsia="MS Mincho" w:hAnsi="Times New Roman CYR" w:cs="Times New Roman CYR"/>
          <w:bCs/>
          <w:sz w:val="28"/>
          <w:szCs w:val="28"/>
          <w:lang w:val="uk-UA"/>
        </w:rPr>
        <w:t xml:space="preserve">. </w:t>
      </w:r>
    </w:p>
    <w:p w14:paraId="78EA7E03"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Як вже було з’ясовано, і</w:t>
      </w:r>
      <w:r w:rsidRPr="00BE0B1A">
        <w:rPr>
          <w:rFonts w:ascii="Times New Roman CYR" w:eastAsia="MS Mincho" w:hAnsi="Times New Roman CYR" w:cs="Times New Roman CYR"/>
          <w:bCs/>
          <w:sz w:val="28"/>
          <w:szCs w:val="28"/>
        </w:rPr>
        <w:t>нститут відводу судді покликаний забезпечити неупереджений та справедливий розгляд справи судом. Неупередженість та безсторонність суду особливо є актуальною саме в господарському судочинстві, оскільки економічний ефект від результатів розгляду господарських спорів є, як правило, значним та відчутним</w:t>
      </w:r>
      <w:r w:rsidRPr="00BE0B1A">
        <w:rPr>
          <w:rFonts w:ascii="Times New Roman CYR" w:eastAsia="MS Mincho" w:hAnsi="Times New Roman CYR" w:cs="Times New Roman CYR"/>
          <w:bCs/>
          <w:sz w:val="28"/>
          <w:szCs w:val="28"/>
          <w:lang w:val="uk-UA"/>
        </w:rPr>
        <w:t>.</w:t>
      </w:r>
    </w:p>
    <w:p w14:paraId="56F1207D"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Відповідно до статті 6 Конвенції про захист прав людини і основоположних свобод кожен має право на справедливий і публічний розгляд його справи впродовж розумного строку незалежним і безстороннім судом</w:t>
      </w:r>
      <w:r w:rsidRPr="00BE0B1A">
        <w:rPr>
          <w:rFonts w:ascii="Times New Roman CYR" w:eastAsia="MS Mincho" w:hAnsi="Times New Roman CYR" w:cs="Times New Roman CYR"/>
          <w:bCs/>
          <w:sz w:val="28"/>
          <w:szCs w:val="28"/>
          <w:lang w:val="uk-UA"/>
        </w:rPr>
        <w:t xml:space="preserve"> </w:t>
      </w:r>
      <w:r w:rsidRPr="005E7022">
        <w:rPr>
          <w:rFonts w:ascii="Times New Roman CYR" w:eastAsia="MS Mincho" w:hAnsi="Times New Roman CYR" w:cs="Times New Roman CYR"/>
          <w:bCs/>
          <w:sz w:val="28"/>
          <w:szCs w:val="28"/>
        </w:rPr>
        <w:t>[</w:t>
      </w:r>
      <w:r>
        <w:rPr>
          <w:rFonts w:ascii="Times New Roman CYR" w:eastAsia="MS Mincho" w:hAnsi="Times New Roman CYR" w:cs="Times New Roman CYR"/>
          <w:bCs/>
          <w:sz w:val="28"/>
          <w:szCs w:val="28"/>
          <w:lang w:val="uk-UA"/>
        </w:rPr>
        <w:t>38</w:t>
      </w:r>
      <w:r w:rsidRPr="00BE0B1A">
        <w:rPr>
          <w:rFonts w:eastAsia="MS Mincho"/>
          <w:bCs/>
          <w:sz w:val="28"/>
          <w:szCs w:val="28"/>
        </w:rPr>
        <w:t>, с.</w:t>
      </w:r>
      <w:r w:rsidRPr="00BE0B1A">
        <w:rPr>
          <w:rFonts w:eastAsia="MS Mincho"/>
          <w:sz w:val="28"/>
          <w:szCs w:val="28"/>
        </w:rPr>
        <w:t>70</w:t>
      </w:r>
      <w:r w:rsidRPr="005E7022">
        <w:rPr>
          <w:rFonts w:eastAsia="MS Mincho"/>
          <w:bCs/>
          <w:sz w:val="28"/>
          <w:szCs w:val="28"/>
        </w:rPr>
        <w:t>]</w:t>
      </w:r>
      <w:r w:rsidRPr="00BE0B1A">
        <w:rPr>
          <w:rFonts w:eastAsia="MS Mincho"/>
          <w:bCs/>
          <w:sz w:val="28"/>
          <w:szCs w:val="28"/>
        </w:rPr>
        <w:t>.</w:t>
      </w:r>
      <w:r w:rsidRPr="00BE0B1A">
        <w:rPr>
          <w:rFonts w:ascii="Times New Roman CYR" w:eastAsia="MS Mincho" w:hAnsi="Times New Roman CYR" w:cs="Times New Roman CYR"/>
          <w:bCs/>
          <w:sz w:val="28"/>
          <w:szCs w:val="28"/>
        </w:rPr>
        <w:t xml:space="preserve"> Саме зазначена норма виступає правовою основою для розвитку в національному законодавстві інституту відводу судді. Питання ефективності та недосконалості механізму відводу судді як додаткової гарантії справедливого суду особливо в рамках господарського судочинства вже давно обговорюється як науковцями, так і практикуючими юристами. На основі аналізу судової практики ми також спробуємо оцінити останні тенденції щодо застосування Господарського процесуального кодексу України </w:t>
      </w:r>
      <w:r w:rsidRPr="005E7022">
        <w:rPr>
          <w:rFonts w:ascii="Times New Roman CYR" w:eastAsia="MS Mincho" w:hAnsi="Times New Roman CYR" w:cs="Times New Roman CYR"/>
          <w:bCs/>
          <w:sz w:val="28"/>
          <w:szCs w:val="28"/>
        </w:rPr>
        <w:t>[</w:t>
      </w:r>
      <w:r>
        <w:rPr>
          <w:rFonts w:ascii="Times New Roman CYR" w:eastAsia="MS Mincho" w:hAnsi="Times New Roman CYR" w:cs="Times New Roman CYR"/>
          <w:bCs/>
          <w:sz w:val="28"/>
          <w:szCs w:val="28"/>
          <w:lang w:val="uk-UA"/>
        </w:rPr>
        <w:t>63</w:t>
      </w:r>
      <w:r w:rsidRPr="00BE0B1A">
        <w:rPr>
          <w:rFonts w:ascii="Times New Roman CYR" w:eastAsia="MS Mincho" w:hAnsi="Times New Roman CYR" w:cs="Times New Roman CYR"/>
          <w:bCs/>
          <w:sz w:val="28"/>
          <w:szCs w:val="28"/>
        </w:rPr>
        <w:t>, с. 112</w:t>
      </w:r>
      <w:r w:rsidRPr="005E7022">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rPr>
        <w:t>.</w:t>
      </w:r>
    </w:p>
    <w:p w14:paraId="7B784EB9"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 xml:space="preserve">Очевидно, що головним недоліком відводу судді в господарському судочинстві є відсутність безсторонності та неупередженості при самому вирішенні питання відводу. Те, що сам суддя краще за інших знає про наявність </w:t>
      </w:r>
      <w:r w:rsidRPr="00BE0B1A">
        <w:rPr>
          <w:rFonts w:ascii="Times New Roman CYR" w:eastAsia="MS Mincho" w:hAnsi="Times New Roman CYR" w:cs="Times New Roman CYR"/>
          <w:bCs/>
          <w:sz w:val="28"/>
          <w:szCs w:val="28"/>
        </w:rPr>
        <w:lastRenderedPageBreak/>
        <w:t>чи відсутність певних суб’єктивних факторів, що впливають на його неупередженість та передбачені ГПК України, не викликає сумнівів, однак питання, чи підтвердить суд свою упередженість, якщо така справді має місце, швидше, риторичне, що підтверджує необхідність реформування цього інституту</w:t>
      </w:r>
      <w:r w:rsidRPr="00BE0B1A">
        <w:rPr>
          <w:rFonts w:ascii="Times New Roman CYR" w:eastAsia="MS Mincho" w:hAnsi="Times New Roman CYR" w:cs="Times New Roman CYR"/>
          <w:bCs/>
          <w:sz w:val="28"/>
          <w:szCs w:val="28"/>
          <w:lang w:val="uk-UA"/>
        </w:rPr>
        <w:t xml:space="preserve"> </w:t>
      </w:r>
      <w:r w:rsidRPr="005E7022">
        <w:rPr>
          <w:rFonts w:ascii="Times New Roman CYR" w:eastAsia="MS Mincho" w:hAnsi="Times New Roman CYR" w:cs="Times New Roman CYR"/>
          <w:bCs/>
          <w:sz w:val="28"/>
          <w:szCs w:val="28"/>
        </w:rPr>
        <w:t>[</w:t>
      </w:r>
      <w:r>
        <w:rPr>
          <w:rFonts w:ascii="Times New Roman CYR" w:eastAsia="MS Mincho" w:hAnsi="Times New Roman CYR" w:cs="Times New Roman CYR"/>
          <w:bCs/>
          <w:sz w:val="28"/>
          <w:szCs w:val="28"/>
          <w:lang w:val="uk-UA"/>
        </w:rPr>
        <w:t>86</w:t>
      </w:r>
      <w:r w:rsidRPr="00BE0B1A">
        <w:rPr>
          <w:rFonts w:ascii="Times New Roman CYR" w:eastAsia="MS Mincho" w:hAnsi="Times New Roman CYR" w:cs="Times New Roman CYR"/>
          <w:bCs/>
          <w:sz w:val="28"/>
          <w:szCs w:val="28"/>
          <w:lang w:val="uk-UA"/>
        </w:rPr>
        <w:t>, с.15</w:t>
      </w:r>
      <w:r w:rsidRPr="005E7022">
        <w:rPr>
          <w:rFonts w:ascii="Times New Roman CYR" w:eastAsia="MS Mincho" w:hAnsi="Times New Roman CYR" w:cs="Times New Roman CYR"/>
          <w:bCs/>
          <w:sz w:val="28"/>
          <w:szCs w:val="28"/>
        </w:rPr>
        <w:t>]</w:t>
      </w:r>
      <w:r w:rsidRPr="00BE0B1A">
        <w:rPr>
          <w:rFonts w:ascii="Times New Roman CYR" w:eastAsia="MS Mincho" w:hAnsi="Times New Roman CYR" w:cs="Times New Roman CYR"/>
          <w:bCs/>
          <w:sz w:val="28"/>
          <w:szCs w:val="28"/>
          <w:lang w:val="uk-UA"/>
        </w:rPr>
        <w:t>.</w:t>
      </w:r>
    </w:p>
    <w:p w14:paraId="5170FDF3"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5E7022">
        <w:rPr>
          <w:rFonts w:ascii="Times New Roman CYR" w:eastAsia="MS Mincho" w:hAnsi="Times New Roman CYR" w:cs="Times New Roman CYR"/>
          <w:bCs/>
          <w:sz w:val="28"/>
          <w:szCs w:val="28"/>
          <w:lang w:val="uk-UA"/>
        </w:rPr>
        <w:t xml:space="preserve">Ще одним проблемним аспектом є формулювання підстав для відводу (самовідводу) судді, точніше їх перелік, що не є вичерпним, адже формулювання «інші обставини, що викликають сумнів у його (судді) неупередженості» надає можливість учасникам процесу заявляти відводи з найрізноманітніших підстав, вважаючи їх іншими обставинами. </w:t>
      </w:r>
      <w:r w:rsidRPr="00BE0B1A">
        <w:rPr>
          <w:rFonts w:ascii="Times New Roman CYR" w:eastAsia="MS Mincho" w:hAnsi="Times New Roman CYR" w:cs="Times New Roman CYR"/>
          <w:bCs/>
          <w:sz w:val="28"/>
          <w:szCs w:val="28"/>
        </w:rPr>
        <w:t>Так, у рамках розгляду справи № 910/15007/14 одним з учасників провадження у справі було заявлено відвід судді з підстав порушення принципу рівності учасників процесу (на думку заявника), а також з підстави, що цим же суддею вже виносилась ухвала про порушення справи про банкрутство у відношенні цього ж боржника, яка була в подальшому скасована Вищим господарським судом України (ВГСУ). розглянувши цю заяву, суддя відмовив у її задоволенні у зв’язку з необґрунтованістю</w:t>
      </w:r>
      <w:r w:rsidRPr="00BE0B1A">
        <w:rPr>
          <w:rFonts w:ascii="Times New Roman CYR" w:eastAsia="MS Mincho" w:hAnsi="Times New Roman CYR" w:cs="Times New Roman CYR"/>
          <w:bCs/>
          <w:sz w:val="28"/>
          <w:szCs w:val="28"/>
          <w:lang w:val="uk-UA"/>
        </w:rPr>
        <w:t>.</w:t>
      </w:r>
    </w:p>
    <w:p w14:paraId="76CB3F19"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Вартою уваги є позиція учасника судового процесу, який заявив відвід суддям у рамках справ № 914/2348/15 та № 914/1053/15, що слухалися ВГСУ. Справи є схожими, спір виник між тими ж сторонами зі схожих підстав та предмета, і слухалися спочатку однією і тією ж колегією, однак пов’язаними між собою їх вважати не можна. Так, у рамках справи № 914/2348/15 було заявлено відвід на підставі порушення судом процесуальних строків при розгляді справи та наданням переваги одній стороні у справі, цим же заявником у рамках справи № 914/1053/15 було заявлено відвід суду, мотивований тим, що ця ж колегія допустила процесуальні порушення в рамках справи № 914/2348/15. Обидві заяви було залишено без задоволення як необґрунтовані, однак зазначена ситуація наштовхує</w:t>
      </w:r>
      <w:r w:rsidRPr="00BE0B1A">
        <w:rPr>
          <w:rFonts w:ascii="Times New Roman CYR" w:eastAsia="MS Mincho" w:hAnsi="Times New Roman CYR" w:cs="Times New Roman CYR"/>
          <w:bCs/>
          <w:sz w:val="28"/>
          <w:szCs w:val="28"/>
          <w:lang w:val="uk-UA"/>
        </w:rPr>
        <w:t xml:space="preserve"> </w:t>
      </w:r>
      <w:r w:rsidRPr="00BE0B1A">
        <w:rPr>
          <w:rFonts w:ascii="Times New Roman CYR" w:eastAsia="MS Mincho" w:hAnsi="Times New Roman CYR" w:cs="Times New Roman CYR"/>
          <w:bCs/>
          <w:sz w:val="28"/>
          <w:szCs w:val="28"/>
        </w:rPr>
        <w:t>на вже давно відкрите питання щодо можливості, доцільності та об’єктивності розгляду пов’язаних справ, справ між тими ж сторонами одним складом господарського суду</w:t>
      </w:r>
      <w:r>
        <w:rPr>
          <w:rFonts w:ascii="Times New Roman CYR" w:eastAsia="MS Mincho" w:hAnsi="Times New Roman CYR" w:cs="Times New Roman CYR"/>
          <w:bCs/>
          <w:sz w:val="28"/>
          <w:szCs w:val="28"/>
        </w:rPr>
        <w:t xml:space="preserve"> </w:t>
      </w:r>
      <w:r w:rsidRPr="005E7022">
        <w:rPr>
          <w:rFonts w:ascii="Times New Roman CYR" w:eastAsia="MS Mincho" w:hAnsi="Times New Roman CYR" w:cs="Times New Roman CYR"/>
          <w:bCs/>
          <w:sz w:val="28"/>
          <w:szCs w:val="28"/>
        </w:rPr>
        <w:t>[</w:t>
      </w:r>
      <w:r>
        <w:rPr>
          <w:rFonts w:ascii="Times New Roman CYR" w:eastAsia="MS Mincho" w:hAnsi="Times New Roman CYR" w:cs="Times New Roman CYR"/>
          <w:bCs/>
          <w:sz w:val="28"/>
          <w:szCs w:val="28"/>
          <w:lang w:val="uk-UA"/>
        </w:rPr>
        <w:t>62</w:t>
      </w:r>
      <w:r w:rsidRPr="00517C4C">
        <w:rPr>
          <w:rFonts w:ascii="Times New Roman CYR" w:eastAsia="MS Mincho" w:hAnsi="Times New Roman CYR" w:cs="Times New Roman CYR"/>
          <w:bCs/>
          <w:sz w:val="28"/>
          <w:szCs w:val="28"/>
          <w:lang w:val="uk-UA"/>
        </w:rPr>
        <w:t>, с. 77</w:t>
      </w:r>
      <w:r w:rsidRPr="005E7022">
        <w:rPr>
          <w:rFonts w:ascii="Times New Roman CYR" w:eastAsia="MS Mincho" w:hAnsi="Times New Roman CYR" w:cs="Times New Roman CYR"/>
          <w:bCs/>
          <w:sz w:val="28"/>
          <w:szCs w:val="28"/>
        </w:rPr>
        <w:t>]</w:t>
      </w:r>
      <w:r>
        <w:rPr>
          <w:rFonts w:ascii="Times New Roman CYR" w:eastAsia="MS Mincho" w:hAnsi="Times New Roman CYR" w:cs="Times New Roman CYR"/>
          <w:bCs/>
          <w:sz w:val="28"/>
          <w:szCs w:val="28"/>
        </w:rPr>
        <w:t>.</w:t>
      </w:r>
    </w:p>
    <w:p w14:paraId="6E408A88"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Підтверджує сказане і судова практика. Для аналізу було використано </w:t>
      </w:r>
      <w:r w:rsidRPr="00BE0B1A">
        <w:rPr>
          <w:rFonts w:ascii="Times New Roman CYR" w:eastAsia="MS Mincho" w:hAnsi="Times New Roman CYR" w:cs="Times New Roman CYR"/>
          <w:bCs/>
          <w:sz w:val="28"/>
          <w:szCs w:val="28"/>
        </w:rPr>
        <w:lastRenderedPageBreak/>
        <w:t>відомості, що розміщені в Єдиному держав</w:t>
      </w:r>
      <w:r>
        <w:rPr>
          <w:rFonts w:ascii="Times New Roman CYR" w:eastAsia="MS Mincho" w:hAnsi="Times New Roman CYR" w:cs="Times New Roman CYR"/>
          <w:bCs/>
          <w:sz w:val="28"/>
          <w:szCs w:val="28"/>
        </w:rPr>
        <w:t>ному реєстрі судових рішень (ЄДPСP</w:t>
      </w:r>
      <w:r w:rsidRPr="00BE0B1A">
        <w:rPr>
          <w:rFonts w:ascii="Times New Roman CYR" w:eastAsia="MS Mincho" w:hAnsi="Times New Roman CYR" w:cs="Times New Roman CYR"/>
          <w:bCs/>
          <w:sz w:val="28"/>
          <w:szCs w:val="28"/>
        </w:rPr>
        <w:t>), а для актуалізації та зменшення обсягу інформації було досліджено судові рішення (ухвали) щодо відводу судді, які приймалися</w:t>
      </w:r>
      <w:r w:rsidRPr="00BE0B1A">
        <w:t xml:space="preserve"> </w:t>
      </w:r>
      <w:r w:rsidRPr="00BE0B1A">
        <w:rPr>
          <w:rFonts w:ascii="Times New Roman CYR" w:eastAsia="MS Mincho" w:hAnsi="Times New Roman CYR" w:cs="Times New Roman CYR"/>
          <w:bCs/>
          <w:sz w:val="28"/>
          <w:szCs w:val="28"/>
        </w:rPr>
        <w:t>в Господарському суді м. Києва за 201</w:t>
      </w:r>
      <w:r w:rsidRPr="00BE0B1A">
        <w:rPr>
          <w:rFonts w:ascii="Times New Roman CYR" w:eastAsia="MS Mincho" w:hAnsi="Times New Roman CYR" w:cs="Times New Roman CYR"/>
          <w:bCs/>
          <w:sz w:val="28"/>
          <w:szCs w:val="28"/>
          <w:lang w:val="uk-UA"/>
        </w:rPr>
        <w:t>7</w:t>
      </w:r>
      <w:r w:rsidRPr="00BE0B1A">
        <w:rPr>
          <w:rFonts w:ascii="Times New Roman CYR" w:eastAsia="MS Mincho" w:hAnsi="Times New Roman CYR" w:cs="Times New Roman CYR"/>
          <w:bCs/>
          <w:sz w:val="28"/>
          <w:szCs w:val="28"/>
        </w:rPr>
        <w:t xml:space="preserve"> рік. Так, за кр</w:t>
      </w:r>
      <w:r>
        <w:rPr>
          <w:rFonts w:ascii="Times New Roman CYR" w:eastAsia="MS Mincho" w:hAnsi="Times New Roman CYR" w:cs="Times New Roman CYR"/>
          <w:bCs/>
          <w:sz w:val="28"/>
          <w:szCs w:val="28"/>
        </w:rPr>
        <w:t>итерієм пошуку в ЄДPСP</w:t>
      </w:r>
      <w:r w:rsidRPr="00BE0B1A">
        <w:rPr>
          <w:rFonts w:ascii="Times New Roman CYR" w:eastAsia="MS Mincho" w:hAnsi="Times New Roman CYR" w:cs="Times New Roman CYR"/>
          <w:bCs/>
          <w:sz w:val="28"/>
          <w:szCs w:val="28"/>
        </w:rPr>
        <w:t xml:space="preserve"> «відвід судді» було відображено 270 ухвал, з них — 133, що безпосередньо стосувалися рішень щодо відводу (самовідводу) суддів. У задоволенні переважної більшості заяв про відвід судді заявникам відмовляли, і лише ухвалою від 30 листопада 201</w:t>
      </w:r>
      <w:r w:rsidRPr="00BE0B1A">
        <w:rPr>
          <w:rFonts w:ascii="Times New Roman CYR" w:eastAsia="MS Mincho" w:hAnsi="Times New Roman CYR" w:cs="Times New Roman CYR"/>
          <w:bCs/>
          <w:sz w:val="28"/>
          <w:szCs w:val="28"/>
          <w:lang w:val="uk-UA"/>
        </w:rPr>
        <w:t>7</w:t>
      </w:r>
      <w:r w:rsidRPr="00BE0B1A">
        <w:rPr>
          <w:rFonts w:ascii="Times New Roman CYR" w:eastAsia="MS Mincho" w:hAnsi="Times New Roman CYR" w:cs="Times New Roman CYR"/>
          <w:bCs/>
          <w:sz w:val="28"/>
          <w:szCs w:val="28"/>
        </w:rPr>
        <w:t xml:space="preserve"> року у справі № 910/27885/1</w:t>
      </w:r>
      <w:r w:rsidRPr="00BE0B1A">
        <w:rPr>
          <w:rFonts w:ascii="Times New Roman CYR" w:eastAsia="MS Mincho" w:hAnsi="Times New Roman CYR" w:cs="Times New Roman CYR"/>
          <w:bCs/>
          <w:sz w:val="28"/>
          <w:szCs w:val="28"/>
          <w:lang w:val="uk-UA"/>
        </w:rPr>
        <w:t>7</w:t>
      </w:r>
      <w:r w:rsidRPr="00BE0B1A">
        <w:rPr>
          <w:rFonts w:ascii="Times New Roman CYR" w:eastAsia="MS Mincho" w:hAnsi="Times New Roman CYR" w:cs="Times New Roman CYR"/>
          <w:bCs/>
          <w:sz w:val="28"/>
          <w:szCs w:val="28"/>
        </w:rPr>
        <w:t xml:space="preserve"> суд, спростовуючи доводи заявника, з мотиву створення негативного морально-психологічного клімату у судовому засіданні, що унеможливлює подальший розгляд справи, задовольнив заяву про відвід судді.</w:t>
      </w:r>
    </w:p>
    <w:p w14:paraId="3D0F6557"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За названими критеріями пошуку було відображено дев’ять ухвал, якими задовольнялась заява про самовідвід суддів, переважно з мотивів недопущення повторної участі у розгляді справи (наприклад, у справах № 910/4585/1</w:t>
      </w:r>
      <w:r w:rsidRPr="00BE0B1A">
        <w:rPr>
          <w:rFonts w:ascii="Times New Roman CYR" w:eastAsia="MS Mincho" w:hAnsi="Times New Roman CYR" w:cs="Times New Roman CYR"/>
          <w:bCs/>
          <w:sz w:val="28"/>
          <w:szCs w:val="28"/>
          <w:lang w:val="uk-UA"/>
        </w:rPr>
        <w:t>7</w:t>
      </w:r>
      <w:r>
        <w:rPr>
          <w:rFonts w:ascii="Times New Roman CYR" w:eastAsia="MS Mincho" w:hAnsi="Times New Roman CYR" w:cs="Times New Roman CYR"/>
          <w:bCs/>
          <w:sz w:val="28"/>
          <w:szCs w:val="28"/>
        </w:rPr>
        <w:t>, № </w:t>
      </w:r>
      <w:r w:rsidRPr="00BE0B1A">
        <w:rPr>
          <w:rFonts w:ascii="Times New Roman CYR" w:eastAsia="MS Mincho" w:hAnsi="Times New Roman CYR" w:cs="Times New Roman CYR"/>
          <w:bCs/>
          <w:sz w:val="28"/>
          <w:szCs w:val="28"/>
        </w:rPr>
        <w:t>910/13288/1</w:t>
      </w:r>
      <w:r w:rsidRPr="00BE0B1A">
        <w:rPr>
          <w:rFonts w:ascii="Times New Roman CYR" w:eastAsia="MS Mincho" w:hAnsi="Times New Roman CYR" w:cs="Times New Roman CYR"/>
          <w:bCs/>
          <w:sz w:val="28"/>
          <w:szCs w:val="28"/>
          <w:lang w:val="uk-UA"/>
        </w:rPr>
        <w:t>7</w:t>
      </w:r>
      <w:r w:rsidRPr="00BE0B1A">
        <w:rPr>
          <w:rFonts w:ascii="Times New Roman CYR" w:eastAsia="MS Mincho" w:hAnsi="Times New Roman CYR" w:cs="Times New Roman CYR"/>
          <w:bCs/>
          <w:sz w:val="28"/>
          <w:szCs w:val="28"/>
        </w:rPr>
        <w:t>), з наявністю позапроцесуальних відносин з учасниками судового процесу (наприклад, у справах № 5011-12/9693-201</w:t>
      </w:r>
      <w:r w:rsidRPr="00BE0B1A">
        <w:rPr>
          <w:rFonts w:ascii="Times New Roman CYR" w:eastAsia="MS Mincho" w:hAnsi="Times New Roman CYR" w:cs="Times New Roman CYR"/>
          <w:bCs/>
          <w:sz w:val="28"/>
          <w:szCs w:val="28"/>
          <w:lang w:val="uk-UA"/>
        </w:rPr>
        <w:t>7</w:t>
      </w:r>
      <w:r w:rsidRPr="00BE0B1A">
        <w:rPr>
          <w:rFonts w:ascii="Times New Roman CYR" w:eastAsia="MS Mincho" w:hAnsi="Times New Roman CYR" w:cs="Times New Roman CYR"/>
          <w:bCs/>
          <w:sz w:val="28"/>
          <w:szCs w:val="28"/>
        </w:rPr>
        <w:t>, № 2/21)</w:t>
      </w:r>
      <w:r w:rsidRPr="00BE0B1A">
        <w:rPr>
          <w:rFonts w:ascii="Times New Roman CYR" w:eastAsia="MS Mincho" w:hAnsi="Times New Roman CYR" w:cs="Times New Roman CYR"/>
          <w:bCs/>
          <w:sz w:val="28"/>
          <w:szCs w:val="28"/>
          <w:lang w:val="uk-UA"/>
        </w:rPr>
        <w:t>.</w:t>
      </w:r>
    </w:p>
    <w:p w14:paraId="12AF7DAB"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5E7022">
        <w:rPr>
          <w:rFonts w:ascii="Times New Roman CYR" w:eastAsia="MS Mincho" w:hAnsi="Times New Roman CYR" w:cs="Times New Roman CYR"/>
          <w:bCs/>
          <w:sz w:val="28"/>
          <w:szCs w:val="28"/>
          <w:lang w:val="uk-UA"/>
        </w:rPr>
        <w:t xml:space="preserve">Необхідно також зауважити, що в силу того, що однією з підстав для притягнення судді до дисциплінарної відповідальності є порушення правил щодо відводу (самовідводу) (стаття 92 Закону України «Про судоустрій і статус суддів»), судді досить уважно ставляться до вирішення цього процесуального питання. </w:t>
      </w:r>
      <w:r w:rsidRPr="00BE0B1A">
        <w:rPr>
          <w:rFonts w:ascii="Times New Roman CYR" w:eastAsia="MS Mincho" w:hAnsi="Times New Roman CYR" w:cs="Times New Roman CYR"/>
          <w:bCs/>
          <w:sz w:val="28"/>
          <w:szCs w:val="28"/>
        </w:rPr>
        <w:t>Так, поширеною є практика, коли суддя відмовляє в задоволенні заяви про відвід, одночасно заявляючи самовідвід з мотивів уникнення обвинувачень та підозр щодо його упередженості. Таке процесуальне рішення на практиці оформляється як однією ухвалою, тобто судом одночасно розглядається питання і щодо відводу, і щодо самовідводу, як, наприклад, у справах №</w:t>
      </w:r>
      <w:r>
        <w:rPr>
          <w:rFonts w:ascii="Times New Roman CYR" w:eastAsia="MS Mincho" w:hAnsi="Times New Roman CYR" w:cs="Times New Roman CYR"/>
          <w:bCs/>
          <w:sz w:val="28"/>
          <w:szCs w:val="28"/>
        </w:rPr>
        <w:t xml:space="preserve"> 910/29411/14, № 910/5980/14, № </w:t>
      </w:r>
      <w:r w:rsidRPr="00BE0B1A">
        <w:rPr>
          <w:rFonts w:ascii="Times New Roman CYR" w:eastAsia="MS Mincho" w:hAnsi="Times New Roman CYR" w:cs="Times New Roman CYR"/>
          <w:bCs/>
          <w:sz w:val="28"/>
          <w:szCs w:val="28"/>
        </w:rPr>
        <w:t>910/5477/1</w:t>
      </w:r>
      <w:r w:rsidRPr="00BE0B1A">
        <w:rPr>
          <w:rFonts w:ascii="Times New Roman CYR" w:eastAsia="MS Mincho" w:hAnsi="Times New Roman CYR" w:cs="Times New Roman CYR"/>
          <w:bCs/>
          <w:sz w:val="28"/>
          <w:szCs w:val="28"/>
          <w:lang w:val="uk-UA"/>
        </w:rPr>
        <w:t>7</w:t>
      </w:r>
      <w:r w:rsidRPr="00BE0B1A">
        <w:rPr>
          <w:rFonts w:ascii="Times New Roman CYR" w:eastAsia="MS Mincho" w:hAnsi="Times New Roman CYR" w:cs="Times New Roman CYR"/>
          <w:bCs/>
          <w:sz w:val="28"/>
          <w:szCs w:val="28"/>
        </w:rPr>
        <w:t>-г, або ж двома різними процесуаль</w:t>
      </w:r>
      <w:r>
        <w:rPr>
          <w:rFonts w:ascii="Times New Roman CYR" w:eastAsia="MS Mincho" w:hAnsi="Times New Roman CYR" w:cs="Times New Roman CYR"/>
          <w:bCs/>
          <w:sz w:val="28"/>
          <w:szCs w:val="28"/>
        </w:rPr>
        <w:t>ними документами, як у справі № </w:t>
      </w:r>
      <w:r w:rsidRPr="00BE0B1A">
        <w:rPr>
          <w:rFonts w:ascii="Times New Roman CYR" w:eastAsia="MS Mincho" w:hAnsi="Times New Roman CYR" w:cs="Times New Roman CYR"/>
          <w:bCs/>
          <w:sz w:val="28"/>
          <w:szCs w:val="28"/>
        </w:rPr>
        <w:t xml:space="preserve">51/421, — ухвалою щодо відводу та самовідводу. аналізуючи подіб ні рішення, треба поставити абсолютно логічне запитання: якщо судді не знаходять підстав для відводу за заявою учасника процесу, то звідки беруться підстави для задоволення власної заяви про самовідвід? </w:t>
      </w:r>
      <w:r w:rsidRPr="00BE0B1A">
        <w:rPr>
          <w:rFonts w:ascii="Times New Roman CYR" w:eastAsia="MS Mincho" w:hAnsi="Times New Roman CYR" w:cs="Times New Roman CYR"/>
          <w:bCs/>
          <w:sz w:val="28"/>
          <w:szCs w:val="28"/>
        </w:rPr>
        <w:lastRenderedPageBreak/>
        <w:t>Наприклад, у справі № 911/1846/1</w:t>
      </w:r>
      <w:r w:rsidRPr="00BE0B1A">
        <w:rPr>
          <w:rFonts w:ascii="Times New Roman CYR" w:eastAsia="MS Mincho" w:hAnsi="Times New Roman CYR" w:cs="Times New Roman CYR"/>
          <w:bCs/>
          <w:sz w:val="28"/>
          <w:szCs w:val="28"/>
          <w:lang w:val="uk-UA"/>
        </w:rPr>
        <w:t>7</w:t>
      </w:r>
      <w:r w:rsidRPr="00BE0B1A">
        <w:rPr>
          <w:rFonts w:ascii="Times New Roman CYR" w:eastAsia="MS Mincho" w:hAnsi="Times New Roman CYR" w:cs="Times New Roman CYR"/>
          <w:bCs/>
          <w:sz w:val="28"/>
          <w:szCs w:val="28"/>
        </w:rPr>
        <w:t xml:space="preserve"> суддя взагалі не наводить фактичних обставин, що стали підставою для заявлення самовідводу. </w:t>
      </w:r>
    </w:p>
    <w:p w14:paraId="7174D266"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Варто зауважити, що такі процесуальні рішення не завжди вітаються Вищою кваліфікаційною комісією</w:t>
      </w:r>
      <w:r>
        <w:rPr>
          <w:rFonts w:ascii="Times New Roman CYR" w:eastAsia="MS Mincho" w:hAnsi="Times New Roman CYR" w:cs="Times New Roman CYR"/>
          <w:bCs/>
          <w:sz w:val="28"/>
          <w:szCs w:val="28"/>
        </w:rPr>
        <w:t xml:space="preserve"> суддів, наприклад у рішенні ВKK</w:t>
      </w:r>
      <w:r w:rsidRPr="00BE0B1A">
        <w:rPr>
          <w:rFonts w:ascii="Times New Roman CYR" w:eastAsia="MS Mincho" w:hAnsi="Times New Roman CYR" w:cs="Times New Roman CYR"/>
          <w:bCs/>
          <w:sz w:val="28"/>
          <w:szCs w:val="28"/>
        </w:rPr>
        <w:t>С від 23 травня 2012 року щодо дій судді Антонюка О.А. самовідвід було розцінено як ухилення від здійснення правосуддя.</w:t>
      </w:r>
    </w:p>
    <w:p w14:paraId="29B8859F" w14:textId="77777777"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t>Отже, можна дійти висновку, що інститут відводу судді в господарському судочинстві є не лише не досконалим, а взагалі не виконує функцій, що на нього покладені. З метою мінімізації суб’єктивних чинників при розгляді спору, окрім реалізації судової реформи, проведення кадрових змін серед суддів, що підвищить як професійний, так і етичний рівень судового корпусу, є необхідними зміни і в механізмі застосування інституту відводу судді</w:t>
      </w:r>
      <w:r w:rsidRPr="00BE0B1A">
        <w:rPr>
          <w:rFonts w:ascii="Times New Roman CYR" w:eastAsia="MS Mincho" w:hAnsi="Times New Roman CYR" w:cs="Times New Roman CYR"/>
          <w:bCs/>
          <w:sz w:val="28"/>
          <w:szCs w:val="28"/>
          <w:lang w:val="uk-UA"/>
        </w:rPr>
        <w:t>.</w:t>
      </w:r>
    </w:p>
    <w:p w14:paraId="26EAF443" w14:textId="77777777" w:rsidR="00D85D55"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5E7022">
        <w:rPr>
          <w:rFonts w:ascii="Times New Roman CYR" w:eastAsia="MS Mincho" w:hAnsi="Times New Roman CYR" w:cs="Times New Roman CYR"/>
          <w:bCs/>
          <w:sz w:val="28"/>
          <w:szCs w:val="28"/>
          <w:lang w:val="uk-UA"/>
        </w:rPr>
        <w:t xml:space="preserve">З урахуванням зазначеного, вважаємо, що в ГПК України необхідно внести зміни щодо порядку розгляду заяви про відвід судді, згідно з якими заяву про відвід повинен розглядати інший суддя з цього ж суду, який відводу не підлягає. </w:t>
      </w:r>
      <w:r w:rsidRPr="00BE0B1A">
        <w:rPr>
          <w:rFonts w:ascii="Times New Roman CYR" w:eastAsia="MS Mincho" w:hAnsi="Times New Roman CYR" w:cs="Times New Roman CYR"/>
          <w:bCs/>
          <w:sz w:val="28"/>
          <w:szCs w:val="28"/>
        </w:rPr>
        <w:t>Необхідно також розширити коло підстав для заявлення відводу та визначити цей перелік як вичерпний з метою уникнення заявлення безпідставних відводів. Також потрібно жорстко обмежити момент подання заяви про відвід з метою недопущення зловживань цим правом під час розгляду справи по суті. Доцільним було б залишити умову, що відвід має заявлятися до початку розгляду справи по суті, однак встановити розумний строк для подання такої заяви після початку розгляду справи по суті, який обраховувався б з моменту, коли особа дізналася чи могла дізнатися про обставини, що слугують підставами для відводу судді. Також необхідно встановити розумний строк для оперативного розгляду відводу та недопущення затягування розгляду справи. Доцільно було б запровадити обов’язок учасника розгляду справи в заяві про відвід наводити одразу всі відомі йому обставини, що можуть слугувати для відводу судді. Таке введення допомогло б уникнути багаторазового заявлення відводів з метою затягування розгляду справи</w:t>
      </w:r>
      <w:r>
        <w:rPr>
          <w:rFonts w:ascii="Times New Roman CYR" w:eastAsia="MS Mincho" w:hAnsi="Times New Roman CYR" w:cs="Times New Roman CYR"/>
          <w:bCs/>
          <w:sz w:val="28"/>
          <w:szCs w:val="28"/>
        </w:rPr>
        <w:t>.</w:t>
      </w:r>
    </w:p>
    <w:p w14:paraId="1EA97D77" w14:textId="77777777" w:rsidR="00D85D55" w:rsidRPr="00517C4C"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Pr>
          <w:rFonts w:ascii="Times New Roman CYR" w:eastAsia="MS Mincho" w:hAnsi="Times New Roman CYR" w:cs="Times New Roman CYR"/>
          <w:bCs/>
          <w:sz w:val="28"/>
          <w:szCs w:val="28"/>
        </w:rPr>
        <w:lastRenderedPageBreak/>
        <w:t xml:space="preserve">Отже, виходячи з вищенаведеного, </w:t>
      </w:r>
      <w:r>
        <w:rPr>
          <w:rFonts w:ascii="Times New Roman CYR" w:eastAsia="MS Mincho" w:hAnsi="Times New Roman CYR" w:cs="Times New Roman CYR"/>
          <w:bCs/>
          <w:sz w:val="28"/>
          <w:szCs w:val="28"/>
          <w:lang w:val="uk-UA"/>
        </w:rPr>
        <w:t>Г</w:t>
      </w:r>
      <w:r w:rsidRPr="00517C4C">
        <w:rPr>
          <w:rFonts w:ascii="Times New Roman CYR" w:eastAsia="MS Mincho" w:hAnsi="Times New Roman CYR" w:cs="Times New Roman CYR"/>
          <w:bCs/>
          <w:sz w:val="28"/>
          <w:szCs w:val="28"/>
          <w:lang w:val="uk-UA"/>
        </w:rPr>
        <w:t>ПК України доцільно доповнити таким</w:t>
      </w:r>
      <w:r>
        <w:rPr>
          <w:rFonts w:ascii="Times New Roman CYR" w:eastAsia="MS Mincho" w:hAnsi="Times New Roman CYR" w:cs="Times New Roman CYR"/>
          <w:bCs/>
          <w:sz w:val="28"/>
          <w:szCs w:val="28"/>
          <w:lang w:val="uk-UA"/>
        </w:rPr>
        <w:t>и</w:t>
      </w:r>
      <w:r w:rsidRPr="00517C4C">
        <w:rPr>
          <w:rFonts w:ascii="Times New Roman CYR" w:eastAsia="MS Mincho" w:hAnsi="Times New Roman CYR" w:cs="Times New Roman CYR"/>
          <w:bCs/>
          <w:sz w:val="28"/>
          <w:szCs w:val="28"/>
          <w:lang w:val="uk-UA"/>
        </w:rPr>
        <w:t xml:space="preserve"> положенням</w:t>
      </w:r>
      <w:r>
        <w:rPr>
          <w:rFonts w:ascii="Times New Roman CYR" w:eastAsia="MS Mincho" w:hAnsi="Times New Roman CYR" w:cs="Times New Roman CYR"/>
          <w:bCs/>
          <w:sz w:val="28"/>
          <w:szCs w:val="28"/>
          <w:lang w:val="uk-UA"/>
        </w:rPr>
        <w:t>и</w:t>
      </w:r>
      <w:r w:rsidRPr="00517C4C">
        <w:rPr>
          <w:rFonts w:ascii="Times New Roman CYR" w:eastAsia="MS Mincho" w:hAnsi="Times New Roman CYR" w:cs="Times New Roman CYR"/>
          <w:bCs/>
          <w:sz w:val="28"/>
          <w:szCs w:val="28"/>
          <w:lang w:val="uk-UA"/>
        </w:rPr>
        <w:t xml:space="preserve">: «Розумний строк для оперативного розгляду відводу </w:t>
      </w:r>
      <w:r>
        <w:rPr>
          <w:rFonts w:ascii="Times New Roman CYR" w:eastAsia="MS Mincho" w:hAnsi="Times New Roman CYR" w:cs="Times New Roman CYR"/>
          <w:bCs/>
          <w:sz w:val="28"/>
          <w:szCs w:val="28"/>
          <w:lang w:val="uk-UA"/>
        </w:rPr>
        <w:t xml:space="preserve">складає 5 днів </w:t>
      </w:r>
      <w:r w:rsidRPr="00517C4C">
        <w:rPr>
          <w:rFonts w:ascii="Times New Roman CYR" w:eastAsia="MS Mincho" w:hAnsi="Times New Roman CYR" w:cs="Times New Roman CYR"/>
          <w:bCs/>
          <w:sz w:val="28"/>
          <w:szCs w:val="28"/>
          <w:lang w:val="uk-UA"/>
        </w:rPr>
        <w:t xml:space="preserve">та </w:t>
      </w:r>
      <w:r>
        <w:rPr>
          <w:rFonts w:ascii="Times New Roman CYR" w:eastAsia="MS Mincho" w:hAnsi="Times New Roman CYR" w:cs="Times New Roman CYR"/>
          <w:bCs/>
          <w:sz w:val="28"/>
          <w:szCs w:val="28"/>
          <w:lang w:val="uk-UA"/>
        </w:rPr>
        <w:t xml:space="preserve">передбачає </w:t>
      </w:r>
      <w:r w:rsidRPr="00517C4C">
        <w:rPr>
          <w:rFonts w:ascii="Times New Roman CYR" w:eastAsia="MS Mincho" w:hAnsi="Times New Roman CYR" w:cs="Times New Roman CYR"/>
          <w:bCs/>
          <w:sz w:val="28"/>
          <w:szCs w:val="28"/>
          <w:lang w:val="uk-UA"/>
        </w:rPr>
        <w:t>недопущення затягування розгляду справи</w:t>
      </w:r>
      <w:r>
        <w:rPr>
          <w:rFonts w:ascii="Times New Roman CYR" w:eastAsia="MS Mincho" w:hAnsi="Times New Roman CYR" w:cs="Times New Roman CYR"/>
          <w:bCs/>
          <w:sz w:val="28"/>
          <w:szCs w:val="28"/>
          <w:lang w:val="uk-UA"/>
        </w:rPr>
        <w:t>», «</w:t>
      </w:r>
      <w:r w:rsidRPr="00517C4C">
        <w:rPr>
          <w:rFonts w:ascii="Times New Roman CYR" w:eastAsia="MS Mincho" w:hAnsi="Times New Roman CYR" w:cs="Times New Roman CYR"/>
          <w:bCs/>
          <w:sz w:val="28"/>
          <w:szCs w:val="28"/>
        </w:rPr>
        <w:t xml:space="preserve">Учасника розгляду справи в заяві про відвід </w:t>
      </w:r>
      <w:r>
        <w:rPr>
          <w:rFonts w:ascii="Times New Roman CYR" w:eastAsia="MS Mincho" w:hAnsi="Times New Roman CYR" w:cs="Times New Roman CYR"/>
          <w:bCs/>
          <w:sz w:val="28"/>
          <w:szCs w:val="28"/>
          <w:lang w:val="uk-UA"/>
        </w:rPr>
        <w:t xml:space="preserve">зобов’язаний </w:t>
      </w:r>
      <w:r w:rsidRPr="00517C4C">
        <w:rPr>
          <w:rFonts w:ascii="Times New Roman CYR" w:eastAsia="MS Mincho" w:hAnsi="Times New Roman CYR" w:cs="Times New Roman CYR"/>
          <w:bCs/>
          <w:sz w:val="28"/>
          <w:szCs w:val="28"/>
        </w:rPr>
        <w:t>наводити одразу всі відомі йому обставини, що мож</w:t>
      </w:r>
      <w:r>
        <w:rPr>
          <w:rFonts w:ascii="Times New Roman CYR" w:eastAsia="MS Mincho" w:hAnsi="Times New Roman CYR" w:cs="Times New Roman CYR"/>
          <w:bCs/>
          <w:sz w:val="28"/>
          <w:szCs w:val="28"/>
        </w:rPr>
        <w:t>уть слугувати для відводу судді</w:t>
      </w:r>
      <w:r>
        <w:rPr>
          <w:rFonts w:ascii="Times New Roman CYR" w:eastAsia="MS Mincho" w:hAnsi="Times New Roman CYR" w:cs="Times New Roman CYR"/>
          <w:bCs/>
          <w:sz w:val="28"/>
          <w:szCs w:val="28"/>
          <w:lang w:val="uk-UA"/>
        </w:rPr>
        <w:t>» тощо.</w:t>
      </w:r>
    </w:p>
    <w:p w14:paraId="7977489F" w14:textId="702A0780" w:rsidR="00D85D55" w:rsidRPr="00BE0B1A" w:rsidRDefault="00D85D55" w:rsidP="00D85D55">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5E7022">
        <w:rPr>
          <w:rFonts w:ascii="Times New Roman CYR" w:eastAsia="MS Mincho" w:hAnsi="Times New Roman CYR" w:cs="Times New Roman CYR"/>
          <w:bCs/>
          <w:sz w:val="28"/>
          <w:szCs w:val="28"/>
          <w:lang w:val="uk-UA"/>
        </w:rPr>
        <w:t>Подібні зміни в ГПК України покликані додати ефективності інституту відводу судді, забезпечити неупереджений розгляд справи, зменшити ризик зловживань правом відводу та, як наслідок, підвищити рівень довіри до суддів та ефективності господарського судочинства в цілому.</w:t>
      </w:r>
    </w:p>
    <w:p w14:paraId="66DF6006"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Відповідно до практики ЄСПЛ наявність безсторонності повинна визначаться за суб’єктивним та об’єктивними критеріями. Розглядаючи суб’єктивні підстави, беруться до уваги особисті переконання та поведінка судді, тобто наскільки суддя неупереджений та безсторонній у даній справі. Об’єктивний критерій визначається забезпеченням судом та його складом відсутності будь-яких сумнівів у його безсторонності.</w:t>
      </w:r>
    </w:p>
    <w:p w14:paraId="2273B4DA"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Крім того, при вирішенні заявлених відводів та самовідводів необхідно приймати до уваги рішення Ради суддів України № 46 від 07 вересня 2017 "Про роз'яснення деяких питань щодо конфлікту інтересів в діяльності суддів", згідно з яким зазначено наступне:</w:t>
      </w:r>
    </w:p>
    <w:p w14:paraId="4BEDCD89" w14:textId="77777777" w:rsidR="001C6AA0" w:rsidRPr="0001117E" w:rsidRDefault="001C6AA0" w:rsidP="001C6AA0">
      <w:pPr>
        <w:widowControl w:val="0"/>
        <w:numPr>
          <w:ilvl w:val="0"/>
          <w:numId w:val="15"/>
        </w:numPr>
        <w:autoSpaceDE w:val="0"/>
        <w:autoSpaceDN w:val="0"/>
        <w:adjustRightInd w:val="0"/>
        <w:spacing w:line="360" w:lineRule="auto"/>
        <w:ind w:right="57"/>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наявність судового рішення, яке ухвалене судом (суддею, слідчим суддею) в іншій справі у подібних правовідносинах, або за участю тих самих сторін, або з процесуальних чи інших питань у тій самій справі, не породжує у діяльності судді (суддів) конфлікту інтересів у розумінні Закону України «Про запобігання корупції»;</w:t>
      </w:r>
    </w:p>
    <w:p w14:paraId="7CF2DF67" w14:textId="77777777" w:rsidR="001C6AA0" w:rsidRPr="0001117E" w:rsidRDefault="001C6AA0" w:rsidP="001C6AA0">
      <w:pPr>
        <w:widowControl w:val="0"/>
        <w:numPr>
          <w:ilvl w:val="0"/>
          <w:numId w:val="15"/>
        </w:numPr>
        <w:autoSpaceDE w:val="0"/>
        <w:autoSpaceDN w:val="0"/>
        <w:adjustRightInd w:val="0"/>
        <w:spacing w:line="360" w:lineRule="auto"/>
        <w:ind w:right="57"/>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порушення суддею вимог щодо несумісності, визначених статтею 54 Закону України «Про судоустрій і статус суддів», не відноситься до питань конфлікту інтересів і не належить до компетенції Ради суддів України;</w:t>
      </w:r>
    </w:p>
    <w:p w14:paraId="0C715C12" w14:textId="77777777" w:rsidR="001C6AA0" w:rsidRPr="0001117E" w:rsidRDefault="001C6AA0" w:rsidP="001C6AA0">
      <w:pPr>
        <w:widowControl w:val="0"/>
        <w:numPr>
          <w:ilvl w:val="0"/>
          <w:numId w:val="15"/>
        </w:numPr>
        <w:autoSpaceDE w:val="0"/>
        <w:autoSpaceDN w:val="0"/>
        <w:adjustRightInd w:val="0"/>
        <w:spacing w:line="360" w:lineRule="auto"/>
        <w:ind w:right="57"/>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наявність у працівника установи, підприємства, учбового закладу тощо статусу члена науково-консультативної ради відповідного </w:t>
      </w:r>
      <w:r w:rsidRPr="0001117E">
        <w:rPr>
          <w:rFonts w:ascii="Times New Roman CYR" w:eastAsia="MS Mincho" w:hAnsi="Times New Roman CYR" w:cs="Times New Roman CYR"/>
          <w:bCs/>
          <w:sz w:val="28"/>
          <w:szCs w:val="28"/>
          <w:lang w:val="uk-UA"/>
        </w:rPr>
        <w:lastRenderedPageBreak/>
        <w:t>суду не створює у суддів цього суду конфлікту інтересів у розгляді справ за участю цієї установи, підприємства, учбового закладу тощо у зв’язку з відсутністю приватного інтересу;</w:t>
      </w:r>
    </w:p>
    <w:p w14:paraId="73E5D682" w14:textId="77777777" w:rsidR="001C6AA0" w:rsidRPr="0001117E" w:rsidRDefault="001C6AA0" w:rsidP="001C6AA0">
      <w:pPr>
        <w:widowControl w:val="0"/>
        <w:numPr>
          <w:ilvl w:val="0"/>
          <w:numId w:val="15"/>
        </w:numPr>
        <w:autoSpaceDE w:val="0"/>
        <w:autoSpaceDN w:val="0"/>
        <w:adjustRightInd w:val="0"/>
        <w:spacing w:line="360" w:lineRule="auto"/>
        <w:ind w:right="57"/>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наявність у судді або членів його сім’ї будь-якої кількості акцій господарського товариства, яке є одним з учасників судової справи, що знаходиться у провадженні судді, створює конфлікт інтересів та потребує врегулювання шляхом повідомлення учасників судового засідання про наявність цих обставин та вирішення питання про відвід або самовідвід відповідно до процесуальних кодексів України. За відсутності заявленого відводу конфлікт інтересів вважається врегульованим;</w:t>
      </w:r>
    </w:p>
    <w:p w14:paraId="53632D5D" w14:textId="77777777" w:rsidR="001C6AA0" w:rsidRPr="0001117E" w:rsidRDefault="001C6AA0" w:rsidP="001C6AA0">
      <w:pPr>
        <w:widowControl w:val="0"/>
        <w:numPr>
          <w:ilvl w:val="0"/>
          <w:numId w:val="15"/>
        </w:numPr>
        <w:autoSpaceDE w:val="0"/>
        <w:autoSpaceDN w:val="0"/>
        <w:adjustRightInd w:val="0"/>
        <w:spacing w:line="360" w:lineRule="auto"/>
        <w:ind w:right="57"/>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порушення правил відводу або самовідводу може бути підставою для притягнення судді до дисциплінарної відповідальності відповідно до статті 106 Закону України «Про судоустрій та статус суддів». Складання уповноваженими державними органами протоколів про притягнення судді до адміністративної відповідальності за порушення правил відводу або самовідводу у зв’язку з конфліктом інтересів у розгляді певних справ містить ознаки втручання у діяльність судді щодо здійснення правосуддя.</w:t>
      </w:r>
    </w:p>
    <w:p w14:paraId="1ED0379B"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Судова процедура вважається справедливою тільки тоді, коли вона спрямована на забезпечення верховенства права, законності, рівності учасників процесу перед законом і судом, змагальності, гласності та відкритості.</w:t>
      </w:r>
    </w:p>
    <w:p w14:paraId="34F20196"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Професіоналізм, незалежність та неупередженість суддів є неодмінною гарантією справедливого вирішення судових спорів.</w:t>
      </w:r>
    </w:p>
    <w:p w14:paraId="4333ADE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30A2A18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6A1A82A4" w14:textId="77777777" w:rsidR="001C6AA0" w:rsidRPr="00BE0B1A" w:rsidRDefault="001C6AA0" w:rsidP="001C6AA0">
      <w:pPr>
        <w:pStyle w:val="1"/>
        <w:shd w:val="clear" w:color="auto" w:fill="auto"/>
        <w:ind w:right="57" w:firstLine="851"/>
        <w:jc w:val="both"/>
        <w:rPr>
          <w:bCs/>
          <w:noProof w:val="0"/>
          <w:kern w:val="32"/>
          <w:szCs w:val="28"/>
        </w:rPr>
      </w:pPr>
      <w:bookmarkStart w:id="53" w:name="_Toc532751467"/>
      <w:r w:rsidRPr="00BE0B1A">
        <w:rPr>
          <w:bCs/>
          <w:noProof w:val="0"/>
          <w:kern w:val="32"/>
          <w:szCs w:val="28"/>
        </w:rPr>
        <w:t>3.2. Перспективи та напрямки вдосконалення інституту відводу суддів в господарському процесі</w:t>
      </w:r>
      <w:bookmarkEnd w:id="53"/>
      <w:r w:rsidRPr="00BE0B1A">
        <w:rPr>
          <w:bCs/>
          <w:noProof w:val="0"/>
          <w:kern w:val="32"/>
          <w:szCs w:val="28"/>
        </w:rPr>
        <w:t xml:space="preserve"> </w:t>
      </w:r>
    </w:p>
    <w:p w14:paraId="1612B0F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661A951E"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Основною метою проведення реформ в Україні на шляху до інтеграції </w:t>
      </w:r>
      <w:r w:rsidRPr="0001117E">
        <w:rPr>
          <w:rFonts w:ascii="Times New Roman CYR" w:eastAsia="MS Mincho" w:hAnsi="Times New Roman CYR" w:cs="Times New Roman CYR"/>
          <w:bCs/>
          <w:sz w:val="28"/>
          <w:szCs w:val="28"/>
          <w:lang w:val="uk-UA"/>
        </w:rPr>
        <w:lastRenderedPageBreak/>
        <w:t>нашої країни в економічний та правовий європейський простір є відновлення довіри громадян до правосуддя, приведення національного законодавства у відповідність до європейських норм і стандартів, у зв’язку з чим існує нагальна потреба подальшого науково-теоретичного обґрунтування проблем і перспектив реформування й удосконалення господарського процесу.</w:t>
      </w:r>
    </w:p>
    <w:p w14:paraId="24D78700" w14:textId="0A95E84D"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Так, на думку М.І. Сторощука, ефективність господарського судочинства визначається такими критеріями, як доступність, справедливість, неупередженість, об’єктивність і законність правосуддя, обґрунтованість і справедливість судових рішень, оптимальність строків прийняття остаточного (в конкретній судовій інстанції) судового рішення у справі, та залежатиме від низки внутрішньосистемних і метасистемних факторів </w:t>
      </w:r>
      <w:r w:rsidR="001D4FE2">
        <w:rPr>
          <w:rFonts w:ascii="Times New Roman CYR" w:eastAsia="MS Mincho" w:hAnsi="Times New Roman CYR" w:cs="Times New Roman CYR"/>
          <w:bCs/>
          <w:sz w:val="28"/>
          <w:szCs w:val="28"/>
          <w:lang w:val="uk-UA"/>
        </w:rPr>
        <w:t>[103</w:t>
      </w:r>
      <w:r w:rsidRPr="00774B9C">
        <w:rPr>
          <w:rFonts w:ascii="Times New Roman CYR" w:eastAsia="MS Mincho" w:hAnsi="Times New Roman CYR" w:cs="Times New Roman CYR"/>
          <w:bCs/>
          <w:sz w:val="28"/>
          <w:szCs w:val="28"/>
          <w:lang w:val="uk-UA"/>
        </w:rPr>
        <w:t>].</w:t>
      </w:r>
      <w:r w:rsidRPr="0001117E">
        <w:rPr>
          <w:rFonts w:ascii="Times New Roman CYR" w:eastAsia="MS Mincho" w:hAnsi="Times New Roman CYR" w:cs="Times New Roman CYR"/>
          <w:bCs/>
          <w:sz w:val="28"/>
          <w:szCs w:val="28"/>
          <w:lang w:val="uk-UA"/>
        </w:rPr>
        <w:t xml:space="preserve"> Автор обґрунтовано пов’язував підвищення ефективності господарського судочинства з розв’язанням проблем зловживання правом, що загрожують моральності та справедливості судових рішень, розгалуженості та наявності колізій у господарському законодавстві.</w:t>
      </w:r>
    </w:p>
    <w:p w14:paraId="7B62E270"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Деякі вітчизняні фахівці у сфері господарського права та процесу наголошували на необхідності удосконалення Господарського процесуального кодексу ще в 2011–2012 роках, пропонували удосконалити порядок і процедуру розгляду господарських спорів та чітко визначити юрисдикцію господарських судів; визначити склад і структуру судової системи загалом, розмежувати компетенцію Верховного Суду України та вищих спеціалізованих судів тощо, а також пропонували здійснювати антикорупційні заходи, що забезпечуватимуть прозорість у публічному секторі, вплив громадської та наукової думки, ЗМІ, певних політичних сил, громадських організацій на якість судового розгляду спорів, правосудність рішень господарських судів, дотримання суддею вимог справедливості та моральності, незловживання ним правом, а також оптимальність строків розгляду справи.</w:t>
      </w:r>
    </w:p>
    <w:p w14:paraId="1B95E1EB" w14:textId="37215DD1"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Так, Ватаманюк І.В. наголошує на тому, що сьогодні залишається надзвичайно актуальним питання комплексного оновлення господарського процесуального законодавства та приведення його у відповідність до </w:t>
      </w:r>
      <w:r w:rsidRPr="0001117E">
        <w:rPr>
          <w:rFonts w:ascii="Times New Roman CYR" w:eastAsia="MS Mincho" w:hAnsi="Times New Roman CYR" w:cs="Times New Roman CYR"/>
          <w:bCs/>
          <w:sz w:val="28"/>
          <w:szCs w:val="28"/>
          <w:lang w:val="uk-UA"/>
        </w:rPr>
        <w:lastRenderedPageBreak/>
        <w:t xml:space="preserve">європейських стандартів судового захисту порушених прав та інтересів осіб. Ефективне розв’язання проблем і недоліків господарського судочинства можливе виключно шляхом ухвалення нового Господарського процесуального кодексу, у якому слід врегулювати наявні нині прогалини, а також чітко відобразити роль і повноваження Господарського суду в умовах суттєвого реформування матеріального законодавства, судової системи та судочинства в Україні </w:t>
      </w:r>
      <w:r w:rsidR="001D4FE2">
        <w:rPr>
          <w:rFonts w:ascii="Times New Roman CYR" w:eastAsia="MS Mincho" w:hAnsi="Times New Roman CYR" w:cs="Times New Roman CYR"/>
          <w:bCs/>
          <w:sz w:val="28"/>
          <w:szCs w:val="28"/>
          <w:lang w:val="uk-UA"/>
        </w:rPr>
        <w:t>[104</w:t>
      </w:r>
      <w:r w:rsidRPr="0001117E">
        <w:rPr>
          <w:rFonts w:ascii="Times New Roman CYR" w:eastAsia="MS Mincho" w:hAnsi="Times New Roman CYR" w:cs="Times New Roman CYR"/>
          <w:bCs/>
          <w:sz w:val="28"/>
          <w:szCs w:val="28"/>
          <w:lang w:val="uk-UA"/>
        </w:rPr>
        <w:t>].</w:t>
      </w:r>
    </w:p>
    <w:p w14:paraId="6008B854" w14:textId="1F03E951"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Сторощук М.І. також вважав, що єдиним можливим способом виправлення усіх недоліків було б впровадження нової концепції господарського судочинства з одночасним ухваленням нового Господарського процесуального кодексу </w:t>
      </w:r>
      <w:r w:rsidR="001D4FE2">
        <w:rPr>
          <w:rFonts w:ascii="Times New Roman CYR" w:eastAsia="MS Mincho" w:hAnsi="Times New Roman CYR" w:cs="Times New Roman CYR"/>
          <w:bCs/>
          <w:sz w:val="28"/>
          <w:szCs w:val="28"/>
          <w:lang w:val="uk-UA"/>
        </w:rPr>
        <w:t>[103</w:t>
      </w:r>
      <w:r w:rsidRPr="0001117E">
        <w:rPr>
          <w:rFonts w:ascii="Times New Roman CYR" w:eastAsia="MS Mincho" w:hAnsi="Times New Roman CYR" w:cs="Times New Roman CYR"/>
          <w:bCs/>
          <w:sz w:val="28"/>
          <w:szCs w:val="28"/>
          <w:lang w:val="uk-UA"/>
        </w:rPr>
        <w:t>].</w:t>
      </w:r>
    </w:p>
    <w:p w14:paraId="4994650D"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Разом із тим пропозиції науковців та практиків досить тривалий час не були враховані законодавцем, і Господарський процесуальний кодекс України (далі – ГПК) не приведений остаточно у відповідність до вимог практики його застосування, європейських норм і стандартів. Наслідком такого зволікання, на нашу думку, стало накопичення проблем у правозастосовчій діяльності та поступова й повна втрата довіри суб’єктів господарювання та окремих громадян як до господарських судів, так і до судів будь-якої іншої юрисдикції, і це вимагає невідкладного впровадження пакету реанімаційних реформ.</w:t>
      </w:r>
    </w:p>
    <w:p w14:paraId="5CF58B32"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Однією зі складових частин судової реформи є зміни до національного процесуального законодавства, які мають на меті забезпечення ефективного судового процесу, у тому числі через чітке розмежування юрисдикції судів різних спеціалізацій (адміністративних, господарських і загальних), запровадження ефективних механізмів запобігання зловживанню процесуальними правами, дотримання стадійності судового процесу та розумних строків судового розгляду, розширення та посилення ролі альтернативних способів вирішення спорів, вирішення питання групових позовів та інші питання, які дозволять зменшити навантаження на судову систему. Через внесення відповідних змін до процесуального законодавства нарешті мають бути вирішені питання практичного впровадження принципів </w:t>
      </w:r>
      <w:r w:rsidRPr="0001117E">
        <w:rPr>
          <w:rFonts w:ascii="Times New Roman CYR" w:eastAsia="MS Mincho" w:hAnsi="Times New Roman CYR" w:cs="Times New Roman CYR"/>
          <w:bCs/>
          <w:sz w:val="28"/>
          <w:szCs w:val="28"/>
          <w:lang w:val="uk-UA"/>
        </w:rPr>
        <w:lastRenderedPageBreak/>
        <w:t>рівності, гласності, змагальності, правової визначеності та остаточності судових рішень, а також функціонування системи електронного правосуддя, що дасть судам і суддям можливість під час розгляду конкретної справи відійти від паперового обігу та надасть можливість швидкого отримання користувачами необхідної інформації, обміну електронними документами між суддями та апаратом суду, між судом і користувачами тощо, а також забезпечить надійне та безпечне діловодство.</w:t>
      </w:r>
    </w:p>
    <w:p w14:paraId="52E9F772"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Робочою групою з реформування процесуального законодавства, яку було створено Радою з питань судової реформи при Президентові України, розроблено та взято за основу проект Господарського процесуального кодексу України в новій редакції, у якому передбачено кілька суттєвих новацій, котрі спрямовані на досягнення вищевказаних завдань та котрі, по суті, уніфікують господарське та цивільне законодавство шляхом запровадження аналогічних інститутів і процедур, а також викликають жваве обговорення в наукових колах і серед юристів-практиків.</w:t>
      </w:r>
    </w:p>
    <w:p w14:paraId="74C6BB09"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У зазначеному проекті запроваджено єдиний підхід до уніфікації процесів у різних видах судочинства та застосована єдина термінологія (наприклад, щодо стадійності судового процесу та поділу розгляду справи на підготовче провадження, розгляд по суті, судові дебати). Проектом ГПК нарешті передбачено впровадження системи електронного правосуддя, що дасть змогу відійти від паперового документообігу; змінено традиційний підхід до видів провадження в господарському судочинстві (якщо на теперішній час формою судового процесу у господарському суді є позовне провадження (ст. 4-1 ГПК), то проект, окрім цієї форми, запроваджує спрощене позовне та наказне провадження).</w:t>
      </w:r>
    </w:p>
    <w:p w14:paraId="07023452"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Крім того, розробники проекту в черговий раз спробували розмежувати повноваження між судами різної юрисдикції шляхом уточнення та розширення категорій справ, підвідомчих господарським судам. Проектом передбачено застосування процедури врегулювання спорів за участю судді; розширено способи судового захисту та засоби доказування (завдяки свідкам і висновкам </w:t>
      </w:r>
      <w:r w:rsidRPr="0001117E">
        <w:rPr>
          <w:rFonts w:ascii="Times New Roman CYR" w:eastAsia="MS Mincho" w:hAnsi="Times New Roman CYR" w:cs="Times New Roman CYR"/>
          <w:bCs/>
          <w:sz w:val="28"/>
          <w:szCs w:val="28"/>
          <w:lang w:val="uk-UA"/>
        </w:rPr>
        <w:lastRenderedPageBreak/>
        <w:t>експертів у галузі права); запроваджуються нові правила забезпечення позову та зустрічного забезпечення, визначені інструменти запобігання зловживанню процесуальними правами та судового контролю за виконанням рішення суду тощо [</w:t>
      </w:r>
      <w:r w:rsidRPr="00774B9C">
        <w:rPr>
          <w:rFonts w:ascii="Times New Roman CYR" w:eastAsia="MS Mincho" w:hAnsi="Times New Roman CYR" w:cs="Times New Roman CYR"/>
          <w:bCs/>
          <w:sz w:val="28"/>
          <w:szCs w:val="28"/>
        </w:rPr>
        <w:t>102</w:t>
      </w:r>
      <w:r w:rsidRPr="0001117E">
        <w:rPr>
          <w:rFonts w:ascii="Times New Roman CYR" w:eastAsia="MS Mincho" w:hAnsi="Times New Roman CYR" w:cs="Times New Roman CYR"/>
          <w:bCs/>
          <w:sz w:val="28"/>
          <w:szCs w:val="28"/>
          <w:lang w:val="uk-UA"/>
        </w:rPr>
        <w:t>].</w:t>
      </w:r>
    </w:p>
    <w:p w14:paraId="7A9DDE90"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Таким чином, зазначений проект є довгоочікуваним, містить новели, на необхідності запровадження яких давно наголошували науковці та практикуючі юристи, і є особливо актуальним в умовах реформування усієї правової системи України. Саме тому він отримав багато позитивних відгуків.</w:t>
      </w:r>
    </w:p>
    <w:p w14:paraId="15704409" w14:textId="52AD0054"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Разом із тим проект Господарського процесуального кодексу містить багато неузгодженостей і розбіжностей, що, на думку багатьох науковців, свідчить про його розроблення нашвидкуруч. Так, Г. Будурова вважає, що поряд з узгодженням переліку учасників процесу відбувається надмірна регламентація прав та обов’язків кожного з них (включаючи секретаря засідання та судового розпорядника), копіювання заходів процесуального примусу з інших процесуальних кодексів тощо. Утім, більшість запропонованих процедур, інститутів і механізмів мають уводитись обережно, виважено, щоб господарський процес після всіх реформаторських зусиль зміг виконувати свою основну функцію – бути ефективним, простим та оперативним інструментом вирішення економічних конфліктів </w:t>
      </w:r>
      <w:r w:rsidR="001D4FE2">
        <w:rPr>
          <w:rFonts w:ascii="Times New Roman CYR" w:eastAsia="MS Mincho" w:hAnsi="Times New Roman CYR" w:cs="Times New Roman CYR"/>
          <w:bCs/>
          <w:sz w:val="28"/>
          <w:szCs w:val="28"/>
          <w:lang w:val="uk-UA"/>
        </w:rPr>
        <w:t>[104</w:t>
      </w:r>
      <w:r w:rsidRPr="0001117E">
        <w:rPr>
          <w:rFonts w:ascii="Times New Roman CYR" w:eastAsia="MS Mincho" w:hAnsi="Times New Roman CYR" w:cs="Times New Roman CYR"/>
          <w:bCs/>
          <w:sz w:val="28"/>
          <w:szCs w:val="28"/>
          <w:lang w:val="uk-UA"/>
        </w:rPr>
        <w:t>].</w:t>
      </w:r>
    </w:p>
    <w:p w14:paraId="0EEEBB5B"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Критичні зауваження до проекту вищевказаного  кодексу  висловлені  й  професором О.П. Підцерковним, який вважає, що проект розроблено без попереднього з’ясування результативності чинного ГПК і без фахового обговорення й затвердження концепції реформування господарського судочинства. На його думку, у документі реалізовано методологічно хибний підхід до надмірного регулювання процесуальної діяльності та обмеження самостійності суду у визначенні порядку слухання справи. Це несе загрозу використання приписів закону для зловживання процесуальними правами, затягування процесу та спотворення його завдань. Крім того, науковець переконаний, що величезна небезпека неоднакового правозастосування закладена в підході щодо підвідомчості справ господарським судам на підстави </w:t>
      </w:r>
      <w:r w:rsidRPr="0001117E">
        <w:rPr>
          <w:rFonts w:ascii="Times New Roman CYR" w:eastAsia="MS Mincho" w:hAnsi="Times New Roman CYR" w:cs="Times New Roman CYR"/>
          <w:bCs/>
          <w:sz w:val="28"/>
          <w:szCs w:val="28"/>
          <w:lang w:val="uk-UA"/>
        </w:rPr>
        <w:lastRenderedPageBreak/>
        <w:t>предметного, а не суб’єктного критерію [4].</w:t>
      </w:r>
    </w:p>
    <w:p w14:paraId="77963A5E"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Крім того, цілком правильним, на нашу думку, є зауваження, що розробники документа не врахували негативних наслідків запровадження та використання окремих процесуальних реформ у суміжних видах судочинства; передусім це стосується наявного в цивільному судочинстві раніше наказного провадження, ефективність використання якого в цивільному процесі є низькою.</w:t>
      </w:r>
    </w:p>
    <w:p w14:paraId="594A1DB6"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Разом із тим найбільше зауважень з боку науковців і практиків викликають новели проекту ГПК щодо використання засобів доказування та одержання доказів, ролі суду в одержанні та перевірці доказів у справі, залучення свідків, висновків експертів тощо.</w:t>
      </w:r>
    </w:p>
    <w:p w14:paraId="0B62A8CF"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Зокрема, М.П. Курило вважає, що підходи до визначення поняття доказів і доказування в усіх процесуальних галузях права є ідентичними та «законодавець незалежно від процесуальних галузей права під доказами розуміє будь-які факти, на підставі яких суд установлює наявність або відсутність обставин, якими обґрунтовується чи заперечується відповідно позиція позивача чи відповідача». Однак такі визначення поняття є надто загальними для розуміння сутності доказів і доказування в судових процесах, оскільки це визначення чітко не розкриває поняття доказів, їхній зміст, відносність і допустимість доказів за їхнім змістом, формою, часом надання, видами тощо [</w:t>
      </w:r>
      <w:r w:rsidRPr="00774B9C">
        <w:rPr>
          <w:rFonts w:ascii="Times New Roman CYR" w:eastAsia="MS Mincho" w:hAnsi="Times New Roman CYR" w:cs="Times New Roman CYR"/>
          <w:bCs/>
          <w:sz w:val="28"/>
          <w:szCs w:val="28"/>
          <w:lang w:val="uk-UA"/>
        </w:rPr>
        <w:t>108</w:t>
      </w:r>
      <w:r w:rsidRPr="0001117E">
        <w:rPr>
          <w:rFonts w:ascii="Times New Roman CYR" w:eastAsia="MS Mincho" w:hAnsi="Times New Roman CYR" w:cs="Times New Roman CYR"/>
          <w:bCs/>
          <w:sz w:val="28"/>
          <w:szCs w:val="28"/>
          <w:lang w:val="uk-UA"/>
        </w:rPr>
        <w:t>].</w:t>
      </w:r>
    </w:p>
    <w:p w14:paraId="62F2D0EF"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Відповідно до ч. 1 ст. 32 чинного Господарського  процесуального  кодексу  України доказами у справі є будь-які фактичні дані, на підставі яких господарський суд у визначеному законом порядку встановлює наявність чи відсутність обставин, на яких ґрунтуються вимоги та заперечення сторін, а також інші обставини, які мають значення для правильного вирішення господарського спору. При цьому в процесі доказування можуть бути використані тільки ті засоби доказування, які передбачені законом на теперішній час: письмові та речові докази, висновки судових експертів, пояснення представників сторін та інших осіб, які беруть участь у судовому </w:t>
      </w:r>
      <w:r w:rsidRPr="0001117E">
        <w:rPr>
          <w:rFonts w:ascii="Times New Roman CYR" w:eastAsia="MS Mincho" w:hAnsi="Times New Roman CYR" w:cs="Times New Roman CYR"/>
          <w:bCs/>
          <w:sz w:val="28"/>
          <w:szCs w:val="28"/>
          <w:lang w:val="uk-UA"/>
        </w:rPr>
        <w:lastRenderedPageBreak/>
        <w:t>процесі [</w:t>
      </w:r>
      <w:r w:rsidRPr="00774B9C">
        <w:rPr>
          <w:rFonts w:ascii="Times New Roman CYR" w:eastAsia="MS Mincho" w:hAnsi="Times New Roman CYR" w:cs="Times New Roman CYR"/>
          <w:bCs/>
          <w:sz w:val="28"/>
          <w:szCs w:val="28"/>
          <w:lang w:val="uk-UA"/>
        </w:rPr>
        <w:t>108</w:t>
      </w:r>
      <w:r w:rsidRPr="0001117E">
        <w:rPr>
          <w:rFonts w:ascii="Times New Roman CYR" w:eastAsia="MS Mincho" w:hAnsi="Times New Roman CYR" w:cs="Times New Roman CYR"/>
          <w:bCs/>
          <w:sz w:val="28"/>
          <w:szCs w:val="28"/>
          <w:lang w:val="uk-UA"/>
        </w:rPr>
        <w:t xml:space="preserve">]. Стаття 71 проекту нового Господарського процесуального кодексу містить аналогічне по суті поняття доказів: доказами є будь-які дані, на підставі яких суд встановлює наявність або відсутність обставин (фактів), що обґрунтовують вимоги та заперечення сторін, та інших обставин, які мають значення для вирішення справи, водночас дещо розширює засоби доказування: </w:t>
      </w:r>
    </w:p>
    <w:p w14:paraId="18464275"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1) письмові та речові докази, інші матеріали, визначені цим Кодексом; </w:t>
      </w:r>
    </w:p>
    <w:p w14:paraId="5A704FFA"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2) висновки експертів; </w:t>
      </w:r>
    </w:p>
    <w:p w14:paraId="21B922FB"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3) пояснення учасників справи, їхніх представників; </w:t>
      </w:r>
    </w:p>
    <w:p w14:paraId="567FC602"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4) показання свідків [3].</w:t>
      </w:r>
    </w:p>
    <w:p w14:paraId="7EDC17DC"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Необхідно  зауважити,  що  відповідно  до чинного ГПК до складу учасників господарського процесу входять сторони, треті особи, прокурор, інші особи, зокрема судові експерти, перекладачі, які можуть брати участь в господарському процесі у випадках, передбачених ГПК, а також посадові особи чи інші працівники підприємств, установ, організацій, державних та інших органів, коли їх викликано для надання пояснень із питань, що виникають під час розгляду справи (статті 18, 30 ГПК). При цьому відповідно ч. 2 ст. 32 ГПК України в необхідних випадках на вимогу судді пояснення представників сторін та інших осіб мають бути викладені письмово</w:t>
      </w:r>
      <w:r w:rsidRPr="00774B9C">
        <w:rPr>
          <w:rFonts w:ascii="Times New Roman CYR" w:eastAsia="MS Mincho" w:hAnsi="Times New Roman CYR" w:cs="Times New Roman CYR"/>
          <w:bCs/>
          <w:sz w:val="28"/>
          <w:szCs w:val="28"/>
        </w:rPr>
        <w:t xml:space="preserve"> [1]</w:t>
      </w:r>
      <w:r w:rsidRPr="0001117E">
        <w:rPr>
          <w:rFonts w:ascii="Times New Roman CYR" w:eastAsia="MS Mincho" w:hAnsi="Times New Roman CYR" w:cs="Times New Roman CYR"/>
          <w:bCs/>
          <w:sz w:val="28"/>
          <w:szCs w:val="28"/>
          <w:lang w:val="uk-UA"/>
        </w:rPr>
        <w:t>. На нашу думку, останні фактично виступають у ролі свідків в господарському процесі, оскільки надають інформацію про відомі їм обставини справи. Водночас ці особи не мають закріпленого статуту свідків, а відповідно, не мають визначених прав та обов’язків, що негативно позначається на якості здійснення господарського судочинства загалом. Наприклад, вказані особи мають право знайомитися з матеріалами справи, брати участь в огляді та дослідженні доказів, що поряд з відсутністю обов’язку надавати правдиві свідчення суду та встановленої відповідальності за його порушення може призвести до перекручування фактів у ході дослідження таких доказів.</w:t>
      </w:r>
    </w:p>
    <w:p w14:paraId="5C8C4AA8"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Саме тому намагання законотворців усунути зазначені проблемні питання шляхом запровадження в новому ГПК норм про показання свідків як засіб доказування, визначення правового статусу свідка та відмежування його від </w:t>
      </w:r>
      <w:r w:rsidRPr="0001117E">
        <w:rPr>
          <w:rFonts w:ascii="Times New Roman CYR" w:eastAsia="MS Mincho" w:hAnsi="Times New Roman CYR" w:cs="Times New Roman CYR"/>
          <w:bCs/>
          <w:sz w:val="28"/>
          <w:szCs w:val="28"/>
          <w:lang w:val="uk-UA"/>
        </w:rPr>
        <w:lastRenderedPageBreak/>
        <w:t>інших учасників процесу, на нашу думку, є цілком виправданим.</w:t>
      </w:r>
    </w:p>
    <w:p w14:paraId="0D18F310" w14:textId="7491D8A3"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Деякі науковці мають певні зауваження до проекту нового ГПК щодо запровадження в ньому інституту свідків. Так, М.О. Демидова вважає, що за відсутності певних запобіжних механізмів введення інституту свідків у господарський процес може спричинити колапс у системі господарського судочинства, створивши проблеми з невиправдано тривалим розглядом справ, а в деяких категоріях справ процесуальна користь від участі свідків взагалі викликає сумнів, оскільки законом чітко визначено умови виникнення тих чи інших прав або обов’язків, тому пояснення свідків не можуть слугувати доказами, які покладаються в основу рішення. При цьому відсутність у проекті дієвих механізмів забезпечення явки свідків може спричинити безпідставне затягування розгляду спору, а дотримання визначеного законом місячного строку слухання господарського спору за умови розгляду відповідних клопотань про виклик свідків, виклику та допиту свідків є надскладним та майже неможливим завданням </w:t>
      </w:r>
      <w:r w:rsidR="001D4FE2">
        <w:rPr>
          <w:rFonts w:ascii="Times New Roman CYR" w:eastAsia="MS Mincho" w:hAnsi="Times New Roman CYR" w:cs="Times New Roman CYR"/>
          <w:bCs/>
          <w:sz w:val="28"/>
          <w:szCs w:val="28"/>
          <w:lang w:val="uk-UA"/>
        </w:rPr>
        <w:t>[108</w:t>
      </w:r>
      <w:r w:rsidRPr="0001117E">
        <w:rPr>
          <w:rFonts w:ascii="Times New Roman CYR" w:eastAsia="MS Mincho" w:hAnsi="Times New Roman CYR" w:cs="Times New Roman CYR"/>
          <w:bCs/>
          <w:sz w:val="28"/>
          <w:szCs w:val="28"/>
          <w:lang w:val="uk-UA"/>
        </w:rPr>
        <w:t>].</w:t>
      </w:r>
    </w:p>
    <w:p w14:paraId="11317319" w14:textId="3ABC62B8"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Аналогічної точки зору дотримуються і деякі інші практикуючі юристи. Так, О. Байдерін вважає недоцільним уведення в господарський процес свідків, оскільки фактично відсутні справи, рішення в яких могло б бути змінене лише через наявність показань цих осіб. На його думку, їх залучення створюватиме передумови для зловживань. Аналогічну точку зору має й А. Селютін, вказуючи на ризик затягування процесу у зв’язку із залученням свідків, оскільки за пропонованих умов повідомлення та виклику до суду стороні достатньо знайти свідка, що проживає за межами України, аби на роки затягнути процес. Утім, саме оперативність уважалася візитівкою господарського процесу </w:t>
      </w:r>
      <w:r w:rsidR="001D4FE2">
        <w:rPr>
          <w:rFonts w:ascii="Times New Roman CYR" w:eastAsia="MS Mincho" w:hAnsi="Times New Roman CYR" w:cs="Times New Roman CYR"/>
          <w:bCs/>
          <w:sz w:val="28"/>
          <w:szCs w:val="28"/>
          <w:lang w:val="uk-UA"/>
        </w:rPr>
        <w:t>[109</w:t>
      </w:r>
      <w:r w:rsidRPr="0001117E">
        <w:rPr>
          <w:rFonts w:ascii="Times New Roman CYR" w:eastAsia="MS Mincho" w:hAnsi="Times New Roman CYR" w:cs="Times New Roman CYR"/>
          <w:bCs/>
          <w:sz w:val="28"/>
          <w:szCs w:val="28"/>
          <w:lang w:val="uk-UA"/>
        </w:rPr>
        <w:t>].</w:t>
      </w:r>
    </w:p>
    <w:p w14:paraId="31194818" w14:textId="1EF1C753"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Протилежну думку висловила Л. Рогач, яка вважає, що певні категорії справ перейшли до господарської юрисдикції із цивільної (наприклад, корпоративні спори) і, коли ці спори розглядалися в цивільних судах, учасники процесу могли використовувати показання свідків як докази, тому неправильним і недоцільним буде позбавити їх цієї можливості тільки через те, що зараз ці справи розглядаються в господарських судах. На її думку, тут слід </w:t>
      </w:r>
      <w:r w:rsidRPr="0001117E">
        <w:rPr>
          <w:rFonts w:ascii="Times New Roman CYR" w:eastAsia="MS Mincho" w:hAnsi="Times New Roman CYR" w:cs="Times New Roman CYR"/>
          <w:bCs/>
          <w:sz w:val="28"/>
          <w:szCs w:val="28"/>
          <w:lang w:val="uk-UA"/>
        </w:rPr>
        <w:lastRenderedPageBreak/>
        <w:t xml:space="preserve">виходити не з того, який суд розглядає справи, а з того, чи можуть певні обставини підтверджуватися показаннями свідків. Залежно від цього в кодексах варто передбачити певні запобіжні механізми, аби не траплялося зловживань через залучення великої кількості свідків </w:t>
      </w:r>
      <w:r w:rsidR="001D4FE2">
        <w:rPr>
          <w:rFonts w:ascii="Times New Roman CYR" w:eastAsia="MS Mincho" w:hAnsi="Times New Roman CYR" w:cs="Times New Roman CYR"/>
          <w:bCs/>
          <w:sz w:val="28"/>
          <w:szCs w:val="28"/>
          <w:lang w:val="uk-UA"/>
        </w:rPr>
        <w:t>[107</w:t>
      </w:r>
      <w:r w:rsidRPr="0001117E">
        <w:rPr>
          <w:rFonts w:ascii="Times New Roman CYR" w:eastAsia="MS Mincho" w:hAnsi="Times New Roman CYR" w:cs="Times New Roman CYR"/>
          <w:bCs/>
          <w:sz w:val="28"/>
          <w:szCs w:val="28"/>
          <w:lang w:val="uk-UA"/>
        </w:rPr>
        <w:t>].</w:t>
      </w:r>
    </w:p>
    <w:p w14:paraId="31EF9B88"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Позицію авторів проекту щодо залучення свідків підтримали М. Червинська, на думку якої не можна в судів однієї юрисдикції забрати докази, які є в судах іншої, та Т. Васильченко, яка зазначила, що господарськими судами застосовуються фактично ті ж показання – пояснення осіб. Але щоб нові механізми не могли використовуватися для зловживань, необхідно передбачити запобіжні механізми та чітко виписати у яких випадках і на підставі чого сторона може подавати суду відповідне клопотання [</w:t>
      </w:r>
      <w:r w:rsidRPr="00774B9C">
        <w:rPr>
          <w:rFonts w:ascii="Times New Roman CYR" w:eastAsia="MS Mincho" w:hAnsi="Times New Roman CYR" w:cs="Times New Roman CYR"/>
          <w:bCs/>
          <w:sz w:val="28"/>
          <w:szCs w:val="28"/>
        </w:rPr>
        <w:t>51</w:t>
      </w:r>
      <w:r w:rsidRPr="0001117E">
        <w:rPr>
          <w:rFonts w:ascii="Times New Roman CYR" w:eastAsia="MS Mincho" w:hAnsi="Times New Roman CYR" w:cs="Times New Roman CYR"/>
          <w:bCs/>
          <w:sz w:val="28"/>
          <w:szCs w:val="28"/>
          <w:lang w:val="uk-UA"/>
        </w:rPr>
        <w:t>].</w:t>
      </w:r>
    </w:p>
    <w:p w14:paraId="502E8FF0"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Проаналізувавши пропозиції та зауваження науковців та практиків, можна констатувати, що запровадження інституту свідків у господарському судочинстві загалом є позитивним кроком, однак із метою уникнення безпідставного затягування господарського процесу та недопущення зловживання правами учасниками процесу необхідно передбачити додаткові механізми забезпечення розгляду господарського спору в розумні строки. Тому, на нашу думку, є доцільним доповнення ст. 85 нового ГПК положенням про те, що суд може використовувати показання свідків для доказування тільки тих фактів і обставин, які неможливо довести іншими засобами доказування.</w:t>
      </w:r>
    </w:p>
    <w:p w14:paraId="2554DABB"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Крім того, багато проблемних питань виникає не лише у визначенні способів доказування, а й у встановленні механізму одержання доказів у господарському судочинстві.</w:t>
      </w:r>
    </w:p>
    <w:p w14:paraId="43580B07"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Л.М. Білецька вважає, що загальна схема доказування в господарському судочинстві викладена в кількох статтях чинного ГПК України, зокрема в ч. 1 ст. 33 ГПК України (кожна сторона повинна довести ті обставини, на які вона посилається як на підставу своїх вимог і заперечень), у ч. 1 ст. 34 ГПК (господарський суд приймає тільки ті докази, які мають значення для справи); у ст. 43 ГПК, у якій викладені положення щодо оцінки доказів господарським судом. Таким чином, у господарському процесі обов’язок сторін довести «свої» </w:t>
      </w:r>
      <w:r w:rsidRPr="0001117E">
        <w:rPr>
          <w:rFonts w:ascii="Times New Roman CYR" w:eastAsia="MS Mincho" w:hAnsi="Times New Roman CYR" w:cs="Times New Roman CYR"/>
          <w:bCs/>
          <w:sz w:val="28"/>
          <w:szCs w:val="28"/>
          <w:lang w:val="uk-UA"/>
        </w:rPr>
        <w:lastRenderedPageBreak/>
        <w:t>обставини корелюється (співвідноситься) із правом суду прийняти чи не прийняти докази в контексті їхнього значення для справи, що і є предметом оцінки господарського суду.</w:t>
      </w:r>
    </w:p>
    <w:p w14:paraId="23ABF63E"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Аналіз положень щодо обов’язку доказування та подання доказів (ст. 33 ГПК), належності та допустимості доказів (ст. 34 ГПК), звільнення від доказування (ст. 35 ГПК), витребування доказів (ст. 38 ГПК) дають підстави стверджувати, що доказування є саме діяльністю суду та інших учасників процесу, метою якої є встановлення, повне з’ясування всіх дійсних обставин справи, які конкретизуються (індивідуалізуються) залежно від предмета спору, суб’єктного складу сторін, а також тих правовідносин, що відбуваються між сторонами в тій чи іншій справі [</w:t>
      </w:r>
      <w:r w:rsidRPr="00774B9C">
        <w:rPr>
          <w:rFonts w:ascii="Times New Roman CYR" w:eastAsia="MS Mincho" w:hAnsi="Times New Roman CYR" w:cs="Times New Roman CYR"/>
          <w:bCs/>
          <w:sz w:val="28"/>
          <w:szCs w:val="28"/>
          <w:lang w:val="uk-UA"/>
        </w:rPr>
        <w:t>2</w:t>
      </w:r>
      <w:r w:rsidRPr="0001117E">
        <w:rPr>
          <w:rFonts w:ascii="Times New Roman CYR" w:eastAsia="MS Mincho" w:hAnsi="Times New Roman CYR" w:cs="Times New Roman CYR"/>
          <w:bCs/>
          <w:sz w:val="28"/>
          <w:szCs w:val="28"/>
          <w:lang w:val="uk-UA"/>
        </w:rPr>
        <w:t>]. Водночас,  на  думку  деяких  науковців,</w:t>
      </w:r>
    </w:p>
    <w:p w14:paraId="1712752E" w14:textId="496ED5C1"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чинна на теперішній час редакція статті 38 ГПК України зазначає, що тягар доказування лежить винятково на сторонах, а господарський суд із власної ініціативи позбавлений права в разі недостатності поданих доказів витребувати останні від підприємств і організацій незалежно від їхньої участі у справі, що, на думку І.В. Ватаманюка, суттєво вплинуло на всебічність і справедливість судового процесу. Адже, розглядаючи справу по суті та розуміючи, що права однієї сторони порушені неправомірними діями іншої, суд не має можливості в разі, зокрема, неналежного юридичного супроводження інтересів сторони її представниками, встановити істину та справедливість у вирішенні цього спору, а повинен, як статист, проаналізувати подані докази та вирішити спір суто на їх підставі. Але з іншого боку, витребовуючи докази з власної ініціативи, дії суду можна трактувати як дії адвоката певної сторони, що може свідчити про його упередженість. Тому, фактично заборонивши суду першої інстанції протягом розгляду спору з власної ініціативи витребовувати необхідні докази та вимагаючи неухильного дотримання процесу під час вирішення справи, на думку автора, закон має встановити належні гарантії того, що додержання вимог статті 38 ГПК України та вирішення спору по суті винятково на підставі поданих сторонами доказів не матиме наслідком скасування або зміну рішення місцевого господарського суду внаслідок неповного з’ясування обставин, що </w:t>
      </w:r>
      <w:r w:rsidRPr="0001117E">
        <w:rPr>
          <w:rFonts w:ascii="Times New Roman CYR" w:eastAsia="MS Mincho" w:hAnsi="Times New Roman CYR" w:cs="Times New Roman CYR"/>
          <w:bCs/>
          <w:sz w:val="28"/>
          <w:szCs w:val="28"/>
          <w:lang w:val="uk-UA"/>
        </w:rPr>
        <w:lastRenderedPageBreak/>
        <w:t xml:space="preserve">мають значення для справи </w:t>
      </w:r>
      <w:r w:rsidR="001D4FE2">
        <w:rPr>
          <w:rFonts w:ascii="Times New Roman CYR" w:eastAsia="MS Mincho" w:hAnsi="Times New Roman CYR" w:cs="Times New Roman CYR"/>
          <w:bCs/>
          <w:sz w:val="28"/>
          <w:szCs w:val="28"/>
          <w:lang w:val="uk-UA"/>
        </w:rPr>
        <w:t>[109</w:t>
      </w:r>
      <w:r w:rsidRPr="0001117E">
        <w:rPr>
          <w:rFonts w:ascii="Times New Roman CYR" w:eastAsia="MS Mincho" w:hAnsi="Times New Roman CYR" w:cs="Times New Roman CYR"/>
          <w:bCs/>
          <w:sz w:val="28"/>
          <w:szCs w:val="28"/>
          <w:lang w:val="uk-UA"/>
        </w:rPr>
        <w:t>].</w:t>
      </w:r>
    </w:p>
    <w:p w14:paraId="3A261238" w14:textId="13638A7F"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Разом із тим можливість наділення суду правом зі своєї ініціативи збирати докази по справі існує та запроваджена в деяких іноземних державах, у яких судочинство здійснюється на підставі принципу змагальності та передбачає, що обов’язок із доказування фактичних обставин справи покладається на сторони, але це не виключає права суддів за власною ініціативою здійснювати будь-які дії, направлені на встановлення істини у справі, у тому числі викликати за власною ініціативою свідків, призначати експертизу тощо </w:t>
      </w:r>
      <w:r w:rsidR="001D4FE2">
        <w:rPr>
          <w:rFonts w:ascii="Times New Roman CYR" w:eastAsia="MS Mincho" w:hAnsi="Times New Roman CYR" w:cs="Times New Roman CYR"/>
          <w:bCs/>
          <w:sz w:val="28"/>
          <w:szCs w:val="28"/>
          <w:lang w:val="uk-UA"/>
        </w:rPr>
        <w:t>[109</w:t>
      </w:r>
      <w:r w:rsidRPr="0001117E">
        <w:rPr>
          <w:rFonts w:ascii="Times New Roman CYR" w:eastAsia="MS Mincho" w:hAnsi="Times New Roman CYR" w:cs="Times New Roman CYR"/>
          <w:bCs/>
          <w:sz w:val="28"/>
          <w:szCs w:val="28"/>
          <w:lang w:val="uk-UA"/>
        </w:rPr>
        <w:t>].</w:t>
      </w:r>
    </w:p>
    <w:p w14:paraId="6195C423"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Зазначені проблеми не вирішені й у запропонованих змінах, оскільки в проекті нового ГПК суд також не наділений правом витребування доказів: у ч. 4 ст. 72 проекту встановлено заборону суду з власної ініціативи збирати докази. Водночас практика свідчить, що таке застереження не є виправданим, оскільки ставить суд майже в повну залежність від тактичної позиції та добросовісності сторін.</w:t>
      </w:r>
    </w:p>
    <w:p w14:paraId="49924BBB" w14:textId="5859B77D"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Як слушно зауважила М. Демідова, вирішення справи без з’ясування дійсних її обставин на підставі того, що сторони про це не просили або були пасивні, суперечить самим основам справедливого правосуддя, оскільки не забезпечує реального захисту прав і законних інтересів осіб, які є учасниками процесу. На переконання автора, суд може погодитися з аргументами однієї зі сторін, але це має відбутися не тому, що вона була більш переконливою, професійно підготовленою, а тому, що її позиція відповідає внутрішньому переконанню суду щодо її адекватності й ґрунтується на дійсних, фактичних обставинах справи, і право на витребування додаткових доказів є не проявом суддівської зацікавленості в результатах вирішення спору, а додатковим засобом забезпечення повноти дослідження доказів і встановлення дійсних відносин сторін. Суд, приймаючи процесуальне рішення про витребування того чи іншого доказу, не знає і не може знати заздалегідь результатів тієї чи іншої дії. При цьому в жодному випадку сумнівні обставини не повинні слугувати підставою для постановлення рішення </w:t>
      </w:r>
      <w:r w:rsidR="001D4FE2">
        <w:rPr>
          <w:rFonts w:ascii="Times New Roman CYR" w:eastAsia="MS Mincho" w:hAnsi="Times New Roman CYR" w:cs="Times New Roman CYR"/>
          <w:bCs/>
          <w:sz w:val="28"/>
          <w:szCs w:val="28"/>
          <w:lang w:val="uk-UA"/>
        </w:rPr>
        <w:t>[110</w:t>
      </w:r>
      <w:r w:rsidRPr="0001117E">
        <w:rPr>
          <w:rFonts w:ascii="Times New Roman CYR" w:eastAsia="MS Mincho" w:hAnsi="Times New Roman CYR" w:cs="Times New Roman CYR"/>
          <w:bCs/>
          <w:sz w:val="28"/>
          <w:szCs w:val="28"/>
          <w:lang w:val="uk-UA"/>
        </w:rPr>
        <w:t>].</w:t>
      </w:r>
    </w:p>
    <w:p w14:paraId="0C7016AF"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Тому вважаємо цілком доречною та такою, що має бути підтриманою, </w:t>
      </w:r>
      <w:r w:rsidRPr="0001117E">
        <w:rPr>
          <w:rFonts w:ascii="Times New Roman CYR" w:eastAsia="MS Mincho" w:hAnsi="Times New Roman CYR" w:cs="Times New Roman CYR"/>
          <w:bCs/>
          <w:sz w:val="28"/>
          <w:szCs w:val="28"/>
          <w:lang w:val="uk-UA"/>
        </w:rPr>
        <w:lastRenderedPageBreak/>
        <w:t>пропозицію автора щодо виключення зі статті 72 проекту ГПК частини 4 та доповнення статті 79 нормою про право суду на витребування доказів із власної ініціативи у визначених випадках.</w:t>
      </w:r>
    </w:p>
    <w:p w14:paraId="4322F192"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Жваві дискусії в науковому середовищі викликала і стаття 78 проекту ГПК, яка передбачає, що докази подаються позивачем разом із поданням позовної заяви, а відповідачем – разом з запереченнями на неї. Передбачені також виняткові випадки подання доказів пізніше за дозволом суду. Разом із тим, на думку деяких законотворців і науковців, таке обмеження може спричинити певні проблеми для учасників процесу, оскільки позивач буде позбавлений можливості подати нові докази після того, як їх надасть відповідач фактично під час першого судового засідання.</w:t>
      </w:r>
    </w:p>
    <w:p w14:paraId="2E9A3825" w14:textId="616DC526"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Академік Н. Кузнецова бачить проблему  застосування вказаної норми в тому, що позивач не знайомий з аргументами відповідача до того моменту, поки не отримає відповідь із запереченнями. А секретар Пленуму Верховного Суду України Л. Рогач вважає, що введення такої норми є доцільним і ця норма запроваджується, аби сторони не тримали до останнього докази, які в них є, а подавали їх усі одразу </w:t>
      </w:r>
      <w:r w:rsidR="001D4FE2">
        <w:rPr>
          <w:rFonts w:ascii="Times New Roman CYR" w:eastAsia="MS Mincho" w:hAnsi="Times New Roman CYR" w:cs="Times New Roman CYR"/>
          <w:bCs/>
          <w:sz w:val="28"/>
          <w:szCs w:val="28"/>
          <w:lang w:val="uk-UA"/>
        </w:rPr>
        <w:t>[108</w:t>
      </w:r>
      <w:r w:rsidRPr="0001117E">
        <w:rPr>
          <w:rFonts w:ascii="Times New Roman CYR" w:eastAsia="MS Mincho" w:hAnsi="Times New Roman CYR" w:cs="Times New Roman CYR"/>
          <w:bCs/>
          <w:sz w:val="28"/>
          <w:szCs w:val="28"/>
          <w:lang w:val="uk-UA"/>
        </w:rPr>
        <w:t>].</w:t>
      </w:r>
    </w:p>
    <w:p w14:paraId="6D68AF91"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Отже, на нашу думку, введення інституту свідків у господарський процес є цілком виправданим кроком до уніфікації процесуального законодавства України та наближає господарське судочинство до інших видів судочинства. Загалом автори проекту ГПК демонструють намагання уніфікувати процеси в різних видах судочинства, про що свідчить спроба передбачити єдину «зрозумілу» термінологію та запровадити правові інститути, притаманні різним процесам.</w:t>
      </w:r>
    </w:p>
    <w:p w14:paraId="64243C7E" w14:textId="5D45DF4C"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Дослідження вітчизняних науковців щодо можливості уніфікації судових процесів різних галузей права довели певну ідентичність засобів доказування та тотожність поняття доказів і доказування в різних процесах, у зв’язку з чим деякими авторами пропонувалося з метою забезпечення єдиного підходу до природи та розуміння змісту процесуальних дій та інститутів, засобів і процесів доказування та їх суб’єктів визначити ці правові інститути в єдиному Судовому </w:t>
      </w:r>
      <w:r w:rsidRPr="0001117E">
        <w:rPr>
          <w:rFonts w:ascii="Times New Roman CYR" w:eastAsia="MS Mincho" w:hAnsi="Times New Roman CYR" w:cs="Times New Roman CYR"/>
          <w:bCs/>
          <w:sz w:val="28"/>
          <w:szCs w:val="28"/>
          <w:lang w:val="uk-UA"/>
        </w:rPr>
        <w:lastRenderedPageBreak/>
        <w:t xml:space="preserve">процесуальному кодексі </w:t>
      </w:r>
      <w:r w:rsidR="001D4FE2">
        <w:rPr>
          <w:rFonts w:ascii="Times New Roman CYR" w:eastAsia="MS Mincho" w:hAnsi="Times New Roman CYR" w:cs="Times New Roman CYR"/>
          <w:bCs/>
          <w:sz w:val="28"/>
          <w:szCs w:val="28"/>
          <w:lang w:val="uk-UA"/>
        </w:rPr>
        <w:t>[104</w:t>
      </w:r>
      <w:r w:rsidRPr="0001117E">
        <w:rPr>
          <w:rFonts w:ascii="Times New Roman CYR" w:eastAsia="MS Mincho" w:hAnsi="Times New Roman CYR" w:cs="Times New Roman CYR"/>
          <w:bCs/>
          <w:sz w:val="28"/>
          <w:szCs w:val="28"/>
          <w:lang w:val="uk-UA"/>
        </w:rPr>
        <w:t>].</w:t>
      </w:r>
    </w:p>
    <w:p w14:paraId="5D31A07D"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Разом із тим, на наше переконання, такий підхід не є виправданим, оскільки кожен із процесів різних галузей права, окрім спільних ознак, правових категорій та інститутів, має і відмінні, притаманні лише йому властивості та правові інститути, тому завданням законодавця є необхідність дотримання балансу між прагненням до уніфікації усіх видів процесів і збереженням їхньої індивідуальності з урахуванням специфіки та категорій справ, що розглядаються.</w:t>
      </w:r>
    </w:p>
    <w:p w14:paraId="53E6B8C5"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Окрім розширеного переліку підстав для відводу (самовідводу) судді в порівнянні зі старою редакцією, куди більш цікавим видається новий порядок розгляду судом зазначеного питання. Якщо раніше суд, отримавши від сторони заяву про відвід судді (суддів), вирішував це питання на місці (в нарадчій кімнаті) та в разі її необґрунтованості продовжував розглядати справу в цьому ж засіданні, то тепер процесуальний механізм вирішення цього питання виглядає по-іншому.</w:t>
      </w:r>
    </w:p>
    <w:p w14:paraId="554B43D8"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Реальність є такою, що розгляд справи в будь-якому випадку буде перенесено на іншу календарну дату. Так, у випадку обґрунтованості і вмотивованості заяви про відвід та її задоволення судом, справа передається на розгляд іншому судді (суддям) за допомогою Єдиної судової інформаційно-телекомунікаційної системи, що, звісно, потребує певного часу.</w:t>
      </w:r>
    </w:p>
    <w:p w14:paraId="43768CFC"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З іншого боку, якщо суд доходить висновку про необґрунтованість заявленого відводу, він зупиняє провадження у справі, одночасно передаючи вирішення питання про зазначений відвід судді (суддів) на розгляд іншому судді цього суду або колегії суддів (в деяких випадках іншому суду).</w:t>
      </w:r>
    </w:p>
    <w:p w14:paraId="360B7F62"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Новий кодекс, звичайно, передбачає, що питання про відвід (обґрунтованість відмови у відводі) має бути розглянуте не пізніше двох днів з дня надходження такої заяви (десять днів у випадку розгляду заяви суддею іншого суду). Але, на практиці це не означає, що на другий день таке питання буде вирішено (наприклад, підтверджено необґрунтованість відводу), а умовно на третій – сторони знову зберуться в залі судових засідань для продовження </w:t>
      </w:r>
      <w:r w:rsidRPr="0001117E">
        <w:rPr>
          <w:rFonts w:ascii="Times New Roman CYR" w:eastAsia="MS Mincho" w:hAnsi="Times New Roman CYR" w:cs="Times New Roman CYR"/>
          <w:bCs/>
          <w:sz w:val="28"/>
          <w:szCs w:val="28"/>
          <w:lang w:val="uk-UA"/>
        </w:rPr>
        <w:lastRenderedPageBreak/>
        <w:t>розгляду справи. Враховуючи завантаженість суддів, а якщо ми говоримо, наприклад, про апеляційні господарські суди, їх участь у декількох колегіях протягом одного робочого дня, то очікувати наступну дату судового засідання, як показує практика, слід не раніше, ніж через тиждень, а то й два-три. Дорогоцінний час для одного та нестерпне очікування для іншого!</w:t>
      </w:r>
    </w:p>
    <w:p w14:paraId="7222924A"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Хоча новий Господарський процесуальний кодекс України і передбачає, що подання такої завідомо необґрунтованої заяви може мати наслідком застосування до заявника заходів процесуального примусу у вигляді штрафу, на практиці ми бачимо, що суд одразу таких заходів не застосовує, напевно, побоюючись допустити порушень процесуальних норм, а діє по сценарію описаному вище.</w:t>
      </w:r>
    </w:p>
    <w:p w14:paraId="335309DC"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У підсумку залишається сподіватися, що в майбутньому питання стосовно відводу судді (суддів) буде розглядатися судами більш ретельно, зокрема, з першочерговою перевіркою його завідомої необґрунтованості. Це буде означати, що вирішення зазначеного питання не буде передаватися на розгляд іншому судді (суддям), а слухання по справі буде продовжуватися без перерви. Таким чином, сторони (опоненти) будуть позбавлені можливості затягувати розгляд справи та відповідно зловживати процесуальними правами.</w:t>
      </w:r>
    </w:p>
    <w:p w14:paraId="13AE02D5"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При заявленні відводу часто викликає складність усунення від розгляду справи суддів другої інстанції. Оскільки в Цивільному процесуальному кодексі не передбачено цієї процедури, необхідно дати відповіді на такі питання: який порядок оскарження ухвали апеляційного суду про відмову у відводі складу суду? у чому полягають особливості, якщо заявлено відвід тільки одному судді? чи припиняється провадження у справі на час оскарження?</w:t>
      </w:r>
    </w:p>
    <w:p w14:paraId="15AF6AEA"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До Верховної Ради України подано проект Закону № 5335 «Про внесення змін до деяких законодавчих актів України щодо забезпечення процедури відводу».</w:t>
      </w:r>
    </w:p>
    <w:p w14:paraId="05A55C11"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Як зазначається у пояснювальній записці до проекту, процедура розгляду заяви про відвід у різних видах судочинства змінювалася протягом всього періоду розвитку вітчизняного процесуального законодавства. На даний час у </w:t>
      </w:r>
      <w:r w:rsidRPr="0001117E">
        <w:rPr>
          <w:rFonts w:ascii="Times New Roman CYR" w:eastAsia="MS Mincho" w:hAnsi="Times New Roman CYR" w:cs="Times New Roman CYR"/>
          <w:bCs/>
          <w:sz w:val="28"/>
          <w:szCs w:val="28"/>
          <w:lang w:val="uk-UA"/>
        </w:rPr>
        <w:lastRenderedPageBreak/>
        <w:t>цивільному, адміністративному та господарському судочинстві відвід розглядається тим самим складом суду з участю судді, якому заявлений такий відвід. При одноособовому розгляду справи суддя вирішує заяву про власний відвід самостійно. Разом з тим в процесі про адміністративні правопорушення інститут відводу повністю відсутній та використовується суддями «за аналогією».</w:t>
      </w:r>
    </w:p>
    <w:p w14:paraId="33C9AF79"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Тому законопроектом пропонується запровадити уніфіковану систему розгляду заяв про відвід та самовідвід в адміністративному, господарському та цивільному судочинстві, а також запровадити інститут відводу в процесі розгляду справ про адміністративні правопорушення.</w:t>
      </w:r>
    </w:p>
    <w:p w14:paraId="5B5D90BE"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Пропонується така загальна схема розгляду заяви про відвід (самовідвід) судді:</w:t>
      </w:r>
    </w:p>
    <w:p w14:paraId="2F86B66C"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1) Заява про відвід або самовідвід судді, що входить до складу колегії суддів, кільком членам колегії суддів або всьому складу колегії розглядається цієї ж колегією суддів – тобто, залишається існуюча процедура;</w:t>
      </w:r>
    </w:p>
    <w:p w14:paraId="5E110834"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2) Заява про самовідвід судді, що розглядає справу одноособово здійснюється тим же суддею.</w:t>
      </w:r>
    </w:p>
    <w:p w14:paraId="4E748ADB"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3) Заява про відвід судді, що розглядає справу одноособово може розглядатися двома способами:</w:t>
      </w:r>
    </w:p>
    <w:p w14:paraId="67FFD6D6"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якщо заява подана за 2 дні до дня судового засідання або раніше, то вона розподіляється на іншого суддю цього ж суду, який вирішує її без виклику сторін. При цьому суддя, якому заявлений відвід, може подати письмові пояснення;</w:t>
      </w:r>
    </w:p>
    <w:p w14:paraId="5CE1C36E"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якщо заява про відвід подана пізніше, ніж за 2 дні до дня судового засідання, то вона розглядається тим же суддею, якому заявлений відвід – як це існує зараз. У кримінальному процесі процедура не змінюється – тут заява про відвід судді, який розглядає справу одноособово, завжди розглядається іншим суддею, коли б вона не була подана.</w:t>
      </w:r>
    </w:p>
    <w:p w14:paraId="5C133E2F"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Також пропонується запровадити механізм відводу в процесі розгляду справи про адміністративні правопорушення. При цьому окремо прописується </w:t>
      </w:r>
      <w:r w:rsidRPr="0001117E">
        <w:rPr>
          <w:rFonts w:ascii="Times New Roman CYR" w:eastAsia="MS Mincho" w:hAnsi="Times New Roman CYR" w:cs="Times New Roman CYR"/>
          <w:bCs/>
          <w:sz w:val="28"/>
          <w:szCs w:val="28"/>
          <w:lang w:val="uk-UA"/>
        </w:rPr>
        <w:lastRenderedPageBreak/>
        <w:t>порядок відводу члена колегіального органу, що здійснює розгляд таких справ у визначених законом випадках – за аналогією із відводом судді у колегії суддів.</w:t>
      </w:r>
    </w:p>
    <w:p w14:paraId="69456824"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Також окремо пропонується запровадити процедуру відводу посадової особи, яка розглядає справу про адміністративне правопорушення – заява про відвід має розглядатися її керівником.</w:t>
      </w:r>
    </w:p>
    <w:p w14:paraId="26B90977"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Право суду залишати без розгляду заяву про відвід, яка подана повторно з тих самих підстав не виходячи до нарадчої кімнати уніфікується і запроваджується в усіх видах судочинства.</w:t>
      </w:r>
    </w:p>
    <w:p w14:paraId="23ACF2A6"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Автори законопроекту вважають, що у разі запровадження зазначеного механізму кожен матиме реальне право забезпечити належний розгляд його заяви про відвід іншим суддею не зриваючи при цьому розгляд справи. В очевидних випадках виникнення упередженості вже під час судового процесу особа не буде позбавлена можливості подання заяви про відвід, але розглядатися вона буде вже буде за існуючою процедурою. Тим самим буде досягнуто баланс між право на відвід та правом на швидке відправлення правосуддя.</w:t>
      </w:r>
    </w:p>
    <w:p w14:paraId="3CE58AAB" w14:textId="77777777" w:rsidR="001C6AA0"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p>
    <w:p w14:paraId="4D059D15" w14:textId="77777777" w:rsidR="001C6AA0"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p>
    <w:p w14:paraId="6B681C19" w14:textId="77777777" w:rsidR="001C6AA0" w:rsidRPr="00BE0B1A" w:rsidRDefault="001C6AA0" w:rsidP="001C6AA0">
      <w:pPr>
        <w:pStyle w:val="1"/>
        <w:shd w:val="clear" w:color="auto" w:fill="auto"/>
        <w:ind w:right="57" w:firstLine="851"/>
        <w:jc w:val="both"/>
        <w:rPr>
          <w:bCs/>
          <w:noProof w:val="0"/>
          <w:kern w:val="32"/>
          <w:szCs w:val="28"/>
        </w:rPr>
      </w:pPr>
      <w:bookmarkStart w:id="54" w:name="_Toc532751468"/>
      <w:r w:rsidRPr="00BE0B1A">
        <w:rPr>
          <w:bCs/>
          <w:noProof w:val="0"/>
          <w:kern w:val="32"/>
          <w:szCs w:val="28"/>
        </w:rPr>
        <w:t>3.3. Зарубіжний досвід правового регулювання інституту відводу та самовідводу: можливості імплементації в Україні</w:t>
      </w:r>
      <w:bookmarkEnd w:id="54"/>
      <w:r w:rsidRPr="00BE0B1A">
        <w:rPr>
          <w:bCs/>
          <w:noProof w:val="0"/>
          <w:kern w:val="32"/>
          <w:szCs w:val="28"/>
        </w:rPr>
        <w:t xml:space="preserve"> </w:t>
      </w:r>
    </w:p>
    <w:p w14:paraId="140AD363" w14:textId="77777777" w:rsidR="001C6AA0"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7E5C2A71"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Статтею 6 Конвенції про захист прав і основних свобод людини 1950 року, ратифікованою Верховною Радою України (Закон України від 17 липня 1997 року № 475/97-ВР), закріплені основні процесуальні гарантії, якими може скористатися особа при розгляді її цивільного позову в національному суді, серед яких - розгляд справи незалежним і безстороннім судом, встановленим законом.</w:t>
      </w:r>
    </w:p>
    <w:p w14:paraId="30D53B12"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Європейським судом з прав людини в рішенні по справі «Білуха проти України» (Заява № 33949/02) від 09.11.2006 зазначено, що «особиста безсторонність суду презюмується, поки не надано доказів протилежного».</w:t>
      </w:r>
    </w:p>
    <w:p w14:paraId="7F47EB7D"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lastRenderedPageBreak/>
        <w:t>Відповідно до рішення Європейського суду з прав людини у справі «Газета «Україна-центр» проти України» від 15.10.2010, для забезпечення існування неупередженості суду для цілей пункту 1 статті 6 Конвенції про захист прав і основних свобод людини необхідно виключити будь-які обґрунтовані сумніви щодо безсторонності суду.</w:t>
      </w:r>
    </w:p>
    <w:p w14:paraId="05222555"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У рішенні Європейського суду з прав людини у справі «Бочан проти України» від 03 травня 2007 року суд нагадує, що «безсторонність», в сенсі пункту 1 статті 6 Конвенції, має визначатися відповідно до суб'єктивного критерію, на підставі особистих переконань та поведінки конкретного судді у конкретній справі - тобто, жоден з членів суду не має проявляти будь-якої особистої прихильності або упередження, та об'єктивного критерію - тобто, чи були у судді достатні гарантії для того, щоб виключити будь-які легітимні сумніви з цього приводу. Відповідно до об'єктивного критерію має бути визначено, чи наявні факти, що можуть бути перевірені, які породжують сумніви щодо відсутності безсторонності суддів. У цьому зв'язку навіть зовнішні ознаки мають певне значення. Ключовим питанням є питання довіри, яку суди в демократичному суспільстві мають вселяти суспільству і, перш за все, сторонам у процесі.</w:t>
      </w:r>
    </w:p>
    <w:p w14:paraId="09FED85E" w14:textId="4136ADE5"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Отже, при вирішенні питання про відвід судді (складу суду) необхідно перевірити додержання як об'єктивного, так і суб'єктивного критеріїв безсторонності суду, а саме формування суду (колегії суддів) для розгляду конкретної справи (об'єктивний критерій) у встановлений законом спосіб, та надати оцінку доводам заявника на предмет недодержання вимог щодо особистої безсторонності суду (суб'єктивний критерій). Саме за цим алгоритмом і повинні готуватися заяви про відвід судді</w:t>
      </w:r>
      <w:r w:rsidRPr="00774B9C">
        <w:rPr>
          <w:rFonts w:ascii="Times New Roman CYR" w:eastAsia="MS Mincho" w:hAnsi="Times New Roman CYR" w:cs="Times New Roman CYR"/>
          <w:bCs/>
          <w:sz w:val="28"/>
          <w:szCs w:val="28"/>
        </w:rPr>
        <w:t xml:space="preserve"> </w:t>
      </w:r>
      <w:r w:rsidR="001D4FE2">
        <w:rPr>
          <w:rFonts w:ascii="Times New Roman CYR" w:eastAsia="MS Mincho" w:hAnsi="Times New Roman CYR" w:cs="Times New Roman CYR"/>
          <w:bCs/>
          <w:sz w:val="28"/>
          <w:szCs w:val="28"/>
        </w:rPr>
        <w:t>[104</w:t>
      </w:r>
      <w:r w:rsidRPr="00774B9C">
        <w:rPr>
          <w:rFonts w:ascii="Times New Roman CYR" w:eastAsia="MS Mincho" w:hAnsi="Times New Roman CYR" w:cs="Times New Roman CYR"/>
          <w:bCs/>
          <w:sz w:val="28"/>
          <w:szCs w:val="28"/>
        </w:rPr>
        <w:t>]</w:t>
      </w:r>
      <w:r w:rsidRPr="0001117E">
        <w:rPr>
          <w:rFonts w:ascii="Times New Roman CYR" w:eastAsia="MS Mincho" w:hAnsi="Times New Roman CYR" w:cs="Times New Roman CYR"/>
          <w:bCs/>
          <w:sz w:val="28"/>
          <w:szCs w:val="28"/>
          <w:lang w:val="uk-UA"/>
        </w:rPr>
        <w:t>.</w:t>
      </w:r>
    </w:p>
    <w:p w14:paraId="10BF4141"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З вересня 1995 року, коли Парламентська Асамблея Ради Європи ухвалила позитивний висновок щодо заявки України на вступ до Ради Європи (Висновок ПАРЄ № 190 (1995), Україною було визнано необхідність приведення системи правосуддя у відповідність до визнаних європейських стандартів. Серед них окремо виділено систему підготовки суддів, яка повинна </w:t>
      </w:r>
      <w:r w:rsidRPr="0001117E">
        <w:rPr>
          <w:rFonts w:ascii="Times New Roman CYR" w:eastAsia="MS Mincho" w:hAnsi="Times New Roman CYR" w:cs="Times New Roman CYR"/>
          <w:bCs/>
          <w:sz w:val="28"/>
          <w:szCs w:val="28"/>
          <w:lang w:val="uk-UA"/>
        </w:rPr>
        <w:lastRenderedPageBreak/>
        <w:t xml:space="preserve">бути частиною судової гілки влади та здійснюватись під контролем і наглядом незалежного органу суддівського самоуправління. Така рекомендація була надана Венеціанською Комісією і прямо випливає з п. 7.3.3 Резолюції 1755 (2010) Парламентської Асамблеї Ради Європи «Функціонування демократичних інституцій в Україні». Імплементація зазначених рекомендацій здійснюється у приписах Розділу V Закону України від 7 липня 2010 року «Про судоустрій і статус суддів», які стосуються врегулювання питань забезпечення належного кваліфікаційного рівня судді, а також в Указі Президента України від 12 січня 2011 року №24/2011, яким затверджено План заходів із виконання обов’язків та зобов’язань України, що випливають з її членства в Раді Європи, інших нормативних актах. За достатньо стислі строки було здійснено низку організаційних заходів щодо запровадження європейських стандартів у практику організації належної підготовки суддів. </w:t>
      </w:r>
    </w:p>
    <w:p w14:paraId="14370972"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Так, Вищою кваліфікаційною комісією суддів України здійснюються процедури добору на посаду судді, у межах яких проведене незалежне тестування 3430 осіб, допущених до участі у доборі кандидатів на посаду судді. У своєму рішенні від 18 травня 2011 року Вища кваліфікаційна комісія суддів України затвердила базу тестових запитань для складення кандидатами на посаду судді анонімного тестування (іспиту) на виявлення рівня загальних теоретичних знань у галузі права. Було утворено Національну школу суддів України при Вищій кваліфікаційній комісії суддів України на базі Академії суддів України. На яку покладено відповідальність за підготовку висококваліфікованих кадрів для судової системи та організацію спеціальної підготовки на посаду судді. З 3 по 7 жовтня 2011 року Вища кваліфікаційна комісія суддів України за підтримки Спільної програми Європейського Союзу та Ради Європи «Прозорість та ефективність судової системи України» у рамках навчального модуля з методології тлумачення нормативно-правових актів провела четверту навчальну сесія для суддів-тренерів, у якій взяло участь близько 30 майбутніх суддів-викладачів. «Вища кваліфікаційна комісія суддів України: досвід, актуальні питання та перспективи» 205 Проте проведена </w:t>
      </w:r>
      <w:r w:rsidRPr="0001117E">
        <w:rPr>
          <w:rFonts w:ascii="Times New Roman CYR" w:eastAsia="MS Mincho" w:hAnsi="Times New Roman CYR" w:cs="Times New Roman CYR"/>
          <w:bCs/>
          <w:sz w:val="28"/>
          <w:szCs w:val="28"/>
          <w:lang w:val="uk-UA"/>
        </w:rPr>
        <w:lastRenderedPageBreak/>
        <w:t>робота є лише початком процесу запровадження дієвих гарантій належного кваліфікаційного рівня судді, відповідно до європейських стандартів, про що свідчать і виявлені численні прогалини у законодавстві, зокрема у частині, що стосується процедур організації добору та відбору кандидатів на посаду судді, застосування заходів дисциплінарного впливу тощо. У цьому контексті слід пригадати Європейську Хартію про статус суддів, прийняту в Страсбурзі у липні 1998 року (DAJ/DOC (98)23), де встановлено вимогу передбачити законом забезпечення умов, що гарантуватимуть шляхом дотримання вимог щодо освітньої кваліфікації та наявності попереднього досвіду призначення на посаду саме тих осіб, які здатні здійснювати судові обов’язки</w:t>
      </w:r>
      <w:r w:rsidRPr="00774B9C">
        <w:rPr>
          <w:rFonts w:ascii="Times New Roman CYR" w:eastAsia="MS Mincho" w:hAnsi="Times New Roman CYR" w:cs="Times New Roman CYR"/>
          <w:bCs/>
          <w:sz w:val="28"/>
          <w:szCs w:val="28"/>
          <w:lang w:val="uk-UA"/>
        </w:rPr>
        <w:t xml:space="preserve"> [108]</w:t>
      </w:r>
      <w:r w:rsidRPr="0001117E">
        <w:rPr>
          <w:rFonts w:ascii="Times New Roman CYR" w:eastAsia="MS Mincho" w:hAnsi="Times New Roman CYR" w:cs="Times New Roman CYR"/>
          <w:bCs/>
          <w:sz w:val="28"/>
          <w:szCs w:val="28"/>
          <w:lang w:val="uk-UA"/>
        </w:rPr>
        <w:t xml:space="preserve">. </w:t>
      </w:r>
    </w:p>
    <w:p w14:paraId="1E72220C"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Окремо, у зв’язку з цим, постають в Україні проблеми організації навчального процесу, формування навчальних програм, належного методичного забезпечення, добір на посади викладачів, організація взаємодії із навчальними закладами, які готують майбутніх суддів та інше. Міжнародними стандартами у сфері судочинства, передбачено певні рекомендації щодо навчання суддів. Зокрема, вказане стосується Рекомендації Rec (2004) 4 Комітету Міністрів Ради Європи державам-членам про роль Європейської конвенції з прав людини в університетській освіті та професійній підготовці, Висновку №4 (2003) Консультативної ради європейських суддів до уваги Комітету Міністрів Ради Європи щодо належної підготовки та підвищення кваліфікації суддів на національному та європейському рівнях. Про важливість навчання суддів зазначено у таких міжнародних документах, як Основні принципи ООН щодо незалежності правосуддя, прийняті у 1985 році, та документах Ради Європи, прийнятих у 1994 році (Рекомендація № R(94) 12 щодо незалежності, ефективності та ролі суддів), а також у 1998 році (Європейська Хартія про статус суддів), посилання на які містяться в пункті 11 Висновку КРЄС №1. </w:t>
      </w:r>
    </w:p>
    <w:p w14:paraId="1B90F2B7"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Звернення до досвіду Франції, Німеччини, інших демократичних держав свідчить про те, що здійснення судово-правових реформ та підвищення статусу судової влади у державі неможливі без професійної підготовки суддів у </w:t>
      </w:r>
      <w:r w:rsidRPr="0001117E">
        <w:rPr>
          <w:rFonts w:ascii="Times New Roman CYR" w:eastAsia="MS Mincho" w:hAnsi="Times New Roman CYR" w:cs="Times New Roman CYR"/>
          <w:bCs/>
          <w:sz w:val="28"/>
          <w:szCs w:val="28"/>
          <w:lang w:val="uk-UA"/>
        </w:rPr>
        <w:lastRenderedPageBreak/>
        <w:t>спеціалізованому навчальному закладі суддівської освіти. Такі навчальні заклади, першою з яких була Французька школа магістратури, діють у більшості країн Європи, а також у Португалії, Іспанії, Нідерландах та ін. Аналогічні принципи організації підготовки майбутніх суддів покладені в основу створення навчальних закладів суддівської освіти у постсоціалістичних країнах, наприклад, Румунії, Болгарії, Албанії, Польщі, Молдові, Боснії і Герцеговині, Хорватії, Казахстані, Грузії, Азербайджані, Вірменії та ін1 . У Франції діє Національна школа магістрату як державний заклад, який займається підготовкою магістрів. Його унікальність проявляється у максимальному пристосуванні до реалізації завдань поповнення суддівського корпусу кадрами, які мають належну професійну підготовку2 . Слухачі набираються на конкурсній основі, а також шляхом персонального відбору. Щороку оголошується два конкурси з тим, щоб забезпечити приплив в суддівський корпус широкого спектру спеціалістів. В основному, європейські установи будують свою роботу, орієнтуючись на досвід Національної школи магістрату Франції, учбові програми якої базуються на роботі в аудиторіях з суддеютренером, де велика частина часу відведена розгляду окремих судових справ і проведенню тривалих стажувань у різних органах юстиції</w:t>
      </w:r>
      <w:r w:rsidRPr="00774B9C">
        <w:rPr>
          <w:rFonts w:ascii="Times New Roman CYR" w:eastAsia="MS Mincho" w:hAnsi="Times New Roman CYR" w:cs="Times New Roman CYR"/>
          <w:bCs/>
          <w:sz w:val="28"/>
          <w:szCs w:val="28"/>
        </w:rPr>
        <w:t xml:space="preserve"> [108</w:t>
      </w:r>
      <w:r w:rsidRPr="00A65373">
        <w:rPr>
          <w:rFonts w:ascii="Times New Roman CYR" w:eastAsia="MS Mincho" w:hAnsi="Times New Roman CYR" w:cs="Times New Roman CYR"/>
          <w:bCs/>
          <w:sz w:val="28"/>
          <w:szCs w:val="28"/>
        </w:rPr>
        <w:t>]</w:t>
      </w:r>
      <w:r w:rsidRPr="0001117E">
        <w:rPr>
          <w:rFonts w:ascii="Times New Roman CYR" w:eastAsia="MS Mincho" w:hAnsi="Times New Roman CYR" w:cs="Times New Roman CYR"/>
          <w:bCs/>
          <w:sz w:val="28"/>
          <w:szCs w:val="28"/>
          <w:lang w:val="uk-UA"/>
        </w:rPr>
        <w:t xml:space="preserve">. </w:t>
      </w:r>
    </w:p>
    <w:p w14:paraId="22BC0D7B"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Питаннями наукових досліджень в області судоустрою і правозастосування європейські установи по навчанню суддів не займаються. Досвід професійної підготовки суддів у країнах із сталими демократичними традиціями свідчить про необхідність функціонування системи спеціальної професійної підготовки суддів, яка здійснюється у спеціалізованих вищих навчальних закладах. Гарантіями належного кваліфікаційного рівня судді при цьому виступають не тільки спеціалізація навчання, а й освітньо-кваліфікаційний рівень магістра, який набувають випускники цих навчальних закладів, а також існуюча система добору кандидатів на навчання. </w:t>
      </w:r>
    </w:p>
    <w:p w14:paraId="235DE799"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Перша міжнародна науково-практична конференція Якщо звернутись до системи підготовки суддівських кадрів в Україні, слід виділити умовно два рівні. На першому здійснюється професійна підготовка юристів, у тому числі – </w:t>
      </w:r>
      <w:r w:rsidRPr="0001117E">
        <w:rPr>
          <w:rFonts w:ascii="Times New Roman CYR" w:eastAsia="MS Mincho" w:hAnsi="Times New Roman CYR" w:cs="Times New Roman CYR"/>
          <w:bCs/>
          <w:sz w:val="28"/>
          <w:szCs w:val="28"/>
          <w:lang w:val="uk-UA"/>
        </w:rPr>
        <w:lastRenderedPageBreak/>
        <w:t xml:space="preserve">і майбутніх суддів, а на другому – підвищення їх кваліфікації. Сучасна система підготовки суддів у юридичних вищих навчальних закладах в Україні передбачає спеціалізацію, відтворену у навчальних програмах, проходження практики тощо. Однак фаховість судді забезпечується підвищеним рівнем якості набутих знань, умінь, навичок, адже у своїй повсякденній діяльності суддя у процесі відправлення правосуддя, прийняття рішення у справі виконує важливу державну функцію гарантування верховенства права, законності, що, у свою чергу, впливає на довіру населення до держави, її спроможності захистити справедливість, основні моральні цінності, відновити порушені права, притягнути винних до відповідальності. </w:t>
      </w:r>
    </w:p>
    <w:p w14:paraId="648AB019"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Виконання суддею професійних обов’язків, у свою чергу, вимагає підвищення кваліфікації, організації процесу постійного набуття суддею професійних знань, умінь, навичок. При цьому слід відзначити наявність значного потенціалу щодо вдосконалення професійної підготовки шляхом встановлення вимоги щодо спеціалізації навчання. Видається доцільним і встановлення окремих вимог щодо кандидатів на навчання у вищих навчальних закладах, які мають готувати майбутніх суддів. Разом з тим, для гарантування ефективності і належності професійної підготовки судді необхідно налагодити співпрацю між Вищою кваліфікаційною комісією суддів України, Вищою радою юстиції та Міністерством освіти, молоді і спорту України, Міністерством юстиції України, Державною судовою адміністрацією України. З іншого боку, також має бути налагоджена співпраця Національної школи суддів України із провідними юридичними вищими навчальними закладами, досвід підготовки кадрів яких – неоціненний і випробуваний часом. </w:t>
      </w:r>
    </w:p>
    <w:p w14:paraId="37928EEB"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Така співпраця може бути здійснена на підставі відповідних договорів. Формами співпраці можуть бути процедури узгодження навчальних планів для забезпечення наступності навчання, проведення спільних семінарів-нарад із проблем підготовки кадрів, розробка спільних навчальних програм тощо. Окремий напрямок має складати співпраця із навчальними закладами інших країн, які здійснюють підготовку кадрів для судової системи. При цьому мають </w:t>
      </w:r>
      <w:r w:rsidRPr="0001117E">
        <w:rPr>
          <w:rFonts w:ascii="Times New Roman CYR" w:eastAsia="MS Mincho" w:hAnsi="Times New Roman CYR" w:cs="Times New Roman CYR"/>
          <w:bCs/>
          <w:sz w:val="28"/>
          <w:szCs w:val="28"/>
          <w:lang w:val="uk-UA"/>
        </w:rPr>
        <w:lastRenderedPageBreak/>
        <w:t xml:space="preserve">бути враховані положення Концепції удосконалення судочинства для утвердження справедливого суду відповідно до європейських стандартів, затвердженої Указом Президента України від 10 травня 2006 року № 361/2006, якими передбачено якісне підвищення фахового рівня суддівського корпусу. </w:t>
      </w:r>
    </w:p>
    <w:p w14:paraId="0C818D10"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При цьому підкреслено, що неодмінними умовами справедливого судочинства є незалежність, безсторонність та професіоналізм судді. Стосовно ж підвищення кваліфікації, доцільно звернутись до відповідної системи, яка плідно функціонує в Королівстві Іспанія, де з метою забезпечення високого рівня професійності суддівського корпусу передбачено безперервну освіту суддів у наступних формах: конгреси, курси, семінари, додаткова освіта, стажування, наради, проведення досліджень із проблеми розвитку юриспруденції, здійснення заходів щодо переходу у спеціалізовані суди, дистанційне навчання. </w:t>
      </w:r>
    </w:p>
    <w:p w14:paraId="610D616C"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Враховуючи зазначене, для гарантування належного кваліфікаційного рівня судді в Україні корисним видається розвиток системи дистанційного навчання та активізація наукових досліджень із питань вдосконалення функціонування судової системи взагалі, її кадрового забезпечення, зокрема. При цьому функції координатора таких досліджень та організатора дистанційного навчання доцільно покласти на Національну школу суддів України, враховуючи ту роль, яку вона виконує у системі судоустрою. </w:t>
      </w:r>
    </w:p>
    <w:p w14:paraId="595F586E"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 xml:space="preserve">Вирішенню цих завдань сприятиме постійний моніторинг стану розвитку судової системи та чинного законодавства, організацію здійснення якого можливо було би здійснити у межах функціонування Національної школи суддів України. Для запровадження системи дистанційного навчання Національна школа суддів України може розробляти програми і пропонувати навчальні курси у рамках, наприклад, Плану підвищення кваліфікації суддів, забезпечуючи таким чином «Вища кваліфікаційна комісія суддів України: досвід, актуальні питання та перспективи» 207 проведення освітніх заходів у націленій на такі завдання співпраці з установами, що спеціалізуються на наданні такої освіти. </w:t>
      </w:r>
    </w:p>
    <w:p w14:paraId="39D058E4"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lastRenderedPageBreak/>
        <w:t xml:space="preserve">Основу якісної підготовки суддів має складати науковий доробок, для чого доцільним є не лише комплектування на посади науково-викладацького складу у вищих навчальних закладах, які готують майбутніх суддів, а також у Національній школі суддів України провідними вченимиюристами, а й розвиток постійної їх взаємодії із судами, зокрема, шляхом участі у роботі науковоконсультативних рад, надання методичної допомоги, підготовки науково-практичних коментарів до законодавства. </w:t>
      </w:r>
    </w:p>
    <w:p w14:paraId="08EEF002" w14:textId="77777777" w:rsidR="001C6AA0" w:rsidRPr="0001117E"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bCs/>
          <w:sz w:val="28"/>
          <w:szCs w:val="28"/>
          <w:lang w:val="uk-UA"/>
        </w:rPr>
      </w:pPr>
      <w:r w:rsidRPr="0001117E">
        <w:rPr>
          <w:rFonts w:ascii="Times New Roman CYR" w:eastAsia="MS Mincho" w:hAnsi="Times New Roman CYR" w:cs="Times New Roman CYR"/>
          <w:bCs/>
          <w:sz w:val="28"/>
          <w:szCs w:val="28"/>
          <w:lang w:val="uk-UA"/>
        </w:rPr>
        <w:t>Крім того, до навчального процесу доцільно залучати суддів, які є досвідченими і мають схильність до викладання. У Висновку №4 (2003) Консультативної ради європейських суддів до уваги Комітету Міністрів Ради Європи щодо належної підготовки та підвищення кваліфікації суддів на національному та європейському рівнях підкреслено важливість здійснення навчання суддями та експертами у кожній дисципліні. Викладачі повинні ретельно відбиратися з числа найкращих у своїй професії органом, відповідальним за навчання, з урахуванням їхнього знання предметів, які викладаються, та навичок викладання (п.20).</w:t>
      </w:r>
    </w:p>
    <w:p w14:paraId="517A33A6" w14:textId="77777777" w:rsidR="001C6AA0"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176EB090" w14:textId="77777777" w:rsidR="00D85D55" w:rsidRDefault="00D85D55"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0C784FEB" w14:textId="77777777" w:rsidR="00D85D55" w:rsidRPr="00BE0B1A" w:rsidRDefault="00D85D55"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581C469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4FCDD0AC" w14:textId="77777777" w:rsidR="001C6AA0" w:rsidRPr="00BE0B1A" w:rsidRDefault="001C6AA0" w:rsidP="001C6AA0">
      <w:pPr>
        <w:widowControl w:val="0"/>
        <w:adjustRightInd w:val="0"/>
        <w:spacing w:line="360" w:lineRule="auto"/>
        <w:ind w:firstLine="851"/>
        <w:jc w:val="both"/>
        <w:textAlignment w:val="baseline"/>
        <w:outlineLvl w:val="0"/>
        <w:rPr>
          <w:b/>
          <w:sz w:val="28"/>
          <w:szCs w:val="28"/>
          <w:lang w:val="uk-UA"/>
        </w:rPr>
      </w:pPr>
      <w:bookmarkStart w:id="55" w:name="_Toc532751469"/>
      <w:r w:rsidRPr="00BE0B1A">
        <w:rPr>
          <w:b/>
          <w:sz w:val="28"/>
          <w:szCs w:val="28"/>
          <w:lang w:val="uk-UA"/>
        </w:rPr>
        <w:t>Висновки до третього розділу</w:t>
      </w:r>
      <w:bookmarkEnd w:id="55"/>
    </w:p>
    <w:p w14:paraId="25CB35F2" w14:textId="77777777" w:rsidR="001C6AA0"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7FE1481F" w14:textId="77777777" w:rsidR="001C6AA0" w:rsidRPr="0001117E"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9C7B5A">
        <w:rPr>
          <w:rFonts w:ascii="Times New Roman CYR" w:eastAsia="MS Mincho" w:hAnsi="Times New Roman CYR" w:cs="Times New Roman CYR"/>
          <w:bCs/>
          <w:sz w:val="28"/>
          <w:szCs w:val="28"/>
          <w:lang w:val="uk-UA"/>
        </w:rPr>
        <w:t>1.</w:t>
      </w:r>
      <w:r>
        <w:rPr>
          <w:rFonts w:ascii="Times New Roman CYR" w:eastAsia="MS Mincho" w:hAnsi="Times New Roman CYR" w:cs="Times New Roman CYR"/>
          <w:bCs/>
          <w:sz w:val="28"/>
          <w:szCs w:val="28"/>
          <w:lang w:val="uk-UA"/>
        </w:rPr>
        <w:t xml:space="preserve"> </w:t>
      </w:r>
      <w:r w:rsidRPr="0001117E">
        <w:rPr>
          <w:rFonts w:ascii="Times New Roman CYR" w:eastAsia="MS Mincho" w:hAnsi="Times New Roman CYR" w:cs="Times New Roman CYR"/>
          <w:bCs/>
          <w:sz w:val="28"/>
          <w:szCs w:val="28"/>
          <w:lang w:val="uk-UA"/>
        </w:rPr>
        <w:t xml:space="preserve">Досліджуючи питання розгляду та винесення ухвали про відвід, слід зауважити, що в Україні, на жаль, існує і певна проблема зловживання правами, в тому числі і правом на відвід. Зокрема, слід розцінювати як зловживання учасником судового процесу своїми процесуальними правами, зокрема, подання ним другої і наступних заяв про відвід судді (суддів) господарських судів з одних і тих самих підстав (у тому числі з викладенням відповідної заяви в іншій стилістичній формі), або, хоча й з інших підстав, ніж у первісній заяві, але з таких, що з урахуванням обставин справи були або мали бути відомі заявникові </w:t>
      </w:r>
      <w:r w:rsidRPr="0001117E">
        <w:rPr>
          <w:rFonts w:ascii="Times New Roman CYR" w:eastAsia="MS Mincho" w:hAnsi="Times New Roman CYR" w:cs="Times New Roman CYR"/>
          <w:bCs/>
          <w:sz w:val="28"/>
          <w:szCs w:val="28"/>
          <w:lang w:val="uk-UA"/>
        </w:rPr>
        <w:lastRenderedPageBreak/>
        <w:t xml:space="preserve">під час подання ним первісної заяви, і, отже, повинні були зазначатися саме в ній. Якщо спір вирішується (справа розглядається) колегіально, то відповідним зловживанням процесуальними правами може вважатися послідовне заявлення відводів суддям, що входять до складу відповідної колегії, з одних і тих самих підстав, хоча первісну заяву про відвід одного з цих суддів з тих же підстав залишено без задоволення. Якщо заяви про відводи суддів містять лише припущення, то вказане також призводить до зловживання сторонами процесуальними правами з метою штучного затягування розгляду господарської справи. Іноді відвід використовують і для отримання можливості долучити до матеріалів справи докази, які суд раніше відмовився долучати, наприклад, за тих підстав, що вони не мають відношення до предмету спору. Долучивши вказані докази разом із заявою про відвід судді, сторона в подальшому отримує право посилатися на них в обґрунтування власної позиції, що є основною та частіше за все єдиною метою подання заяви про відвід. </w:t>
      </w:r>
    </w:p>
    <w:p w14:paraId="0098CAD9" w14:textId="77777777" w:rsidR="001C6AA0" w:rsidRPr="0001117E"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Pr>
          <w:rFonts w:ascii="Times New Roman CYR" w:eastAsia="MS Mincho" w:hAnsi="Times New Roman CYR" w:cs="Times New Roman CYR"/>
          <w:bCs/>
          <w:sz w:val="28"/>
          <w:szCs w:val="28"/>
          <w:lang w:val="uk-UA"/>
        </w:rPr>
        <w:t xml:space="preserve">2. </w:t>
      </w:r>
      <w:r w:rsidRPr="0001117E">
        <w:rPr>
          <w:rFonts w:ascii="Times New Roman CYR" w:eastAsia="MS Mincho" w:hAnsi="Times New Roman CYR" w:cs="Times New Roman CYR"/>
          <w:bCs/>
          <w:sz w:val="28"/>
          <w:szCs w:val="28"/>
          <w:lang w:val="uk-UA"/>
        </w:rPr>
        <w:t xml:space="preserve">Суддя повинен запобігати реалізації прихованих цілей учасників господарського процесу шляхом безпідставного заявлення відводів. Механізм відводу умовно може бути поділений на декілька етапів, кожен з яких потребує глибокого дослідження та вдосконалення. </w:t>
      </w:r>
    </w:p>
    <w:p w14:paraId="00AA846F" w14:textId="77777777" w:rsidR="001C6AA0" w:rsidRPr="0001117E"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Pr>
          <w:rFonts w:ascii="Times New Roman CYR" w:eastAsia="MS Mincho" w:hAnsi="Times New Roman CYR" w:cs="Times New Roman CYR"/>
          <w:bCs/>
          <w:sz w:val="28"/>
          <w:szCs w:val="28"/>
          <w:lang w:val="uk-UA"/>
        </w:rPr>
        <w:t xml:space="preserve">3. </w:t>
      </w:r>
      <w:r w:rsidRPr="0001117E">
        <w:rPr>
          <w:rFonts w:ascii="Times New Roman CYR" w:eastAsia="MS Mincho" w:hAnsi="Times New Roman CYR" w:cs="Times New Roman CYR"/>
          <w:bCs/>
          <w:sz w:val="28"/>
          <w:szCs w:val="28"/>
          <w:lang w:val="uk-UA"/>
        </w:rPr>
        <w:t>Досліджуючи прогалини механізму відводів і самовідводів, доречно зауважити, що вдосконалення такого механізму створюватиме додаткову гарантію захисту прав учасників господарського процесу, оскільки, по-перше, запобігатиме можливостям зловживань при розгляді господарських справ, по-друге, забезпечуватиме належний рівень захисту прав та законних інтересів учасників господарського процесу, неупередженість судді та судового експерта, а також передбачуваність результ атів розгляду господарської справи, виходячи з належних та достовірних доказів у справі.</w:t>
      </w:r>
    </w:p>
    <w:p w14:paraId="28A74023"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33544B54" w14:textId="77777777" w:rsidR="001C6AA0" w:rsidRPr="00BE0B1A" w:rsidRDefault="001C6AA0" w:rsidP="001C6AA0">
      <w:pPr>
        <w:pStyle w:val="1"/>
        <w:keepNext w:val="0"/>
        <w:shd w:val="clear" w:color="auto" w:fill="auto"/>
        <w:ind w:right="57" w:firstLine="851"/>
        <w:rPr>
          <w:bCs/>
          <w:noProof w:val="0"/>
          <w:kern w:val="32"/>
          <w:szCs w:val="28"/>
        </w:rPr>
      </w:pPr>
      <w:r w:rsidRPr="00AD0B9F">
        <w:rPr>
          <w:b w:val="0"/>
          <w:bCs/>
          <w:noProof w:val="0"/>
          <w:kern w:val="32"/>
          <w:szCs w:val="28"/>
        </w:rPr>
        <w:br w:type="page"/>
      </w:r>
      <w:bookmarkStart w:id="56" w:name="_Toc532751470"/>
      <w:r w:rsidRPr="00BE0B1A">
        <w:rPr>
          <w:bCs/>
          <w:noProof w:val="0"/>
          <w:kern w:val="32"/>
          <w:szCs w:val="28"/>
        </w:rPr>
        <w:lastRenderedPageBreak/>
        <w:t>ВИСНОВКИ</w:t>
      </w:r>
      <w:bookmarkEnd w:id="56"/>
    </w:p>
    <w:p w14:paraId="43DAA11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p>
    <w:p w14:paraId="3562705E" w14:textId="77777777" w:rsidR="001C6AA0" w:rsidRPr="00DC1481"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DC1481">
        <w:rPr>
          <w:rFonts w:ascii="Times New Roman CYR" w:eastAsia="MS Mincho" w:hAnsi="Times New Roman CYR" w:cs="Times New Roman CYR"/>
          <w:bCs/>
          <w:sz w:val="28"/>
          <w:szCs w:val="28"/>
          <w:lang w:val="uk-UA"/>
        </w:rPr>
        <w:t xml:space="preserve">Проведене наукове дослідження </w:t>
      </w:r>
      <w:r>
        <w:rPr>
          <w:rFonts w:ascii="Times New Roman CYR" w:eastAsia="MS Mincho" w:hAnsi="Times New Roman CYR" w:cs="Times New Roman CYR"/>
          <w:bCs/>
          <w:sz w:val="28"/>
          <w:szCs w:val="28"/>
          <w:lang w:val="uk-UA"/>
        </w:rPr>
        <w:t xml:space="preserve">інституту відводу судді в господарському процесі </w:t>
      </w:r>
      <w:r w:rsidRPr="00DC1481">
        <w:rPr>
          <w:rFonts w:ascii="Times New Roman CYR" w:eastAsia="MS Mincho" w:hAnsi="Times New Roman CYR" w:cs="Times New Roman CYR"/>
          <w:bCs/>
          <w:sz w:val="28"/>
          <w:szCs w:val="28"/>
          <w:lang w:val="uk-UA"/>
        </w:rPr>
        <w:t>дозволяє сформулювати узагальнені теоретичні висновки та внести конкретні пропозиції щодо вдосконалення норм діючого законодавства України.</w:t>
      </w:r>
    </w:p>
    <w:p w14:paraId="1C7D9E1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В сучасних умовах реформування судових правоохоронних органів в Україні актуалізуються проблемні питання становлення та розвитку механізму захисту прав і свобод людини та громадянина, підтримання правопорядку у громадянському суспільстві. </w:t>
      </w:r>
      <w:r w:rsidRPr="00BE0B1A">
        <w:rPr>
          <w:rFonts w:ascii="Times New Roman CYR" w:eastAsia="MS Mincho" w:hAnsi="Times New Roman CYR" w:cs="Times New Roman CYR"/>
          <w:bCs/>
          <w:iCs/>
          <w:sz w:val="28"/>
          <w:szCs w:val="28"/>
          <w:lang w:val="uk-UA"/>
        </w:rPr>
        <w:t>Наявність інституту відводу судді гарантує забезпечення законності судового процесу, здійснення його неупередженою особою відповідно до норм чинного законодавства України. Звідси тема відводу судді є актуальною на сьогодні, адже кожна демократична країна прагне досконалості у прийнятті обґрунтованих правових рішень, об’єктивного та неупередженого вирішенні правового спору.</w:t>
      </w:r>
    </w:p>
    <w:p w14:paraId="1A27A1D1" w14:textId="77777777" w:rsidR="001C6AA0" w:rsidRPr="00DC1481"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1. </w:t>
      </w:r>
      <w:r w:rsidRPr="00DC1481">
        <w:rPr>
          <w:rFonts w:ascii="Times New Roman CYR" w:eastAsia="MS Mincho" w:hAnsi="Times New Roman CYR" w:cs="Times New Roman CYR"/>
          <w:bCs/>
          <w:sz w:val="28"/>
          <w:szCs w:val="28"/>
          <w:lang w:val="uk-UA"/>
        </w:rPr>
        <w:t xml:space="preserve">Сучасний інститут відводу судді ґрунтується на розробленій доктрині вчених Стародавнього Риму. </w:t>
      </w:r>
      <w:r w:rsidRPr="00DC1481">
        <w:rPr>
          <w:rFonts w:ascii="Times New Roman CYR" w:eastAsia="MS Mincho" w:hAnsi="Times New Roman CYR" w:cs="Times New Roman CYR"/>
          <w:bCs/>
          <w:sz w:val="28"/>
          <w:szCs w:val="28"/>
        </w:rPr>
        <w:t>У римському праві існувало правило, згідно з яким суддя обирався за взаємною згодою сторін. Римляни визнавали суддею тільки того, хто обраний за угодою противників. Цими ж правилами пояснюються і правила про відвід суддів.</w:t>
      </w:r>
    </w:p>
    <w:p w14:paraId="7D779C40" w14:textId="77777777" w:rsidR="001C6AA0" w:rsidRPr="00DC1481"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DC1481">
        <w:rPr>
          <w:rFonts w:ascii="Times New Roman CYR" w:eastAsia="MS Mincho" w:hAnsi="Times New Roman CYR" w:cs="Times New Roman CYR"/>
          <w:bCs/>
          <w:sz w:val="28"/>
          <w:szCs w:val="28"/>
          <w:lang w:val="uk-UA"/>
        </w:rPr>
        <w:t xml:space="preserve">В усіх пам’ятках права, які діяли на українських землях, а саме «Руській Правді», Литовських Статутах, звичаєвого права часів Гетьманщини на Запоріжжі, Конституції Пилипа Орлика, Зводу законів «Права, за якими судиться малоросійський народ» зазначалось, що суддя має здійснювати судочинство неупереджено та безсторонньо. Передбачено, що для реального здійснення цієї вимоги необхідно, аби сторона по справі мала право заявити відвід. </w:t>
      </w:r>
    </w:p>
    <w:p w14:paraId="70B22E78" w14:textId="77777777" w:rsidR="001C6AA0" w:rsidRPr="00DC1481"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DC1481">
        <w:rPr>
          <w:rFonts w:ascii="Times New Roman CYR" w:eastAsia="MS Mincho" w:hAnsi="Times New Roman CYR" w:cs="Times New Roman CYR"/>
          <w:bCs/>
          <w:sz w:val="28"/>
          <w:szCs w:val="28"/>
          <w:lang w:val="uk-UA"/>
        </w:rPr>
        <w:t xml:space="preserve">У законодавстві радянського періоду історично сформовані підстави відводу також були враховані з певними відмінностями. Відводи на досудовому провадженні вирішував прокурора, у судовому розгляді – головуючий або </w:t>
      </w:r>
      <w:r w:rsidRPr="00DC1481">
        <w:rPr>
          <w:rFonts w:ascii="Times New Roman CYR" w:eastAsia="MS Mincho" w:hAnsi="Times New Roman CYR" w:cs="Times New Roman CYR"/>
          <w:bCs/>
          <w:sz w:val="28"/>
          <w:szCs w:val="28"/>
          <w:lang w:val="uk-UA"/>
        </w:rPr>
        <w:lastRenderedPageBreak/>
        <w:t>колегія суддів.</w:t>
      </w:r>
    </w:p>
    <w:p w14:paraId="7EADAF1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 xml:space="preserve">На сучасному етапі, коли в більшості держав світу закріплений механізм розподілу державної влади на гілки, питання відводу суддів та інших учасників процесу ніколи не повинно виходити за рамки судової системи, що спеціалізується на розгляді тих чи інших категорій судових справ (наприклад, за рамки судів загальної юрисдикції, що забезпечують вирішення цивільних справ). </w:t>
      </w:r>
    </w:p>
    <w:p w14:paraId="6823358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Україна, прийнявши Закон України «Про ратифікацію Конвенції про захист прав людини і основоположних свобод 1950 року, Першого протоколу та протоколів № 2, 4, 7 та 11 до Конвенції» від 17 липня 1997 р., прийняла на себе зобов’язання забезпечити кожному, чиї права порушені, ефективні способи правового захисту, зважаючи на те, що кожен повинен мати право на справедливий і публічний розгляд справи компетентним, незалежним і безстороннім судом, створеним на підставі закону.</w:t>
      </w:r>
    </w:p>
    <w:p w14:paraId="29C8BDE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Відповідно до ст. 2 ГПК України </w:t>
      </w:r>
      <w:r w:rsidRPr="00774B9C">
        <w:rPr>
          <w:rFonts w:ascii="Times New Roman CYR" w:eastAsia="MS Mincho" w:hAnsi="Times New Roman CYR" w:cs="Times New Roman CYR"/>
          <w:bCs/>
          <w:sz w:val="28"/>
          <w:szCs w:val="28"/>
          <w:lang w:val="uk-UA"/>
        </w:rPr>
        <w:t>завданням господарського судочинства є справедливе, неупереджене та своєчасне вирішення судом спорів, пов’язаних із здійсненням господарської діяльності, та розгляд інших справ, віднесених до юрисдикції господарського суду, з метою ефективного захисту порушених, невизнаних або оспорюваних прав і законних інтересів фізичних та юридичних осіб, держави.</w:t>
      </w:r>
    </w:p>
    <w:p w14:paraId="152B170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2. </w:t>
      </w:r>
      <w:r w:rsidRPr="00BE0B1A">
        <w:rPr>
          <w:rFonts w:ascii="Times New Roman CYR" w:eastAsia="MS Mincho" w:hAnsi="Times New Roman CYR" w:cs="Times New Roman CYR"/>
          <w:bCs/>
          <w:iCs/>
          <w:sz w:val="28"/>
          <w:szCs w:val="28"/>
          <w:lang w:val="uk-UA"/>
        </w:rPr>
        <w:t>Інститут відводів є гарантією забезпечення законності судового процесу, здійснення його неупередженою особою відповідно до вимог чинного законодавства. У судовому провадженні цей інститут набуває значення гарантії забезпечення фундаментального права кожного на справедливий суд. Питання відводу судді безпосередньо пов’язане з належним забезпеченням прав та свобод людини і громадянина, створенням доступної і якісної судової системи, здійсненням правосуддя тільки на справедливих засадах, з гарантуванням незалежності суддів.</w:t>
      </w:r>
    </w:p>
    <w:p w14:paraId="311FFB0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774B9C">
        <w:rPr>
          <w:rFonts w:ascii="Times New Roman CYR" w:eastAsia="MS Mincho" w:hAnsi="Times New Roman CYR" w:cs="Times New Roman CYR"/>
          <w:bCs/>
          <w:iCs/>
          <w:sz w:val="28"/>
          <w:szCs w:val="28"/>
          <w:lang w:val="uk-UA"/>
        </w:rPr>
        <w:t xml:space="preserve">Інститут відводу суду – важливий процесуальний засіб забезпечення неупередженого й об’єктивного судочинства та виконання рішень, що дозволяє </w:t>
      </w:r>
      <w:r w:rsidRPr="00774B9C">
        <w:rPr>
          <w:rFonts w:ascii="Times New Roman CYR" w:eastAsia="MS Mincho" w:hAnsi="Times New Roman CYR" w:cs="Times New Roman CYR"/>
          <w:bCs/>
          <w:iCs/>
          <w:sz w:val="28"/>
          <w:szCs w:val="28"/>
          <w:lang w:val="uk-UA"/>
        </w:rPr>
        <w:lastRenderedPageBreak/>
        <w:t xml:space="preserve">відсторонити від участі у процесі особу, яка має особисту заінтересованість. </w:t>
      </w:r>
      <w:r w:rsidRPr="00BE0B1A">
        <w:rPr>
          <w:rFonts w:ascii="Times New Roman CYR" w:eastAsia="MS Mincho" w:hAnsi="Times New Roman CYR" w:cs="Times New Roman CYR"/>
          <w:bCs/>
          <w:iCs/>
          <w:sz w:val="28"/>
          <w:szCs w:val="28"/>
        </w:rPr>
        <w:t xml:space="preserve">За допомогою інституту відводу як процесуального засобу має бути забезпечене неупереджене й об’єктивне судочинство, тобто виконання завдань </w:t>
      </w:r>
      <w:r w:rsidRPr="00BE0B1A">
        <w:rPr>
          <w:rFonts w:ascii="Times New Roman CYR" w:eastAsia="MS Mincho" w:hAnsi="Times New Roman CYR" w:cs="Times New Roman CYR"/>
          <w:bCs/>
          <w:iCs/>
          <w:sz w:val="28"/>
          <w:szCs w:val="28"/>
          <w:lang w:val="uk-UA"/>
        </w:rPr>
        <w:t>господарського</w:t>
      </w:r>
      <w:r w:rsidRPr="00BE0B1A">
        <w:rPr>
          <w:rFonts w:ascii="Times New Roman CYR" w:eastAsia="MS Mincho" w:hAnsi="Times New Roman CYR" w:cs="Times New Roman CYR"/>
          <w:bCs/>
          <w:iCs/>
          <w:sz w:val="28"/>
          <w:szCs w:val="28"/>
        </w:rPr>
        <w:t xml:space="preserve"> судочинства, закріплених у ст. </w:t>
      </w:r>
      <w:r w:rsidRPr="00BE0B1A">
        <w:rPr>
          <w:rFonts w:ascii="Times New Roman CYR" w:eastAsia="MS Mincho" w:hAnsi="Times New Roman CYR" w:cs="Times New Roman CYR"/>
          <w:bCs/>
          <w:iCs/>
          <w:sz w:val="28"/>
          <w:szCs w:val="28"/>
          <w:lang w:val="uk-UA"/>
        </w:rPr>
        <w:t>2</w:t>
      </w:r>
      <w:r w:rsidRPr="00BE0B1A">
        <w:rPr>
          <w:rFonts w:ascii="Times New Roman CYR" w:eastAsia="MS Mincho" w:hAnsi="Times New Roman CYR" w:cs="Times New Roman CYR"/>
          <w:bCs/>
          <w:iCs/>
          <w:sz w:val="28"/>
          <w:szCs w:val="28"/>
        </w:rPr>
        <w:t xml:space="preserve"> </w:t>
      </w:r>
      <w:r w:rsidRPr="00BE0B1A">
        <w:rPr>
          <w:rFonts w:ascii="Times New Roman CYR" w:eastAsia="MS Mincho" w:hAnsi="Times New Roman CYR" w:cs="Times New Roman CYR"/>
          <w:bCs/>
          <w:iCs/>
          <w:sz w:val="28"/>
          <w:szCs w:val="28"/>
          <w:lang w:val="uk-UA"/>
        </w:rPr>
        <w:t>Г</w:t>
      </w:r>
      <w:r w:rsidRPr="00BE0B1A">
        <w:rPr>
          <w:rFonts w:ascii="Times New Roman CYR" w:eastAsia="MS Mincho" w:hAnsi="Times New Roman CYR" w:cs="Times New Roman CYR"/>
          <w:bCs/>
          <w:iCs/>
          <w:sz w:val="28"/>
          <w:szCs w:val="28"/>
        </w:rPr>
        <w:t xml:space="preserve">ПК України. Звичайно, інститут відводу застосовується як процесуальний засіб не лише у </w:t>
      </w:r>
      <w:r w:rsidRPr="00BE0B1A">
        <w:rPr>
          <w:rFonts w:ascii="Times New Roman CYR" w:eastAsia="MS Mincho" w:hAnsi="Times New Roman CYR" w:cs="Times New Roman CYR"/>
          <w:bCs/>
          <w:iCs/>
          <w:sz w:val="28"/>
          <w:szCs w:val="28"/>
          <w:lang w:val="uk-UA"/>
        </w:rPr>
        <w:t>господарському</w:t>
      </w:r>
      <w:r w:rsidRPr="00BE0B1A">
        <w:rPr>
          <w:rFonts w:ascii="Times New Roman CYR" w:eastAsia="MS Mincho" w:hAnsi="Times New Roman CYR" w:cs="Times New Roman CYR"/>
          <w:bCs/>
          <w:iCs/>
          <w:sz w:val="28"/>
          <w:szCs w:val="28"/>
        </w:rPr>
        <w:t xml:space="preserve">, а й в інших видах судочинства. </w:t>
      </w:r>
      <w:r w:rsidRPr="00BE0B1A">
        <w:rPr>
          <w:rFonts w:ascii="Times New Roman CYR" w:eastAsia="MS Mincho" w:hAnsi="Times New Roman CYR" w:cs="Times New Roman CYR"/>
          <w:bCs/>
          <w:iCs/>
          <w:sz w:val="28"/>
          <w:szCs w:val="28"/>
          <w:lang w:val="uk-UA"/>
        </w:rPr>
        <w:t xml:space="preserve">Звідси можна казати </w:t>
      </w:r>
      <w:r w:rsidRPr="00BE0B1A">
        <w:rPr>
          <w:rFonts w:ascii="Times New Roman CYR" w:eastAsia="MS Mincho" w:hAnsi="Times New Roman CYR" w:cs="Times New Roman CYR"/>
          <w:bCs/>
          <w:iCs/>
          <w:sz w:val="28"/>
          <w:szCs w:val="28"/>
        </w:rPr>
        <w:t>про можливість уніфікації інституту відводу в усіх процесуальних галузях права</w:t>
      </w:r>
      <w:r w:rsidRPr="00BE0B1A">
        <w:rPr>
          <w:rFonts w:ascii="Times New Roman CYR" w:eastAsia="MS Mincho" w:hAnsi="Times New Roman CYR" w:cs="Times New Roman CYR"/>
          <w:bCs/>
          <w:iCs/>
          <w:sz w:val="28"/>
          <w:szCs w:val="28"/>
          <w:lang w:val="uk-UA"/>
        </w:rPr>
        <w:t>.</w:t>
      </w:r>
    </w:p>
    <w:p w14:paraId="32EF1DCE"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iCs/>
          <w:sz w:val="28"/>
          <w:szCs w:val="28"/>
        </w:rPr>
        <w:t>Право на відвід є засобом реалізації права на захист прав та інтересів осіб, які беруть участь у справі, а право на самовідвід враховує й етичну складову, яка полягає в неможливості виконувати належним чином свої процесуальні обов’язки через причини етичного характеру</w:t>
      </w:r>
    </w:p>
    <w:p w14:paraId="1A5739E3"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3. </w:t>
      </w:r>
      <w:r w:rsidRPr="00BE0B1A">
        <w:rPr>
          <w:rFonts w:ascii="Times New Roman CYR" w:eastAsia="MS Mincho" w:hAnsi="Times New Roman CYR" w:cs="Times New Roman CYR"/>
          <w:bCs/>
          <w:iCs/>
          <w:sz w:val="28"/>
          <w:szCs w:val="28"/>
        </w:rPr>
        <w:t>Інститут відводу можна віднести до міжгалузевих правових інститутів, оскільки він регламентується нормами господарського процесуального права, цивільного процесуального права, адміністративного процесуального права, кримінального процесуального права</w:t>
      </w:r>
      <w:r w:rsidRPr="00BE0B1A">
        <w:rPr>
          <w:rFonts w:ascii="Times New Roman CYR" w:eastAsia="MS Mincho" w:hAnsi="Times New Roman CYR" w:cs="Times New Roman CYR"/>
          <w:bCs/>
          <w:sz w:val="28"/>
          <w:szCs w:val="28"/>
          <w:lang w:val="uk-UA"/>
        </w:rPr>
        <w:t>.</w:t>
      </w:r>
    </w:p>
    <w:p w14:paraId="1F5468F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Переважно правові норми ГПК, ЦПК, КАС, КПК України мають багато спільного в регулюванні питань відводу суддів та учасників процесу: існують майже аналогічні підстави для відводу; визначаються єдині правові наслідки під час задоволення клопотання про відвід; закріплюється обов’язок про самовідвід і т. д.</w:t>
      </w:r>
    </w:p>
    <w:p w14:paraId="044BD21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BE0B1A">
        <w:rPr>
          <w:rFonts w:ascii="Times New Roman CYR" w:eastAsia="MS Mincho" w:hAnsi="Times New Roman CYR" w:cs="Times New Roman CYR"/>
          <w:bCs/>
          <w:iCs/>
          <w:sz w:val="28"/>
          <w:szCs w:val="28"/>
          <w:lang w:val="uk-UA"/>
        </w:rPr>
        <w:t>Главою 3 першого розділу ГПК України «Склад суду. Відводи» визначено правові норми, які регулюють порядок відводу в господарському процесі. Вказані норми регламентують певну сферу господарських процесуальних відносин – відвід судді, секретаря судових засідань, експерта, спеціаліста, перекладача. Варто зазначити, що нормативного закріплення термін «відвід» ГПК України не містить.</w:t>
      </w:r>
    </w:p>
    <w:p w14:paraId="6BC716E4"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iCs/>
          <w:sz w:val="28"/>
          <w:szCs w:val="28"/>
          <w:lang w:val="uk-UA"/>
        </w:rPr>
        <w:t>Обставинами, що викликають сумнів в об’єктивності та неупередженості судді, можуть бути незаконні дії судді під час розгляду справи, ігнорування законних вимог сторони, створення перешкод для реалізації процесуальних прав, нерівне ставлення до сторін, нетактовна поведінка судді тощо.</w:t>
      </w:r>
    </w:p>
    <w:p w14:paraId="4FC6098F"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lastRenderedPageBreak/>
        <w:t xml:space="preserve">4. </w:t>
      </w:r>
      <w:r w:rsidRPr="00BE0B1A">
        <w:rPr>
          <w:rFonts w:ascii="Times New Roman CYR" w:eastAsia="MS Mincho" w:hAnsi="Times New Roman CYR" w:cs="Times New Roman CYR"/>
          <w:bCs/>
          <w:sz w:val="28"/>
          <w:szCs w:val="28"/>
        </w:rPr>
        <w:t>Підстави відводу – це юридичні факти матеріально-правового або процесуально-правового характеру, при встановленні яких за допомогою доказів для забезпечення законності та обґрунтованості судового рішення із розгляду справи усувається суддя, секретар судового засідання, експерт, спеціаліст або перекладач.</w:t>
      </w:r>
    </w:p>
    <w:p w14:paraId="7B699FF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Підстави для відводу (самовідводу) судді регламентован</w:t>
      </w:r>
      <w:r w:rsidRPr="00BE0B1A">
        <w:rPr>
          <w:rFonts w:ascii="Times New Roman CYR" w:eastAsia="MS Mincho" w:hAnsi="Times New Roman CYR" w:cs="Times New Roman CYR"/>
          <w:bCs/>
          <w:sz w:val="28"/>
          <w:szCs w:val="28"/>
          <w:lang w:val="uk-UA"/>
        </w:rPr>
        <w:t xml:space="preserve">і у ст. 35 ГПК України. Так, відповідно до ч. 1 ст. 35 ГПК </w:t>
      </w:r>
      <w:r w:rsidRPr="00BE0B1A">
        <w:rPr>
          <w:rFonts w:ascii="Times New Roman CYR" w:eastAsia="MS Mincho" w:hAnsi="Times New Roman CYR" w:cs="Times New Roman CYR"/>
          <w:bCs/>
          <w:sz w:val="28"/>
          <w:szCs w:val="28"/>
        </w:rPr>
        <w:t>суддя не може розглядати справу і підлягає відводу (самовідводу), якщо:</w:t>
      </w:r>
    </w:p>
    <w:p w14:paraId="1E2AD1F3"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1) він є членом сім’ї або близьким родичем (чоловік, дружина, батько, мати, вітчим, мачуха, син, дочка, пасинок, падчерка, брат, сестра, дід, баба, внук, внучка, усиновлювач чи усиновлений, опікун чи піклувальник, член сім’ї або близький родич цих осіб) сторони або інших учасників судового процесу, або осіб, які надавали стороні або іншим учасникам справи правничу допомогу у цій справі, або іншого судді, який входить до складу суду, що розглядає чи розглядав справу;</w:t>
      </w:r>
    </w:p>
    <w:p w14:paraId="6BC51DA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2) він брав участь у справі як свідок, експерт, спеціаліст, перекладач, представник, адвокат, секретар судового засідання, або надавав стороні чи іншим учасникам справи правничу допомогу в цій чи іншій справі;</w:t>
      </w:r>
    </w:p>
    <w:p w14:paraId="040EBF33"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3) він прямо чи побічно заінтересований у результаті розгляду справи;</w:t>
      </w:r>
    </w:p>
    <w:p w14:paraId="44C9B80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4) було порушено порядок визначення судді для розгляду справи;</w:t>
      </w:r>
    </w:p>
    <w:p w14:paraId="09A4EC36"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5) є інші обставини, які викликають сумнів у неупередженості або об’єктивності судді.</w:t>
      </w:r>
    </w:p>
    <w:p w14:paraId="1706920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5. Глобалізаційні тенденції сучасної цивілізаційної епохи, передусім, проявляються в інформаційній сфері, забезпечуючи діалог культур і цивілізацій у всіх напрямках життєдіяльності людства.</w:t>
      </w:r>
    </w:p>
    <w:p w14:paraId="721D228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Наразі, інформація може бути як засобом забезпечення безпеки, так, у свою чергу, і як загроза та небезпека. Саме тому с</w:t>
      </w:r>
      <w:r w:rsidRPr="00774B9C">
        <w:rPr>
          <w:rFonts w:ascii="Times New Roman CYR" w:eastAsia="MS Mincho" w:hAnsi="Times New Roman CYR" w:cs="Times New Roman CYR"/>
          <w:bCs/>
          <w:sz w:val="28"/>
          <w:szCs w:val="28"/>
          <w:lang w:val="uk-UA"/>
        </w:rPr>
        <w:t xml:space="preserve">оціальні мережі заполонили весь світ. </w:t>
      </w:r>
    </w:p>
    <w:p w14:paraId="62C1BAC1" w14:textId="77777777" w:rsidR="001C6AA0" w:rsidRPr="00774B9C"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 xml:space="preserve">Чималу хвилю дискусій в соціальних мережах викликало цьогорічне рішення Касаційного суду Франції щодо «дружби» в соціальній мережі </w:t>
      </w:r>
      <w:r w:rsidRPr="00BE0B1A">
        <w:rPr>
          <w:rFonts w:ascii="Times New Roman CYR" w:eastAsia="MS Mincho" w:hAnsi="Times New Roman CYR" w:cs="Times New Roman CYR"/>
          <w:bCs/>
          <w:sz w:val="28"/>
          <w:szCs w:val="28"/>
        </w:rPr>
        <w:t>Facebook</w:t>
      </w:r>
      <w:r w:rsidRPr="00774B9C">
        <w:rPr>
          <w:rFonts w:ascii="Times New Roman CYR" w:eastAsia="MS Mincho" w:hAnsi="Times New Roman CYR" w:cs="Times New Roman CYR"/>
          <w:bCs/>
          <w:sz w:val="28"/>
          <w:szCs w:val="28"/>
          <w:lang w:val="uk-UA"/>
        </w:rPr>
        <w:t xml:space="preserve"> </w:t>
      </w:r>
      <w:r w:rsidRPr="00774B9C">
        <w:rPr>
          <w:rFonts w:ascii="Times New Roman CYR" w:eastAsia="MS Mincho" w:hAnsi="Times New Roman CYR" w:cs="Times New Roman CYR"/>
          <w:bCs/>
          <w:sz w:val="28"/>
          <w:szCs w:val="28"/>
          <w:lang w:val="uk-UA"/>
        </w:rPr>
        <w:lastRenderedPageBreak/>
        <w:t xml:space="preserve">між суддями та адвокатами. </w:t>
      </w:r>
    </w:p>
    <w:p w14:paraId="3D265CC0"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774B9C">
        <w:rPr>
          <w:rFonts w:ascii="Times New Roman CYR" w:eastAsia="MS Mincho" w:hAnsi="Times New Roman CYR" w:cs="Times New Roman CYR"/>
          <w:bCs/>
          <w:iCs/>
          <w:sz w:val="28"/>
          <w:szCs w:val="28"/>
          <w:lang w:val="uk-UA"/>
        </w:rPr>
        <w:t xml:space="preserve">У цьому контексті </w:t>
      </w:r>
      <w:r w:rsidRPr="00BE0B1A">
        <w:rPr>
          <w:rFonts w:ascii="Times New Roman CYR" w:eastAsia="MS Mincho" w:hAnsi="Times New Roman CYR" w:cs="Times New Roman CYR"/>
          <w:bCs/>
          <w:iCs/>
          <w:sz w:val="28"/>
          <w:szCs w:val="28"/>
          <w:lang w:val="uk-UA"/>
        </w:rPr>
        <w:t>слід</w:t>
      </w:r>
      <w:r w:rsidRPr="00774B9C">
        <w:rPr>
          <w:rFonts w:ascii="Times New Roman CYR" w:eastAsia="MS Mincho" w:hAnsi="Times New Roman CYR" w:cs="Times New Roman CYR"/>
          <w:bCs/>
          <w:iCs/>
          <w:sz w:val="28"/>
          <w:szCs w:val="28"/>
          <w:lang w:val="uk-UA"/>
        </w:rPr>
        <w:t xml:space="preserve"> відзначити, що позначення певної особи в соціальних мережах як «друга» не можна трактувати як вказівку на ступінь або інтенсивність відносин судді з такою особою, тобто про дружбу у звичайному розумінні цього слова. </w:t>
      </w:r>
      <w:r w:rsidRPr="00BE0B1A">
        <w:rPr>
          <w:rFonts w:ascii="Times New Roman CYR" w:eastAsia="MS Mincho" w:hAnsi="Times New Roman CYR" w:cs="Times New Roman CYR"/>
          <w:bCs/>
          <w:iCs/>
          <w:sz w:val="28"/>
          <w:szCs w:val="28"/>
        </w:rPr>
        <w:t>Отже, передчасно говорити про недотримання принципу неупередженості, оперуючи лише такими формальними ознаками</w:t>
      </w:r>
      <w:r w:rsidRPr="00BE0B1A">
        <w:rPr>
          <w:rFonts w:ascii="Times New Roman CYR" w:eastAsia="MS Mincho" w:hAnsi="Times New Roman CYR" w:cs="Times New Roman CYR"/>
          <w:bCs/>
          <w:sz w:val="28"/>
          <w:szCs w:val="28"/>
        </w:rPr>
        <w:t>.</w:t>
      </w:r>
    </w:p>
    <w:p w14:paraId="03C0F50A"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Суддя повинен, наскільки це можливо, поводити себе таким чином, щоб звести до мінімуму випадки, які можуть стати підставою для відсторонення його від розгляду справи або від винесення рішення. </w:t>
      </w:r>
    </w:p>
    <w:p w14:paraId="1C85387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sz w:val="28"/>
          <w:szCs w:val="28"/>
          <w:lang w:val="uk-UA"/>
        </w:rPr>
        <w:t xml:space="preserve">6. </w:t>
      </w:r>
      <w:r w:rsidRPr="00BE0B1A">
        <w:rPr>
          <w:rFonts w:ascii="Times New Roman CYR" w:eastAsia="MS Mincho" w:hAnsi="Times New Roman CYR" w:cs="Times New Roman CYR"/>
          <w:bCs/>
          <w:iCs/>
          <w:sz w:val="28"/>
          <w:szCs w:val="28"/>
          <w:lang w:val="uk-UA"/>
        </w:rPr>
        <w:t>На сьогодні</w:t>
      </w:r>
      <w:r w:rsidRPr="00BE0B1A">
        <w:rPr>
          <w:rFonts w:ascii="Times New Roman CYR" w:eastAsia="MS Mincho" w:hAnsi="Times New Roman CYR" w:cs="Times New Roman CYR"/>
          <w:bCs/>
          <w:iCs/>
          <w:sz w:val="28"/>
          <w:szCs w:val="28"/>
        </w:rPr>
        <w:t xml:space="preserve"> відзначити загальну недосконалість застосування відводів у кримінальному, цивільному, адміністративному та господарському процесі. Загальною проблемою зазначених процесів є неможливість оскарження ухвал про задоволення (незадоволення) заяв про відвід суддів (чинним законодавством України така можливість не передбачена). </w:t>
      </w:r>
    </w:p>
    <w:p w14:paraId="3DD3A05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 xml:space="preserve">Незважаючи на це, на практиці мають місце непоодинокі випадки оскарження таких ухвал. Якщо законодавець все ж таки наважиться надати таке право, йому необхідно бути обережним, оскільки це може стати засобом звичайного затягування процесу. </w:t>
      </w:r>
    </w:p>
    <w:p w14:paraId="7ABB2083"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rPr>
        <w:t xml:space="preserve">Для подолання недосконалості при формулюванні норм чинного законодавства, що регулюють відводи в сучасному процесуальному праві, законодавцю потрібно врахувати наступне: </w:t>
      </w:r>
    </w:p>
    <w:p w14:paraId="77DB4BE8"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lang w:val="uk-UA"/>
        </w:rPr>
        <w:t xml:space="preserve">- </w:t>
      </w:r>
      <w:r w:rsidRPr="00BE0B1A">
        <w:rPr>
          <w:rFonts w:ascii="Times New Roman CYR" w:eastAsia="MS Mincho" w:hAnsi="Times New Roman CYR" w:cs="Times New Roman CYR"/>
          <w:bCs/>
          <w:iCs/>
          <w:sz w:val="28"/>
          <w:szCs w:val="28"/>
        </w:rPr>
        <w:t xml:space="preserve">необхідність оперативного та ефективного розгляду заяв про відвід та суб’єкти вирішення цієї заяви; </w:t>
      </w:r>
    </w:p>
    <w:p w14:paraId="32FBE91C"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lang w:val="uk-UA"/>
        </w:rPr>
        <w:t xml:space="preserve">- </w:t>
      </w:r>
      <w:r w:rsidRPr="00BE0B1A">
        <w:rPr>
          <w:rFonts w:ascii="Times New Roman CYR" w:eastAsia="MS Mincho" w:hAnsi="Times New Roman CYR" w:cs="Times New Roman CYR"/>
          <w:bCs/>
          <w:iCs/>
          <w:sz w:val="28"/>
          <w:szCs w:val="28"/>
        </w:rPr>
        <w:t xml:space="preserve">необхідність надання права на оскарження ухвал про задоволення (незадоволення) заяв про відвід суддів; </w:t>
      </w:r>
    </w:p>
    <w:p w14:paraId="052AAB52"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lang w:val="uk-UA"/>
        </w:rPr>
        <w:t xml:space="preserve">- </w:t>
      </w:r>
      <w:r w:rsidRPr="00BE0B1A">
        <w:rPr>
          <w:rFonts w:ascii="Times New Roman CYR" w:eastAsia="MS Mincho" w:hAnsi="Times New Roman CYR" w:cs="Times New Roman CYR"/>
          <w:bCs/>
          <w:iCs/>
          <w:sz w:val="28"/>
          <w:szCs w:val="28"/>
        </w:rPr>
        <w:t>запобігання недобросовісного користування сторонами своїми правами шляхом заявлення учасниками процесу безпідставних та невмотивованих відводів;</w:t>
      </w:r>
    </w:p>
    <w:p w14:paraId="50FB1B97" w14:textId="77777777" w:rsidR="001C6AA0"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BE0B1A">
        <w:rPr>
          <w:rFonts w:ascii="Times New Roman CYR" w:eastAsia="MS Mincho" w:hAnsi="Times New Roman CYR" w:cs="Times New Roman CYR"/>
          <w:bCs/>
          <w:iCs/>
          <w:sz w:val="28"/>
          <w:szCs w:val="28"/>
          <w:lang w:val="uk-UA"/>
        </w:rPr>
        <w:t xml:space="preserve">- </w:t>
      </w:r>
      <w:r w:rsidRPr="00BE0B1A">
        <w:rPr>
          <w:rFonts w:ascii="Times New Roman CYR" w:eastAsia="MS Mincho" w:hAnsi="Times New Roman CYR" w:cs="Times New Roman CYR"/>
          <w:bCs/>
          <w:iCs/>
          <w:sz w:val="28"/>
          <w:szCs w:val="28"/>
        </w:rPr>
        <w:t xml:space="preserve">пошук шляхів, які б унеможливлювали існування суддівської упередженості чи зацікавленості при розгляді справи. При пошуку шляхів </w:t>
      </w:r>
      <w:r w:rsidRPr="00BE0B1A">
        <w:rPr>
          <w:rFonts w:ascii="Times New Roman CYR" w:eastAsia="MS Mincho" w:hAnsi="Times New Roman CYR" w:cs="Times New Roman CYR"/>
          <w:bCs/>
          <w:iCs/>
          <w:sz w:val="28"/>
          <w:szCs w:val="28"/>
        </w:rPr>
        <w:lastRenderedPageBreak/>
        <w:t>вирішення таких недосконалостей найбільш вдалою видається модель, коли заяву розглядає голова відповідного суду або суд вищої інстанції, але у чітко визначені строки. Проте, з огляду на завантаженість судів, такі строки навряд чи будуть дотримані.</w:t>
      </w:r>
    </w:p>
    <w:p w14:paraId="4C5E4F8A" w14:textId="77777777" w:rsidR="001C6AA0" w:rsidRPr="00DC1481"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rPr>
      </w:pPr>
      <w:r w:rsidRPr="00DC1481">
        <w:rPr>
          <w:rFonts w:ascii="Times New Roman CYR" w:eastAsia="MS Mincho" w:hAnsi="Times New Roman CYR" w:cs="Times New Roman CYR"/>
          <w:bCs/>
          <w:iCs/>
          <w:sz w:val="28"/>
          <w:szCs w:val="28"/>
        </w:rPr>
        <w:t>В ГПК України необхідно внести зміни щодо порядку розгляду заяви про відвід судді, згідно з якими заяву про відвід повинен розглядати інший суддя з цього ж суду, який відводу не підлягає. Необхідно також розширити коло підстав для заявлення відводу та визначити цей перелік як вичерпний з метою уникнення заявлення безпідставних відводів. Також потрібно жорстко обмежити момент подання заяви про відвід з метою недопущення зловживань цим правом під час розгляду справи по суті. Доцільним було б залишити умову, що відвід має заявлятися до початку розгляду справи по суті, однак встановити розумний строк для подання такої заяви після початку розгляду справи по суті, який обраховувався б з моменту, коли особа дізналася чи могла дізнатися про обставини, що слугують підставами для відводу судді. Також необхідно встановити розумний строк для оперативного розгляду відводу та недопущення затягування розгляду справи. Доцільно було б запровадити обов’язок учасника розгляду справи в заяві про відвід наводити одразу всі відомі йому обставини, що можуть слугувати для відводу судді. Таке введення допомогло б уникнути багаторазового заявлення відводів з метою затягування розгляду справи.</w:t>
      </w:r>
    </w:p>
    <w:p w14:paraId="591E393F" w14:textId="77777777" w:rsidR="001C6AA0" w:rsidRPr="00DC1481"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iCs/>
          <w:sz w:val="28"/>
          <w:szCs w:val="28"/>
          <w:lang w:val="uk-UA"/>
        </w:rPr>
      </w:pPr>
      <w:r w:rsidRPr="00DC1481">
        <w:rPr>
          <w:rFonts w:ascii="Times New Roman CYR" w:eastAsia="MS Mincho" w:hAnsi="Times New Roman CYR" w:cs="Times New Roman CYR"/>
          <w:bCs/>
          <w:iCs/>
          <w:sz w:val="28"/>
          <w:szCs w:val="28"/>
        </w:rPr>
        <w:t xml:space="preserve">Отже, виходячи з вищенаведеного, </w:t>
      </w:r>
      <w:r w:rsidRPr="00DC1481">
        <w:rPr>
          <w:rFonts w:ascii="Times New Roman CYR" w:eastAsia="MS Mincho" w:hAnsi="Times New Roman CYR" w:cs="Times New Roman CYR"/>
          <w:bCs/>
          <w:iCs/>
          <w:sz w:val="28"/>
          <w:szCs w:val="28"/>
          <w:lang w:val="uk-UA"/>
        </w:rPr>
        <w:t>ГПК України доцільно доповнити такими положеннями: «Розумний строк для оперативного розгляду відводу складає 5 днів та передбачає недопущення затягування розгляду справи», «</w:t>
      </w:r>
      <w:r w:rsidRPr="00DC1481">
        <w:rPr>
          <w:rFonts w:ascii="Times New Roman CYR" w:eastAsia="MS Mincho" w:hAnsi="Times New Roman CYR" w:cs="Times New Roman CYR"/>
          <w:bCs/>
          <w:iCs/>
          <w:sz w:val="28"/>
          <w:szCs w:val="28"/>
        </w:rPr>
        <w:t xml:space="preserve">Учасника розгляду справи в заяві про відвід </w:t>
      </w:r>
      <w:r w:rsidRPr="00DC1481">
        <w:rPr>
          <w:rFonts w:ascii="Times New Roman CYR" w:eastAsia="MS Mincho" w:hAnsi="Times New Roman CYR" w:cs="Times New Roman CYR"/>
          <w:bCs/>
          <w:iCs/>
          <w:sz w:val="28"/>
          <w:szCs w:val="28"/>
          <w:lang w:val="uk-UA"/>
        </w:rPr>
        <w:t xml:space="preserve">зобов’язаний </w:t>
      </w:r>
      <w:r w:rsidRPr="00DC1481">
        <w:rPr>
          <w:rFonts w:ascii="Times New Roman CYR" w:eastAsia="MS Mincho" w:hAnsi="Times New Roman CYR" w:cs="Times New Roman CYR"/>
          <w:bCs/>
          <w:iCs/>
          <w:sz w:val="28"/>
          <w:szCs w:val="28"/>
        </w:rPr>
        <w:t>наводити одразу всі відомі йому обставини, що можуть слугувати для відводу судді</w:t>
      </w:r>
      <w:r w:rsidRPr="00DC1481">
        <w:rPr>
          <w:rFonts w:ascii="Times New Roman CYR" w:eastAsia="MS Mincho" w:hAnsi="Times New Roman CYR" w:cs="Times New Roman CYR"/>
          <w:bCs/>
          <w:iCs/>
          <w:sz w:val="28"/>
          <w:szCs w:val="28"/>
          <w:lang w:val="uk-UA"/>
        </w:rPr>
        <w:t>» тощо.</w:t>
      </w:r>
    </w:p>
    <w:p w14:paraId="7787171A"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lang w:val="uk-UA"/>
        </w:rPr>
        <w:t xml:space="preserve">7. </w:t>
      </w:r>
      <w:r w:rsidRPr="00BE0B1A">
        <w:rPr>
          <w:rFonts w:ascii="Times New Roman CYR" w:eastAsia="MS Mincho" w:hAnsi="Times New Roman CYR" w:cs="Times New Roman CYR"/>
          <w:bCs/>
          <w:sz w:val="28"/>
          <w:szCs w:val="28"/>
        </w:rPr>
        <w:t>Втілення у життя принципів правової держави залежить значною мірою від діяльності судів та міри реалізації права кожного на доступ до правосуддя. Авторитет суду та його рішень багато в чому пов’язується із авторитетом судді, оцінкою його поведінки як у сфері судочинства, так і поза межами його професійної (службової) діяльності.</w:t>
      </w:r>
    </w:p>
    <w:p w14:paraId="148E2BE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rPr>
        <w:lastRenderedPageBreak/>
        <w:t>Одним із важливих засобів гарантування захисту суду від впливу різних зовнішніх факторів забезпечення законності та обґрунтованості судових рішень є інститут відводу (самовідводу).</w:t>
      </w:r>
    </w:p>
    <w:p w14:paraId="2D36B5F3"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Процедура розгляду заяви про відвід (самовідвід) не регламентована належним чином у жодному з процесуальних кодексів України. Вона не передбачає виклику і допиту свідків, витребування доказів тощо.</w:t>
      </w:r>
    </w:p>
    <w:p w14:paraId="26EF093D"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Наскільки сумлінно скористається суддя, який розглядає справу, нормами про самовідвід і відвід і виконає обов’язок, покладений на нього законом, залежить виключно від його моральних якостей. </w:t>
      </w:r>
    </w:p>
    <w:p w14:paraId="3B423A75"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rPr>
      </w:pPr>
      <w:r w:rsidRPr="00BE0B1A">
        <w:rPr>
          <w:rFonts w:ascii="Times New Roman CYR" w:eastAsia="MS Mincho" w:hAnsi="Times New Roman CYR" w:cs="Times New Roman CYR"/>
          <w:bCs/>
          <w:sz w:val="28"/>
          <w:szCs w:val="28"/>
        </w:rPr>
        <w:t xml:space="preserve">Неупередженість, заснована на високих морально-етичних принципах і ідеалах, є однією з найважливіших умов забезпечення об’єктивного, неупередженого і всебічного розгляду справи і винесення по ній обґрунтованого і справедливого рішення, здійснення правосуддя. </w:t>
      </w:r>
    </w:p>
    <w:p w14:paraId="76C97769"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8. Запровадження інституту відводу на шляху реформування судової та правоохоронної системи є важливим кроком в побудові європейської моделі суду. Формування в Україні правової держави та громадянського суспільства безпосередньо пов’язано з проблемою створення належного механізму забезпечення прав і свобод людини та громадянина. Судові та правоохоронні органи в цьому аспекті виступають гарантом в забезпеченні таких прав, тому потребують реформування з метою створення сильного та дієвого механізму правового захисту. </w:t>
      </w:r>
    </w:p>
    <w:p w14:paraId="29F70057" w14:textId="77777777" w:rsidR="001C6AA0" w:rsidRPr="00BE0B1A" w:rsidRDefault="001C6AA0" w:rsidP="001C6AA0">
      <w:pPr>
        <w:widowControl w:val="0"/>
        <w:autoSpaceDE w:val="0"/>
        <w:autoSpaceDN w:val="0"/>
        <w:adjustRightInd w:val="0"/>
        <w:spacing w:line="360" w:lineRule="auto"/>
        <w:ind w:right="57" w:firstLine="851"/>
        <w:jc w:val="both"/>
        <w:rPr>
          <w:rFonts w:ascii="Times New Roman CYR" w:eastAsia="MS Mincho" w:hAnsi="Times New Roman CYR" w:cs="Times New Roman CYR"/>
          <w:bCs/>
          <w:sz w:val="28"/>
          <w:szCs w:val="28"/>
          <w:lang w:val="uk-UA"/>
        </w:rPr>
      </w:pPr>
      <w:r w:rsidRPr="00BE0B1A">
        <w:rPr>
          <w:rFonts w:ascii="Times New Roman CYR" w:eastAsia="MS Mincho" w:hAnsi="Times New Roman CYR" w:cs="Times New Roman CYR"/>
          <w:bCs/>
          <w:sz w:val="28"/>
          <w:szCs w:val="28"/>
          <w:lang w:val="uk-UA"/>
        </w:rPr>
        <w:t xml:space="preserve">Отже, активізація розвитку інституту відводу судді є запорукою ефективного механізму реалізації прав та свобод людини та громадянина в Україні. Тому особливої актуальності набувають теоретичні та прикладні розробки щодо запровадження в Україні суду європейського зразка. </w:t>
      </w:r>
      <w:r w:rsidRPr="00BE0B1A">
        <w:rPr>
          <w:rFonts w:ascii="Times New Roman CYR" w:eastAsia="MS Mincho" w:hAnsi="Times New Roman CYR" w:cs="Times New Roman CYR"/>
          <w:bCs/>
          <w:sz w:val="28"/>
          <w:szCs w:val="28"/>
        </w:rPr>
        <w:t xml:space="preserve">Україна поступово приводить національне законодавство у відповідність з європейськими стандартами функціонування органів </w:t>
      </w:r>
      <w:r w:rsidRPr="00BE0B1A">
        <w:rPr>
          <w:rFonts w:ascii="Times New Roman CYR" w:eastAsia="MS Mincho" w:hAnsi="Times New Roman CYR" w:cs="Times New Roman CYR"/>
          <w:bCs/>
          <w:sz w:val="28"/>
          <w:szCs w:val="28"/>
          <w:lang w:val="uk-UA"/>
        </w:rPr>
        <w:t>суду</w:t>
      </w:r>
      <w:r w:rsidRPr="00BE0B1A">
        <w:rPr>
          <w:rFonts w:ascii="Times New Roman CYR" w:eastAsia="MS Mincho" w:hAnsi="Times New Roman CYR" w:cs="Times New Roman CYR"/>
          <w:bCs/>
          <w:sz w:val="28"/>
          <w:szCs w:val="28"/>
        </w:rPr>
        <w:t xml:space="preserve">, які позитивно вплинуть на процес реформування </w:t>
      </w:r>
      <w:r w:rsidRPr="00BE0B1A">
        <w:rPr>
          <w:rFonts w:ascii="Times New Roman CYR" w:eastAsia="MS Mincho" w:hAnsi="Times New Roman CYR" w:cs="Times New Roman CYR"/>
          <w:bCs/>
          <w:sz w:val="28"/>
          <w:szCs w:val="28"/>
          <w:lang w:val="uk-UA"/>
        </w:rPr>
        <w:t xml:space="preserve">судової та </w:t>
      </w:r>
      <w:r w:rsidRPr="00BE0B1A">
        <w:rPr>
          <w:rFonts w:ascii="Times New Roman CYR" w:eastAsia="MS Mincho" w:hAnsi="Times New Roman CYR" w:cs="Times New Roman CYR"/>
          <w:bCs/>
          <w:sz w:val="28"/>
          <w:szCs w:val="28"/>
        </w:rPr>
        <w:t>правоохоронної діяльності.</w:t>
      </w:r>
    </w:p>
    <w:p w14:paraId="03D4D390" w14:textId="77777777" w:rsidR="001C6AA0" w:rsidRPr="00554B28" w:rsidRDefault="001C6AA0" w:rsidP="001C6AA0">
      <w:pPr>
        <w:pStyle w:val="1"/>
        <w:keepNext w:val="0"/>
        <w:ind w:firstLine="851"/>
      </w:pPr>
      <w:r w:rsidRPr="00AD0B9F">
        <w:rPr>
          <w:rFonts w:ascii="Times New Roman CYR" w:eastAsia="MS Mincho" w:hAnsi="Times New Roman CYR" w:cs="Times New Roman CYR"/>
          <w:b w:val="0"/>
        </w:rPr>
        <w:br w:type="page"/>
      </w:r>
      <w:bookmarkStart w:id="57" w:name="_Toc532751471"/>
      <w:r>
        <w:lastRenderedPageBreak/>
        <w:t>СПИСОК</w:t>
      </w:r>
      <w:r w:rsidRPr="00554B28">
        <w:t xml:space="preserve"> ВИКОРИСТАН</w:t>
      </w:r>
      <w:r>
        <w:t>ИХ ДЖЕРЕЛ</w:t>
      </w:r>
      <w:bookmarkEnd w:id="57"/>
    </w:p>
    <w:p w14:paraId="16C4F981" w14:textId="77777777" w:rsidR="001C6AA0" w:rsidRPr="00554B28" w:rsidRDefault="001C6AA0" w:rsidP="001C6AA0">
      <w:pPr>
        <w:widowControl w:val="0"/>
        <w:autoSpaceDE w:val="0"/>
        <w:autoSpaceDN w:val="0"/>
        <w:adjustRightInd w:val="0"/>
        <w:spacing w:line="360" w:lineRule="auto"/>
        <w:ind w:left="57" w:right="57" w:firstLine="709"/>
        <w:jc w:val="center"/>
        <w:rPr>
          <w:rFonts w:ascii="Times New Roman CYR" w:eastAsia="MS Mincho" w:hAnsi="Times New Roman CYR" w:cs="Times New Roman CYR"/>
          <w:b/>
          <w:bCs/>
          <w:sz w:val="28"/>
          <w:szCs w:val="28"/>
          <w:lang w:val="uk-UA"/>
        </w:rPr>
      </w:pPr>
      <w:r w:rsidRPr="00554B28">
        <w:rPr>
          <w:rFonts w:ascii="Times New Roman CYR" w:eastAsia="MS Mincho" w:hAnsi="Times New Roman CYR" w:cs="Times New Roman CYR"/>
          <w:b/>
          <w:bCs/>
          <w:sz w:val="28"/>
          <w:szCs w:val="28"/>
          <w:lang w:val="uk-UA"/>
        </w:rPr>
        <w:t>Нормативні акти:</w:t>
      </w:r>
    </w:p>
    <w:p w14:paraId="1DA49A90"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Господарський процесуальний кодекс України від 06 листопада 1991 року (в редакції від 07.01.2018 р.) // Відомості Верховної Ради України. — 1992. — № 6. — Ст. 56.</w:t>
      </w:r>
    </w:p>
    <w:p w14:paraId="4ECA51D7"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Про забезпечення права на справедливий суд : Закон України від 12 лютого 2015 року // Відомості Верховної Ради України. — 2015. — № 18, 19-20. — Ст. 132.</w:t>
      </w:r>
    </w:p>
    <w:p w14:paraId="42B2828B"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Про судоустрій і статус суддів : Закон України від 02 червня 2016 року (зі змінами і допов.) // Відомості Верховної Ради України. — 2016. — № 31. — Ст. 545.</w:t>
      </w:r>
    </w:p>
    <w:p w14:paraId="5546D561"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 Закон України від 03.10.2017 (зі змінами і допов.) // Відомості Верховної Ради України. — 2017. — № 96. — Ст. 2921.</w:t>
      </w:r>
    </w:p>
    <w:p w14:paraId="1974BDA3"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 xml:space="preserve">Про деякі питання практики застосування Господарського процесуального кодексу </w:t>
      </w:r>
      <w:r>
        <w:rPr>
          <w:rFonts w:eastAsia="TimesNewRomanPSMT"/>
          <w:bCs/>
          <w:iCs/>
          <w:color w:val="000000"/>
          <w:sz w:val="28"/>
          <w:szCs w:val="28"/>
        </w:rPr>
        <w:t>України судами першої інстанції</w:t>
      </w:r>
      <w:r w:rsidRPr="00946571">
        <w:rPr>
          <w:rFonts w:eastAsia="TimesNewRomanPSMT"/>
          <w:bCs/>
          <w:iCs/>
          <w:color w:val="000000"/>
          <w:sz w:val="28"/>
          <w:szCs w:val="28"/>
        </w:rPr>
        <w:t>: Постанова Пленуму Вищого господарського суду України від 26.12.2011 р. № 18 // Вісник господарського судочинства. – 2012. – № 1. – С. 27.</w:t>
      </w:r>
    </w:p>
    <w:p w14:paraId="2E9BD010"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Конвенція про захист прав людини та основних свобод із поправками, внесеними відповідно до положень Протоколу №11 // Практика Європейського суду з прав людини. – 1999. – №1.</w:t>
      </w:r>
    </w:p>
    <w:p w14:paraId="2A89B1FB"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Бангалорські принципи поведінки суддів від 19.05.2006 р. [Елект</w:t>
      </w:r>
      <w:r>
        <w:rPr>
          <w:rFonts w:eastAsia="TimesNewRomanPSMT"/>
          <w:bCs/>
          <w:iCs/>
          <w:color w:val="000000"/>
          <w:sz w:val="28"/>
          <w:szCs w:val="28"/>
        </w:rPr>
        <w:t>ронний ресурс]. – Режим доступу</w:t>
      </w:r>
      <w:r w:rsidRPr="00946571">
        <w:rPr>
          <w:rFonts w:eastAsia="TimesNewRomanPSMT"/>
          <w:bCs/>
          <w:iCs/>
          <w:color w:val="000000"/>
          <w:sz w:val="28"/>
          <w:szCs w:val="28"/>
        </w:rPr>
        <w:t xml:space="preserve">: </w:t>
      </w:r>
      <w:r w:rsidRPr="003329DF">
        <w:rPr>
          <w:rFonts w:eastAsia="TimesNewRomanPSMT"/>
          <w:bCs/>
          <w:iCs/>
          <w:color w:val="000000"/>
          <w:sz w:val="28"/>
          <w:szCs w:val="28"/>
          <w:lang w:val="en-US"/>
        </w:rPr>
        <w:t>http</w:t>
      </w:r>
      <w:r w:rsidRPr="00774B9C">
        <w:rPr>
          <w:rFonts w:eastAsia="TimesNewRomanPSMT"/>
          <w:bCs/>
          <w:iCs/>
          <w:color w:val="000000"/>
          <w:sz w:val="28"/>
          <w:szCs w:val="28"/>
        </w:rPr>
        <w:t>://</w:t>
      </w:r>
      <w:r w:rsidRPr="003329DF">
        <w:rPr>
          <w:rFonts w:eastAsia="TimesNewRomanPSMT"/>
          <w:bCs/>
          <w:iCs/>
          <w:color w:val="000000"/>
          <w:sz w:val="28"/>
          <w:szCs w:val="28"/>
          <w:lang w:val="en-US"/>
        </w:rPr>
        <w:t>zakon</w:t>
      </w:r>
      <w:r w:rsidRPr="00774B9C">
        <w:rPr>
          <w:rFonts w:eastAsia="TimesNewRomanPSMT"/>
          <w:bCs/>
          <w:iCs/>
          <w:color w:val="000000"/>
          <w:sz w:val="28"/>
          <w:szCs w:val="28"/>
        </w:rPr>
        <w:t>.</w:t>
      </w:r>
      <w:r w:rsidRPr="003329DF">
        <w:rPr>
          <w:rFonts w:eastAsia="TimesNewRomanPSMT"/>
          <w:bCs/>
          <w:iCs/>
          <w:color w:val="000000"/>
          <w:sz w:val="28"/>
          <w:szCs w:val="28"/>
          <w:lang w:val="en-US"/>
        </w:rPr>
        <w:t>rada</w:t>
      </w:r>
      <w:r w:rsidRPr="00774B9C">
        <w:rPr>
          <w:rFonts w:eastAsia="TimesNewRomanPSMT"/>
          <w:bCs/>
          <w:iCs/>
          <w:color w:val="000000"/>
          <w:sz w:val="28"/>
          <w:szCs w:val="28"/>
        </w:rPr>
        <w:t>.</w:t>
      </w:r>
      <w:r w:rsidRPr="003329DF">
        <w:rPr>
          <w:rFonts w:eastAsia="TimesNewRomanPSMT"/>
          <w:bCs/>
          <w:iCs/>
          <w:color w:val="000000"/>
          <w:sz w:val="28"/>
          <w:szCs w:val="28"/>
          <w:lang w:val="en-US"/>
        </w:rPr>
        <w:t>gov</w:t>
      </w:r>
      <w:r w:rsidRPr="00774B9C">
        <w:rPr>
          <w:rFonts w:eastAsia="TimesNewRomanPSMT"/>
          <w:bCs/>
          <w:iCs/>
          <w:color w:val="000000"/>
          <w:sz w:val="28"/>
          <w:szCs w:val="28"/>
        </w:rPr>
        <w:t>.</w:t>
      </w:r>
      <w:r w:rsidRPr="003329DF">
        <w:rPr>
          <w:rFonts w:eastAsia="TimesNewRomanPSMT"/>
          <w:bCs/>
          <w:iCs/>
          <w:color w:val="000000"/>
          <w:sz w:val="28"/>
          <w:szCs w:val="28"/>
          <w:lang w:val="en-US"/>
        </w:rPr>
        <w:t>ua</w:t>
      </w:r>
      <w:r w:rsidRPr="00774B9C">
        <w:rPr>
          <w:rFonts w:eastAsia="TimesNewRomanPSMT"/>
          <w:bCs/>
          <w:iCs/>
          <w:color w:val="000000"/>
          <w:sz w:val="28"/>
          <w:szCs w:val="28"/>
        </w:rPr>
        <w:t>/</w:t>
      </w:r>
      <w:r w:rsidRPr="003329DF">
        <w:rPr>
          <w:rFonts w:eastAsia="TimesNewRomanPSMT"/>
          <w:bCs/>
          <w:iCs/>
          <w:color w:val="000000"/>
          <w:sz w:val="28"/>
          <w:szCs w:val="28"/>
          <w:lang w:val="en-US"/>
        </w:rPr>
        <w:t>laws</w:t>
      </w:r>
      <w:r w:rsidRPr="00774B9C">
        <w:rPr>
          <w:rFonts w:eastAsia="TimesNewRomanPSMT"/>
          <w:bCs/>
          <w:iCs/>
          <w:color w:val="000000"/>
          <w:sz w:val="28"/>
          <w:szCs w:val="28"/>
        </w:rPr>
        <w:t>/</w:t>
      </w:r>
      <w:r w:rsidRPr="003329DF">
        <w:rPr>
          <w:rFonts w:eastAsia="TimesNewRomanPSMT"/>
          <w:bCs/>
          <w:iCs/>
          <w:color w:val="000000"/>
          <w:sz w:val="28"/>
          <w:szCs w:val="28"/>
          <w:lang w:val="en-US"/>
        </w:rPr>
        <w:t>show</w:t>
      </w:r>
      <w:r w:rsidRPr="00774B9C">
        <w:rPr>
          <w:rFonts w:eastAsia="TimesNewRomanPSMT"/>
          <w:bCs/>
          <w:iCs/>
          <w:color w:val="000000"/>
          <w:sz w:val="28"/>
          <w:szCs w:val="28"/>
        </w:rPr>
        <w:t>/995_</w:t>
      </w:r>
      <w:r w:rsidRPr="003329DF">
        <w:rPr>
          <w:rFonts w:eastAsia="TimesNewRomanPSMT"/>
          <w:bCs/>
          <w:iCs/>
          <w:color w:val="000000"/>
          <w:sz w:val="28"/>
          <w:szCs w:val="28"/>
          <w:lang w:val="en-US"/>
        </w:rPr>
        <w:t>j</w:t>
      </w:r>
      <w:r w:rsidRPr="00774B9C">
        <w:rPr>
          <w:rFonts w:eastAsia="TimesNewRomanPSMT"/>
          <w:bCs/>
          <w:iCs/>
          <w:color w:val="000000"/>
          <w:sz w:val="28"/>
          <w:szCs w:val="28"/>
        </w:rPr>
        <w:t>67</w:t>
      </w:r>
      <w:r w:rsidRPr="00946571">
        <w:rPr>
          <w:rFonts w:eastAsia="TimesNewRomanPSMT"/>
          <w:bCs/>
          <w:iCs/>
          <w:color w:val="000000"/>
          <w:sz w:val="28"/>
          <w:szCs w:val="28"/>
        </w:rPr>
        <w:t>.</w:t>
      </w:r>
    </w:p>
    <w:p w14:paraId="7F7DBE8D" w14:textId="77777777" w:rsidR="001C6AA0" w:rsidRPr="00946571" w:rsidRDefault="001C6AA0" w:rsidP="001C6AA0">
      <w:pPr>
        <w:widowControl w:val="0"/>
        <w:autoSpaceDE w:val="0"/>
        <w:autoSpaceDN w:val="0"/>
        <w:adjustRightInd w:val="0"/>
        <w:spacing w:line="360" w:lineRule="auto"/>
        <w:ind w:right="57" w:firstLine="900"/>
        <w:jc w:val="center"/>
        <w:rPr>
          <w:rFonts w:eastAsia="TimesNewRomanPSMT"/>
          <w:b/>
          <w:bCs/>
          <w:iCs/>
          <w:color w:val="000000"/>
          <w:sz w:val="28"/>
          <w:szCs w:val="28"/>
        </w:rPr>
      </w:pPr>
      <w:r w:rsidRPr="00946571">
        <w:rPr>
          <w:rFonts w:eastAsia="TimesNewRomanPSMT"/>
          <w:b/>
          <w:bCs/>
          <w:iCs/>
          <w:color w:val="000000"/>
          <w:sz w:val="28"/>
          <w:szCs w:val="28"/>
          <w:lang w:val="uk-UA"/>
        </w:rPr>
        <w:t>Спеціалізована література</w:t>
      </w:r>
      <w:r w:rsidRPr="00946571">
        <w:rPr>
          <w:rFonts w:eastAsia="TimesNewRomanPSMT"/>
          <w:b/>
          <w:bCs/>
          <w:iCs/>
          <w:color w:val="000000"/>
          <w:sz w:val="28"/>
          <w:szCs w:val="28"/>
        </w:rPr>
        <w:t>:</w:t>
      </w:r>
    </w:p>
    <w:p w14:paraId="1604154C"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lang w:val="uk-UA"/>
        </w:rPr>
        <w:t>Ануфрієва О.В. Інститут відводу судді у процесуальному праві України (порівняльний аспект) / О.В. Ануфрієва // Вісник Вищої ради юстиції. – 2011. - № 4. – С. 35-43</w:t>
      </w:r>
      <w:r w:rsidRPr="00774B9C">
        <w:rPr>
          <w:rFonts w:eastAsia="TimesNewRomanPSMT"/>
          <w:bCs/>
          <w:iCs/>
          <w:color w:val="000000"/>
          <w:sz w:val="28"/>
          <w:szCs w:val="28"/>
        </w:rPr>
        <w:t>.</w:t>
      </w:r>
    </w:p>
    <w:p w14:paraId="35B1B1A4"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lastRenderedPageBreak/>
        <w:t>Бартошек М. Римское право (понятия, термины, определения) / М. Бартошек. – М.: Юридическая литература,1989. – 448 с.</w:t>
      </w:r>
      <w:r w:rsidRPr="00946571">
        <w:rPr>
          <w:rFonts w:eastAsia="TimesNewRomanPSMT"/>
          <w:bCs/>
          <w:iCs/>
          <w:color w:val="000000"/>
          <w:sz w:val="28"/>
          <w:szCs w:val="28"/>
          <w:lang w:val="uk-UA"/>
        </w:rPr>
        <w:t xml:space="preserve"> </w:t>
      </w:r>
    </w:p>
    <w:p w14:paraId="7CF8C0C8"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Баулин О. В. Бремя доказывания при разбирательстве гражд</w:t>
      </w:r>
      <w:r>
        <w:rPr>
          <w:rFonts w:eastAsia="TimesNewRomanPSMT"/>
          <w:bCs/>
          <w:iCs/>
          <w:color w:val="000000"/>
          <w:sz w:val="28"/>
          <w:szCs w:val="28"/>
        </w:rPr>
        <w:t>анских дел / О. В. Баулин. – М.</w:t>
      </w:r>
      <w:r w:rsidRPr="00946571">
        <w:rPr>
          <w:rFonts w:eastAsia="TimesNewRomanPSMT"/>
          <w:bCs/>
          <w:iCs/>
          <w:color w:val="000000"/>
          <w:sz w:val="28"/>
          <w:szCs w:val="28"/>
        </w:rPr>
        <w:t>: Издательский дом «Городец», 2004. – 272 с.</w:t>
      </w:r>
    </w:p>
    <w:p w14:paraId="6E08C18C"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Білоусов Ю. В. Доказові презумпції у цивільному судо</w:t>
      </w:r>
      <w:r>
        <w:rPr>
          <w:rFonts w:eastAsia="TimesNewRomanPSMT"/>
          <w:bCs/>
          <w:iCs/>
          <w:color w:val="000000"/>
          <w:sz w:val="28"/>
          <w:szCs w:val="28"/>
        </w:rPr>
        <w:t>чинстві</w:t>
      </w:r>
      <w:r w:rsidRPr="00946571">
        <w:rPr>
          <w:rFonts w:eastAsia="TimesNewRomanPSMT"/>
          <w:bCs/>
          <w:iCs/>
          <w:color w:val="000000"/>
          <w:sz w:val="28"/>
          <w:szCs w:val="28"/>
        </w:rPr>
        <w:t xml:space="preserve">: монографія / Ю. </w:t>
      </w:r>
      <w:r>
        <w:rPr>
          <w:rFonts w:eastAsia="TimesNewRomanPSMT"/>
          <w:bCs/>
          <w:iCs/>
          <w:color w:val="000000"/>
          <w:sz w:val="28"/>
          <w:szCs w:val="28"/>
        </w:rPr>
        <w:t>В. Білоусов, В. П. Феннич. – Х.</w:t>
      </w:r>
      <w:r w:rsidRPr="00946571">
        <w:rPr>
          <w:rFonts w:eastAsia="TimesNewRomanPSMT"/>
          <w:bCs/>
          <w:iCs/>
          <w:color w:val="000000"/>
          <w:sz w:val="28"/>
          <w:szCs w:val="28"/>
        </w:rPr>
        <w:t>: Харків юридичний, 2012. – 280 с.</w:t>
      </w:r>
    </w:p>
    <w:p w14:paraId="60F612AA"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Бобкова А. Новели проекту Господарського процесуального кодексу України / А. Бобкова, О. Банасько // Право України. – 2017. – № 9. – С. 45–50.</w:t>
      </w:r>
    </w:p>
    <w:p w14:paraId="5B36F8DF"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 xml:space="preserve">Васильєва-Шаламова Ж. В. Відвід судді(в) у цивільному процесі: деякі теоретико–прикладні аспекти / Ж. В. Васильєва-Шаламова // Порівняльно-аналітичне право –2014. – № 7. – </w:t>
      </w:r>
      <w:r w:rsidRPr="00946571">
        <w:rPr>
          <w:rFonts w:eastAsia="TimesNewRomanPSMT"/>
          <w:bCs/>
          <w:iCs/>
          <w:color w:val="000000"/>
          <w:sz w:val="28"/>
          <w:szCs w:val="28"/>
        </w:rPr>
        <w:t>C</w:t>
      </w:r>
      <w:r w:rsidRPr="00946571">
        <w:rPr>
          <w:rFonts w:eastAsia="TimesNewRomanPSMT"/>
          <w:bCs/>
          <w:iCs/>
          <w:color w:val="000000"/>
          <w:sz w:val="28"/>
          <w:szCs w:val="28"/>
          <w:lang w:val="uk-UA"/>
        </w:rPr>
        <w:t>.66–69.</w:t>
      </w:r>
    </w:p>
    <w:p w14:paraId="66F6592D" w14:textId="77777777" w:rsidR="001C6AA0" w:rsidRPr="00774B9C"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774B9C">
        <w:rPr>
          <w:rFonts w:eastAsia="TimesNewRomanPSMT"/>
          <w:bCs/>
          <w:iCs/>
          <w:color w:val="000000"/>
          <w:sz w:val="28"/>
          <w:szCs w:val="28"/>
          <w:lang w:val="uk-UA"/>
        </w:rPr>
        <w:t>Гарієвська М. Б. Окремі аспекти відводу судді у цивільному процесі / М. Б. Гарієвська // Приватне право і підприємництво. - 2017. - Вип. 17. - С. 56-60.</w:t>
      </w:r>
    </w:p>
    <w:p w14:paraId="13C80F35"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Глушкова Д. Г. Участь спеці</w:t>
      </w:r>
      <w:r>
        <w:rPr>
          <w:rFonts w:eastAsia="TimesNewRomanPSMT"/>
          <w:bCs/>
          <w:iCs/>
          <w:color w:val="000000"/>
          <w:sz w:val="28"/>
          <w:szCs w:val="28"/>
        </w:rPr>
        <w:t>аліста в цивільному судочинстві</w:t>
      </w:r>
      <w:r w:rsidRPr="00946571">
        <w:rPr>
          <w:rFonts w:eastAsia="TimesNewRomanPSMT"/>
          <w:bCs/>
          <w:iCs/>
          <w:color w:val="000000"/>
          <w:sz w:val="28"/>
          <w:szCs w:val="28"/>
        </w:rPr>
        <w:t xml:space="preserve">: автореф. дис. … канд. юрид. наук / Д. Г. Глушкова. – Х., 2009. – 19 с. </w:t>
      </w:r>
    </w:p>
    <w:p w14:paraId="7CFC2164"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lang w:val="uk-UA"/>
        </w:rPr>
        <w:t>Готовкіна К. Дружба в соцмережі як привід для відводу судді / К. Готовкіна // Юридична газета. – 2017. - [Елект</w:t>
      </w:r>
      <w:r>
        <w:rPr>
          <w:rFonts w:eastAsia="TimesNewRomanPSMT"/>
          <w:bCs/>
          <w:iCs/>
          <w:color w:val="000000"/>
          <w:sz w:val="28"/>
          <w:szCs w:val="28"/>
          <w:lang w:val="uk-UA"/>
        </w:rPr>
        <w:t>ронний ресурс]. – Режим доступу</w:t>
      </w:r>
      <w:r w:rsidRPr="00946571">
        <w:rPr>
          <w:rFonts w:eastAsia="TimesNewRomanPSMT"/>
          <w:bCs/>
          <w:iCs/>
          <w:color w:val="000000"/>
          <w:sz w:val="28"/>
          <w:szCs w:val="28"/>
          <w:lang w:val="uk-UA"/>
        </w:rPr>
        <w:t xml:space="preserve">: </w:t>
      </w:r>
      <w:r w:rsidRPr="003329DF">
        <w:rPr>
          <w:rFonts w:eastAsia="TimesNewRomanPSMT"/>
          <w:bCs/>
          <w:iCs/>
          <w:color w:val="000000"/>
          <w:sz w:val="28"/>
          <w:szCs w:val="28"/>
        </w:rPr>
        <w:t>http://yur-gazeta.com/publications/practice/inshe/druzhba-v-socmerezhi-yak-privid-dlya-vidvodu-suddi.html</w:t>
      </w:r>
      <w:r w:rsidRPr="00946571">
        <w:rPr>
          <w:rFonts w:eastAsia="TimesNewRomanPSMT"/>
          <w:bCs/>
          <w:iCs/>
          <w:color w:val="000000"/>
          <w:sz w:val="28"/>
          <w:szCs w:val="28"/>
        </w:rPr>
        <w:t>.</w:t>
      </w:r>
    </w:p>
    <w:p w14:paraId="6F9A01EB"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774B9C">
        <w:rPr>
          <w:rFonts w:eastAsia="TimesNewRomanPSMT"/>
          <w:bCs/>
          <w:iCs/>
          <w:color w:val="000000"/>
          <w:sz w:val="28"/>
          <w:szCs w:val="28"/>
        </w:rPr>
        <w:t>Григорчук М. В. Господарське право в системі права України / М.</w:t>
      </w:r>
      <w:r w:rsidRPr="00946571">
        <w:rPr>
          <w:rFonts w:eastAsia="TimesNewRomanPSMT"/>
          <w:bCs/>
          <w:iCs/>
          <w:color w:val="000000"/>
          <w:sz w:val="28"/>
          <w:szCs w:val="28"/>
          <w:lang w:val="en-US"/>
        </w:rPr>
        <w:t> </w:t>
      </w:r>
      <w:r w:rsidRPr="00774B9C">
        <w:rPr>
          <w:rFonts w:eastAsia="TimesNewRomanPSMT"/>
          <w:bCs/>
          <w:iCs/>
          <w:color w:val="000000"/>
          <w:sz w:val="28"/>
          <w:szCs w:val="28"/>
        </w:rPr>
        <w:t xml:space="preserve">В. Григорчук // Економіка та право. </w:t>
      </w:r>
      <w:r>
        <w:rPr>
          <w:rFonts w:eastAsia="TimesNewRomanPSMT"/>
          <w:bCs/>
          <w:iCs/>
          <w:color w:val="000000"/>
          <w:sz w:val="28"/>
          <w:szCs w:val="28"/>
          <w:lang w:val="en-US"/>
        </w:rPr>
        <w:t>Серія</w:t>
      </w:r>
      <w:r w:rsidRPr="00946571">
        <w:rPr>
          <w:rFonts w:eastAsia="TimesNewRomanPSMT"/>
          <w:bCs/>
          <w:iCs/>
          <w:color w:val="000000"/>
          <w:sz w:val="28"/>
          <w:szCs w:val="28"/>
          <w:lang w:val="en-US"/>
        </w:rPr>
        <w:t>: Право. - 2016. - № 1. - С. 53-60.</w:t>
      </w:r>
      <w:r w:rsidRPr="00946571">
        <w:rPr>
          <w:rFonts w:eastAsia="TimesNewRomanPSMT"/>
          <w:bCs/>
          <w:iCs/>
          <w:color w:val="000000"/>
          <w:sz w:val="28"/>
          <w:szCs w:val="28"/>
          <w:lang w:val="uk-UA"/>
        </w:rPr>
        <w:t xml:space="preserve"> </w:t>
      </w:r>
    </w:p>
    <w:p w14:paraId="024899AC"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Дементьева В. В. Магистратура диктатора в ранней Римской республике (V-Ш ст. до н.э.) / В. В.Дементьева. – Ярославль: ЯрГУ, 1996. – 128 c.</w:t>
      </w:r>
    </w:p>
    <w:p w14:paraId="363C145B"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 xml:space="preserve">Г. Денісова. Відвід суддів у праві Римської імперії [Електронний ресурс] / Г. Денісова, О. Юзич. – 2016. – Режим доступу до ресурсу: </w:t>
      </w:r>
      <w:r w:rsidRPr="003329DF">
        <w:rPr>
          <w:rFonts w:eastAsia="TimesNewRomanPSMT"/>
          <w:bCs/>
          <w:iCs/>
          <w:color w:val="000000"/>
          <w:sz w:val="28"/>
          <w:szCs w:val="28"/>
        </w:rPr>
        <w:t>http://www.pravoznavec.com.ua/period/article/76403/%D0%93</w:t>
      </w:r>
      <w:r w:rsidRPr="00946571">
        <w:rPr>
          <w:rFonts w:eastAsia="TimesNewRomanPSMT"/>
          <w:bCs/>
          <w:iCs/>
          <w:color w:val="000000"/>
          <w:sz w:val="28"/>
          <w:szCs w:val="28"/>
        </w:rPr>
        <w:t>.</w:t>
      </w:r>
    </w:p>
    <w:p w14:paraId="39E5BBBB"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lastRenderedPageBreak/>
        <w:t>Дигесты</w:t>
      </w:r>
      <w:r w:rsidRPr="00946571">
        <w:rPr>
          <w:rFonts w:eastAsia="TimesNewRomanPSMT"/>
          <w:bCs/>
          <w:iCs/>
          <w:color w:val="000000"/>
          <w:sz w:val="28"/>
          <w:szCs w:val="28"/>
          <w:lang w:val="uk-UA"/>
        </w:rPr>
        <w:t xml:space="preserve"> </w:t>
      </w:r>
      <w:r w:rsidRPr="00946571">
        <w:rPr>
          <w:rFonts w:eastAsia="TimesNewRomanPSMT"/>
          <w:bCs/>
          <w:iCs/>
          <w:color w:val="000000"/>
          <w:sz w:val="28"/>
          <w:szCs w:val="28"/>
        </w:rPr>
        <w:t>Юстиниана [Електронний</w:t>
      </w:r>
      <w:r w:rsidRPr="00946571">
        <w:rPr>
          <w:rFonts w:eastAsia="TimesNewRomanPSMT"/>
          <w:bCs/>
          <w:iCs/>
          <w:color w:val="000000"/>
          <w:sz w:val="28"/>
          <w:szCs w:val="28"/>
          <w:lang w:val="uk-UA"/>
        </w:rPr>
        <w:t xml:space="preserve"> </w:t>
      </w:r>
      <w:r w:rsidRPr="00946571">
        <w:rPr>
          <w:rFonts w:eastAsia="TimesNewRomanPSMT"/>
          <w:bCs/>
          <w:iCs/>
          <w:color w:val="000000"/>
          <w:sz w:val="28"/>
          <w:szCs w:val="28"/>
        </w:rPr>
        <w:t>ресурс]. –</w:t>
      </w:r>
      <w:r w:rsidRPr="00946571">
        <w:rPr>
          <w:rFonts w:eastAsia="TimesNewRomanPSMT"/>
          <w:bCs/>
          <w:iCs/>
          <w:color w:val="000000"/>
          <w:sz w:val="28"/>
          <w:szCs w:val="28"/>
          <w:lang w:val="uk-UA"/>
        </w:rPr>
        <w:t xml:space="preserve"> </w:t>
      </w:r>
      <w:r w:rsidRPr="00946571">
        <w:rPr>
          <w:rFonts w:eastAsia="TimesNewRomanPSMT"/>
          <w:bCs/>
          <w:iCs/>
          <w:color w:val="000000"/>
          <w:sz w:val="28"/>
          <w:szCs w:val="28"/>
        </w:rPr>
        <w:t>Режим</w:t>
      </w:r>
      <w:r w:rsidRPr="00946571">
        <w:rPr>
          <w:rFonts w:eastAsia="TimesNewRomanPSMT"/>
          <w:bCs/>
          <w:iCs/>
          <w:color w:val="000000"/>
          <w:sz w:val="28"/>
          <w:szCs w:val="28"/>
          <w:lang w:val="uk-UA"/>
        </w:rPr>
        <w:t xml:space="preserve"> </w:t>
      </w:r>
      <w:r w:rsidRPr="00946571">
        <w:rPr>
          <w:rFonts w:eastAsia="TimesNewRomanPSMT"/>
          <w:bCs/>
          <w:iCs/>
          <w:color w:val="000000"/>
          <w:sz w:val="28"/>
          <w:szCs w:val="28"/>
        </w:rPr>
        <w:t xml:space="preserve">доступу: </w:t>
      </w:r>
      <w:r w:rsidRPr="003329DF">
        <w:rPr>
          <w:rFonts w:eastAsia="TimesNewRomanPSMT"/>
          <w:bCs/>
          <w:iCs/>
          <w:color w:val="000000"/>
          <w:sz w:val="28"/>
          <w:szCs w:val="28"/>
        </w:rPr>
        <w:t>http://www.gumer.info/bibliotek_Buks/Pravo/digest/index.php</w:t>
      </w:r>
      <w:r w:rsidRPr="00946571">
        <w:rPr>
          <w:rFonts w:eastAsia="TimesNewRomanPSMT"/>
          <w:bCs/>
          <w:iCs/>
          <w:color w:val="000000"/>
          <w:sz w:val="28"/>
          <w:szCs w:val="28"/>
        </w:rPr>
        <w:t>.</w:t>
      </w:r>
    </w:p>
    <w:p w14:paraId="3D5FC927"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Дождев Д. В. Римское частное право / Д. В. Дождев; под ред. B. C. Нерсесянца. – М.: Инфра-М; Норма, 1996. – 704 с.(224)</w:t>
      </w:r>
    </w:p>
    <w:p w14:paraId="1EB4BD4E"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Дубчак Л. Право на відвід судді: окремі позиції Європейського суду з прав людини / Л. Дубчак // Юридична газета. – 2018. - [Елект</w:t>
      </w:r>
      <w:r>
        <w:rPr>
          <w:rFonts w:eastAsia="TimesNewRomanPSMT"/>
          <w:bCs/>
          <w:iCs/>
          <w:color w:val="000000"/>
          <w:sz w:val="28"/>
          <w:szCs w:val="28"/>
        </w:rPr>
        <w:t>ронний ресурс]. – Режим доступу</w:t>
      </w:r>
      <w:r w:rsidRPr="00946571">
        <w:rPr>
          <w:rFonts w:eastAsia="TimesNewRomanPSMT"/>
          <w:bCs/>
          <w:iCs/>
          <w:color w:val="000000"/>
          <w:sz w:val="28"/>
          <w:szCs w:val="28"/>
        </w:rPr>
        <w:t xml:space="preserve">: </w:t>
      </w:r>
      <w:r w:rsidRPr="003329DF">
        <w:rPr>
          <w:rFonts w:eastAsia="TimesNewRomanPSMT"/>
          <w:bCs/>
          <w:iCs/>
          <w:color w:val="000000"/>
          <w:sz w:val="28"/>
          <w:szCs w:val="28"/>
        </w:rPr>
        <w:t>https://blog.liga.net/user/ldubchak/article/31284</w:t>
      </w:r>
      <w:r w:rsidRPr="00946571">
        <w:rPr>
          <w:rFonts w:eastAsia="TimesNewRomanPSMT"/>
          <w:bCs/>
          <w:iCs/>
          <w:color w:val="000000"/>
          <w:sz w:val="28"/>
          <w:szCs w:val="28"/>
          <w:lang w:val="uk-UA"/>
        </w:rPr>
        <w:t>.</w:t>
      </w:r>
    </w:p>
    <w:p w14:paraId="16CF0E8A"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 xml:space="preserve">Европейский суд по правам человека. Моисеев против России [Электронный ресурс] / Европейский суд по правам человека. – 2008. – Режим доступа к ресурсу: </w:t>
      </w:r>
      <w:r w:rsidRPr="003329DF">
        <w:rPr>
          <w:rFonts w:eastAsia="TimesNewRomanPSMT"/>
          <w:bCs/>
          <w:iCs/>
          <w:color w:val="000000"/>
          <w:sz w:val="28"/>
          <w:szCs w:val="28"/>
        </w:rPr>
        <w:t>https://roseurosud.org/r/st-7/postanovlenie-espch-moiseev-protiv-rossii</w:t>
      </w:r>
      <w:r w:rsidRPr="00946571">
        <w:rPr>
          <w:rFonts w:eastAsia="TimesNewRomanPSMT"/>
          <w:bCs/>
          <w:iCs/>
          <w:color w:val="000000"/>
          <w:sz w:val="28"/>
          <w:szCs w:val="28"/>
        </w:rPr>
        <w:t>.</w:t>
      </w:r>
    </w:p>
    <w:p w14:paraId="206D7643"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Європейські та міжнародн</w:t>
      </w:r>
      <w:r>
        <w:rPr>
          <w:rFonts w:eastAsia="TimesNewRomanPSMT"/>
          <w:bCs/>
          <w:iCs/>
          <w:color w:val="000000"/>
          <w:sz w:val="28"/>
          <w:szCs w:val="28"/>
        </w:rPr>
        <w:t>і стандарти у сфері судочинства.</w:t>
      </w:r>
      <w:r w:rsidRPr="00946571">
        <w:rPr>
          <w:rFonts w:eastAsia="TimesNewRomanPSMT"/>
          <w:bCs/>
          <w:iCs/>
          <w:color w:val="000000"/>
          <w:sz w:val="28"/>
          <w:szCs w:val="28"/>
          <w:lang w:val="uk-UA"/>
        </w:rPr>
        <w:t xml:space="preserve"> </w:t>
      </w:r>
      <w:r w:rsidRPr="00946571">
        <w:rPr>
          <w:rFonts w:eastAsia="TimesNewRomanPSMT"/>
          <w:bCs/>
          <w:iCs/>
          <w:color w:val="000000"/>
          <w:sz w:val="28"/>
          <w:szCs w:val="28"/>
        </w:rPr>
        <w:t>–</w:t>
      </w:r>
      <w:r>
        <w:rPr>
          <w:rFonts w:eastAsia="TimesNewRomanPSMT"/>
          <w:bCs/>
          <w:iCs/>
          <w:color w:val="000000"/>
          <w:sz w:val="28"/>
          <w:szCs w:val="28"/>
        </w:rPr>
        <w:t xml:space="preserve"> </w:t>
      </w:r>
      <w:r w:rsidRPr="00946571">
        <w:rPr>
          <w:rFonts w:eastAsia="TimesNewRomanPSMT"/>
          <w:bCs/>
          <w:iCs/>
          <w:color w:val="000000"/>
          <w:sz w:val="28"/>
          <w:szCs w:val="28"/>
        </w:rPr>
        <w:t>Київ</w:t>
      </w:r>
      <w:r>
        <w:rPr>
          <w:rFonts w:eastAsia="TimesNewRomanPSMT"/>
          <w:bCs/>
          <w:iCs/>
          <w:color w:val="000000"/>
          <w:sz w:val="28"/>
          <w:szCs w:val="28"/>
        </w:rPr>
        <w:t>.</w:t>
      </w:r>
      <w:r w:rsidRPr="00946571">
        <w:rPr>
          <w:rFonts w:eastAsia="TimesNewRomanPSMT"/>
          <w:bCs/>
          <w:iCs/>
          <w:color w:val="000000"/>
          <w:sz w:val="28"/>
          <w:szCs w:val="28"/>
        </w:rPr>
        <w:t xml:space="preserve"> –</w:t>
      </w:r>
      <w:r>
        <w:rPr>
          <w:rFonts w:eastAsia="TimesNewRomanPSMT"/>
          <w:bCs/>
          <w:iCs/>
          <w:color w:val="000000"/>
          <w:sz w:val="28"/>
          <w:szCs w:val="28"/>
        </w:rPr>
        <w:t xml:space="preserve"> </w:t>
      </w:r>
      <w:r w:rsidRPr="00946571">
        <w:rPr>
          <w:rFonts w:eastAsia="TimesNewRomanPSMT"/>
          <w:bCs/>
          <w:iCs/>
          <w:color w:val="000000"/>
          <w:sz w:val="28"/>
          <w:szCs w:val="28"/>
        </w:rPr>
        <w:t>2015. – 708 с.</w:t>
      </w:r>
    </w:p>
    <w:p w14:paraId="225EAFAC"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 xml:space="preserve">Задорожний Ю. А. Римське право - доктринальна першооснова права та юридичної науки в країнах романо-германської правової сім'ї та України: автореферат дис. ... канд. юрид. наук : 12.00.01 Теорія та історія держави і права. </w:t>
      </w:r>
      <w:r w:rsidRPr="00946571">
        <w:rPr>
          <w:rFonts w:eastAsia="TimesNewRomanPSMT"/>
          <w:bCs/>
          <w:iCs/>
          <w:color w:val="000000"/>
          <w:sz w:val="28"/>
          <w:szCs w:val="28"/>
        </w:rPr>
        <w:t>Історія політ. і правових вчень / Ю. А. Задорожний. – Київ: Б. в., 2008. – 20 с.</w:t>
      </w:r>
    </w:p>
    <w:p w14:paraId="25863054"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 xml:space="preserve">Зейкан Я. П. Коментар Цивільного процесуального кодексу України / Я. П. Зейкан. – К.: Юридична практика, 2006. – 560 с. </w:t>
      </w:r>
    </w:p>
    <w:p w14:paraId="27F8CE00"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Кодекс административных проступков Азербайджанской Республики от 11 июля 2000 года // Сборник законодательных актов Азербайджанской Республики. – 2000. – № 8 (книга 1). – Ст. 584.</w:t>
      </w:r>
    </w:p>
    <w:p w14:paraId="0F03946B"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Кодекс об административных правонарушениях Республики Молдова. – Кишинев: S.C.”Lavilat-SNFO” S.R.L., 2005. – 155 с.</w:t>
      </w:r>
    </w:p>
    <w:p w14:paraId="17618C1D"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 xml:space="preserve">Кодекс об административных правонарушениях Российской Федерации от 30 декабря 2001 года / [Электронный ресурс]. – Режим доступа: </w:t>
      </w:r>
      <w:r w:rsidRPr="003329DF">
        <w:rPr>
          <w:rFonts w:eastAsia="TimesNewRomanPSMT"/>
          <w:bCs/>
          <w:iCs/>
          <w:color w:val="000000"/>
          <w:sz w:val="28"/>
          <w:szCs w:val="28"/>
        </w:rPr>
        <w:t>http://www.garant.ru/main/12025267-025.htm#par4337</w:t>
      </w:r>
      <w:r w:rsidRPr="00946571">
        <w:rPr>
          <w:rFonts w:eastAsia="TimesNewRomanPSMT"/>
          <w:bCs/>
          <w:iCs/>
          <w:color w:val="000000"/>
          <w:sz w:val="28"/>
          <w:szCs w:val="28"/>
        </w:rPr>
        <w:t>.</w:t>
      </w:r>
    </w:p>
    <w:p w14:paraId="1448F3B4"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 xml:space="preserve">Кодекс Республики Казахстан об административных правонарушениях от 30 января 2001 года № 155-ІІ // Ведомости Парламента </w:t>
      </w:r>
      <w:r w:rsidRPr="00946571">
        <w:rPr>
          <w:rFonts w:eastAsia="TimesNewRomanPSMT"/>
          <w:bCs/>
          <w:iCs/>
          <w:color w:val="000000"/>
          <w:sz w:val="28"/>
          <w:szCs w:val="28"/>
        </w:rPr>
        <w:lastRenderedPageBreak/>
        <w:t>Республики Казахстан. – 2001. – № 5-6. – Ст. 24.</w:t>
      </w:r>
    </w:p>
    <w:p w14:paraId="4DB9F896"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Колодій А. М. Принципи права України : монографія / А. М. Колодій. — К. : Юрінком Інтер, 1998. — 208 с.</w:t>
      </w:r>
    </w:p>
    <w:p w14:paraId="7282752C"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 xml:space="preserve">Колодій А. М. Принципи права: генеза, поняття, класифікація та реалізація / А. М. Колодій //Альманах права. Основоположні принципи права як його ціннісні виміри. Науково-практичний юридичний журнал. — Випуск 3. — К.: Інститут держави і права ім. В. М. Корецького НАН України, 2012. —  С. 42-46. </w:t>
      </w:r>
    </w:p>
    <w:p w14:paraId="11D5FB4B"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Коломоєць Т.О. Захисник у провадженні у справах про адміністративні правопорушення: монографія / Т.О. Коломоєць, Р.В. Сінєльнік. – К.: Істина, 2008. – 184 с.</w:t>
      </w:r>
    </w:p>
    <w:p w14:paraId="59162BB6" w14:textId="77777777" w:rsidR="001C6AA0" w:rsidRPr="00774B9C"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774B9C">
        <w:rPr>
          <w:rFonts w:eastAsia="TimesNewRomanPSMT"/>
          <w:bCs/>
          <w:iCs/>
          <w:color w:val="000000"/>
          <w:sz w:val="28"/>
          <w:szCs w:val="28"/>
          <w:lang w:val="uk-UA"/>
        </w:rPr>
        <w:t xml:space="preserve">Коментар до Кодексу суддівської етики, </w:t>
      </w:r>
      <w:r w:rsidRPr="00946571">
        <w:rPr>
          <w:rFonts w:eastAsia="TimesNewRomanPSMT"/>
          <w:bCs/>
          <w:iCs/>
          <w:color w:val="000000"/>
          <w:sz w:val="28"/>
          <w:szCs w:val="28"/>
          <w:lang w:val="uk-UA"/>
        </w:rPr>
        <w:t xml:space="preserve">затвердженим </w:t>
      </w:r>
      <w:r w:rsidRPr="00774B9C">
        <w:rPr>
          <w:rFonts w:eastAsia="TimesNewRomanPSMT"/>
          <w:bCs/>
          <w:iCs/>
          <w:color w:val="000000"/>
          <w:sz w:val="28"/>
          <w:szCs w:val="28"/>
          <w:lang w:val="uk-UA"/>
        </w:rPr>
        <w:t>рішенням Ради суддів України від 04 лютого 2016 року № 1</w:t>
      </w:r>
      <w:r w:rsidRPr="00946571">
        <w:rPr>
          <w:rFonts w:eastAsia="TimesNewRomanPSMT"/>
          <w:bCs/>
          <w:iCs/>
          <w:color w:val="000000"/>
          <w:sz w:val="28"/>
          <w:szCs w:val="28"/>
          <w:lang w:val="uk-UA"/>
        </w:rPr>
        <w:t xml:space="preserve"> // Бюлетень законодавства і юридичної практики України «Адвокатура в Україні». –К.: Юрінком, 2016. – № 1.</w:t>
      </w:r>
    </w:p>
    <w:p w14:paraId="4297B930"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Конституція України. – Х.: ТОВ «Одисей», 2005. – 48 с.</w:t>
      </w:r>
    </w:p>
    <w:p w14:paraId="51A838A2" w14:textId="77777777" w:rsidR="001C6AA0" w:rsidRPr="00774B9C"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lang w:val="uk-UA"/>
        </w:rPr>
        <w:t xml:space="preserve">Конституція України. Науково-практичний коментар / редкол.: В. Я. Тацій (голова редкол.), О. В. Петришин (відп. </w:t>
      </w:r>
      <w:r>
        <w:rPr>
          <w:rFonts w:eastAsia="TimesNewRomanPSMT"/>
          <w:bCs/>
          <w:iCs/>
          <w:color w:val="000000"/>
          <w:sz w:val="28"/>
          <w:szCs w:val="28"/>
          <w:lang w:val="uk-UA"/>
        </w:rPr>
        <w:t>секретар), Ю. Г. Барабаш та ін.</w:t>
      </w:r>
      <w:r w:rsidRPr="00946571">
        <w:rPr>
          <w:rFonts w:eastAsia="TimesNewRomanPSMT"/>
          <w:bCs/>
          <w:iCs/>
          <w:color w:val="000000"/>
          <w:sz w:val="28"/>
          <w:szCs w:val="28"/>
          <w:lang w:val="uk-UA"/>
        </w:rPr>
        <w:t>; Нац. акад. прав. наук України. – 2-ге вид., переробл. і допов. – Х. : Право, 2011. – 1128 с.</w:t>
      </w:r>
    </w:p>
    <w:p w14:paraId="3D9182A8"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 xml:space="preserve">Кравчук В.М. Науково-практичний коментар Цивільного процесуального кодексу України / В.М. </w:t>
      </w:r>
      <w:r>
        <w:rPr>
          <w:rFonts w:eastAsia="TimesNewRomanPSMT"/>
          <w:bCs/>
          <w:iCs/>
          <w:color w:val="000000"/>
          <w:sz w:val="28"/>
          <w:szCs w:val="28"/>
          <w:lang w:val="uk-UA"/>
        </w:rPr>
        <w:t>Кравчук, О.І. Угриновська. – К.</w:t>
      </w:r>
      <w:r w:rsidRPr="00946571">
        <w:rPr>
          <w:rFonts w:eastAsia="TimesNewRomanPSMT"/>
          <w:bCs/>
          <w:iCs/>
          <w:color w:val="000000"/>
          <w:sz w:val="28"/>
          <w:szCs w:val="28"/>
          <w:lang w:val="uk-UA"/>
        </w:rPr>
        <w:t>: Істина, 2006. – 944 с.</w:t>
      </w:r>
    </w:p>
    <w:p w14:paraId="124E3EC7" w14:textId="77777777" w:rsidR="001C6AA0" w:rsidRPr="00774B9C"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774B9C">
        <w:rPr>
          <w:rFonts w:eastAsia="TimesNewRomanPSMT"/>
          <w:bCs/>
          <w:iCs/>
          <w:color w:val="000000"/>
          <w:sz w:val="28"/>
          <w:szCs w:val="28"/>
          <w:lang w:val="uk-UA"/>
        </w:rPr>
        <w:t>Курило М.П. Уніфікація функцій суду як суб’єкта процесуального права / М.П. Курило // Бюлетень Міністерства юстиції України. – 2013. – № 8. – С. 58-61.</w:t>
      </w:r>
    </w:p>
    <w:p w14:paraId="5ECB004E" w14:textId="77777777" w:rsidR="001C6AA0" w:rsidRPr="00774B9C"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774B9C">
        <w:rPr>
          <w:rFonts w:eastAsia="TimesNewRomanPSMT"/>
          <w:bCs/>
          <w:iCs/>
          <w:color w:val="000000"/>
          <w:sz w:val="28"/>
          <w:szCs w:val="28"/>
          <w:lang w:val="uk-UA"/>
        </w:rPr>
        <w:t>Лошак О. С. Проблеми вирішення відводу судді в цивільному процесі України в суді першої інстанції / О. С. Лошак // Право і суспільство. - 2017. - №</w:t>
      </w:r>
      <w:r>
        <w:rPr>
          <w:rFonts w:eastAsia="TimesNewRomanPSMT"/>
          <w:bCs/>
          <w:iCs/>
          <w:color w:val="000000"/>
          <w:sz w:val="28"/>
          <w:szCs w:val="28"/>
        </w:rPr>
        <w:t> </w:t>
      </w:r>
      <w:r w:rsidRPr="00774B9C">
        <w:rPr>
          <w:rFonts w:eastAsia="TimesNewRomanPSMT"/>
          <w:bCs/>
          <w:iCs/>
          <w:color w:val="000000"/>
          <w:sz w:val="28"/>
          <w:szCs w:val="28"/>
          <w:lang w:val="uk-UA"/>
        </w:rPr>
        <w:t xml:space="preserve">1(2). - С. 68-72. </w:t>
      </w:r>
    </w:p>
    <w:p w14:paraId="2CD78A07"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774B9C">
        <w:rPr>
          <w:rFonts w:eastAsia="TimesNewRomanPSMT"/>
          <w:bCs/>
          <w:iCs/>
          <w:color w:val="000000"/>
          <w:sz w:val="28"/>
          <w:szCs w:val="28"/>
          <w:lang w:val="uk-UA"/>
        </w:rPr>
        <w:t xml:space="preserve">Лук’янець Д.М. Адміністративно-деліктні відносини в Україні: </w:t>
      </w:r>
      <w:r w:rsidRPr="00774B9C">
        <w:rPr>
          <w:rFonts w:eastAsia="TimesNewRomanPSMT"/>
          <w:bCs/>
          <w:iCs/>
          <w:color w:val="000000"/>
          <w:sz w:val="28"/>
          <w:szCs w:val="28"/>
          <w:lang w:val="uk-UA"/>
        </w:rPr>
        <w:lastRenderedPageBreak/>
        <w:t>теорія та практика правового регулювання: монографія / Дмитро Миколайович Лук’янець. – Суми: АТД «Університетська книга», 2006. – 367 с.</w:t>
      </w:r>
      <w:r w:rsidRPr="00946571">
        <w:rPr>
          <w:rFonts w:eastAsia="TimesNewRomanPSMT"/>
          <w:bCs/>
          <w:iCs/>
          <w:color w:val="000000"/>
          <w:sz w:val="28"/>
          <w:szCs w:val="28"/>
          <w:lang w:val="uk-UA"/>
        </w:rPr>
        <w:t xml:space="preserve"> </w:t>
      </w:r>
    </w:p>
    <w:p w14:paraId="63D6F247"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Магомедова Х.А. Институт отводов в советском уголовном судопроизводстве : дис. … канд. юрид. наук / Х.А. Магомедова. – М., 1984. – 241 с.</w:t>
      </w:r>
    </w:p>
    <w:p w14:paraId="48196F6D"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Михеєнко М. М. Засади безпосередньої участі народу у здійсненні правосуддя / М. М. Михеєнко // Проблеми розвитку кримінального процесу в Україні: вибрані твори. – К.: Юрінком Інтер, 1999. – 240 с.</w:t>
      </w:r>
    </w:p>
    <w:p w14:paraId="12D47614"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Науменков А. В. Отвод судей в арбитражном процессе: дисс. … канд. юрид. наук / А. В. Науменков. – М., 2002. – 172 с.</w:t>
      </w:r>
    </w:p>
    <w:p w14:paraId="7BC289B2"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 xml:space="preserve">Нефедьев А. И. Устранение судей в гражданском процессе / А. И. Нефедьев. – Казань: Типография Казанского Университета, 1885. – 173 с. </w:t>
      </w:r>
    </w:p>
    <w:p w14:paraId="712966D9" w14:textId="77777777" w:rsidR="001C6AA0" w:rsidRPr="00CF2F27"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pacing w:val="-2"/>
          <w:sz w:val="28"/>
          <w:szCs w:val="28"/>
          <w:lang w:val="uk-UA"/>
        </w:rPr>
      </w:pPr>
      <w:r w:rsidRPr="00CF2F27">
        <w:rPr>
          <w:rFonts w:eastAsia="TimesNewRomanPSMT"/>
          <w:bCs/>
          <w:iCs/>
          <w:color w:val="000000"/>
          <w:spacing w:val="-2"/>
          <w:sz w:val="28"/>
          <w:szCs w:val="28"/>
        </w:rPr>
        <w:t>Новицкий И. Б. Римское право / И. Б. Новицкий. – М.: Теис, 1997. – 245 с.</w:t>
      </w:r>
    </w:p>
    <w:p w14:paraId="5C5B9654"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 xml:space="preserve">Общая теория государства и права. Академический курс в 2-х томах. Отв. ред. проф. М. Н. Марченко. — Том 2. Теория государства. — М.: Издательство "Зерцало", 1998 — 622 с. </w:t>
      </w:r>
    </w:p>
    <w:p w14:paraId="40A30C54"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CF2F27">
        <w:rPr>
          <w:rFonts w:eastAsia="TimesNewRomanPSMT"/>
          <w:bCs/>
          <w:iCs/>
          <w:color w:val="000000"/>
          <w:sz w:val="28"/>
          <w:szCs w:val="28"/>
          <w:lang w:val="uk-UA"/>
        </w:rPr>
        <w:t>Орзіх Ю. Г.</w:t>
      </w:r>
      <w:r w:rsidRPr="00946571">
        <w:rPr>
          <w:rFonts w:eastAsia="TimesNewRomanPSMT"/>
          <w:bCs/>
          <w:iCs/>
          <w:color w:val="000000"/>
          <w:sz w:val="28"/>
          <w:szCs w:val="28"/>
          <w:lang w:val="uk-UA"/>
        </w:rPr>
        <w:t> До історії формування та розвитку римського права / Ю. Г. Орзіх // </w:t>
      </w:r>
      <w:r w:rsidRPr="00CF2F27">
        <w:rPr>
          <w:rFonts w:eastAsia="TimesNewRomanPSMT"/>
          <w:bCs/>
          <w:iCs/>
          <w:color w:val="000000"/>
          <w:sz w:val="28"/>
          <w:szCs w:val="28"/>
          <w:lang w:val="uk-UA"/>
        </w:rPr>
        <w:t>Актуальні проблеми держави і права</w:t>
      </w:r>
      <w:r w:rsidRPr="00946571">
        <w:rPr>
          <w:rFonts w:eastAsia="TimesNewRomanPSMT"/>
          <w:bCs/>
          <w:iCs/>
          <w:color w:val="000000"/>
          <w:sz w:val="28"/>
          <w:szCs w:val="28"/>
          <w:lang w:val="uk-UA"/>
        </w:rPr>
        <w:t>. - 2011. - Вип. 59. - С. 178-184.</w:t>
      </w:r>
    </w:p>
    <w:p w14:paraId="4A1CB700"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Основи римського приватного права / за заг. ред. В. І. Борисової, Л.М.Баранової. – Х.: Право, 2008. – 224 с.</w:t>
      </w:r>
    </w:p>
    <w:p w14:paraId="4AA55597"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Пащенко О. Проблемні питання застосування відводів у цивільному, господарському та адміністративному процесі / Пащенко О. // Юридичний радник. – 2006. – № 5 (13). – С. 54–59.</w:t>
      </w:r>
    </w:p>
    <w:p w14:paraId="43D14C7C"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Педько Ю. Административная юстиция и административная юрисдикция: некоторые теоретические и практические вопросы соотношения / Педько Ю. // Право України. – 2001. – № 10. – С. 72–75.</w:t>
      </w:r>
    </w:p>
    <w:p w14:paraId="4F700797"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Петрик В. В. Інститут відводу в цивільному процесі: дис... канд. юрид. наук: 12.00.03. – К., 2013. – 230 с.</w:t>
      </w:r>
    </w:p>
    <w:p w14:paraId="17DFFDD4"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774B9C">
        <w:rPr>
          <w:rFonts w:eastAsia="TimesNewRomanPSMT"/>
          <w:bCs/>
          <w:iCs/>
          <w:color w:val="000000"/>
          <w:sz w:val="28"/>
          <w:szCs w:val="28"/>
        </w:rPr>
        <w:t xml:space="preserve">Петрик В. В. Поняття та сутність підстав відводу в цивільному </w:t>
      </w:r>
      <w:r w:rsidRPr="00774B9C">
        <w:rPr>
          <w:rFonts w:eastAsia="TimesNewRomanPSMT"/>
          <w:bCs/>
          <w:iCs/>
          <w:color w:val="000000"/>
          <w:sz w:val="28"/>
          <w:szCs w:val="28"/>
        </w:rPr>
        <w:lastRenderedPageBreak/>
        <w:t>процесі / В. В. Петрик // Адвокат. - 2012. - № 8. - С. 38 - 41.</w:t>
      </w:r>
    </w:p>
    <w:p w14:paraId="07197CEB"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Петрик</w:t>
      </w:r>
      <w:r>
        <w:rPr>
          <w:rFonts w:eastAsia="TimesNewRomanPSMT"/>
          <w:bCs/>
          <w:iCs/>
          <w:color w:val="000000"/>
          <w:sz w:val="28"/>
          <w:szCs w:val="28"/>
        </w:rPr>
        <w:t xml:space="preserve"> </w:t>
      </w:r>
      <w:r w:rsidRPr="00946571">
        <w:rPr>
          <w:rFonts w:eastAsia="TimesNewRomanPSMT"/>
          <w:bCs/>
          <w:iCs/>
          <w:color w:val="000000"/>
          <w:sz w:val="28"/>
          <w:szCs w:val="28"/>
        </w:rPr>
        <w:t xml:space="preserve">В. В. Принципи інституту відводу у цивільному процесі [Електронний ресурс] / В. В. Петрик. – 2011. – Режим доступу до ресурсу: </w:t>
      </w:r>
      <w:r w:rsidRPr="003329DF">
        <w:rPr>
          <w:rFonts w:eastAsia="TimesNewRomanPSMT"/>
          <w:bCs/>
          <w:iCs/>
          <w:color w:val="000000"/>
          <w:sz w:val="28"/>
          <w:szCs w:val="28"/>
        </w:rPr>
        <w:t>http://www.pravoznavec.com.ua/period/article/21692/%C3%82</w:t>
      </w:r>
      <w:r w:rsidRPr="00946571">
        <w:rPr>
          <w:rFonts w:eastAsia="TimesNewRomanPSMT"/>
          <w:bCs/>
          <w:iCs/>
          <w:color w:val="000000"/>
          <w:sz w:val="28"/>
          <w:szCs w:val="28"/>
        </w:rPr>
        <w:t>.</w:t>
      </w:r>
    </w:p>
    <w:p w14:paraId="77DA011C"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Підопригора О. А. Основи римського приватного права [Текст]: підручник / О. А. Підопригора. – К.: Вища шк. 1995. – 264 с.</w:t>
      </w:r>
    </w:p>
    <w:p w14:paraId="016982CA"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 xml:space="preserve">Підопригора, О.А. Римське право [Електронний ресурс] / Підопригора, О.А., Харитонов, Є.О. – 2009. – Режим доступу до ресурсу: </w:t>
      </w:r>
      <w:r w:rsidRPr="003329DF">
        <w:rPr>
          <w:rFonts w:eastAsia="TimesNewRomanPSMT"/>
          <w:bCs/>
          <w:iCs/>
          <w:color w:val="000000"/>
          <w:sz w:val="28"/>
          <w:szCs w:val="28"/>
        </w:rPr>
        <w:t>https://studfiles.net/preview/5484040/page:2/</w:t>
      </w:r>
    </w:p>
    <w:p w14:paraId="47CB3D59"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 xml:space="preserve">Покровский И. А. История римского права / И. А. Покровский [Електронний ресурс]. – Режим доступа: </w:t>
      </w:r>
      <w:r w:rsidRPr="003329DF">
        <w:rPr>
          <w:rFonts w:eastAsia="TimesNewRomanPSMT"/>
          <w:bCs/>
          <w:iCs/>
          <w:color w:val="000000"/>
          <w:sz w:val="28"/>
          <w:szCs w:val="28"/>
        </w:rPr>
        <w:t>http://www.allpravo.ru/library/doc2527p/instrum3503/item3505.html</w:t>
      </w:r>
    </w:p>
    <w:p w14:paraId="5AFD617D"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Правова доктрина України: у 5 т. — Х.: Право, 2013. — Т. 1 : Загальнотеоретична та історична юриспруденція / В. Я. Тацій, О. Д. Святоцький, С. І. Максимов та ін. ; за заг. ред. О. В. Петришина. — 976 с.</w:t>
      </w:r>
    </w:p>
    <w:p w14:paraId="4591DBC4"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Прокопенко Б. О. Добір кандидатів на посаду судді: монографія / Б.О.Прокопенко. – Х.: Право, 2016. – 208 с.</w:t>
      </w:r>
    </w:p>
    <w:p w14:paraId="07A8C280"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 xml:space="preserve">Процессуально-исполнительный кодекс Республики Беларусь об административных правонарушениях от 20 декабря 2006 года / [Электронный ресурс]. – Режим доступа: </w:t>
      </w:r>
      <w:r w:rsidRPr="003329DF">
        <w:rPr>
          <w:rFonts w:eastAsia="TimesNewRomanPSMT"/>
          <w:bCs/>
          <w:iCs/>
          <w:color w:val="000000"/>
          <w:sz w:val="28"/>
          <w:szCs w:val="28"/>
        </w:rPr>
        <w:t>http://pravo.levonevsky.org/kodeksby/pikoap/index.htm</w:t>
      </w:r>
      <w:r w:rsidRPr="00946571">
        <w:rPr>
          <w:rFonts w:eastAsia="TimesNewRomanPSMT"/>
          <w:bCs/>
          <w:iCs/>
          <w:color w:val="000000"/>
          <w:sz w:val="28"/>
          <w:szCs w:val="28"/>
        </w:rPr>
        <w:t>.</w:t>
      </w:r>
    </w:p>
    <w:p w14:paraId="703A693C"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Римское частное право. Под ред. И. Б. Новицкого И. С. Перетерского. – М.: Юриспруденция, 2000. – 448 c.</w:t>
      </w:r>
    </w:p>
    <w:p w14:paraId="0BE4209B"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Салогубова Е. В. Римский гражданский процесс / Е. В. Салогубова. – М.: Юридич</w:t>
      </w:r>
      <w:r>
        <w:rPr>
          <w:rFonts w:eastAsia="TimesNewRomanPSMT"/>
          <w:bCs/>
          <w:iCs/>
          <w:color w:val="000000"/>
          <w:sz w:val="28"/>
          <w:szCs w:val="28"/>
        </w:rPr>
        <w:t>еская литература, 1997. – 62 с.</w:t>
      </w:r>
    </w:p>
    <w:p w14:paraId="49C38CE3"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Сахнова Т. В. Судебная экспертиза / Т. В. Сахнова. – М.: Городец, 2000. – 368 с.</w:t>
      </w:r>
    </w:p>
    <w:p w14:paraId="6E00AB3E"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Світличний О. П. Господарський процес: підручник/ за заг. ред. Світлич</w:t>
      </w:r>
      <w:r>
        <w:rPr>
          <w:rFonts w:eastAsia="TimesNewRomanPSMT"/>
          <w:bCs/>
          <w:iCs/>
          <w:color w:val="000000"/>
          <w:sz w:val="28"/>
          <w:szCs w:val="28"/>
          <w:lang w:val="uk-UA"/>
        </w:rPr>
        <w:t>ного О. П. – К.: НУБіП України,</w:t>
      </w:r>
      <w:r>
        <w:rPr>
          <w:rFonts w:eastAsia="TimesNewRomanPSMT"/>
          <w:bCs/>
          <w:iCs/>
          <w:color w:val="000000"/>
          <w:sz w:val="28"/>
          <w:szCs w:val="28"/>
        </w:rPr>
        <w:t xml:space="preserve"> </w:t>
      </w:r>
      <w:r w:rsidRPr="00946571">
        <w:rPr>
          <w:rFonts w:eastAsia="TimesNewRomanPSMT"/>
          <w:bCs/>
          <w:iCs/>
          <w:color w:val="000000"/>
          <w:sz w:val="28"/>
          <w:szCs w:val="28"/>
          <w:lang w:val="uk-UA"/>
        </w:rPr>
        <w:t>2016</w:t>
      </w:r>
      <w:r>
        <w:rPr>
          <w:rFonts w:eastAsia="TimesNewRomanPSMT"/>
          <w:bCs/>
          <w:iCs/>
          <w:color w:val="000000"/>
          <w:sz w:val="28"/>
          <w:szCs w:val="28"/>
          <w:lang w:val="uk-UA"/>
        </w:rPr>
        <w:t>.</w:t>
      </w:r>
      <w:r w:rsidRPr="00946571">
        <w:rPr>
          <w:rFonts w:eastAsia="TimesNewRomanPSMT"/>
          <w:bCs/>
          <w:iCs/>
          <w:color w:val="000000"/>
          <w:sz w:val="28"/>
          <w:szCs w:val="28"/>
          <w:lang w:val="uk-UA"/>
        </w:rPr>
        <w:t xml:space="preserve"> – 337 с.</w:t>
      </w:r>
    </w:p>
    <w:p w14:paraId="2AB64E01"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774B9C">
        <w:rPr>
          <w:rFonts w:eastAsia="TimesNewRomanPSMT"/>
          <w:bCs/>
          <w:iCs/>
          <w:color w:val="000000"/>
          <w:sz w:val="28"/>
          <w:szCs w:val="28"/>
        </w:rPr>
        <w:t xml:space="preserve">Смирнова Ю. О. Суб’єктивні підстави для відводу (самовідводу) в господарському процесі / Ю. О. Смирнова // Право і суспільство. </w:t>
      </w:r>
      <w:r w:rsidRPr="00946571">
        <w:rPr>
          <w:rFonts w:eastAsia="TimesNewRomanPSMT"/>
          <w:bCs/>
          <w:iCs/>
          <w:color w:val="000000"/>
          <w:sz w:val="28"/>
          <w:szCs w:val="28"/>
        </w:rPr>
        <w:t>–</w:t>
      </w:r>
      <w:r w:rsidRPr="00774B9C">
        <w:rPr>
          <w:rFonts w:eastAsia="TimesNewRomanPSMT"/>
          <w:bCs/>
          <w:iCs/>
          <w:color w:val="000000"/>
          <w:sz w:val="28"/>
          <w:szCs w:val="28"/>
        </w:rPr>
        <w:t xml:space="preserve"> 2015. </w:t>
      </w:r>
      <w:r w:rsidRPr="00946571">
        <w:rPr>
          <w:rFonts w:eastAsia="TimesNewRomanPSMT"/>
          <w:bCs/>
          <w:iCs/>
          <w:color w:val="000000"/>
          <w:sz w:val="28"/>
          <w:szCs w:val="28"/>
        </w:rPr>
        <w:t>–</w:t>
      </w:r>
      <w:r w:rsidRPr="00774B9C">
        <w:rPr>
          <w:rFonts w:eastAsia="TimesNewRomanPSMT"/>
          <w:bCs/>
          <w:iCs/>
          <w:color w:val="000000"/>
          <w:sz w:val="28"/>
          <w:szCs w:val="28"/>
        </w:rPr>
        <w:t xml:space="preserve"> </w:t>
      </w:r>
      <w:r w:rsidRPr="00774B9C">
        <w:rPr>
          <w:rFonts w:eastAsia="TimesNewRomanPSMT"/>
          <w:bCs/>
          <w:iCs/>
          <w:color w:val="000000"/>
          <w:sz w:val="28"/>
          <w:szCs w:val="28"/>
        </w:rPr>
        <w:lastRenderedPageBreak/>
        <w:t>№</w:t>
      </w:r>
      <w:r>
        <w:rPr>
          <w:rFonts w:eastAsia="TimesNewRomanPSMT"/>
          <w:bCs/>
          <w:iCs/>
          <w:color w:val="000000"/>
          <w:sz w:val="28"/>
          <w:szCs w:val="28"/>
          <w:lang w:val="en-US"/>
        </w:rPr>
        <w:t> </w:t>
      </w:r>
      <w:r w:rsidRPr="00774B9C">
        <w:rPr>
          <w:rFonts w:eastAsia="TimesNewRomanPSMT"/>
          <w:bCs/>
          <w:iCs/>
          <w:color w:val="000000"/>
          <w:sz w:val="28"/>
          <w:szCs w:val="28"/>
        </w:rPr>
        <w:t xml:space="preserve">6.2(3). </w:t>
      </w:r>
      <w:r w:rsidRPr="00946571">
        <w:rPr>
          <w:rFonts w:eastAsia="TimesNewRomanPSMT"/>
          <w:bCs/>
          <w:iCs/>
          <w:color w:val="000000"/>
          <w:sz w:val="28"/>
          <w:szCs w:val="28"/>
        </w:rPr>
        <w:t>–</w:t>
      </w:r>
      <w:r w:rsidRPr="00774B9C">
        <w:rPr>
          <w:rFonts w:eastAsia="TimesNewRomanPSMT"/>
          <w:bCs/>
          <w:iCs/>
          <w:color w:val="000000"/>
          <w:sz w:val="28"/>
          <w:szCs w:val="28"/>
        </w:rPr>
        <w:t xml:space="preserve"> С. 93-98.</w:t>
      </w:r>
    </w:p>
    <w:p w14:paraId="2EDB462B"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lang w:val="uk-UA"/>
        </w:rPr>
        <w:t xml:space="preserve">Смирнова Ю.О. Порушення порядку призначення судді як підстава для його відводу (самовідводу) у господарському судочинстві / Ю.О. Смирнова // Правова держава. – 2016. </w:t>
      </w:r>
      <w:r w:rsidRPr="00946571">
        <w:rPr>
          <w:rFonts w:eastAsia="TimesNewRomanPSMT"/>
          <w:bCs/>
          <w:iCs/>
          <w:color w:val="000000"/>
          <w:sz w:val="28"/>
          <w:szCs w:val="28"/>
        </w:rPr>
        <w:t>–</w:t>
      </w:r>
      <w:r w:rsidRPr="00946571">
        <w:rPr>
          <w:rFonts w:eastAsia="TimesNewRomanPSMT"/>
          <w:bCs/>
          <w:iCs/>
          <w:color w:val="000000"/>
          <w:sz w:val="28"/>
          <w:szCs w:val="28"/>
          <w:lang w:val="uk-UA"/>
        </w:rPr>
        <w:t xml:space="preserve"> № 22. – С. 74-80.</w:t>
      </w:r>
    </w:p>
    <w:p w14:paraId="2D1FB63D"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774B9C">
        <w:rPr>
          <w:rFonts w:eastAsia="TimesNewRomanPSMT"/>
          <w:bCs/>
          <w:iCs/>
          <w:color w:val="000000"/>
          <w:sz w:val="28"/>
          <w:szCs w:val="28"/>
        </w:rPr>
        <w:t xml:space="preserve">Соколова В. В. Узагальнення практики розгляду судами питань відводу та самовідводу у цивільному судочинстві / В. В. Соколова // Судова апеляція. </w:t>
      </w:r>
      <w:r w:rsidRPr="00946571">
        <w:rPr>
          <w:rFonts w:eastAsia="TimesNewRomanPSMT"/>
          <w:bCs/>
          <w:iCs/>
          <w:color w:val="000000"/>
          <w:sz w:val="28"/>
          <w:szCs w:val="28"/>
        </w:rPr>
        <w:t>–</w:t>
      </w:r>
      <w:r w:rsidRPr="00774B9C">
        <w:rPr>
          <w:rFonts w:eastAsia="TimesNewRomanPSMT"/>
          <w:bCs/>
          <w:iCs/>
          <w:color w:val="000000"/>
          <w:sz w:val="28"/>
          <w:szCs w:val="28"/>
        </w:rPr>
        <w:t xml:space="preserve"> 2017. </w:t>
      </w:r>
      <w:r w:rsidRPr="00946571">
        <w:rPr>
          <w:rFonts w:eastAsia="TimesNewRomanPSMT"/>
          <w:bCs/>
          <w:iCs/>
          <w:color w:val="000000"/>
          <w:sz w:val="28"/>
          <w:szCs w:val="28"/>
        </w:rPr>
        <w:t>–</w:t>
      </w:r>
      <w:r w:rsidRPr="00774B9C">
        <w:rPr>
          <w:rFonts w:eastAsia="TimesNewRomanPSMT"/>
          <w:bCs/>
          <w:iCs/>
          <w:color w:val="000000"/>
          <w:sz w:val="28"/>
          <w:szCs w:val="28"/>
        </w:rPr>
        <w:t xml:space="preserve"> № 4. </w:t>
      </w:r>
      <w:r w:rsidRPr="00946571">
        <w:rPr>
          <w:rFonts w:eastAsia="TimesNewRomanPSMT"/>
          <w:bCs/>
          <w:iCs/>
          <w:color w:val="000000"/>
          <w:sz w:val="28"/>
          <w:szCs w:val="28"/>
        </w:rPr>
        <w:t>–</w:t>
      </w:r>
      <w:r w:rsidRPr="00774B9C">
        <w:rPr>
          <w:rFonts w:eastAsia="TimesNewRomanPSMT"/>
          <w:bCs/>
          <w:iCs/>
          <w:color w:val="000000"/>
          <w:sz w:val="28"/>
          <w:szCs w:val="28"/>
        </w:rPr>
        <w:t xml:space="preserve"> С. 111-127.</w:t>
      </w:r>
    </w:p>
    <w:p w14:paraId="349F1B1A"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С</w:t>
      </w:r>
      <w:r>
        <w:rPr>
          <w:rFonts w:eastAsia="TimesNewRomanPSMT"/>
          <w:bCs/>
          <w:iCs/>
          <w:color w:val="000000"/>
          <w:sz w:val="28"/>
          <w:szCs w:val="28"/>
        </w:rPr>
        <w:t>тецовский Ю. И. Судебная власть</w:t>
      </w:r>
      <w:r w:rsidRPr="00946571">
        <w:rPr>
          <w:rFonts w:eastAsia="TimesNewRomanPSMT"/>
          <w:bCs/>
          <w:iCs/>
          <w:color w:val="000000"/>
          <w:sz w:val="28"/>
          <w:szCs w:val="28"/>
        </w:rPr>
        <w:t>: учеб.</w:t>
      </w:r>
      <w:r>
        <w:rPr>
          <w:rFonts w:eastAsia="TimesNewRomanPSMT"/>
          <w:bCs/>
          <w:iCs/>
          <w:color w:val="000000"/>
          <w:sz w:val="28"/>
          <w:szCs w:val="28"/>
        </w:rPr>
        <w:t xml:space="preserve"> пособ. / Ю. И. Стецовский – М.</w:t>
      </w:r>
      <w:r w:rsidRPr="00946571">
        <w:rPr>
          <w:rFonts w:eastAsia="TimesNewRomanPSMT"/>
          <w:bCs/>
          <w:iCs/>
          <w:color w:val="000000"/>
          <w:sz w:val="28"/>
          <w:szCs w:val="28"/>
        </w:rPr>
        <w:t>: Дело, 1999. – 400 с.</w:t>
      </w:r>
    </w:p>
    <w:p w14:paraId="56DF7F39"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Сучасна правова енциклопедія / О. В. Зайчук, О. Л. Коп</w:t>
      </w:r>
      <w:r>
        <w:rPr>
          <w:rFonts w:eastAsia="TimesNewRomanPSMT"/>
          <w:bCs/>
          <w:iCs/>
          <w:color w:val="000000"/>
          <w:sz w:val="28"/>
          <w:szCs w:val="28"/>
          <w:lang w:val="uk-UA"/>
        </w:rPr>
        <w:t>иленко, Н. М. Оніщенко [та ін.]; за заг. ред. О. В. Зайчук</w:t>
      </w:r>
      <w:r w:rsidRPr="00946571">
        <w:rPr>
          <w:rFonts w:eastAsia="TimesNewRomanPSMT"/>
          <w:bCs/>
          <w:iCs/>
          <w:color w:val="000000"/>
          <w:sz w:val="28"/>
          <w:szCs w:val="28"/>
          <w:lang w:val="uk-UA"/>
        </w:rPr>
        <w:t>; Ін-т законодавства Верхов. Ради України. – К.: Юрінком Інтер, 2010. – 384 с.</w:t>
      </w:r>
    </w:p>
    <w:p w14:paraId="5720922F"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Сучасний тлумачний словник української мови : 65 000 слів / за заг. ред. В. В. Дубічинського. — Х.: Школа, 2006. — 1008 с.</w:t>
      </w:r>
    </w:p>
    <w:p w14:paraId="1795052B"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 xml:space="preserve">Теорія держави і права: опорні конспекти. Навчальний посібник для ВНЗ (рек. МОН України) </w:t>
      </w:r>
      <w:r>
        <w:rPr>
          <w:rFonts w:eastAsia="TimesNewRomanPSMT"/>
          <w:bCs/>
          <w:iCs/>
          <w:color w:val="000000"/>
          <w:sz w:val="28"/>
          <w:szCs w:val="28"/>
        </w:rPr>
        <w:t>/ Авт.- упор. Кравчук М.В. — К.</w:t>
      </w:r>
      <w:r w:rsidRPr="00946571">
        <w:rPr>
          <w:rFonts w:eastAsia="TimesNewRomanPSMT"/>
          <w:bCs/>
          <w:iCs/>
          <w:color w:val="000000"/>
          <w:sz w:val="28"/>
          <w:szCs w:val="28"/>
        </w:rPr>
        <w:t>: Правова єдність. — 2014. — 608 с.</w:t>
      </w:r>
      <w:r w:rsidRPr="00946571">
        <w:rPr>
          <w:rFonts w:eastAsia="TimesNewRomanPSMT"/>
          <w:bCs/>
          <w:iCs/>
          <w:color w:val="000000"/>
          <w:sz w:val="28"/>
          <w:szCs w:val="28"/>
          <w:lang w:val="uk-UA"/>
        </w:rPr>
        <w:t xml:space="preserve"> </w:t>
      </w:r>
    </w:p>
    <w:p w14:paraId="4AF41245"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Теорія держави і права: підручник / О. В. Петришин, С. П. Погребняк, В. С. Смородинський ; За</w:t>
      </w:r>
      <w:r>
        <w:rPr>
          <w:rFonts w:eastAsia="TimesNewRomanPSMT"/>
          <w:bCs/>
          <w:iCs/>
          <w:color w:val="000000"/>
          <w:sz w:val="28"/>
          <w:szCs w:val="28"/>
          <w:lang w:val="uk-UA"/>
        </w:rPr>
        <w:t xml:space="preserve"> ред. О. В. Петришина. – Харків</w:t>
      </w:r>
      <w:r w:rsidRPr="00946571">
        <w:rPr>
          <w:rFonts w:eastAsia="TimesNewRomanPSMT"/>
          <w:bCs/>
          <w:iCs/>
          <w:color w:val="000000"/>
          <w:sz w:val="28"/>
          <w:szCs w:val="28"/>
          <w:lang w:val="uk-UA"/>
        </w:rPr>
        <w:t>: Право, 2014. – 368 с.</w:t>
      </w:r>
    </w:p>
    <w:p w14:paraId="106DBE21"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Тихомирова Л.В. Юридическая энциклопедия / Л.В. Тихомирова, М.Ю. Тихомиров /</w:t>
      </w:r>
      <w:r>
        <w:rPr>
          <w:rFonts w:eastAsia="TimesNewRomanPSMT"/>
          <w:bCs/>
          <w:iCs/>
          <w:color w:val="000000"/>
          <w:sz w:val="28"/>
          <w:szCs w:val="28"/>
          <w:lang w:val="uk-UA"/>
        </w:rPr>
        <w:t xml:space="preserve"> под ред. М.Ю. Тихомирова. – М.</w:t>
      </w:r>
      <w:r w:rsidRPr="00946571">
        <w:rPr>
          <w:rFonts w:eastAsia="TimesNewRomanPSMT"/>
          <w:bCs/>
          <w:iCs/>
          <w:color w:val="000000"/>
          <w:sz w:val="28"/>
          <w:szCs w:val="28"/>
          <w:lang w:val="uk-UA"/>
        </w:rPr>
        <w:t>: Юринформцентр, 1997. – 526 с.</w:t>
      </w:r>
    </w:p>
    <w:p w14:paraId="5D23C264"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 xml:space="preserve">Тодика Ю. М. Конституція України: проблеми теорії і практики / Ю. М. Тодика. — Х. : Факт, 2000. — 608 с. </w:t>
      </w:r>
    </w:p>
    <w:p w14:paraId="3FE55E54"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Фурса С.Я. Цивільн</w:t>
      </w:r>
      <w:r>
        <w:rPr>
          <w:rFonts w:eastAsia="TimesNewRomanPSMT"/>
          <w:bCs/>
          <w:iCs/>
          <w:color w:val="000000"/>
          <w:sz w:val="28"/>
          <w:szCs w:val="28"/>
          <w:lang w:val="uk-UA"/>
        </w:rPr>
        <w:t>ий процесуальний кодекс україни</w:t>
      </w:r>
      <w:r w:rsidRPr="00946571">
        <w:rPr>
          <w:rFonts w:eastAsia="TimesNewRomanPSMT"/>
          <w:bCs/>
          <w:iCs/>
          <w:color w:val="000000"/>
          <w:sz w:val="28"/>
          <w:szCs w:val="28"/>
          <w:lang w:val="uk-UA"/>
        </w:rPr>
        <w:t>: науково-практич</w:t>
      </w:r>
      <w:r>
        <w:rPr>
          <w:rFonts w:eastAsia="TimesNewRomanPSMT"/>
          <w:bCs/>
          <w:iCs/>
          <w:color w:val="000000"/>
          <w:sz w:val="28"/>
          <w:szCs w:val="28"/>
          <w:lang w:val="uk-UA"/>
        </w:rPr>
        <w:t>ний коментар / С.Я. Фурса. – К.</w:t>
      </w:r>
      <w:r w:rsidRPr="00946571">
        <w:rPr>
          <w:rFonts w:eastAsia="TimesNewRomanPSMT"/>
          <w:bCs/>
          <w:iCs/>
          <w:color w:val="000000"/>
          <w:sz w:val="28"/>
          <w:szCs w:val="28"/>
          <w:lang w:val="uk-UA"/>
        </w:rPr>
        <w:t>: Видавець Фурса С.Я. : КНТ, 2010. – Т. 1 . – 368 с.</w:t>
      </w:r>
    </w:p>
    <w:p w14:paraId="5D609AD9"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Хенрик Урбан и Рышард Урбан против Польши [Текст]: Постановление от 30 ноября 2010 г.: Вынесено IV Секцией = Henryk Ur</w:t>
      </w:r>
      <w:r>
        <w:rPr>
          <w:rFonts w:eastAsia="TimesNewRomanPSMT"/>
          <w:bCs/>
          <w:iCs/>
          <w:color w:val="000000"/>
          <w:sz w:val="28"/>
          <w:szCs w:val="28"/>
          <w:lang w:val="uk-UA"/>
        </w:rPr>
        <w:t xml:space="preserve">ban and </w:t>
      </w:r>
      <w:r>
        <w:rPr>
          <w:rFonts w:eastAsia="TimesNewRomanPSMT"/>
          <w:bCs/>
          <w:iCs/>
          <w:color w:val="000000"/>
          <w:sz w:val="28"/>
          <w:szCs w:val="28"/>
          <w:lang w:val="uk-UA"/>
        </w:rPr>
        <w:lastRenderedPageBreak/>
        <w:t>Ryszard Urban v. Poland</w:t>
      </w:r>
      <w:r w:rsidRPr="00946571">
        <w:rPr>
          <w:rFonts w:eastAsia="TimesNewRomanPSMT"/>
          <w:bCs/>
          <w:iCs/>
          <w:color w:val="000000"/>
          <w:sz w:val="28"/>
          <w:szCs w:val="28"/>
          <w:lang w:val="uk-UA"/>
        </w:rPr>
        <w:t>, № 23614/08 / Европейский Суд по правам человека // Бюллетень Европейского Суда по правам человека. -2011. - № 5. – С.17 – 18. The European Court of Human Rights. Erik NINN-HANSEN against Denmark The European Court of Human</w:t>
      </w:r>
      <w:r>
        <w:rPr>
          <w:rFonts w:eastAsia="TimesNewRomanPSMT"/>
          <w:bCs/>
          <w:iCs/>
          <w:color w:val="000000"/>
          <w:sz w:val="28"/>
          <w:szCs w:val="28"/>
          <w:lang w:val="uk-UA"/>
        </w:rPr>
        <w:t xml:space="preserve"> Rights. – 1999. – Available at</w:t>
      </w:r>
      <w:r w:rsidRPr="00946571">
        <w:rPr>
          <w:rFonts w:eastAsia="TimesNewRomanPSMT"/>
          <w:bCs/>
          <w:iCs/>
          <w:color w:val="000000"/>
          <w:sz w:val="28"/>
          <w:szCs w:val="28"/>
          <w:lang w:val="uk-UA"/>
        </w:rPr>
        <w:t xml:space="preserve">: </w:t>
      </w:r>
      <w:r w:rsidRPr="003329DF">
        <w:rPr>
          <w:rFonts w:eastAsia="TimesNewRomanPSMT"/>
          <w:bCs/>
          <w:iCs/>
          <w:color w:val="000000"/>
          <w:sz w:val="28"/>
          <w:szCs w:val="28"/>
          <w:lang w:val="uk-UA"/>
        </w:rPr>
        <w:t>http://echr.ketse.com/doc/28972.95-en-19990518/view/</w:t>
      </w:r>
      <w:r w:rsidRPr="00946571">
        <w:rPr>
          <w:rFonts w:eastAsia="TimesNewRomanPSMT"/>
          <w:bCs/>
          <w:iCs/>
          <w:color w:val="000000"/>
          <w:sz w:val="28"/>
          <w:szCs w:val="28"/>
          <w:lang w:val="uk-UA"/>
        </w:rPr>
        <w:t>. The European Court of Human Rights. BUSCARINI AND OTHERS v. SAN MARINO / The European Court of Human Rights. – 1999.</w:t>
      </w:r>
    </w:p>
    <w:p w14:paraId="5E216AF8"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rPr>
        <w:t>Цивільний процесуальний кодекс УСРР. – Х.: Юридичне видавництво НКЮ УСРР, 1930. – 149 с.</w:t>
      </w:r>
    </w:p>
    <w:p w14:paraId="43119AC3"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946571">
        <w:rPr>
          <w:rFonts w:eastAsia="TimesNewRomanPSMT"/>
          <w:bCs/>
          <w:iCs/>
          <w:color w:val="000000"/>
          <w:sz w:val="28"/>
          <w:szCs w:val="28"/>
          <w:lang w:val="uk-UA"/>
        </w:rPr>
        <w:t>Черненко О.А. Відвід судді в господарському процесі / О.А. Черненко // Приватне право і підприємництво. – 2015. – Вип. 14. – С. 89-93.</w:t>
      </w:r>
    </w:p>
    <w:p w14:paraId="156B0F8C"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Чудиновских К. А. Подведомственность в системе гражданского и арбитражного процессуального пра ва / К. А. Чудиновских. – СПб</w:t>
      </w:r>
      <w:r>
        <w:rPr>
          <w:rFonts w:eastAsia="TimesNewRomanPSMT"/>
          <w:bCs/>
          <w:iCs/>
          <w:color w:val="000000"/>
          <w:sz w:val="28"/>
          <w:szCs w:val="28"/>
        </w:rPr>
        <w:t>.</w:t>
      </w:r>
      <w:r w:rsidRPr="00946571">
        <w:rPr>
          <w:rFonts w:eastAsia="TimesNewRomanPSMT"/>
          <w:bCs/>
          <w:iCs/>
          <w:color w:val="000000"/>
          <w:sz w:val="28"/>
          <w:szCs w:val="28"/>
        </w:rPr>
        <w:t xml:space="preserve">: Юридический центр Пресс, 2004. – 306 с. </w:t>
      </w:r>
    </w:p>
    <w:p w14:paraId="47402621"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774B9C">
        <w:rPr>
          <w:rFonts w:eastAsia="TimesNewRomanPSMT"/>
          <w:bCs/>
          <w:iCs/>
          <w:color w:val="000000"/>
          <w:sz w:val="28"/>
          <w:szCs w:val="28"/>
        </w:rPr>
        <w:t xml:space="preserve">Шевченко А. Порушення вимог щодо неупередженого розгляду справи, зокрема порушення правил щодо відводу (самовідводу) як підстава для притягнення судді до дисциплінарної відповідальності / А. Шевченко // Вісник Київського національного університету імені Тараса Шевченка. </w:t>
      </w:r>
      <w:r w:rsidRPr="00946571">
        <w:rPr>
          <w:rFonts w:eastAsia="TimesNewRomanPSMT"/>
          <w:bCs/>
          <w:iCs/>
          <w:color w:val="000000"/>
          <w:sz w:val="28"/>
          <w:szCs w:val="28"/>
          <w:lang w:val="en-US"/>
        </w:rPr>
        <w:t xml:space="preserve">Юридичні науки. </w:t>
      </w:r>
      <w:r w:rsidRPr="00946571">
        <w:rPr>
          <w:rFonts w:eastAsia="TimesNewRomanPSMT"/>
          <w:bCs/>
          <w:iCs/>
          <w:color w:val="000000"/>
          <w:sz w:val="28"/>
          <w:szCs w:val="28"/>
        </w:rPr>
        <w:t>–</w:t>
      </w:r>
      <w:r w:rsidRPr="00946571">
        <w:rPr>
          <w:rFonts w:eastAsia="TimesNewRomanPSMT"/>
          <w:bCs/>
          <w:iCs/>
          <w:color w:val="000000"/>
          <w:sz w:val="28"/>
          <w:szCs w:val="28"/>
          <w:lang w:val="en-US"/>
        </w:rPr>
        <w:t xml:space="preserve"> 2013. </w:t>
      </w:r>
      <w:r w:rsidRPr="00946571">
        <w:rPr>
          <w:rFonts w:eastAsia="TimesNewRomanPSMT"/>
          <w:bCs/>
          <w:iCs/>
          <w:color w:val="000000"/>
          <w:sz w:val="28"/>
          <w:szCs w:val="28"/>
        </w:rPr>
        <w:t>–</w:t>
      </w:r>
      <w:r w:rsidRPr="00946571">
        <w:rPr>
          <w:rFonts w:eastAsia="TimesNewRomanPSMT"/>
          <w:bCs/>
          <w:iCs/>
          <w:color w:val="000000"/>
          <w:sz w:val="28"/>
          <w:szCs w:val="28"/>
          <w:lang w:val="en-US"/>
        </w:rPr>
        <w:t xml:space="preserve"> Вип. 2. </w:t>
      </w:r>
      <w:r w:rsidRPr="00946571">
        <w:rPr>
          <w:rFonts w:eastAsia="TimesNewRomanPSMT"/>
          <w:bCs/>
          <w:iCs/>
          <w:color w:val="000000"/>
          <w:sz w:val="28"/>
          <w:szCs w:val="28"/>
        </w:rPr>
        <w:t>–</w:t>
      </w:r>
      <w:r w:rsidRPr="00946571">
        <w:rPr>
          <w:rFonts w:eastAsia="TimesNewRomanPSMT"/>
          <w:bCs/>
          <w:iCs/>
          <w:color w:val="000000"/>
          <w:sz w:val="28"/>
          <w:szCs w:val="28"/>
          <w:lang w:val="en-US"/>
        </w:rPr>
        <w:t xml:space="preserve"> С. 106-111.</w:t>
      </w:r>
    </w:p>
    <w:p w14:paraId="0303A9A4"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lang w:val="uk-UA"/>
        </w:rPr>
        <w:t>Шелухін М.Л. Господарське процесуальне право: навч. посібник у схемах / М. Л. Шелухін, О. М. Зубатенко. — К.: Центр навчальної літератури, 2006. — 264 с.</w:t>
      </w:r>
    </w:p>
    <w:p w14:paraId="3E8FB066"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t xml:space="preserve">Шостя Ф. Гражданский процессуальный кодекс: текст и практический комментарий: практика Верховных судов УССР и РСФСР и литература по Гр. Процессу: по 1 ноября 1925 г. / под ред. и с предисл. А. И. Строева. – 2-е </w:t>
      </w:r>
      <w:r>
        <w:rPr>
          <w:rFonts w:eastAsia="TimesNewRomanPSMT"/>
          <w:bCs/>
          <w:iCs/>
          <w:color w:val="000000"/>
          <w:sz w:val="28"/>
          <w:szCs w:val="28"/>
        </w:rPr>
        <w:t>изд., перераб. и доп. – Харьков</w:t>
      </w:r>
      <w:r w:rsidRPr="00946571">
        <w:rPr>
          <w:rFonts w:eastAsia="TimesNewRomanPSMT"/>
          <w:bCs/>
          <w:iCs/>
          <w:color w:val="000000"/>
          <w:sz w:val="28"/>
          <w:szCs w:val="28"/>
        </w:rPr>
        <w:t>: Юрид. изд-во НКЮ УССР, 1925. – 367 с.</w:t>
      </w:r>
    </w:p>
    <w:p w14:paraId="296F1F43"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uk-UA"/>
        </w:rPr>
      </w:pPr>
      <w:r w:rsidRPr="00774B9C">
        <w:rPr>
          <w:rFonts w:eastAsia="TimesNewRomanPSMT"/>
          <w:bCs/>
          <w:iCs/>
          <w:color w:val="000000"/>
          <w:sz w:val="28"/>
          <w:szCs w:val="28"/>
        </w:rPr>
        <w:t xml:space="preserve">Ятченко Є. О. Особи, які підлягають відводу в цивільному процесі та виконавчому провадженні / Є. О. Ятченко // Судова апеляція. </w:t>
      </w:r>
      <w:r w:rsidRPr="00946571">
        <w:rPr>
          <w:rFonts w:eastAsia="TimesNewRomanPSMT"/>
          <w:bCs/>
          <w:iCs/>
          <w:color w:val="000000"/>
          <w:sz w:val="28"/>
          <w:szCs w:val="28"/>
        </w:rPr>
        <w:t>–</w:t>
      </w:r>
      <w:r w:rsidRPr="00774B9C">
        <w:rPr>
          <w:rFonts w:eastAsia="TimesNewRomanPSMT"/>
          <w:bCs/>
          <w:iCs/>
          <w:color w:val="000000"/>
          <w:sz w:val="28"/>
          <w:szCs w:val="28"/>
        </w:rPr>
        <w:t xml:space="preserve"> 2014. </w:t>
      </w:r>
      <w:r w:rsidRPr="00946571">
        <w:rPr>
          <w:rFonts w:eastAsia="TimesNewRomanPSMT"/>
          <w:bCs/>
          <w:iCs/>
          <w:color w:val="000000"/>
          <w:sz w:val="28"/>
          <w:szCs w:val="28"/>
        </w:rPr>
        <w:t>–</w:t>
      </w:r>
      <w:r w:rsidRPr="00774B9C">
        <w:rPr>
          <w:rFonts w:eastAsia="TimesNewRomanPSMT"/>
          <w:bCs/>
          <w:iCs/>
          <w:color w:val="000000"/>
          <w:sz w:val="28"/>
          <w:szCs w:val="28"/>
        </w:rPr>
        <w:t xml:space="preserve"> № 2. </w:t>
      </w:r>
      <w:r w:rsidRPr="00946571">
        <w:rPr>
          <w:rFonts w:eastAsia="TimesNewRomanPSMT"/>
          <w:bCs/>
          <w:iCs/>
          <w:color w:val="000000"/>
          <w:sz w:val="28"/>
          <w:szCs w:val="28"/>
        </w:rPr>
        <w:t>–</w:t>
      </w:r>
      <w:r w:rsidRPr="00774B9C">
        <w:rPr>
          <w:rFonts w:eastAsia="TimesNewRomanPSMT"/>
          <w:bCs/>
          <w:iCs/>
          <w:color w:val="000000"/>
          <w:sz w:val="28"/>
          <w:szCs w:val="28"/>
        </w:rPr>
        <w:t xml:space="preserve"> С. 71-78.</w:t>
      </w:r>
    </w:p>
    <w:p w14:paraId="270F0E88" w14:textId="77777777" w:rsidR="001C6AA0" w:rsidRPr="00946571"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rPr>
      </w:pPr>
      <w:r w:rsidRPr="00946571">
        <w:rPr>
          <w:rFonts w:eastAsia="TimesNewRomanPSMT"/>
          <w:bCs/>
          <w:iCs/>
          <w:color w:val="000000"/>
          <w:sz w:val="28"/>
          <w:szCs w:val="28"/>
        </w:rPr>
        <w:lastRenderedPageBreak/>
        <w:t xml:space="preserve">Cicer. Pro Cluentio, 43 [Електронний ресурс]. – Режим доступу: </w:t>
      </w:r>
      <w:r w:rsidRPr="003329DF">
        <w:rPr>
          <w:rFonts w:eastAsia="TimesNewRomanPSMT"/>
          <w:bCs/>
          <w:iCs/>
          <w:color w:val="000000"/>
          <w:sz w:val="28"/>
          <w:szCs w:val="28"/>
        </w:rPr>
        <w:t>http://perseus.uchicago.edu/perseus-cgi/citequery3.pl?dbname=PerseusLatinTexts&amp;getid=1&amp;query=Cic.%20Clu.%2043</w:t>
      </w:r>
      <w:r w:rsidRPr="00946571">
        <w:rPr>
          <w:rFonts w:eastAsia="TimesNewRomanPSMT"/>
          <w:bCs/>
          <w:iCs/>
          <w:color w:val="000000"/>
          <w:sz w:val="28"/>
          <w:szCs w:val="28"/>
        </w:rPr>
        <w:t>.</w:t>
      </w:r>
    </w:p>
    <w:p w14:paraId="07AD2BEF" w14:textId="77777777" w:rsidR="001C6AA0" w:rsidRPr="00774B9C"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en-US"/>
        </w:rPr>
      </w:pPr>
      <w:r w:rsidRPr="00946571">
        <w:rPr>
          <w:rFonts w:eastAsia="TimesNewRomanPSMT"/>
          <w:bCs/>
          <w:iCs/>
          <w:color w:val="000000"/>
          <w:sz w:val="28"/>
          <w:szCs w:val="28"/>
          <w:lang w:val="en-US"/>
        </w:rPr>
        <w:t>Judicial Disqualification Resource Center. Judicial Disqualification: A Historical Perspective / Judicial Disqualification Resource Center –</w:t>
      </w:r>
      <w:r w:rsidRPr="00946571">
        <w:rPr>
          <w:rFonts w:eastAsia="TimesNewRomanPSMT"/>
          <w:bCs/>
          <w:iCs/>
          <w:color w:val="000000"/>
          <w:sz w:val="28"/>
          <w:szCs w:val="28"/>
          <w:lang w:val="uk-UA"/>
        </w:rPr>
        <w:t xml:space="preserve"> </w:t>
      </w:r>
      <w:r w:rsidRPr="00946571">
        <w:rPr>
          <w:rFonts w:eastAsia="TimesNewRomanPSMT"/>
          <w:bCs/>
          <w:iCs/>
          <w:color w:val="000000"/>
          <w:sz w:val="28"/>
          <w:szCs w:val="28"/>
          <w:lang w:val="en-US"/>
        </w:rPr>
        <w:t xml:space="preserve">Available at: </w:t>
      </w:r>
      <w:r w:rsidRPr="003329DF">
        <w:rPr>
          <w:rFonts w:eastAsia="TimesNewRomanPSMT"/>
          <w:bCs/>
          <w:iCs/>
          <w:color w:val="000000"/>
          <w:sz w:val="28"/>
          <w:szCs w:val="28"/>
          <w:lang w:val="en-US"/>
        </w:rPr>
        <w:t>http://www.judicialrecusal.com/historical-perspective-of-judicial-disqualification/</w:t>
      </w:r>
      <w:r w:rsidRPr="00946571">
        <w:rPr>
          <w:rFonts w:eastAsia="TimesNewRomanPSMT"/>
          <w:bCs/>
          <w:iCs/>
          <w:color w:val="000000"/>
          <w:sz w:val="28"/>
          <w:szCs w:val="28"/>
          <w:lang w:val="en-US"/>
        </w:rPr>
        <w:t>.</w:t>
      </w:r>
    </w:p>
    <w:p w14:paraId="197B2FF7" w14:textId="77777777" w:rsidR="001C6AA0" w:rsidRPr="00774B9C"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en-US"/>
        </w:rPr>
      </w:pPr>
      <w:r w:rsidRPr="00946571">
        <w:rPr>
          <w:rFonts w:eastAsia="TimesNewRomanPSMT"/>
          <w:bCs/>
          <w:iCs/>
          <w:color w:val="000000"/>
          <w:sz w:val="28"/>
          <w:szCs w:val="28"/>
          <w:lang w:val="en-US"/>
        </w:rPr>
        <w:t>Judicial Disqualification Resource Center. United Kingdom Judicial Recusal in England (U.K.)</w:t>
      </w:r>
      <w:r w:rsidRPr="00946571">
        <w:rPr>
          <w:rFonts w:eastAsia="TimesNewRomanPSMT"/>
          <w:bCs/>
          <w:iCs/>
          <w:color w:val="000000"/>
          <w:sz w:val="28"/>
          <w:szCs w:val="28"/>
          <w:lang w:val="uk-UA"/>
        </w:rPr>
        <w:t xml:space="preserve"> </w:t>
      </w:r>
      <w:r w:rsidRPr="00946571">
        <w:rPr>
          <w:rFonts w:eastAsia="TimesNewRomanPSMT"/>
          <w:bCs/>
          <w:iCs/>
          <w:color w:val="000000"/>
          <w:sz w:val="28"/>
          <w:szCs w:val="28"/>
          <w:lang w:val="en-US"/>
        </w:rPr>
        <w:t>/ Judicial Disqualification Resource Center –</w:t>
      </w:r>
      <w:r w:rsidRPr="00946571">
        <w:rPr>
          <w:rFonts w:eastAsia="TimesNewRomanPSMT"/>
          <w:bCs/>
          <w:iCs/>
          <w:color w:val="000000"/>
          <w:sz w:val="28"/>
          <w:szCs w:val="28"/>
          <w:lang w:val="uk-UA"/>
        </w:rPr>
        <w:t xml:space="preserve"> </w:t>
      </w:r>
      <w:r w:rsidRPr="00946571">
        <w:rPr>
          <w:rFonts w:eastAsia="TimesNewRomanPSMT"/>
          <w:bCs/>
          <w:iCs/>
          <w:color w:val="000000"/>
          <w:sz w:val="28"/>
          <w:szCs w:val="28"/>
          <w:lang w:val="en-US"/>
        </w:rPr>
        <w:t xml:space="preserve">Available at: </w:t>
      </w:r>
      <w:r w:rsidRPr="003329DF">
        <w:rPr>
          <w:rFonts w:eastAsia="TimesNewRomanPSMT"/>
          <w:bCs/>
          <w:iCs/>
          <w:color w:val="000000"/>
          <w:sz w:val="28"/>
          <w:szCs w:val="28"/>
          <w:lang w:val="en-US"/>
        </w:rPr>
        <w:t>http://www.judicialrecusal.com/united-kingdom/</w:t>
      </w:r>
      <w:r w:rsidRPr="00946571">
        <w:rPr>
          <w:rFonts w:eastAsia="TimesNewRomanPSMT"/>
          <w:bCs/>
          <w:iCs/>
          <w:color w:val="000000"/>
          <w:sz w:val="28"/>
          <w:szCs w:val="28"/>
          <w:lang w:val="en-US"/>
        </w:rPr>
        <w:t>.</w:t>
      </w:r>
    </w:p>
    <w:p w14:paraId="25EBDCCA" w14:textId="77777777" w:rsidR="001C6AA0" w:rsidRPr="00774B9C"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en-US"/>
        </w:rPr>
      </w:pPr>
      <w:r w:rsidRPr="00774B9C">
        <w:rPr>
          <w:rFonts w:eastAsia="TimesNewRomanPSMT"/>
          <w:bCs/>
          <w:iCs/>
          <w:color w:val="000000"/>
          <w:sz w:val="28"/>
          <w:szCs w:val="28"/>
          <w:lang w:val="en-US"/>
        </w:rPr>
        <w:t xml:space="preserve">Schulz Fritz. Classical Roman law / Fritz Schulz. – Oxford: Clarendon Press, 1951. – 633 </w:t>
      </w:r>
      <w:r w:rsidRPr="00946571">
        <w:rPr>
          <w:rFonts w:eastAsia="TimesNewRomanPSMT"/>
          <w:bCs/>
          <w:iCs/>
          <w:color w:val="000000"/>
          <w:sz w:val="28"/>
          <w:szCs w:val="28"/>
        </w:rPr>
        <w:t>р</w:t>
      </w:r>
      <w:r w:rsidRPr="00774B9C">
        <w:rPr>
          <w:rFonts w:eastAsia="TimesNewRomanPSMT"/>
          <w:bCs/>
          <w:iCs/>
          <w:color w:val="000000"/>
          <w:sz w:val="28"/>
          <w:szCs w:val="28"/>
          <w:lang w:val="en-US"/>
        </w:rPr>
        <w:t xml:space="preserve">. </w:t>
      </w:r>
    </w:p>
    <w:p w14:paraId="648204DA" w14:textId="77777777" w:rsidR="001C6AA0" w:rsidRPr="00774B9C"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en-US"/>
        </w:rPr>
      </w:pPr>
      <w:r w:rsidRPr="00946571">
        <w:rPr>
          <w:rFonts w:eastAsia="TimesNewRomanPSMT"/>
          <w:bCs/>
          <w:iCs/>
          <w:color w:val="000000"/>
          <w:sz w:val="28"/>
          <w:szCs w:val="28"/>
          <w:lang w:val="en-US"/>
        </w:rPr>
        <w:t xml:space="preserve">The European Court of Human Rights. Hauschildt v. Denmark / The European Court of Human Rights. – 1989. – Available at: </w:t>
      </w:r>
      <w:r w:rsidRPr="003329DF">
        <w:rPr>
          <w:rFonts w:eastAsia="TimesNewRomanPSMT"/>
          <w:bCs/>
          <w:iCs/>
          <w:color w:val="000000"/>
          <w:sz w:val="28"/>
          <w:szCs w:val="28"/>
          <w:lang w:val="en-US"/>
        </w:rPr>
        <w:t>https://www.legal-tools.org/en/browse/record/ee1c41/</w:t>
      </w:r>
      <w:r w:rsidRPr="00946571">
        <w:rPr>
          <w:rFonts w:eastAsia="TimesNewRomanPSMT"/>
          <w:bCs/>
          <w:iCs/>
          <w:color w:val="000000"/>
          <w:sz w:val="28"/>
          <w:szCs w:val="28"/>
          <w:lang w:val="en-US"/>
        </w:rPr>
        <w:t>.</w:t>
      </w:r>
    </w:p>
    <w:p w14:paraId="6B01065F" w14:textId="77777777" w:rsidR="001C6AA0" w:rsidRPr="00774B9C" w:rsidRDefault="001C6AA0" w:rsidP="001C6AA0">
      <w:pPr>
        <w:widowControl w:val="0"/>
        <w:numPr>
          <w:ilvl w:val="0"/>
          <w:numId w:val="10"/>
        </w:numPr>
        <w:autoSpaceDE w:val="0"/>
        <w:autoSpaceDN w:val="0"/>
        <w:adjustRightInd w:val="0"/>
        <w:spacing w:line="360" w:lineRule="auto"/>
        <w:ind w:left="0" w:right="57" w:firstLine="900"/>
        <w:jc w:val="both"/>
        <w:rPr>
          <w:rFonts w:eastAsia="TimesNewRomanPSMT"/>
          <w:bCs/>
          <w:iCs/>
          <w:color w:val="000000"/>
          <w:sz w:val="28"/>
          <w:szCs w:val="28"/>
          <w:lang w:val="en-US"/>
        </w:rPr>
      </w:pPr>
      <w:r w:rsidRPr="00774B9C">
        <w:rPr>
          <w:rFonts w:eastAsia="TimesNewRomanPSMT"/>
          <w:bCs/>
          <w:iCs/>
          <w:color w:val="000000"/>
          <w:sz w:val="28"/>
          <w:szCs w:val="28"/>
          <w:lang w:val="en-US"/>
        </w:rPr>
        <w:t xml:space="preserve">Tony Honoré. Justinian's Digest: Character and Compilation. – Oxford: University Press, 2010. – 248 </w:t>
      </w:r>
      <w:r w:rsidRPr="00946571">
        <w:rPr>
          <w:rFonts w:eastAsia="TimesNewRomanPSMT"/>
          <w:bCs/>
          <w:iCs/>
          <w:color w:val="000000"/>
          <w:sz w:val="28"/>
          <w:szCs w:val="28"/>
        </w:rPr>
        <w:t>р</w:t>
      </w:r>
      <w:r w:rsidRPr="00774B9C">
        <w:rPr>
          <w:rFonts w:eastAsia="TimesNewRomanPSMT"/>
          <w:bCs/>
          <w:iCs/>
          <w:color w:val="000000"/>
          <w:sz w:val="28"/>
          <w:szCs w:val="28"/>
          <w:lang w:val="en-US"/>
        </w:rPr>
        <w:t>.</w:t>
      </w:r>
    </w:p>
    <w:p w14:paraId="215E48EC"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Петрик В. В. Інститут відводу в цивільному процесі: дис... канд. юрид. наук: 12.00.03. – К.,</w:t>
      </w:r>
      <w:r w:rsidRPr="00774B9C">
        <w:rPr>
          <w:rFonts w:ascii="Times New Roman CYR" w:eastAsia="MS Mincho" w:hAnsi="Times New Roman CYR" w:cs="Times New Roman CYR"/>
          <w:bCs/>
          <w:sz w:val="28"/>
          <w:szCs w:val="28"/>
        </w:rPr>
        <w:t xml:space="preserve"> </w:t>
      </w:r>
      <w:r w:rsidRPr="00774B9C">
        <w:rPr>
          <w:rFonts w:ascii="Times New Roman CYR" w:eastAsia="MS Mincho" w:hAnsi="Times New Roman CYR" w:cs="Times New Roman CYR"/>
          <w:bCs/>
          <w:sz w:val="28"/>
          <w:szCs w:val="28"/>
          <w:lang w:val="uk-UA"/>
        </w:rPr>
        <w:t>2013. – 230 с.</w:t>
      </w:r>
    </w:p>
    <w:p w14:paraId="39205A7B"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Зейкан Я. П. Науково-практичний коментар Цивільного процесуального кодексу України / Я. П. Зейкан, Н. Л. Луців-Шумська, Н. Л. Шумська. – К. : КНТ, 2011. – 672 с.</w:t>
      </w:r>
    </w:p>
    <w:p w14:paraId="293BE4DF"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Сумська суддя винайшла, як обходити автоматизовану систему документообігу. Їй та сину світить до 10 років [Електронний ресурс]. – Режим доступу: http://tema.in.ua/article/6488.html.</w:t>
      </w:r>
    </w:p>
    <w:p w14:paraId="79C7FDB9"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Шибалов Є. Судові «хакери», або реформа по-Донецьки / Є. Шибалов. Дзеркало тижня. Україна. – 2011. – № 32 [Електронний ресурс]. – Режим доступу: http://dt.ua/LAW/sudovi_hakeri</w:t>
      </w:r>
      <w:r w:rsidRPr="00774B9C">
        <w:rPr>
          <w:rFonts w:ascii="Times New Roman CYR" w:eastAsia="MS Mincho" w:hAnsi="Times New Roman CYR" w:cs="Times New Roman CYR"/>
          <w:bCs/>
          <w:sz w:val="28"/>
          <w:szCs w:val="28"/>
        </w:rPr>
        <w:t>,__</w:t>
      </w:r>
      <w:r w:rsidRPr="00774B9C">
        <w:rPr>
          <w:rFonts w:ascii="Times New Roman CYR" w:eastAsia="MS Mincho" w:hAnsi="Times New Roman CYR" w:cs="Times New Roman CYR"/>
          <w:bCs/>
          <w:sz w:val="28"/>
          <w:szCs w:val="28"/>
          <w:lang w:val="uk-UA"/>
        </w:rPr>
        <w:t>abo_reforma_po</w:t>
      </w:r>
      <w:r w:rsidRPr="00774B9C">
        <w:rPr>
          <w:rFonts w:ascii="Times New Roman CYR" w:eastAsia="MS Mincho" w:hAnsi="Times New Roman CYR" w:cs="Times New Roman CYR"/>
          <w:bCs/>
          <w:sz w:val="28"/>
          <w:szCs w:val="28"/>
        </w:rPr>
        <w:t>-</w:t>
      </w:r>
      <w:r w:rsidRPr="00774B9C">
        <w:rPr>
          <w:rFonts w:ascii="Times New Roman CYR" w:eastAsia="MS Mincho" w:hAnsi="Times New Roman CYR" w:cs="Times New Roman CYR"/>
          <w:bCs/>
          <w:sz w:val="28"/>
          <w:szCs w:val="28"/>
          <w:lang w:val="uk-UA"/>
        </w:rPr>
        <w:t xml:space="preserve">donetski.html. </w:t>
      </w:r>
    </w:p>
    <w:p w14:paraId="085DA3B0"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Науково-практичний коментар Цивільного процесуального кодексу України: станом на 01.11.2010 р. / В. Е. Теліпко; за ред. Притики Ю. Д. – К.: Центр учбової літератури, 2011.</w:t>
      </w:r>
    </w:p>
    <w:p w14:paraId="0B5D459F"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lastRenderedPageBreak/>
        <w:t>Колісник О. В. Суд як суб’єкт цивільних процесуальних відносин: дис. ... канд. юрид. наук : 12.00.03 / Колісник Олена Вікторівна. – Х., 2008. – 224 с.</w:t>
      </w:r>
    </w:p>
    <w:p w14:paraId="14449E76"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 xml:space="preserve">Заєць В. А. Проблемні питання застосування відводу судді в господарському процесі / В. А. Заєць [Електронний ресурс]. – Режим доступу: </w:t>
      </w:r>
      <w:r w:rsidRPr="00774B9C">
        <w:rPr>
          <w:rFonts w:ascii="Times New Roman CYR" w:eastAsia="MS Mincho" w:hAnsi="Times New Roman CYR" w:cs="Times New Roman CYR"/>
          <w:bCs/>
          <w:sz w:val="28"/>
          <w:szCs w:val="28"/>
          <w:lang w:val="en-US"/>
        </w:rPr>
        <w:t>h</w:t>
      </w:r>
      <w:r w:rsidRPr="00774B9C">
        <w:rPr>
          <w:rFonts w:ascii="Times New Roman CYR" w:eastAsia="MS Mincho" w:hAnsi="Times New Roman CYR" w:cs="Times New Roman CYR"/>
          <w:bCs/>
          <w:sz w:val="28"/>
          <w:szCs w:val="28"/>
          <w:lang w:val="uk-UA"/>
        </w:rPr>
        <w:t>ttp://3222.ua/article/problemn_pitannya_zastosuvannya_vdvodu_sudd_v_gospodarskomu_protses.htm.</w:t>
      </w:r>
    </w:p>
    <w:p w14:paraId="277FC31A"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 xml:space="preserve">Рішення Вищої кваліфікаційної комісії суддів України від13 грудня 2012 року [Електронний ресурс]. – Режим доступу: </w:t>
      </w:r>
      <w:r w:rsidRPr="00774B9C">
        <w:rPr>
          <w:rFonts w:ascii="Times New Roman CYR" w:eastAsia="MS Mincho" w:hAnsi="Times New Roman CYR" w:cs="Times New Roman CYR"/>
          <w:bCs/>
          <w:sz w:val="28"/>
          <w:szCs w:val="28"/>
          <w:u w:val="single"/>
          <w:lang w:val="uk-UA"/>
        </w:rPr>
        <w:t>www.vkksu.gov.ua/userfiles/rishennya/svereduk.doc</w:t>
      </w:r>
      <w:r w:rsidRPr="00774B9C">
        <w:rPr>
          <w:rFonts w:ascii="Times New Roman CYR" w:eastAsia="MS Mincho" w:hAnsi="Times New Roman CYR" w:cs="Times New Roman CYR"/>
          <w:bCs/>
          <w:sz w:val="28"/>
          <w:szCs w:val="28"/>
          <w:lang w:val="uk-UA"/>
        </w:rPr>
        <w:t>.</w:t>
      </w:r>
    </w:p>
    <w:p w14:paraId="6B6C72B1"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Задерако В.Г. Институт отводов в советском уголовном процессе: дис. …канд. юрид. наук 12.00.09 / В.Г. Задерако. – Харьков, 1978. – 170 с.</w:t>
      </w:r>
    </w:p>
    <w:p w14:paraId="3A78DD9F"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Магомедова Х.А.-к. Институт отводов в советском уголовном судопроизводстве: дис. … канд. юрид. наук 12.00.09 / Х.А.-к. Магомедова. – М., 1984.</w:t>
      </w:r>
    </w:p>
    <w:p w14:paraId="49DAF733"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Пащенко О. Проблемні питання застосування відводів у цивільному, господарському та адміністративному процесі / Пащенко О. // Юридичний радник. – 2006. – № 5 (13). – С. 54–59.</w:t>
      </w:r>
    </w:p>
    <w:p w14:paraId="704A4294"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Про деякі питання, порушені у доповідних записках господарських судів України у першому півріччі 2009 року щодо застосування норм Господарського процесуального кодексу України : Інформаційний лист Вищого господарського суду України від 29.09.2009 р. № 01-08/530 [Електронний ресурс] – Режим доступу: http://zakon.rada.gov.ua/laws/show/v_530600-09.</w:t>
      </w:r>
    </w:p>
    <w:p w14:paraId="6BE92CE9"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Рішення господарського суду Львівської області від 22.09.2011 р. у справі № 5015/5021/11 [Електронний ресурс] – Режим доступу: http://www.reyestr.court.gov.ua/Review/18742827.</w:t>
      </w:r>
    </w:p>
    <w:p w14:paraId="4A993352" w14:textId="1BA1A5D4" w:rsidR="001C6AA0" w:rsidRPr="001D4FE2" w:rsidRDefault="001C6AA0" w:rsidP="001D4FE2">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Про деякі питання практики застосування Господарського процесуального кодексу України судами першої інстанції: Постанова Пленуму Вищого господарського суду України від 26.12.2011 р. № 18 // Вісник господарського судочинства. – 2012. – № 1. – С. 27.</w:t>
      </w:r>
    </w:p>
    <w:p w14:paraId="7252BAA9"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lastRenderedPageBreak/>
        <w:t>Сторощук М.І. Господарське судочинство України: ефективність вирішення господарських спорів / М.І. Сторощук [Електронний ресурс]. - Режим доступу: http://rusnauka.com/35_OINBG_2010/Pravo/75879.doc.htm.</w:t>
      </w:r>
    </w:p>
    <w:p w14:paraId="6ACFD87B"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Ватаманюк В.І. Проблеми та перспективи реформування господарського процесуального законодавства / В. І. Ватаманюк // Науковий вісник Чернівецького університету.- 2011. - Вип. 604.</w:t>
      </w:r>
    </w:p>
    <w:p w14:paraId="42B0E6E3"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 xml:space="preserve">Проект Господарського процесуального кодексу України (для обговорення) [Електронний ресурс]. </w:t>
      </w:r>
      <w:r w:rsidRPr="00774B9C">
        <w:rPr>
          <w:rFonts w:eastAsia="TimesNewRomanPSMT"/>
          <w:bCs/>
          <w:iCs/>
          <w:color w:val="000000"/>
          <w:sz w:val="28"/>
          <w:szCs w:val="28"/>
        </w:rPr>
        <w:t>–</w:t>
      </w:r>
      <w:r w:rsidRPr="00774B9C">
        <w:rPr>
          <w:rFonts w:ascii="Times New Roman CYR" w:eastAsia="MS Mincho" w:hAnsi="Times New Roman CYR" w:cs="Times New Roman CYR"/>
          <w:bCs/>
          <w:sz w:val="28"/>
          <w:szCs w:val="28"/>
          <w:lang w:val="uk-UA"/>
        </w:rPr>
        <w:t xml:space="preserve"> Режим доступу: http://jrc.org.ua/upload/steps/b6d283709aed706c26769e4ec13a0446.pdf.</w:t>
      </w:r>
    </w:p>
    <w:p w14:paraId="7F8F4BF9"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 xml:space="preserve">Веремко В. Реформа в процесі. Як новий Господарський процесуальний кодекс змінить правила гри і до яких ризиків слід готуватися / В. Веремко [Електронний ресурс]. </w:t>
      </w:r>
      <w:r w:rsidRPr="00774B9C">
        <w:rPr>
          <w:rFonts w:eastAsia="TimesNewRomanPSMT"/>
          <w:bCs/>
          <w:iCs/>
          <w:color w:val="000000"/>
          <w:sz w:val="28"/>
          <w:szCs w:val="28"/>
        </w:rPr>
        <w:t>–</w:t>
      </w:r>
      <w:r w:rsidRPr="00774B9C">
        <w:rPr>
          <w:rFonts w:ascii="Times New Roman CYR" w:eastAsia="MS Mincho" w:hAnsi="Times New Roman CYR" w:cs="Times New Roman CYR"/>
          <w:bCs/>
          <w:sz w:val="28"/>
          <w:szCs w:val="28"/>
          <w:lang w:val="uk-UA"/>
        </w:rPr>
        <w:t xml:space="preserve"> Режим доступу: http://zib.com.ua/ua/123054-yak_noviy_gpk_zminit_pravila_gri_dlya_storin_i_do_yakih_rizi.html.</w:t>
      </w:r>
    </w:p>
    <w:p w14:paraId="37627FED"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 xml:space="preserve">Курило М.П. Докази та доказування в судових процесах різних галузей процесуального права: можливості уніфікації / М.П. Курило // Бюлетень Міністерства юстиції України. </w:t>
      </w:r>
      <w:r w:rsidRPr="00774B9C">
        <w:rPr>
          <w:rFonts w:eastAsia="TimesNewRomanPSMT"/>
          <w:bCs/>
          <w:iCs/>
          <w:color w:val="000000"/>
          <w:sz w:val="28"/>
          <w:szCs w:val="28"/>
        </w:rPr>
        <w:t>–</w:t>
      </w:r>
      <w:r w:rsidRPr="00774B9C">
        <w:rPr>
          <w:rFonts w:ascii="Times New Roman CYR" w:eastAsia="MS Mincho" w:hAnsi="Times New Roman CYR" w:cs="Times New Roman CYR"/>
          <w:bCs/>
          <w:sz w:val="28"/>
          <w:szCs w:val="28"/>
          <w:lang w:val="uk-UA"/>
        </w:rPr>
        <w:t xml:space="preserve"> 2013. </w:t>
      </w:r>
      <w:r w:rsidRPr="00774B9C">
        <w:rPr>
          <w:rFonts w:eastAsia="TimesNewRomanPSMT"/>
          <w:bCs/>
          <w:iCs/>
          <w:color w:val="000000"/>
          <w:sz w:val="28"/>
          <w:szCs w:val="28"/>
        </w:rPr>
        <w:t>–</w:t>
      </w:r>
      <w:r w:rsidRPr="00774B9C">
        <w:rPr>
          <w:rFonts w:ascii="Times New Roman CYR" w:eastAsia="MS Mincho" w:hAnsi="Times New Roman CYR" w:cs="Times New Roman CYR"/>
          <w:bCs/>
          <w:sz w:val="28"/>
          <w:szCs w:val="28"/>
          <w:lang w:val="uk-UA"/>
        </w:rPr>
        <w:t xml:space="preserve"> № 12. - С. 119-125. </w:t>
      </w:r>
      <w:r w:rsidRPr="00774B9C">
        <w:rPr>
          <w:rFonts w:eastAsia="TimesNewRomanPSMT"/>
          <w:bCs/>
          <w:iCs/>
          <w:color w:val="000000"/>
          <w:sz w:val="28"/>
          <w:szCs w:val="28"/>
        </w:rPr>
        <w:t>–</w:t>
      </w:r>
      <w:r w:rsidRPr="00774B9C">
        <w:rPr>
          <w:rFonts w:ascii="Times New Roman CYR" w:eastAsia="MS Mincho" w:hAnsi="Times New Roman CYR" w:cs="Times New Roman CYR"/>
          <w:bCs/>
          <w:sz w:val="28"/>
          <w:szCs w:val="28"/>
          <w:lang w:val="uk-UA"/>
        </w:rPr>
        <w:t xml:space="preserve"> [Електронний ресурс]. - Режим доступу: http://nbuv.gov.ua/UJRN/bmju_2013_12_35.</w:t>
      </w:r>
    </w:p>
    <w:p w14:paraId="58D2734C"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 xml:space="preserve">Демидова М. Змагальність в абсолюті. Як не допустити того, аби суд став заручником сторін у справі / М. Демидова [Електронний ресурс]. </w:t>
      </w:r>
      <w:r w:rsidRPr="00774B9C">
        <w:rPr>
          <w:rFonts w:eastAsia="TimesNewRomanPSMT"/>
          <w:bCs/>
          <w:iCs/>
          <w:color w:val="000000"/>
          <w:sz w:val="28"/>
          <w:szCs w:val="28"/>
        </w:rPr>
        <w:t>–</w:t>
      </w:r>
      <w:r w:rsidRPr="00774B9C">
        <w:rPr>
          <w:rFonts w:ascii="Times New Roman CYR" w:eastAsia="MS Mincho" w:hAnsi="Times New Roman CYR" w:cs="Times New Roman CYR"/>
          <w:bCs/>
          <w:sz w:val="28"/>
          <w:szCs w:val="28"/>
          <w:lang w:val="uk-UA"/>
        </w:rPr>
        <w:t xml:space="preserve"> Режим доступу: http://zib.com.ua/ua/123249-yak_ne_dopustiti_togo_abi_sud_stav_zaruchnikom_storin_u_spra.html.</w:t>
      </w:r>
    </w:p>
    <w:p w14:paraId="1C9E2066"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 xml:space="preserve">Білецька Л. Доказування у господарському процесі України: на шляху до формування судових стандартів / Л. Білецька // Слово національної школи суддів України. </w:t>
      </w:r>
      <w:r w:rsidRPr="00774B9C">
        <w:rPr>
          <w:rFonts w:eastAsia="TimesNewRomanPSMT"/>
          <w:bCs/>
          <w:iCs/>
          <w:color w:val="000000"/>
          <w:sz w:val="28"/>
          <w:szCs w:val="28"/>
        </w:rPr>
        <w:t>–</w:t>
      </w:r>
      <w:r w:rsidRPr="00774B9C">
        <w:rPr>
          <w:rFonts w:ascii="Times New Roman CYR" w:eastAsia="MS Mincho" w:hAnsi="Times New Roman CYR" w:cs="Times New Roman CYR"/>
          <w:bCs/>
          <w:sz w:val="28"/>
          <w:szCs w:val="28"/>
          <w:lang w:val="uk-UA"/>
        </w:rPr>
        <w:t xml:space="preserve"> 2013. </w:t>
      </w:r>
      <w:r w:rsidRPr="00774B9C">
        <w:rPr>
          <w:rFonts w:eastAsia="TimesNewRomanPSMT"/>
          <w:bCs/>
          <w:iCs/>
          <w:color w:val="000000"/>
          <w:sz w:val="28"/>
          <w:szCs w:val="28"/>
        </w:rPr>
        <w:t>–</w:t>
      </w:r>
      <w:r w:rsidRPr="00774B9C">
        <w:rPr>
          <w:rFonts w:ascii="Times New Roman CYR" w:eastAsia="MS Mincho" w:hAnsi="Times New Roman CYR" w:cs="Times New Roman CYR"/>
          <w:bCs/>
          <w:sz w:val="28"/>
          <w:szCs w:val="28"/>
          <w:lang w:val="uk-UA"/>
        </w:rPr>
        <w:t xml:space="preserve"> № 2. </w:t>
      </w:r>
      <w:r w:rsidRPr="00774B9C">
        <w:rPr>
          <w:rFonts w:eastAsia="TimesNewRomanPSMT"/>
          <w:bCs/>
          <w:iCs/>
          <w:color w:val="000000"/>
          <w:sz w:val="28"/>
          <w:szCs w:val="28"/>
        </w:rPr>
        <w:t>–</w:t>
      </w:r>
      <w:r w:rsidRPr="00774B9C">
        <w:rPr>
          <w:rFonts w:ascii="Times New Roman CYR" w:eastAsia="MS Mincho" w:hAnsi="Times New Roman CYR" w:cs="Times New Roman CYR"/>
          <w:bCs/>
          <w:sz w:val="28"/>
          <w:szCs w:val="28"/>
          <w:lang w:val="uk-UA"/>
        </w:rPr>
        <w:t xml:space="preserve"> С. 58-64. - [Електронний ресурс]. </w:t>
      </w:r>
      <w:r w:rsidRPr="00774B9C">
        <w:rPr>
          <w:rFonts w:eastAsia="TimesNewRomanPSMT"/>
          <w:bCs/>
          <w:iCs/>
          <w:color w:val="000000"/>
          <w:sz w:val="28"/>
          <w:szCs w:val="28"/>
        </w:rPr>
        <w:t>–</w:t>
      </w:r>
      <w:r w:rsidRPr="00774B9C">
        <w:rPr>
          <w:rFonts w:ascii="Times New Roman CYR" w:eastAsia="MS Mincho" w:hAnsi="Times New Roman CYR" w:cs="Times New Roman CYR"/>
          <w:bCs/>
          <w:sz w:val="28"/>
          <w:szCs w:val="28"/>
          <w:lang w:val="uk-UA"/>
        </w:rPr>
        <w:t xml:space="preserve"> Режим доступу: http://nbuv.gov.ua/UJRN/cln_2013_2_9.</w:t>
      </w:r>
    </w:p>
    <w:p w14:paraId="794DB135" w14:textId="77777777" w:rsidR="001C6AA0" w:rsidRPr="00774B9C" w:rsidRDefault="001C6AA0" w:rsidP="001C6AA0">
      <w:pPr>
        <w:widowControl w:val="0"/>
        <w:numPr>
          <w:ilvl w:val="0"/>
          <w:numId w:val="10"/>
        </w:numPr>
        <w:autoSpaceDE w:val="0"/>
        <w:autoSpaceDN w:val="0"/>
        <w:adjustRightInd w:val="0"/>
        <w:spacing w:line="360" w:lineRule="auto"/>
        <w:ind w:left="0" w:right="57" w:firstLine="851"/>
        <w:jc w:val="both"/>
        <w:rPr>
          <w:rFonts w:ascii="Times New Roman CYR" w:eastAsia="MS Mincho" w:hAnsi="Times New Roman CYR" w:cs="Times New Roman CYR"/>
          <w:bCs/>
          <w:sz w:val="28"/>
          <w:szCs w:val="28"/>
          <w:lang w:val="uk-UA"/>
        </w:rPr>
      </w:pPr>
      <w:r w:rsidRPr="00774B9C">
        <w:rPr>
          <w:rFonts w:ascii="Times New Roman CYR" w:eastAsia="MS Mincho" w:hAnsi="Times New Roman CYR" w:cs="Times New Roman CYR"/>
          <w:bCs/>
          <w:sz w:val="28"/>
          <w:szCs w:val="28"/>
          <w:lang w:val="uk-UA"/>
        </w:rPr>
        <w:t xml:space="preserve">Бабенко В.В. Належність та допустимість доказів в господарському процесі / В.В. Бабенко // Вісник Академії адвокатури України. </w:t>
      </w:r>
      <w:r w:rsidRPr="00774B9C">
        <w:rPr>
          <w:rFonts w:eastAsia="TimesNewRomanPSMT"/>
          <w:bCs/>
          <w:iCs/>
          <w:color w:val="000000"/>
          <w:sz w:val="28"/>
          <w:szCs w:val="28"/>
        </w:rPr>
        <w:t>–</w:t>
      </w:r>
      <w:r w:rsidRPr="00774B9C">
        <w:rPr>
          <w:rFonts w:ascii="Times New Roman CYR" w:eastAsia="MS Mincho" w:hAnsi="Times New Roman CYR" w:cs="Times New Roman CYR"/>
          <w:bCs/>
          <w:sz w:val="28"/>
          <w:szCs w:val="28"/>
          <w:lang w:val="uk-UA"/>
        </w:rPr>
        <w:t xml:space="preserve"> 2006. </w:t>
      </w:r>
      <w:r w:rsidRPr="00774B9C">
        <w:rPr>
          <w:rFonts w:eastAsia="TimesNewRomanPSMT"/>
          <w:bCs/>
          <w:iCs/>
          <w:color w:val="000000"/>
          <w:sz w:val="28"/>
          <w:szCs w:val="28"/>
        </w:rPr>
        <w:t>–</w:t>
      </w:r>
      <w:r w:rsidRPr="00774B9C">
        <w:rPr>
          <w:rFonts w:ascii="Times New Roman CYR" w:eastAsia="MS Mincho" w:hAnsi="Times New Roman CYR" w:cs="Times New Roman CYR"/>
          <w:bCs/>
          <w:sz w:val="28"/>
          <w:szCs w:val="28"/>
          <w:lang w:val="uk-UA"/>
        </w:rPr>
        <w:t xml:space="preserve"> Вип. 5. </w:t>
      </w:r>
      <w:r w:rsidRPr="00774B9C">
        <w:rPr>
          <w:rFonts w:eastAsia="TimesNewRomanPSMT"/>
          <w:bCs/>
          <w:iCs/>
          <w:color w:val="000000"/>
          <w:sz w:val="28"/>
          <w:szCs w:val="28"/>
        </w:rPr>
        <w:t>–</w:t>
      </w:r>
      <w:r w:rsidRPr="00774B9C">
        <w:rPr>
          <w:rFonts w:ascii="Times New Roman CYR" w:eastAsia="MS Mincho" w:hAnsi="Times New Roman CYR" w:cs="Times New Roman CYR"/>
          <w:bCs/>
          <w:sz w:val="28"/>
          <w:szCs w:val="28"/>
          <w:lang w:val="uk-UA"/>
        </w:rPr>
        <w:t xml:space="preserve"> С. 64-70. </w:t>
      </w:r>
      <w:r w:rsidRPr="00774B9C">
        <w:rPr>
          <w:rFonts w:eastAsia="TimesNewRomanPSMT"/>
          <w:bCs/>
          <w:iCs/>
          <w:color w:val="000000"/>
          <w:sz w:val="28"/>
          <w:szCs w:val="28"/>
        </w:rPr>
        <w:t>–</w:t>
      </w:r>
      <w:r w:rsidRPr="00774B9C">
        <w:rPr>
          <w:rFonts w:ascii="Times New Roman CYR" w:eastAsia="MS Mincho" w:hAnsi="Times New Roman CYR" w:cs="Times New Roman CYR"/>
          <w:bCs/>
          <w:sz w:val="28"/>
          <w:szCs w:val="28"/>
          <w:lang w:val="uk-UA"/>
        </w:rPr>
        <w:t xml:space="preserve"> [Електронний ресурс]. </w:t>
      </w:r>
      <w:r w:rsidRPr="00774B9C">
        <w:rPr>
          <w:rFonts w:eastAsia="TimesNewRomanPSMT"/>
          <w:bCs/>
          <w:iCs/>
          <w:color w:val="000000"/>
          <w:sz w:val="28"/>
          <w:szCs w:val="28"/>
        </w:rPr>
        <w:t>–</w:t>
      </w:r>
      <w:r w:rsidRPr="00774B9C">
        <w:rPr>
          <w:rFonts w:ascii="Times New Roman CYR" w:eastAsia="MS Mincho" w:hAnsi="Times New Roman CYR" w:cs="Times New Roman CYR"/>
          <w:bCs/>
          <w:sz w:val="28"/>
          <w:szCs w:val="28"/>
          <w:lang w:val="uk-UA"/>
        </w:rPr>
        <w:t xml:space="preserve"> Режим доступу: http://nbuv.gov.ua/UJRN/vaau_2006_5_8.</w:t>
      </w:r>
    </w:p>
    <w:p w14:paraId="34943B63" w14:textId="77777777" w:rsidR="001C6AA0" w:rsidRPr="00946571" w:rsidRDefault="001C6AA0" w:rsidP="001C6AA0">
      <w:pPr>
        <w:widowControl w:val="0"/>
        <w:autoSpaceDE w:val="0"/>
        <w:autoSpaceDN w:val="0"/>
        <w:adjustRightInd w:val="0"/>
        <w:spacing w:line="360" w:lineRule="auto"/>
        <w:ind w:right="57" w:firstLine="851"/>
        <w:jc w:val="both"/>
        <w:rPr>
          <w:rFonts w:eastAsia="TimesNewRomanPSMT"/>
          <w:bCs/>
          <w:iCs/>
          <w:color w:val="000000"/>
          <w:sz w:val="28"/>
          <w:szCs w:val="28"/>
        </w:rPr>
      </w:pPr>
    </w:p>
    <w:p w14:paraId="495FC1F6" w14:textId="621496C0" w:rsidR="001C6AA0" w:rsidRPr="00DD4441" w:rsidRDefault="001C6AA0" w:rsidP="00DD4441">
      <w:pPr>
        <w:widowControl w:val="0"/>
        <w:autoSpaceDE w:val="0"/>
        <w:autoSpaceDN w:val="0"/>
        <w:adjustRightInd w:val="0"/>
        <w:spacing w:line="360" w:lineRule="auto"/>
        <w:ind w:right="57"/>
        <w:jc w:val="both"/>
        <w:rPr>
          <w:rFonts w:eastAsia="TimesNewRomanPSMT"/>
          <w:bCs/>
          <w:iCs/>
          <w:color w:val="000000"/>
          <w:sz w:val="28"/>
          <w:szCs w:val="28"/>
          <w:lang w:val="uk-UA"/>
        </w:rPr>
      </w:pPr>
    </w:p>
    <w:p w14:paraId="79A0D75A" w14:textId="4EB909F6" w:rsidR="001C6AA0" w:rsidRDefault="001C6AA0" w:rsidP="001C6AA0">
      <w:pPr>
        <w:keepNext/>
        <w:spacing w:before="240" w:after="60"/>
        <w:ind w:left="1069"/>
        <w:jc w:val="center"/>
        <w:outlineLvl w:val="0"/>
        <w:rPr>
          <w:b/>
          <w:bCs/>
          <w:kern w:val="32"/>
          <w:sz w:val="28"/>
          <w:szCs w:val="28"/>
          <w:lang w:val="uk-UA"/>
        </w:rPr>
      </w:pPr>
      <w:bookmarkStart w:id="58" w:name="_Toc532751472"/>
      <w:bookmarkStart w:id="59" w:name="_Toc529380167"/>
      <w:bookmarkStart w:id="60" w:name="_Toc529444403"/>
      <w:r w:rsidRPr="00493F33">
        <w:rPr>
          <w:b/>
          <w:bCs/>
          <w:kern w:val="32"/>
          <w:sz w:val="28"/>
          <w:szCs w:val="28"/>
          <w:lang w:val="uk-UA"/>
        </w:rPr>
        <w:t>Д</w:t>
      </w:r>
      <w:r w:rsidR="005E7022">
        <w:rPr>
          <w:b/>
          <w:bCs/>
          <w:kern w:val="32"/>
          <w:sz w:val="28"/>
          <w:szCs w:val="28"/>
          <w:lang w:val="uk-UA"/>
        </w:rPr>
        <w:t>ОДАТКИ</w:t>
      </w:r>
      <w:bookmarkEnd w:id="58"/>
    </w:p>
    <w:p w14:paraId="2BC011DD" w14:textId="69640D9A" w:rsidR="005E7022" w:rsidRDefault="005E7022" w:rsidP="001C6AA0">
      <w:pPr>
        <w:keepNext/>
        <w:spacing w:before="240" w:after="60"/>
        <w:ind w:left="1069"/>
        <w:jc w:val="center"/>
        <w:outlineLvl w:val="0"/>
        <w:rPr>
          <w:b/>
          <w:bCs/>
          <w:kern w:val="32"/>
          <w:sz w:val="28"/>
          <w:szCs w:val="28"/>
          <w:lang w:val="uk-UA"/>
        </w:rPr>
      </w:pPr>
    </w:p>
    <w:p w14:paraId="3E6AC3EF" w14:textId="77777777" w:rsidR="005E7022" w:rsidRPr="00493F33" w:rsidRDefault="005E7022" w:rsidP="001C6AA0">
      <w:pPr>
        <w:keepNext/>
        <w:spacing w:before="240" w:after="60"/>
        <w:ind w:left="1069"/>
        <w:jc w:val="center"/>
        <w:outlineLvl w:val="0"/>
        <w:rPr>
          <w:b/>
          <w:bCs/>
          <w:kern w:val="32"/>
          <w:sz w:val="28"/>
          <w:szCs w:val="28"/>
          <w:lang w:val="uk-UA"/>
        </w:rPr>
      </w:pPr>
    </w:p>
    <w:p w14:paraId="2A72817F" w14:textId="0A87C002" w:rsidR="001C6AA0" w:rsidRPr="005E7022" w:rsidRDefault="001C6AA0" w:rsidP="001C6AA0">
      <w:pPr>
        <w:widowControl w:val="0"/>
        <w:autoSpaceDE w:val="0"/>
        <w:autoSpaceDN w:val="0"/>
        <w:adjustRightInd w:val="0"/>
        <w:spacing w:line="360" w:lineRule="auto"/>
        <w:ind w:left="57" w:right="57" w:firstLine="709"/>
        <w:jc w:val="right"/>
        <w:rPr>
          <w:rFonts w:ascii="Times New Roman CYR" w:eastAsia="MS Mincho" w:hAnsi="Times New Roman CYR" w:cs="Times New Roman CYR"/>
          <w:b/>
          <w:sz w:val="28"/>
          <w:szCs w:val="28"/>
        </w:rPr>
      </w:pPr>
      <w:r w:rsidRPr="00493F33">
        <w:rPr>
          <w:rFonts w:ascii="Times New Roman CYR" w:eastAsia="MS Mincho" w:hAnsi="Times New Roman CYR" w:cs="Times New Roman CYR"/>
          <w:b/>
          <w:sz w:val="28"/>
          <w:szCs w:val="28"/>
        </w:rPr>
        <w:t xml:space="preserve">Додаток </w:t>
      </w:r>
      <w:bookmarkEnd w:id="59"/>
      <w:bookmarkEnd w:id="60"/>
      <w:r w:rsidR="005E7022">
        <w:rPr>
          <w:rFonts w:ascii="Times New Roman CYR" w:eastAsia="MS Mincho" w:hAnsi="Times New Roman CYR" w:cs="Times New Roman CYR"/>
          <w:b/>
          <w:sz w:val="28"/>
          <w:szCs w:val="28"/>
          <w:lang w:val="en-US"/>
        </w:rPr>
        <w:t>A</w:t>
      </w:r>
    </w:p>
    <w:p w14:paraId="05DEAAE6"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4A4EF127" w14:textId="77777777" w:rsidR="001C6AA0" w:rsidRPr="005764C9" w:rsidRDefault="001C6AA0" w:rsidP="001C6AA0">
      <w:pPr>
        <w:widowControl w:val="0"/>
        <w:autoSpaceDE w:val="0"/>
        <w:autoSpaceDN w:val="0"/>
        <w:adjustRightInd w:val="0"/>
        <w:spacing w:line="360" w:lineRule="auto"/>
        <w:ind w:left="57" w:right="57" w:firstLine="709"/>
        <w:jc w:val="center"/>
        <w:rPr>
          <w:rFonts w:ascii="Times New Roman CYR" w:eastAsia="MS Mincho" w:hAnsi="Times New Roman CYR" w:cs="Times New Roman CYR"/>
          <w:b/>
          <w:sz w:val="28"/>
          <w:szCs w:val="28"/>
          <w:lang w:val="uk-UA"/>
        </w:rPr>
      </w:pPr>
      <w:r w:rsidRPr="005764C9">
        <w:rPr>
          <w:rFonts w:ascii="Times New Roman CYR" w:eastAsia="MS Mincho" w:hAnsi="Times New Roman CYR" w:cs="Times New Roman CYR"/>
          <w:b/>
          <w:sz w:val="28"/>
          <w:szCs w:val="28"/>
        </w:rPr>
        <w:t>Підстави для відводу (самовідводу) судді</w:t>
      </w:r>
      <w:r>
        <w:rPr>
          <w:rFonts w:ascii="Times New Roman CYR" w:eastAsia="MS Mincho" w:hAnsi="Times New Roman CYR" w:cs="Times New Roman CYR"/>
          <w:b/>
          <w:sz w:val="28"/>
          <w:szCs w:val="28"/>
          <w:lang w:val="uk-UA"/>
        </w:rPr>
        <w:t xml:space="preserve"> (ст. 35 ГПК України)</w:t>
      </w:r>
    </w:p>
    <w:p w14:paraId="51863677"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noProof/>
          <w:sz w:val="28"/>
          <w:szCs w:val="28"/>
          <w:lang w:val="uk-UA" w:eastAsia="uk-UA"/>
        </w:rPr>
        <mc:AlternateContent>
          <mc:Choice Requires="wps">
            <w:drawing>
              <wp:anchor distT="0" distB="0" distL="114300" distR="114300" simplePos="0" relativeHeight="251659264" behindDoc="0" locked="0" layoutInCell="1" allowOverlap="1" wp14:anchorId="67A27C12" wp14:editId="5F7E9E98">
                <wp:simplePos x="0" y="0"/>
                <wp:positionH relativeFrom="column">
                  <wp:posOffset>842010</wp:posOffset>
                </wp:positionH>
                <wp:positionV relativeFrom="paragraph">
                  <wp:posOffset>19050</wp:posOffset>
                </wp:positionV>
                <wp:extent cx="5019675" cy="755650"/>
                <wp:effectExtent l="92710" t="82550" r="170815" b="16510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9675" cy="755650"/>
                        </a:xfrm>
                        <a:prstGeom prst="rect">
                          <a:avLst/>
                        </a:prstGeom>
                        <a:solidFill>
                          <a:srgbClr val="FFFFFF"/>
                        </a:solidFill>
                        <a:ln w="9525">
                          <a:solidFill>
                            <a:srgbClr val="000000"/>
                          </a:solidFill>
                          <a:miter lim="800000"/>
                          <a:headEnd/>
                          <a:tailEnd/>
                        </a:ln>
                        <a:effectLst>
                          <a:outerShdw blurRad="63500" dist="107763" dir="2700000" algn="ctr" rotWithShape="0">
                            <a:srgbClr val="000000">
                              <a:alpha val="50000"/>
                            </a:srgbClr>
                          </a:outerShdw>
                        </a:effectLst>
                      </wps:spPr>
                      <wps:txbx>
                        <w:txbxContent>
                          <w:p w14:paraId="173AC81A" w14:textId="77777777" w:rsidR="005E7022" w:rsidRPr="009C33DF" w:rsidRDefault="005E7022" w:rsidP="001C6AA0">
                            <w:pPr>
                              <w:spacing w:before="120"/>
                              <w:ind w:firstLine="567"/>
                              <w:jc w:val="both"/>
                              <w:rPr>
                                <w:sz w:val="28"/>
                                <w:szCs w:val="28"/>
                              </w:rPr>
                            </w:pPr>
                            <w:r w:rsidRPr="005764C9">
                              <w:rPr>
                                <w:sz w:val="28"/>
                                <w:szCs w:val="28"/>
                              </w:rPr>
                              <w:t>Суддя не може розглядати справу і підлягає відводу (самовідводу), якщо: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A27C12" id="Rectangle 9" o:spid="_x0000_s1026" style="position:absolute;left:0;text-align:left;margin-left:66.3pt;margin-top:1.5pt;width:395.25pt;height:5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">
                <v:shadow on="t" color="black" opacity=".5" offset="6pt,6pt"/>
                <v:textbox>
                  <w:txbxContent>
                    <w:p w14:paraId="173AC81A" w14:textId="77777777" w:rsidR="005E7022" w:rsidRPr="009C33DF" w:rsidRDefault="005E7022" w:rsidP="001C6AA0">
                      <w:pPr>
                        <w:spacing w:before="120"/>
                        <w:ind w:firstLine="567"/>
                        <w:jc w:val="both"/>
                        <w:rPr>
                          <w:sz w:val="28"/>
                          <w:szCs w:val="28"/>
                        </w:rPr>
                      </w:pPr>
                      <w:r w:rsidRPr="005764C9">
                        <w:rPr>
                          <w:sz w:val="28"/>
                          <w:szCs w:val="28"/>
                        </w:rPr>
                        <w:t>Суддя не може розглядати справу і підлягає відводу (самовідводу), якщо:</w:t>
                      </w:r>
                    </w:p>
                  </w:txbxContent>
                </v:textbox>
              </v:rect>
            </w:pict>
          </mc:Fallback>
        </mc:AlternateContent>
      </w:r>
    </w:p>
    <w:p w14:paraId="24E45025"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65E357E8"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5DB04F86"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noProof/>
          <w:sz w:val="28"/>
          <w:szCs w:val="28"/>
          <w:lang w:val="uk-UA" w:eastAsia="uk-UA"/>
        </w:rPr>
        <mc:AlternateContent>
          <mc:Choice Requires="wps">
            <w:drawing>
              <wp:anchor distT="0" distB="0" distL="114300" distR="114300" simplePos="0" relativeHeight="251660288" behindDoc="0" locked="0" layoutInCell="1" allowOverlap="1" wp14:anchorId="1797282E" wp14:editId="1CED22F6">
                <wp:simplePos x="0" y="0"/>
                <wp:positionH relativeFrom="column">
                  <wp:posOffset>3218180</wp:posOffset>
                </wp:positionH>
                <wp:positionV relativeFrom="paragraph">
                  <wp:posOffset>-23495</wp:posOffset>
                </wp:positionV>
                <wp:extent cx="250190" cy="370205"/>
                <wp:effectExtent l="46355" t="49530" r="53340" b="55880"/>
                <wp:wrapNone/>
                <wp:docPr id="8" name="Striped Right Arrow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50190" cy="370205"/>
                        </a:xfrm>
                        <a:prstGeom prst="striped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4D3A254" id="_x0000_t93" coordsize="21600,21600" o:spt="93" adj="16200,5400" path="m@0,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Striped Right Arrow 8" o:spid="_x0000_s1026" type="#_x0000_t93" style="position:absolute;margin-left:253.4pt;margin-top:-1.8pt;width:19.7pt;height:29.15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"/>
            </w:pict>
          </mc:Fallback>
        </mc:AlternateContent>
      </w:r>
    </w:p>
    <w:p w14:paraId="4FE7A544"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noProof/>
          <w:sz w:val="28"/>
          <w:szCs w:val="28"/>
          <w:lang w:val="uk-UA" w:eastAsia="uk-UA"/>
        </w:rPr>
        <mc:AlternateContent>
          <mc:Choice Requires="wps">
            <w:drawing>
              <wp:anchor distT="0" distB="0" distL="114300" distR="114300" simplePos="0" relativeHeight="251661312" behindDoc="0" locked="0" layoutInCell="1" allowOverlap="1" wp14:anchorId="5062FE53" wp14:editId="00C39085">
                <wp:simplePos x="0" y="0"/>
                <wp:positionH relativeFrom="column">
                  <wp:posOffset>842010</wp:posOffset>
                </wp:positionH>
                <wp:positionV relativeFrom="paragraph">
                  <wp:posOffset>186055</wp:posOffset>
                </wp:positionV>
                <wp:extent cx="5019675" cy="1362075"/>
                <wp:effectExtent l="105410" t="173355" r="183515" b="10287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9675" cy="1362075"/>
                        </a:xfrm>
                        <a:prstGeom prst="rect">
                          <a:avLst/>
                        </a:prstGeom>
                        <a:solidFill>
                          <a:srgbClr val="EAEAEA">
                            <a:alpha val="80000"/>
                          </a:srgbClr>
                        </a:solidFill>
                        <a:ln w="38100">
                          <a:solidFill>
                            <a:srgbClr val="FFFFFF"/>
                          </a:solidFill>
                          <a:miter lim="800000"/>
                          <a:headEnd/>
                          <a:tailEnd/>
                        </a:ln>
                        <a:effectLst>
                          <a:outerShdw blurRad="63500" dist="107763" dir="18900000" algn="ctr" rotWithShape="0">
                            <a:srgbClr val="000000">
                              <a:alpha val="50000"/>
                            </a:srgbClr>
                          </a:outerShdw>
                        </a:effectLst>
                      </wps:spPr>
                      <wps:txbx>
                        <w:txbxContent>
                          <w:p w14:paraId="413D536A" w14:textId="77777777" w:rsidR="005E7022" w:rsidRPr="005764C9" w:rsidRDefault="005E7022" w:rsidP="001C6AA0">
                            <w:pPr>
                              <w:jc w:val="both"/>
                              <w:rPr>
                                <w:sz w:val="22"/>
                                <w:szCs w:val="22"/>
                                <w:lang w:val="uk-UA"/>
                              </w:rPr>
                            </w:pPr>
                            <w:r w:rsidRPr="005764C9">
                              <w:rPr>
                                <w:sz w:val="22"/>
                                <w:szCs w:val="22"/>
                              </w:rPr>
                              <w:t>1) він є членом сім’ї або близьким родичем (чоловік, дружина, батько, мати, вітчим, мачуха, син, дочка, пасинок, падчерка, брат, сестра, дід, баба, внук, внучка, усиновлювач чи усиновлений, опікун чи піклувальник, член сім’ї або близький родич цих осіб) сторони або інших учасників судового процесу, або осіб, які надавали стороні або іншим учасникам справи правничу допомогу у цій справі, або іншого судді, який входить до складу суду, що розглядає чи розглядав справу</w:t>
                            </w:r>
                            <w:r>
                              <w:rPr>
                                <w:sz w:val="22"/>
                                <w:szCs w:val="22"/>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62FE53" id="Rectangle 7" o:spid="_x0000_s1027" style="position:absolute;left:0;text-align:left;margin-left:66.3pt;margin-top:14.65pt;width:395.25pt;height:107.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" fillcolor="#eaeaea" strokecolor="white" strokeweight="3pt">
                <v:fill opacity="52428f"/>
                <v:shadow on="t" color="black" opacity=".5" offset="6pt,-6pt"/>
                <v:textbox>
                  <w:txbxContent>
                    <w:p w14:paraId="413D536A" w14:textId="77777777" w:rsidR="005E7022" w:rsidRPr="005764C9" w:rsidRDefault="005E7022" w:rsidP="001C6AA0">
                      <w:pPr>
                        <w:jc w:val="both"/>
                        <w:rPr>
                          <w:sz w:val="22"/>
                          <w:szCs w:val="22"/>
                          <w:lang w:val="uk-UA"/>
                        </w:rPr>
                      </w:pPr>
                      <w:r w:rsidRPr="005764C9">
                        <w:rPr>
                          <w:sz w:val="22"/>
                          <w:szCs w:val="22"/>
                        </w:rPr>
                        <w:t>1) він є членом сім’ї або близьким родичем (чоловік, дружина, батько, мати, вітчим, мачуха, син, дочка, пасинок, падчерка, брат, сестра, дід, баба, внук, внучка, усиновлювач чи усиновлений, опікун чи піклувальник, член сім’ї або близький родич цих осіб) сторони або інших учасників судового процесу, або осіб, які надавали стороні або іншим учасникам справи правничу допомогу у цій справі, або іншого судді, який входить до складу суду, що розглядає чи розглядав справу</w:t>
                      </w:r>
                      <w:r>
                        <w:rPr>
                          <w:sz w:val="22"/>
                          <w:szCs w:val="22"/>
                          <w:lang w:val="uk-UA"/>
                        </w:rPr>
                        <w:t>;</w:t>
                      </w:r>
                    </w:p>
                  </w:txbxContent>
                </v:textbox>
              </v:rect>
            </w:pict>
          </mc:Fallback>
        </mc:AlternateContent>
      </w:r>
    </w:p>
    <w:p w14:paraId="04BBF687"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39ED3DD5"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5D69F556"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44F5BFBB"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22C93A75"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noProof/>
          <w:sz w:val="28"/>
          <w:szCs w:val="28"/>
          <w:lang w:val="uk-UA" w:eastAsia="uk-UA"/>
        </w:rPr>
        <mc:AlternateContent>
          <mc:Choice Requires="wps">
            <w:drawing>
              <wp:anchor distT="0" distB="0" distL="114300" distR="114300" simplePos="0" relativeHeight="251662336" behindDoc="0" locked="0" layoutInCell="1" allowOverlap="1" wp14:anchorId="698BF40A" wp14:editId="391E068A">
                <wp:simplePos x="0" y="0"/>
                <wp:positionH relativeFrom="column">
                  <wp:posOffset>842010</wp:posOffset>
                </wp:positionH>
                <wp:positionV relativeFrom="paragraph">
                  <wp:posOffset>212090</wp:posOffset>
                </wp:positionV>
                <wp:extent cx="5019675" cy="708025"/>
                <wp:effectExtent l="105410" t="173990" r="183515" b="9588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9675" cy="708025"/>
                        </a:xfrm>
                        <a:prstGeom prst="rect">
                          <a:avLst/>
                        </a:prstGeom>
                        <a:solidFill>
                          <a:srgbClr val="EAEAEA">
                            <a:alpha val="80000"/>
                          </a:srgbClr>
                        </a:solidFill>
                        <a:ln w="38100">
                          <a:solidFill>
                            <a:srgbClr val="FFFFFF"/>
                          </a:solidFill>
                          <a:miter lim="800000"/>
                          <a:headEnd/>
                          <a:tailEnd/>
                        </a:ln>
                        <a:effectLst>
                          <a:outerShdw blurRad="63500" dist="107763" dir="18900000" algn="ctr" rotWithShape="0">
                            <a:srgbClr val="000000">
                              <a:alpha val="50000"/>
                            </a:srgbClr>
                          </a:outerShdw>
                        </a:effectLst>
                      </wps:spPr>
                      <wps:txbx>
                        <w:txbxContent>
                          <w:p w14:paraId="26B429ED" w14:textId="77777777" w:rsidR="005E7022" w:rsidRPr="009C33DF" w:rsidRDefault="005E7022" w:rsidP="001C6AA0">
                            <w:pPr>
                              <w:jc w:val="center"/>
                            </w:pPr>
                            <w:r w:rsidRPr="005764C9">
                              <w:t>2) він брав участь у справі як свідок, експерт, спеціаліст, перекладач, представник, адвокат, секретар судового засідання, або надавав стороні чи іншим учасникам справи правничу допомогу в цій чи іншій справі;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8BF40A" id="Rectangle 6" o:spid="_x0000_s1028" style="position:absolute;left:0;text-align:left;margin-left:66.3pt;margin-top:16.7pt;width:395.25pt;height:55.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" fillcolor="#eaeaea" strokecolor="white" strokeweight="3pt">
                <v:fill opacity="52428f"/>
                <v:shadow on="t" color="black" opacity=".5" offset="6pt,-6pt"/>
                <v:textbox>
                  <w:txbxContent>
                    <w:p w14:paraId="26B429ED" w14:textId="77777777" w:rsidR="005E7022" w:rsidRPr="009C33DF" w:rsidRDefault="005E7022" w:rsidP="001C6AA0">
                      <w:pPr>
                        <w:jc w:val="center"/>
                      </w:pPr>
                      <w:r w:rsidRPr="005764C9">
                        <w:t>2) він брав участь у справі як свідок, експерт, спеціаліст, перекладач, представник, адвокат, секретар судового засідання, або надавав стороні чи іншим учасникам справи правничу допомогу в цій чи іншій справі;</w:t>
                      </w:r>
                    </w:p>
                  </w:txbxContent>
                </v:textbox>
              </v:rect>
            </w:pict>
          </mc:Fallback>
        </mc:AlternateContent>
      </w:r>
    </w:p>
    <w:p w14:paraId="1CD465F6"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1B583E79"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236172F6"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noProof/>
          <w:sz w:val="28"/>
          <w:szCs w:val="28"/>
          <w:lang w:val="uk-UA" w:eastAsia="uk-UA"/>
        </w:rPr>
        <mc:AlternateContent>
          <mc:Choice Requires="wps">
            <w:drawing>
              <wp:anchor distT="0" distB="0" distL="114300" distR="114300" simplePos="0" relativeHeight="251663360" behindDoc="0" locked="0" layoutInCell="1" allowOverlap="1" wp14:anchorId="4FEDB872" wp14:editId="6DC9BEDC">
                <wp:simplePos x="0" y="0"/>
                <wp:positionH relativeFrom="column">
                  <wp:posOffset>851535</wp:posOffset>
                </wp:positionH>
                <wp:positionV relativeFrom="paragraph">
                  <wp:posOffset>206375</wp:posOffset>
                </wp:positionV>
                <wp:extent cx="5019675" cy="374650"/>
                <wp:effectExtent l="102235" t="180975" r="173990" b="10477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9675" cy="374650"/>
                        </a:xfrm>
                        <a:prstGeom prst="rect">
                          <a:avLst/>
                        </a:prstGeom>
                        <a:solidFill>
                          <a:srgbClr val="EAEAEA">
                            <a:alpha val="80000"/>
                          </a:srgbClr>
                        </a:solidFill>
                        <a:ln w="38100">
                          <a:solidFill>
                            <a:srgbClr val="FFFFFF"/>
                          </a:solidFill>
                          <a:miter lim="800000"/>
                          <a:headEnd/>
                          <a:tailEnd/>
                        </a:ln>
                        <a:effectLst>
                          <a:outerShdw blurRad="63500" dist="107763" dir="18900000" algn="ctr" rotWithShape="0">
                            <a:srgbClr val="000000">
                              <a:alpha val="50000"/>
                            </a:srgbClr>
                          </a:outerShdw>
                        </a:effectLst>
                      </wps:spPr>
                      <wps:txbx>
                        <w:txbxContent>
                          <w:p w14:paraId="234A4564" w14:textId="77777777" w:rsidR="005E7022" w:rsidRPr="009C33DF" w:rsidRDefault="005E7022" w:rsidP="001C6AA0">
                            <w:pPr>
                              <w:jc w:val="center"/>
                            </w:pPr>
                            <w:r w:rsidRPr="005764C9">
                              <w:rPr>
                                <w:bCs/>
                              </w:rPr>
                              <w:t>3) він прямо чи побічно заінтересований у результаті розгляду справи;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EDB872" id="Rectangle 5" o:spid="_x0000_s1029" style="position:absolute;left:0;text-align:left;margin-left:67.05pt;margin-top:16.25pt;width:395.25pt;height:2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" fillcolor="#eaeaea" strokecolor="white" strokeweight="3pt">
                <v:fill opacity="52428f"/>
                <v:shadow on="t" color="black" opacity=".5" offset="6pt,-6pt"/>
                <v:textbox>
                  <w:txbxContent>
                    <w:p w14:paraId="234A4564" w14:textId="77777777" w:rsidR="005E7022" w:rsidRPr="009C33DF" w:rsidRDefault="005E7022" w:rsidP="001C6AA0">
                      <w:pPr>
                        <w:jc w:val="center"/>
                      </w:pPr>
                      <w:r w:rsidRPr="005764C9">
                        <w:rPr>
                          <w:bCs/>
                        </w:rPr>
                        <w:t>3) він прямо чи побічно заінтересований у результаті розгляду справи;</w:t>
                      </w:r>
                    </w:p>
                  </w:txbxContent>
                </v:textbox>
              </v:rect>
            </w:pict>
          </mc:Fallback>
        </mc:AlternateContent>
      </w:r>
    </w:p>
    <w:p w14:paraId="6C841A63"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22F52BB2"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noProof/>
          <w:sz w:val="28"/>
          <w:szCs w:val="28"/>
          <w:lang w:val="uk-UA" w:eastAsia="uk-UA"/>
        </w:rPr>
        <mc:AlternateContent>
          <mc:Choice Requires="wps">
            <w:drawing>
              <wp:anchor distT="0" distB="0" distL="114300" distR="114300" simplePos="0" relativeHeight="251664384" behindDoc="0" locked="0" layoutInCell="1" allowOverlap="1" wp14:anchorId="6FABE8C4" wp14:editId="310DA84E">
                <wp:simplePos x="0" y="0"/>
                <wp:positionH relativeFrom="column">
                  <wp:posOffset>851535</wp:posOffset>
                </wp:positionH>
                <wp:positionV relativeFrom="paragraph">
                  <wp:posOffset>221615</wp:posOffset>
                </wp:positionV>
                <wp:extent cx="5019675" cy="488950"/>
                <wp:effectExtent l="102235" t="183515" r="173990" b="10223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9675" cy="488950"/>
                        </a:xfrm>
                        <a:prstGeom prst="rect">
                          <a:avLst/>
                        </a:prstGeom>
                        <a:solidFill>
                          <a:srgbClr val="EAEAEA">
                            <a:alpha val="80000"/>
                          </a:srgbClr>
                        </a:solidFill>
                        <a:ln w="38100">
                          <a:solidFill>
                            <a:srgbClr val="FFFFFF"/>
                          </a:solidFill>
                          <a:miter lim="800000"/>
                          <a:headEnd/>
                          <a:tailEnd/>
                        </a:ln>
                        <a:effectLst>
                          <a:outerShdw blurRad="63500" dist="107763" dir="18900000" algn="ctr" rotWithShape="0">
                            <a:srgbClr val="000000">
                              <a:alpha val="50000"/>
                            </a:srgbClr>
                          </a:outerShdw>
                        </a:effectLst>
                      </wps:spPr>
                      <wps:txbx>
                        <w:txbxContent>
                          <w:p w14:paraId="194F6427" w14:textId="77777777" w:rsidR="005E7022" w:rsidRPr="009C33DF" w:rsidRDefault="005E7022" w:rsidP="001C6AA0">
                            <w:pPr>
                              <w:jc w:val="center"/>
                            </w:pPr>
                            <w:r w:rsidRPr="005764C9">
                              <w:rPr>
                                <w:bCs/>
                              </w:rPr>
                              <w:t>4) було порушено порядок визначення судді для розгляду справи;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ABE8C4" id="Rectangle 4" o:spid="_x0000_s1030" style="position:absolute;left:0;text-align:left;margin-left:67.05pt;margin-top:17.45pt;width:395.25pt;height:3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" fillcolor="#eaeaea" strokecolor="white" strokeweight="3pt">
                <v:fill opacity="52428f"/>
                <v:shadow on="t" color="black" opacity=".5" offset="6pt,-6pt"/>
                <v:textbox>
                  <w:txbxContent>
                    <w:p w14:paraId="194F6427" w14:textId="77777777" w:rsidR="005E7022" w:rsidRPr="009C33DF" w:rsidRDefault="005E7022" w:rsidP="001C6AA0">
                      <w:pPr>
                        <w:jc w:val="center"/>
                      </w:pPr>
                      <w:r w:rsidRPr="005764C9">
                        <w:rPr>
                          <w:bCs/>
                        </w:rPr>
                        <w:t>4) було порушено порядок визначення судді для розгляду справи;</w:t>
                      </w:r>
                    </w:p>
                  </w:txbxContent>
                </v:textbox>
              </v:rect>
            </w:pict>
          </mc:Fallback>
        </mc:AlternateContent>
      </w:r>
    </w:p>
    <w:p w14:paraId="329A1C83"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5D44A70E"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2DC99948"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noProof/>
          <w:sz w:val="28"/>
          <w:szCs w:val="28"/>
          <w:lang w:val="uk-UA" w:eastAsia="uk-UA"/>
        </w:rPr>
        <mc:AlternateContent>
          <mc:Choice Requires="wps">
            <w:drawing>
              <wp:anchor distT="0" distB="0" distL="114300" distR="114300" simplePos="0" relativeHeight="251665408" behindDoc="0" locked="0" layoutInCell="1" allowOverlap="1" wp14:anchorId="73FE90F9" wp14:editId="080C9C18">
                <wp:simplePos x="0" y="0"/>
                <wp:positionH relativeFrom="column">
                  <wp:posOffset>851535</wp:posOffset>
                </wp:positionH>
                <wp:positionV relativeFrom="paragraph">
                  <wp:posOffset>25400</wp:posOffset>
                </wp:positionV>
                <wp:extent cx="5019675" cy="488950"/>
                <wp:effectExtent l="102235" t="177800" r="173990" b="9525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9675" cy="488950"/>
                        </a:xfrm>
                        <a:prstGeom prst="rect">
                          <a:avLst/>
                        </a:prstGeom>
                        <a:solidFill>
                          <a:srgbClr val="EAEAEA">
                            <a:alpha val="80000"/>
                          </a:srgbClr>
                        </a:solidFill>
                        <a:ln w="38100">
                          <a:solidFill>
                            <a:srgbClr val="FFFFFF"/>
                          </a:solidFill>
                          <a:miter lim="800000"/>
                          <a:headEnd/>
                          <a:tailEnd/>
                        </a:ln>
                        <a:effectLst>
                          <a:outerShdw blurRad="63500" dist="107763" dir="18900000" algn="ctr" rotWithShape="0">
                            <a:srgbClr val="000000">
                              <a:alpha val="50000"/>
                            </a:srgbClr>
                          </a:outerShdw>
                        </a:effectLst>
                      </wps:spPr>
                      <wps:txbx>
                        <w:txbxContent>
                          <w:p w14:paraId="4A82450B" w14:textId="77777777" w:rsidR="005E7022" w:rsidRPr="009C33DF" w:rsidRDefault="005E7022" w:rsidP="001C6AA0">
                            <w:pPr>
                              <w:jc w:val="both"/>
                            </w:pPr>
                            <w:r w:rsidRPr="005764C9">
                              <w:rPr>
                                <w:bCs/>
                              </w:rPr>
                              <w:t>5) є інші обставини, які викликають сумнів у неупередженості або об’єктивності судді.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FE90F9" id="Rectangle 3" o:spid="_x0000_s1031" style="position:absolute;left:0;text-align:left;margin-left:67.05pt;margin-top:2pt;width:395.25pt;height:3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" fillcolor="#eaeaea" strokecolor="white" strokeweight="3pt">
                <v:fill opacity="52428f"/>
                <v:shadow on="t" color="black" opacity=".5" offset="6pt,-6pt"/>
                <v:textbox>
                  <w:txbxContent>
                    <w:p w14:paraId="4A82450B" w14:textId="77777777" w:rsidR="005E7022" w:rsidRPr="009C33DF" w:rsidRDefault="005E7022" w:rsidP="001C6AA0">
                      <w:pPr>
                        <w:jc w:val="both"/>
                      </w:pPr>
                      <w:r w:rsidRPr="005764C9">
                        <w:rPr>
                          <w:bCs/>
                        </w:rPr>
                        <w:t>5) є інші обставини, які викликають сумнів у неупередженості або об’єктивності судді.</w:t>
                      </w:r>
                    </w:p>
                  </w:txbxContent>
                </v:textbox>
              </v:rect>
            </w:pict>
          </mc:Fallback>
        </mc:AlternateContent>
      </w:r>
    </w:p>
    <w:p w14:paraId="2A0A26CA"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noProof/>
          <w:sz w:val="28"/>
          <w:szCs w:val="28"/>
          <w:lang w:val="uk-UA" w:eastAsia="uk-UA"/>
        </w:rPr>
        <mc:AlternateContent>
          <mc:Choice Requires="wps">
            <w:drawing>
              <wp:anchor distT="0" distB="0" distL="114300" distR="114300" simplePos="0" relativeHeight="251666432" behindDoc="0" locked="0" layoutInCell="1" allowOverlap="1" wp14:anchorId="66CCED1A" wp14:editId="5EB0FAF9">
                <wp:simplePos x="0" y="0"/>
                <wp:positionH relativeFrom="column">
                  <wp:posOffset>3119755</wp:posOffset>
                </wp:positionH>
                <wp:positionV relativeFrom="paragraph">
                  <wp:posOffset>-2254250</wp:posOffset>
                </wp:positionV>
                <wp:extent cx="492125" cy="5353050"/>
                <wp:effectExtent l="29210" t="23495" r="53340" b="55880"/>
                <wp:wrapNone/>
                <wp:docPr id="2" name="Right Brac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492125" cy="5353050"/>
                        </a:xfrm>
                        <a:prstGeom prst="rightBrace">
                          <a:avLst>
                            <a:gd name="adj1" fmla="val 90645"/>
                            <a:gd name="adj2" fmla="val 50000"/>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9088DC0" id="_x0000_t88" coordsize="21600,21600" o:spt="88" adj="1800,10800" path="m0,0qx10800@0l10800@2qy21600@11,10800@3l10800@1qy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2" o:spid="_x0000_s1026" type="#_x0000_t88" style="position:absolute;margin-left:245.65pt;margin-top:-177.45pt;width:38.75pt;height:421.5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" strokeweight="1.5pt"/>
            </w:pict>
          </mc:Fallback>
        </mc:AlternateContent>
      </w:r>
    </w:p>
    <w:p w14:paraId="627EDFBC"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0DEE7AD1" w14:textId="0C656E95" w:rsidR="001C6AA0" w:rsidRDefault="001C6AA0" w:rsidP="00DD4441">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noProof/>
          <w:sz w:val="28"/>
          <w:szCs w:val="28"/>
          <w:lang w:val="uk-UA" w:eastAsia="uk-UA"/>
        </w:rPr>
        <mc:AlternateContent>
          <mc:Choice Requires="wps">
            <w:drawing>
              <wp:anchor distT="0" distB="0" distL="114300" distR="114300" simplePos="0" relativeHeight="251667456" behindDoc="0" locked="0" layoutInCell="1" allowOverlap="1" wp14:anchorId="46991E50" wp14:editId="06951F70">
                <wp:simplePos x="0" y="0"/>
                <wp:positionH relativeFrom="column">
                  <wp:posOffset>882015</wp:posOffset>
                </wp:positionH>
                <wp:positionV relativeFrom="paragraph">
                  <wp:posOffset>83821</wp:posOffset>
                </wp:positionV>
                <wp:extent cx="4988560" cy="1066800"/>
                <wp:effectExtent l="57150" t="57150" r="59690" b="17145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88560" cy="1066800"/>
                        </a:xfrm>
                        <a:prstGeom prst="rect">
                          <a:avLst/>
                        </a:prstGeom>
                        <a:solidFill>
                          <a:srgbClr val="FFFFFF"/>
                        </a:solidFill>
                        <a:ln w="9525">
                          <a:miter lim="800000"/>
                          <a:headEnd/>
                          <a:tailEnd/>
                        </a:ln>
                        <a:effectLst/>
                        <a:scene3d>
                          <a:camera prst="legacyPerspectiveBottom"/>
                          <a:lightRig rig="legacyFlat3" dir="t"/>
                        </a:scene3d>
                        <a:sp3d extrusionH="887400" contourW="12700" prstMaterial="legacyMatte">
                          <a:bevelT w="13500" h="13500" prst="angle"/>
                          <a:bevelB w="13500" h="13500" prst="angle"/>
                          <a:extrusionClr>
                            <a:srgbClr val="FFFFFF"/>
                          </a:extrusionClr>
                          <a:contourClr>
                            <a:srgbClr val="FFFFFF"/>
                          </a:contourClr>
                        </a:sp3d>
                        <a:extLst>
                          <a:ext uri="{AF507438-7753-43E0-B8FC-AC1667EBCBE1}">
                            <a14:hiddenEffects xmlns:a14="http://schemas.microsoft.com/office/drawing/2010/main">
                              <a:effectLst>
                                <a:outerShdw blurRad="63500" dist="38099" dir="2700000" algn="ctr" rotWithShape="0">
                                  <a:srgbClr val="000000">
                                    <a:alpha val="74998"/>
                                  </a:srgbClr>
                                </a:outerShdw>
                              </a:effectLst>
                            </a14:hiddenEffects>
                          </a:ext>
                        </a:extLst>
                      </wps:spPr>
                      <wps:txbx>
                        <w:txbxContent>
                          <w:p w14:paraId="3EBDB0D4" w14:textId="77777777" w:rsidR="005E7022" w:rsidRPr="00F70D52" w:rsidRDefault="005E7022" w:rsidP="001C6AA0">
                            <w:pPr>
                              <w:spacing w:before="120"/>
                              <w:ind w:firstLine="567"/>
                              <w:jc w:val="both"/>
                            </w:pPr>
                            <w:r w:rsidRPr="005764C9">
                              <w:rPr>
                                <w:bCs/>
                                <w:color w:val="000000"/>
                              </w:rPr>
                              <w:t>Суддя, який брав участь у вирішенні справи в суді першої інстанції, не може брати участі в розгляді цієї самої справи в судах апеляційної і касаційної інстанцій, а так само у новому розгляді справи судом першої інстанції після скасування рішення суду або ухвали про закриття провадження в справі.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991E50" id="Rectangle 1" o:spid="_x0000_s1032" style="position:absolute;left:0;text-align:left;margin-left:69.45pt;margin-top:6.6pt;width:392.8pt;height:8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">
                <v:shadow color="black" opacity="49150f" offset=".74833mm,.74833mm"/>
                <o:extrusion v:ext="view" backdepth="1in" color="white" on="t" viewpoint="0,34.72222mm" viewpointorigin="0,.5" skewangle="90" lightposition="-50000" lightposition2="50000" type="perspective"/>
                <v:textbox>
                  <w:txbxContent>
                    <w:p w14:paraId="3EBDB0D4" w14:textId="77777777" w:rsidR="005E7022" w:rsidRPr="00F70D52" w:rsidRDefault="005E7022" w:rsidP="001C6AA0">
                      <w:pPr>
                        <w:spacing w:before="120"/>
                        <w:ind w:firstLine="567"/>
                        <w:jc w:val="both"/>
                      </w:pPr>
                      <w:r w:rsidRPr="005764C9">
                        <w:rPr>
                          <w:bCs/>
                          <w:color w:val="000000"/>
                        </w:rPr>
                        <w:t>Суддя, який брав участь у вирішенні справи в суді першої інстанції, не може брати участі в розгляді цієї самої справи в судах апеляційної і касаційної інстанцій, а так само у новому розгляді справи судом першої інстанції після скасування рішення суду або ухвали про закриття провадження в справі.</w:t>
                      </w:r>
                    </w:p>
                  </w:txbxContent>
                </v:textbox>
              </v:rect>
            </w:pict>
          </mc:Fallback>
        </mc:AlternateContent>
      </w:r>
    </w:p>
    <w:p w14:paraId="10EA639E"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0AFC6703"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1008A3ED"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368579AA" w14:textId="3506008F" w:rsidR="001C6AA0" w:rsidRPr="005E7022" w:rsidRDefault="001C6AA0" w:rsidP="001C6AA0">
      <w:pPr>
        <w:widowControl w:val="0"/>
        <w:autoSpaceDE w:val="0"/>
        <w:autoSpaceDN w:val="0"/>
        <w:adjustRightInd w:val="0"/>
        <w:spacing w:line="360" w:lineRule="auto"/>
        <w:ind w:left="57" w:right="57" w:firstLine="709"/>
        <w:jc w:val="right"/>
        <w:rPr>
          <w:rFonts w:ascii="Times New Roman CYR" w:eastAsia="MS Mincho" w:hAnsi="Times New Roman CYR" w:cs="Times New Roman CYR"/>
          <w:b/>
          <w:sz w:val="28"/>
          <w:szCs w:val="28"/>
          <w:lang w:val="uk-UA"/>
        </w:rPr>
      </w:pPr>
      <w:bookmarkStart w:id="61" w:name="_Toc529444404"/>
      <w:r w:rsidRPr="00493F33">
        <w:rPr>
          <w:rFonts w:ascii="Times New Roman CYR" w:eastAsia="MS Mincho" w:hAnsi="Times New Roman CYR" w:cs="Times New Roman CYR"/>
          <w:b/>
          <w:sz w:val="28"/>
          <w:szCs w:val="28"/>
        </w:rPr>
        <w:t xml:space="preserve">Додаток </w:t>
      </w:r>
      <w:bookmarkEnd w:id="61"/>
      <w:r w:rsidR="005E7022">
        <w:rPr>
          <w:rFonts w:ascii="Times New Roman CYR" w:eastAsia="MS Mincho" w:hAnsi="Times New Roman CYR" w:cs="Times New Roman CYR"/>
          <w:b/>
          <w:sz w:val="28"/>
          <w:szCs w:val="28"/>
          <w:lang w:val="uk-UA"/>
        </w:rPr>
        <w:t>Б</w:t>
      </w:r>
    </w:p>
    <w:p w14:paraId="39993BEF"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469D1D1C" w14:textId="77777777" w:rsidR="001C6AA0" w:rsidRPr="005764C9" w:rsidRDefault="001C6AA0" w:rsidP="001C6AA0">
      <w:pPr>
        <w:widowControl w:val="0"/>
        <w:autoSpaceDE w:val="0"/>
        <w:autoSpaceDN w:val="0"/>
        <w:adjustRightInd w:val="0"/>
        <w:spacing w:line="360" w:lineRule="auto"/>
        <w:ind w:left="57" w:right="57" w:firstLine="709"/>
        <w:jc w:val="center"/>
        <w:rPr>
          <w:rFonts w:ascii="Times New Roman CYR" w:eastAsia="MS Mincho" w:hAnsi="Times New Roman CYR" w:cs="Times New Roman CYR"/>
          <w:b/>
          <w:sz w:val="28"/>
          <w:szCs w:val="28"/>
          <w:lang w:val="uk-UA"/>
        </w:rPr>
      </w:pPr>
      <w:r w:rsidRPr="005764C9">
        <w:rPr>
          <w:b/>
          <w:sz w:val="28"/>
          <w:szCs w:val="28"/>
        </w:rPr>
        <w:t>Зразок заяви про відвід судді</w:t>
      </w:r>
    </w:p>
    <w:p w14:paraId="14729A7C"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0B9D3C53" w14:textId="77777777" w:rsidR="001C6AA0" w:rsidRPr="005764C9" w:rsidRDefault="001C6AA0" w:rsidP="001C6AA0">
      <w:pPr>
        <w:widowControl w:val="0"/>
        <w:autoSpaceDE w:val="0"/>
        <w:autoSpaceDN w:val="0"/>
        <w:adjustRightInd w:val="0"/>
        <w:spacing w:line="360" w:lineRule="auto"/>
        <w:ind w:left="5387" w:right="57" w:firstLine="425"/>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sz w:val="28"/>
          <w:szCs w:val="28"/>
          <w:lang w:val="uk-UA"/>
        </w:rPr>
        <w:t>Господарський</w:t>
      </w:r>
      <w:r w:rsidRPr="005764C9">
        <w:rPr>
          <w:rFonts w:ascii="Times New Roman CYR" w:eastAsia="MS Mincho" w:hAnsi="Times New Roman CYR" w:cs="Times New Roman CYR"/>
          <w:sz w:val="28"/>
          <w:szCs w:val="28"/>
          <w:lang w:val="uk-UA"/>
        </w:rPr>
        <w:t xml:space="preserve"> суд міста Києва</w:t>
      </w:r>
    </w:p>
    <w:p w14:paraId="2A1FF540" w14:textId="77777777" w:rsidR="001C6AA0" w:rsidRPr="005764C9" w:rsidRDefault="001C6AA0" w:rsidP="001C6AA0">
      <w:pPr>
        <w:widowControl w:val="0"/>
        <w:autoSpaceDE w:val="0"/>
        <w:autoSpaceDN w:val="0"/>
        <w:adjustRightInd w:val="0"/>
        <w:spacing w:line="360" w:lineRule="auto"/>
        <w:ind w:left="5387" w:right="57" w:firstLine="425"/>
        <w:jc w:val="both"/>
        <w:rPr>
          <w:rFonts w:ascii="Times New Roman CYR" w:eastAsia="MS Mincho" w:hAnsi="Times New Roman CYR" w:cs="Times New Roman CYR"/>
          <w:sz w:val="28"/>
          <w:szCs w:val="28"/>
          <w:lang w:val="uk-UA"/>
        </w:rPr>
      </w:pPr>
      <w:r w:rsidRPr="005764C9">
        <w:rPr>
          <w:rFonts w:ascii="Times New Roman CYR" w:eastAsia="MS Mincho" w:hAnsi="Times New Roman CYR" w:cs="Times New Roman CYR"/>
          <w:sz w:val="28"/>
          <w:szCs w:val="28"/>
          <w:lang w:val="uk-UA"/>
        </w:rPr>
        <w:t>Судді_____________________</w:t>
      </w:r>
    </w:p>
    <w:p w14:paraId="27105B76" w14:textId="77777777" w:rsidR="001C6AA0" w:rsidRPr="005764C9" w:rsidRDefault="001C6AA0" w:rsidP="001C6AA0">
      <w:pPr>
        <w:widowControl w:val="0"/>
        <w:autoSpaceDE w:val="0"/>
        <w:autoSpaceDN w:val="0"/>
        <w:adjustRightInd w:val="0"/>
        <w:spacing w:line="360" w:lineRule="auto"/>
        <w:ind w:left="5387" w:right="57" w:firstLine="425"/>
        <w:jc w:val="both"/>
        <w:rPr>
          <w:rFonts w:ascii="Times New Roman CYR" w:eastAsia="MS Mincho" w:hAnsi="Times New Roman CYR" w:cs="Times New Roman CYR"/>
          <w:sz w:val="28"/>
          <w:szCs w:val="28"/>
          <w:lang w:val="uk-UA"/>
        </w:rPr>
      </w:pPr>
      <w:r w:rsidRPr="005764C9">
        <w:rPr>
          <w:rFonts w:ascii="Times New Roman CYR" w:eastAsia="MS Mincho" w:hAnsi="Times New Roman CYR" w:cs="Times New Roman CYR"/>
          <w:sz w:val="28"/>
          <w:szCs w:val="28"/>
          <w:lang w:val="uk-UA"/>
        </w:rPr>
        <w:t>__________________________</w:t>
      </w:r>
    </w:p>
    <w:p w14:paraId="39919516" w14:textId="77777777" w:rsidR="001C6AA0" w:rsidRPr="005764C9" w:rsidRDefault="001C6AA0" w:rsidP="001C6AA0">
      <w:pPr>
        <w:widowControl w:val="0"/>
        <w:autoSpaceDE w:val="0"/>
        <w:autoSpaceDN w:val="0"/>
        <w:adjustRightInd w:val="0"/>
        <w:spacing w:line="360" w:lineRule="auto"/>
        <w:ind w:left="5387" w:right="57" w:firstLine="425"/>
        <w:jc w:val="both"/>
        <w:rPr>
          <w:rFonts w:ascii="Times New Roman CYR" w:eastAsia="MS Mincho" w:hAnsi="Times New Roman CYR" w:cs="Times New Roman CYR"/>
          <w:sz w:val="28"/>
          <w:szCs w:val="28"/>
          <w:lang w:val="uk-UA"/>
        </w:rPr>
      </w:pPr>
      <w:r w:rsidRPr="005764C9">
        <w:rPr>
          <w:rFonts w:ascii="Times New Roman CYR" w:eastAsia="MS Mincho" w:hAnsi="Times New Roman CYR" w:cs="Times New Roman CYR"/>
          <w:sz w:val="28"/>
          <w:szCs w:val="28"/>
          <w:lang w:val="uk-UA"/>
        </w:rPr>
        <w:t>П.І.Б особи, яка подає заяву</w:t>
      </w:r>
    </w:p>
    <w:p w14:paraId="211130F4" w14:textId="77777777" w:rsidR="001C6AA0" w:rsidRDefault="001C6AA0" w:rsidP="001C6AA0">
      <w:pPr>
        <w:widowControl w:val="0"/>
        <w:autoSpaceDE w:val="0"/>
        <w:autoSpaceDN w:val="0"/>
        <w:adjustRightInd w:val="0"/>
        <w:spacing w:line="360" w:lineRule="auto"/>
        <w:ind w:left="5387" w:right="57" w:firstLine="425"/>
        <w:jc w:val="both"/>
        <w:rPr>
          <w:rFonts w:ascii="Times New Roman CYR" w:eastAsia="MS Mincho" w:hAnsi="Times New Roman CYR" w:cs="Times New Roman CYR"/>
          <w:sz w:val="28"/>
          <w:szCs w:val="28"/>
          <w:lang w:val="uk-UA"/>
        </w:rPr>
      </w:pPr>
      <w:r w:rsidRPr="005764C9">
        <w:rPr>
          <w:rFonts w:ascii="Times New Roman CYR" w:eastAsia="MS Mincho" w:hAnsi="Times New Roman CYR" w:cs="Times New Roman CYR"/>
          <w:sz w:val="28"/>
          <w:szCs w:val="28"/>
          <w:lang w:val="uk-UA"/>
        </w:rPr>
        <w:t>(адреса, індекс, телефон)</w:t>
      </w:r>
    </w:p>
    <w:p w14:paraId="2B8FD0D1" w14:textId="77777777" w:rsidR="001C6AA0" w:rsidRDefault="001C6AA0" w:rsidP="001C6AA0">
      <w:pPr>
        <w:widowControl w:val="0"/>
        <w:autoSpaceDE w:val="0"/>
        <w:autoSpaceDN w:val="0"/>
        <w:adjustRightInd w:val="0"/>
        <w:spacing w:line="360" w:lineRule="auto"/>
        <w:ind w:left="5387" w:right="57" w:firstLine="425"/>
        <w:jc w:val="both"/>
        <w:rPr>
          <w:rFonts w:ascii="Times New Roman CYR" w:eastAsia="MS Mincho" w:hAnsi="Times New Roman CYR" w:cs="Times New Roman CYR"/>
          <w:sz w:val="28"/>
          <w:szCs w:val="28"/>
          <w:lang w:val="uk-UA"/>
        </w:rPr>
      </w:pPr>
      <w:r>
        <w:rPr>
          <w:rFonts w:ascii="Times New Roman CYR" w:eastAsia="MS Mincho" w:hAnsi="Times New Roman CYR" w:cs="Times New Roman CYR"/>
          <w:sz w:val="28"/>
          <w:szCs w:val="28"/>
          <w:lang w:val="uk-UA"/>
        </w:rPr>
        <w:t>Справа № 23 від 12.10.2018 р.</w:t>
      </w:r>
    </w:p>
    <w:p w14:paraId="474AA30A"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155D8A8E" w14:textId="77777777" w:rsidR="001C6AA0" w:rsidRPr="005764C9" w:rsidRDefault="001C6AA0" w:rsidP="001C6AA0">
      <w:pPr>
        <w:widowControl w:val="0"/>
        <w:autoSpaceDE w:val="0"/>
        <w:autoSpaceDN w:val="0"/>
        <w:adjustRightInd w:val="0"/>
        <w:spacing w:line="360" w:lineRule="auto"/>
        <w:ind w:left="57" w:right="57" w:firstLine="709"/>
        <w:jc w:val="center"/>
        <w:rPr>
          <w:rFonts w:ascii="Times New Roman CYR" w:eastAsia="MS Mincho" w:hAnsi="Times New Roman CYR" w:cs="Times New Roman CYR"/>
          <w:b/>
          <w:sz w:val="28"/>
          <w:szCs w:val="28"/>
          <w:lang w:val="uk-UA"/>
        </w:rPr>
      </w:pPr>
      <w:r w:rsidRPr="005764C9">
        <w:rPr>
          <w:rFonts w:ascii="Times New Roman CYR" w:eastAsia="MS Mincho" w:hAnsi="Times New Roman CYR" w:cs="Times New Roman CYR"/>
          <w:b/>
          <w:sz w:val="28"/>
          <w:szCs w:val="28"/>
        </w:rPr>
        <w:t>Заява про відвід судді</w:t>
      </w:r>
    </w:p>
    <w:p w14:paraId="40992DD9"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4F80A384"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rPr>
      </w:pPr>
      <w:r w:rsidRPr="005764C9">
        <w:rPr>
          <w:rFonts w:ascii="Times New Roman CYR" w:eastAsia="MS Mincho" w:hAnsi="Times New Roman CYR" w:cs="Times New Roman CYR"/>
          <w:sz w:val="28"/>
          <w:szCs w:val="28"/>
        </w:rPr>
        <w:t xml:space="preserve">У провадженні судді ______________ (П.І.Б.) </w:t>
      </w:r>
      <w:r>
        <w:rPr>
          <w:rFonts w:ascii="Times New Roman CYR" w:eastAsia="MS Mincho" w:hAnsi="Times New Roman CYR" w:cs="Times New Roman CYR"/>
          <w:sz w:val="28"/>
          <w:szCs w:val="28"/>
          <w:lang w:val="uk-UA"/>
        </w:rPr>
        <w:t>Господарського</w:t>
      </w:r>
      <w:r w:rsidRPr="005764C9">
        <w:rPr>
          <w:rFonts w:ascii="Times New Roman CYR" w:eastAsia="MS Mincho" w:hAnsi="Times New Roman CYR" w:cs="Times New Roman CYR"/>
          <w:sz w:val="28"/>
          <w:szCs w:val="28"/>
        </w:rPr>
        <w:t xml:space="preserve"> суду міста Києва знаходиться справа №________ за моїм позовом до _______ про ________. </w:t>
      </w:r>
    </w:p>
    <w:p w14:paraId="150DD5F3"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rPr>
      </w:pPr>
      <w:r w:rsidRPr="005764C9">
        <w:rPr>
          <w:rFonts w:ascii="Times New Roman CYR" w:eastAsia="MS Mincho" w:hAnsi="Times New Roman CYR" w:cs="Times New Roman CYR"/>
          <w:sz w:val="28"/>
          <w:szCs w:val="28"/>
        </w:rPr>
        <w:t xml:space="preserve">Вважаю, що суддя _______ (П.І.Б.) не може брати участь у розгляді моєї справи і підлягає відводу, оскільки _______. </w:t>
      </w:r>
    </w:p>
    <w:p w14:paraId="4ED57A55"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rPr>
      </w:pPr>
      <w:r w:rsidRPr="005764C9">
        <w:rPr>
          <w:rFonts w:ascii="Times New Roman CYR" w:eastAsia="MS Mincho" w:hAnsi="Times New Roman CYR" w:cs="Times New Roman CYR"/>
          <w:sz w:val="28"/>
          <w:szCs w:val="28"/>
        </w:rPr>
        <w:t xml:space="preserve">На підставі викладеного й у відповідності з п. __ ст. </w:t>
      </w:r>
      <w:r>
        <w:rPr>
          <w:rFonts w:ascii="Times New Roman CYR" w:eastAsia="MS Mincho" w:hAnsi="Times New Roman CYR" w:cs="Times New Roman CYR"/>
          <w:sz w:val="28"/>
          <w:szCs w:val="28"/>
          <w:lang w:val="uk-UA"/>
        </w:rPr>
        <w:t>36</w:t>
      </w:r>
      <w:r w:rsidRPr="005764C9">
        <w:rPr>
          <w:rFonts w:ascii="Times New Roman CYR" w:eastAsia="MS Mincho" w:hAnsi="Times New Roman CYR" w:cs="Times New Roman CYR"/>
          <w:sz w:val="28"/>
          <w:szCs w:val="28"/>
        </w:rPr>
        <w:t xml:space="preserve">, ст. </w:t>
      </w:r>
      <w:r>
        <w:rPr>
          <w:rFonts w:ascii="Times New Roman CYR" w:eastAsia="MS Mincho" w:hAnsi="Times New Roman CYR" w:cs="Times New Roman CYR"/>
          <w:sz w:val="28"/>
          <w:szCs w:val="28"/>
          <w:lang w:val="uk-UA"/>
        </w:rPr>
        <w:t>37</w:t>
      </w:r>
      <w:r w:rsidRPr="005764C9">
        <w:rPr>
          <w:rFonts w:ascii="Times New Roman CYR" w:eastAsia="MS Mincho" w:hAnsi="Times New Roman CYR" w:cs="Times New Roman CYR"/>
          <w:sz w:val="28"/>
          <w:szCs w:val="28"/>
        </w:rPr>
        <w:t xml:space="preserve"> </w:t>
      </w:r>
      <w:r>
        <w:rPr>
          <w:rFonts w:ascii="Times New Roman CYR" w:eastAsia="MS Mincho" w:hAnsi="Times New Roman CYR" w:cs="Times New Roman CYR"/>
          <w:sz w:val="28"/>
          <w:szCs w:val="28"/>
          <w:lang w:val="uk-UA"/>
        </w:rPr>
        <w:t>Г</w:t>
      </w:r>
      <w:r w:rsidRPr="005764C9">
        <w:rPr>
          <w:rFonts w:ascii="Times New Roman CYR" w:eastAsia="MS Mincho" w:hAnsi="Times New Roman CYR" w:cs="Times New Roman CYR"/>
          <w:sz w:val="28"/>
          <w:szCs w:val="28"/>
        </w:rPr>
        <w:t>ПК України прошу: відвести суддю ________(П.І.Б.) від розгляду справи №__________ за позовом до ______</w:t>
      </w:r>
      <w:r>
        <w:rPr>
          <w:rFonts w:ascii="Times New Roman CYR" w:eastAsia="MS Mincho" w:hAnsi="Times New Roman CYR" w:cs="Times New Roman CYR"/>
          <w:sz w:val="28"/>
          <w:szCs w:val="28"/>
          <w:lang w:val="uk-UA"/>
        </w:rPr>
        <w:t xml:space="preserve"> про __________</w:t>
      </w:r>
      <w:r w:rsidRPr="005764C9">
        <w:rPr>
          <w:rFonts w:ascii="Times New Roman CYR" w:eastAsia="MS Mincho" w:hAnsi="Times New Roman CYR" w:cs="Times New Roman CYR"/>
          <w:sz w:val="28"/>
          <w:szCs w:val="28"/>
        </w:rPr>
        <w:t xml:space="preserve">. </w:t>
      </w:r>
    </w:p>
    <w:p w14:paraId="6EC2EB6A"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rPr>
      </w:pPr>
    </w:p>
    <w:p w14:paraId="46CE27DC"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rPr>
      </w:pPr>
    </w:p>
    <w:p w14:paraId="6DDC018E"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r w:rsidRPr="005764C9">
        <w:rPr>
          <w:rFonts w:ascii="Times New Roman CYR" w:eastAsia="MS Mincho" w:hAnsi="Times New Roman CYR" w:cs="Times New Roman CYR"/>
          <w:sz w:val="28"/>
          <w:szCs w:val="28"/>
        </w:rPr>
        <w:t xml:space="preserve">___ ________ 201___ р. </w:t>
      </w:r>
      <w:r>
        <w:rPr>
          <w:rFonts w:ascii="Times New Roman CYR" w:eastAsia="MS Mincho" w:hAnsi="Times New Roman CYR" w:cs="Times New Roman CYR"/>
          <w:sz w:val="28"/>
          <w:szCs w:val="28"/>
          <w:lang w:val="uk-UA"/>
        </w:rPr>
        <w:t xml:space="preserve">                                             </w:t>
      </w:r>
      <w:r w:rsidRPr="005764C9">
        <w:rPr>
          <w:rFonts w:ascii="Times New Roman CYR" w:eastAsia="MS Mincho" w:hAnsi="Times New Roman CYR" w:cs="Times New Roman CYR"/>
          <w:sz w:val="28"/>
          <w:szCs w:val="28"/>
        </w:rPr>
        <w:t>____________ (підпис)</w:t>
      </w:r>
    </w:p>
    <w:p w14:paraId="2C348E3D"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24C45021" w14:textId="0C9274FC" w:rsidR="001C6AA0" w:rsidRPr="00525D3D" w:rsidRDefault="001C6AA0" w:rsidP="001C6AA0">
      <w:pPr>
        <w:widowControl w:val="0"/>
        <w:autoSpaceDE w:val="0"/>
        <w:autoSpaceDN w:val="0"/>
        <w:adjustRightInd w:val="0"/>
        <w:spacing w:line="360" w:lineRule="auto"/>
        <w:ind w:left="57" w:right="57" w:firstLine="709"/>
        <w:jc w:val="right"/>
        <w:rPr>
          <w:rFonts w:ascii="Times New Roman CYR" w:eastAsia="MS Mincho" w:hAnsi="Times New Roman CYR" w:cs="Times New Roman CYR"/>
          <w:b/>
          <w:sz w:val="28"/>
          <w:szCs w:val="28"/>
          <w:lang w:val="uk-UA"/>
        </w:rPr>
      </w:pPr>
      <w:r>
        <w:rPr>
          <w:rFonts w:ascii="Times New Roman CYR" w:eastAsia="MS Mincho" w:hAnsi="Times New Roman CYR" w:cs="Times New Roman CYR"/>
          <w:sz w:val="28"/>
          <w:szCs w:val="28"/>
          <w:lang w:val="uk-UA"/>
        </w:rPr>
        <w:br w:type="page"/>
      </w:r>
      <w:r w:rsidRPr="00493F33">
        <w:rPr>
          <w:rFonts w:ascii="Times New Roman CYR" w:eastAsia="MS Mincho" w:hAnsi="Times New Roman CYR" w:cs="Times New Roman CYR"/>
          <w:b/>
          <w:sz w:val="28"/>
          <w:szCs w:val="28"/>
        </w:rPr>
        <w:lastRenderedPageBreak/>
        <w:t xml:space="preserve">Додаток </w:t>
      </w:r>
      <w:r w:rsidR="005E7022">
        <w:rPr>
          <w:rFonts w:ascii="Times New Roman CYR" w:eastAsia="MS Mincho" w:hAnsi="Times New Roman CYR" w:cs="Times New Roman CYR"/>
          <w:b/>
          <w:sz w:val="28"/>
          <w:szCs w:val="28"/>
          <w:lang w:val="uk-UA"/>
        </w:rPr>
        <w:t>В</w:t>
      </w:r>
    </w:p>
    <w:p w14:paraId="1A42CA72" w14:textId="77777777" w:rsidR="001C6AA0" w:rsidRDefault="001C6AA0" w:rsidP="001C6AA0">
      <w:pPr>
        <w:jc w:val="right"/>
        <w:rPr>
          <w:rFonts w:ascii="Times New Roman CYR" w:eastAsia="MS Mincho" w:hAnsi="Times New Roman CYR" w:cs="Times New Roman CYR"/>
          <w:sz w:val="28"/>
          <w:szCs w:val="28"/>
          <w:lang w:val="uk-UA"/>
        </w:rPr>
      </w:pPr>
    </w:p>
    <w:p w14:paraId="0F5D43B2" w14:textId="77777777" w:rsidR="001C6AA0" w:rsidRPr="00914D61" w:rsidRDefault="001C6AA0" w:rsidP="001C6AA0">
      <w:pPr>
        <w:jc w:val="right"/>
      </w:pPr>
      <w:r w:rsidRPr="00914D61">
        <w:t>ПРОЕКТ</w:t>
      </w:r>
    </w:p>
    <w:p w14:paraId="07FAB3B2" w14:textId="77777777" w:rsidR="001C6AA0" w:rsidRPr="00914D61" w:rsidRDefault="001C6AA0" w:rsidP="001C6AA0">
      <w:pPr>
        <w:ind w:left="4956" w:firstLine="708"/>
        <w:jc w:val="right"/>
      </w:pPr>
    </w:p>
    <w:p w14:paraId="37CC77B3" w14:textId="77777777" w:rsidR="001C6AA0" w:rsidRPr="00914D61" w:rsidRDefault="001C6AA0" w:rsidP="001C6AA0">
      <w:pPr>
        <w:ind w:left="4956" w:firstLine="708"/>
        <w:jc w:val="right"/>
      </w:pPr>
      <w:r w:rsidRPr="00914D61">
        <w:t xml:space="preserve">Вноситься народним депутатом України </w:t>
      </w:r>
    </w:p>
    <w:p w14:paraId="3A18E52B" w14:textId="77777777" w:rsidR="001C6AA0" w:rsidRPr="00525D3D" w:rsidRDefault="001C6AA0" w:rsidP="001C6AA0">
      <w:pPr>
        <w:ind w:left="4956" w:firstLine="708"/>
        <w:jc w:val="right"/>
        <w:rPr>
          <w:lang w:val="uk-UA"/>
        </w:rPr>
      </w:pPr>
      <w:r>
        <w:rPr>
          <w:lang w:val="uk-UA"/>
        </w:rPr>
        <w:t>О</w:t>
      </w:r>
      <w:r w:rsidRPr="00914D61">
        <w:t>.В.</w:t>
      </w:r>
      <w:r>
        <w:rPr>
          <w:lang w:val="uk-UA"/>
        </w:rPr>
        <w:t>Михайленко</w:t>
      </w:r>
    </w:p>
    <w:p w14:paraId="681C85F9" w14:textId="77777777" w:rsidR="001C6AA0" w:rsidRPr="00914D61" w:rsidRDefault="001C6AA0" w:rsidP="001C6AA0">
      <w:pPr>
        <w:jc w:val="center"/>
        <w:rPr>
          <w:b/>
          <w:bCs/>
        </w:rPr>
      </w:pPr>
    </w:p>
    <w:p w14:paraId="294C9C1E" w14:textId="77777777" w:rsidR="001C6AA0" w:rsidRPr="00914D61" w:rsidRDefault="001C6AA0" w:rsidP="001C6AA0">
      <w:pPr>
        <w:jc w:val="center"/>
        <w:rPr>
          <w:b/>
          <w:bCs/>
        </w:rPr>
      </w:pPr>
    </w:p>
    <w:p w14:paraId="7B0DEBA2" w14:textId="77777777" w:rsidR="001C6AA0" w:rsidRPr="00914D61" w:rsidRDefault="001C6AA0" w:rsidP="001C6AA0">
      <w:pPr>
        <w:jc w:val="center"/>
        <w:rPr>
          <w:b/>
          <w:bCs/>
        </w:rPr>
      </w:pPr>
    </w:p>
    <w:p w14:paraId="6015A3A8" w14:textId="77777777" w:rsidR="001C6AA0" w:rsidRPr="00914D61" w:rsidRDefault="001C6AA0" w:rsidP="001C6AA0">
      <w:pPr>
        <w:jc w:val="center"/>
        <w:rPr>
          <w:b/>
          <w:bCs/>
        </w:rPr>
      </w:pPr>
    </w:p>
    <w:p w14:paraId="39343CF9" w14:textId="77777777" w:rsidR="001C6AA0" w:rsidRPr="00914D61" w:rsidRDefault="001C6AA0" w:rsidP="001C6AA0">
      <w:pPr>
        <w:jc w:val="center"/>
        <w:rPr>
          <w:b/>
          <w:bCs/>
          <w:sz w:val="36"/>
          <w:szCs w:val="36"/>
        </w:rPr>
      </w:pPr>
      <w:r w:rsidRPr="00914D61">
        <w:rPr>
          <w:b/>
          <w:bCs/>
          <w:sz w:val="36"/>
          <w:szCs w:val="36"/>
        </w:rPr>
        <w:t xml:space="preserve">ЗАКОН УКРАЇНИ </w:t>
      </w:r>
    </w:p>
    <w:p w14:paraId="2413E73D" w14:textId="77777777" w:rsidR="001C6AA0" w:rsidRPr="00914D61" w:rsidRDefault="001C6AA0" w:rsidP="001C6AA0">
      <w:pPr>
        <w:jc w:val="center"/>
        <w:rPr>
          <w:b/>
          <w:bCs/>
        </w:rPr>
      </w:pPr>
    </w:p>
    <w:p w14:paraId="2A9ACD47" w14:textId="77777777" w:rsidR="001C6AA0" w:rsidRPr="00914D61" w:rsidRDefault="001C6AA0" w:rsidP="001C6AA0">
      <w:pPr>
        <w:jc w:val="center"/>
        <w:rPr>
          <w:b/>
          <w:bCs/>
        </w:rPr>
      </w:pPr>
      <w:r w:rsidRPr="00914D61">
        <w:rPr>
          <w:b/>
          <w:bCs/>
        </w:rPr>
        <w:t xml:space="preserve">Про внесення змін до деяких законодавчих актів щодо забезпечення процедури відводу </w:t>
      </w:r>
    </w:p>
    <w:p w14:paraId="0FC1E687" w14:textId="77777777" w:rsidR="001C6AA0" w:rsidRPr="00914D61" w:rsidRDefault="001C6AA0" w:rsidP="001C6AA0">
      <w:pPr>
        <w:ind w:firstLine="709"/>
        <w:jc w:val="both"/>
        <w:rPr>
          <w:b/>
          <w:bCs/>
        </w:rPr>
      </w:pPr>
    </w:p>
    <w:p w14:paraId="1CB57255" w14:textId="77777777" w:rsidR="001C6AA0" w:rsidRPr="00914D61" w:rsidRDefault="001C6AA0" w:rsidP="001C6AA0">
      <w:pPr>
        <w:ind w:firstLine="709"/>
        <w:jc w:val="both"/>
      </w:pPr>
      <w:r w:rsidRPr="00914D61">
        <w:t xml:space="preserve">Верховна Рада України </w:t>
      </w:r>
      <w:r w:rsidRPr="00914D61">
        <w:rPr>
          <w:b/>
          <w:bCs/>
        </w:rPr>
        <w:t>п о с т а н о в л я є:</w:t>
      </w:r>
    </w:p>
    <w:p w14:paraId="77EFDD93" w14:textId="77777777" w:rsidR="001C6AA0" w:rsidRPr="00914D61" w:rsidRDefault="001C6AA0" w:rsidP="001C6AA0">
      <w:pPr>
        <w:ind w:firstLine="709"/>
        <w:jc w:val="both"/>
      </w:pPr>
    </w:p>
    <w:p w14:paraId="4814412B" w14:textId="77777777" w:rsidR="001C6AA0" w:rsidRPr="00914D61" w:rsidRDefault="001C6AA0" w:rsidP="001C6AA0">
      <w:pPr>
        <w:ind w:firstLine="709"/>
        <w:jc w:val="both"/>
      </w:pPr>
      <w:r w:rsidRPr="00914D61">
        <w:t>I. Внести зміни до наступних Кодексів України:</w:t>
      </w:r>
    </w:p>
    <w:p w14:paraId="4C14F6B2" w14:textId="77777777" w:rsidR="001C6AA0" w:rsidRPr="00914D61" w:rsidRDefault="001C6AA0" w:rsidP="001C6AA0">
      <w:pPr>
        <w:ind w:firstLine="709"/>
        <w:jc w:val="both"/>
      </w:pPr>
      <w:r w:rsidRPr="00914D61">
        <w:t xml:space="preserve">1. </w:t>
      </w:r>
      <w:r>
        <w:rPr>
          <w:lang w:val="uk-UA"/>
        </w:rPr>
        <w:t>В Господарському процесуальному кодексі</w:t>
      </w:r>
      <w:r>
        <w:t xml:space="preserve"> статті</w:t>
      </w:r>
      <w:r w:rsidRPr="00914D61">
        <w:t xml:space="preserve"> викласти у наступній редакції:</w:t>
      </w:r>
    </w:p>
    <w:p w14:paraId="5B48EFF7" w14:textId="77777777" w:rsidR="001C6AA0" w:rsidRPr="00914D61" w:rsidRDefault="001C6AA0" w:rsidP="001C6AA0">
      <w:pPr>
        <w:ind w:firstLine="709"/>
        <w:jc w:val="both"/>
      </w:pPr>
      <w:r w:rsidRPr="00914D61">
        <w:t>«Стаття 30. Заява про відвід (самовідвід)</w:t>
      </w:r>
    </w:p>
    <w:p w14:paraId="182AC6C0" w14:textId="77777777" w:rsidR="001C6AA0" w:rsidRPr="00914D61" w:rsidRDefault="001C6AA0" w:rsidP="001C6AA0">
      <w:pPr>
        <w:ind w:firstLine="709"/>
        <w:jc w:val="both"/>
      </w:pPr>
      <w:r w:rsidRPr="00914D61">
        <w:t>1. За наявності підстав, зазначених у статтях 27-29 цього Кодексу, суддя, секретар судового засідання, експерт, спеціаліст, перекладач зобов'язані заявити самовідвід. За цими ж підставами їм може бути заявлено відвід особами, які беруть участь у справі.</w:t>
      </w:r>
    </w:p>
    <w:p w14:paraId="3C177C6E" w14:textId="77777777" w:rsidR="001C6AA0" w:rsidRPr="00914D61" w:rsidRDefault="001C6AA0" w:rsidP="001C6AA0">
      <w:pPr>
        <w:ind w:firstLine="709"/>
        <w:jc w:val="both"/>
      </w:pPr>
      <w:r w:rsidRPr="00914D61">
        <w:t>2. Відвід (самовідвід) повинен бути вмотивований. Заява про відвід або самовідвід подається у письмовій формі з обґрунтуванням підстав для відводу.</w:t>
      </w:r>
    </w:p>
    <w:p w14:paraId="6C0D6924" w14:textId="77777777" w:rsidR="001C6AA0" w:rsidRPr="00914D61" w:rsidRDefault="001C6AA0" w:rsidP="001C6AA0">
      <w:pPr>
        <w:ind w:firstLine="709"/>
        <w:jc w:val="both"/>
      </w:pPr>
      <w:r w:rsidRPr="00914D61">
        <w:t xml:space="preserve">3. Заява про відвід секретарю судового засідання, експерту, спеціалісту, перекладачу або судді (суддям) у справах, що розглядаються колегією суддів, заявляється до початку розгляду справи по суті.  Заявляти відвід після цього дозволяється лише у разі, якщо про підставу відводу стало відомо після початку судового розгляду. </w:t>
      </w:r>
    </w:p>
    <w:p w14:paraId="59877A78" w14:textId="77777777" w:rsidR="001C6AA0" w:rsidRPr="00914D61" w:rsidRDefault="001C6AA0" w:rsidP="001C6AA0">
      <w:pPr>
        <w:ind w:firstLine="709"/>
        <w:jc w:val="both"/>
      </w:pPr>
      <w:r w:rsidRPr="00914D61">
        <w:t xml:space="preserve">4. Заява про відвід судді, що здійснює розгляд одноособово, подається не пізніше, як за два дні до дня попереднього судового засідання, а в разі, якщо попереднє судове засідання не проводиться – за два дні до дня першого судового засідання. Особи, які були залучені до участі у справі після першого судового засідання мають право подати заяву про відвід під час першого судового засідання, в якому вони беруть участь. </w:t>
      </w:r>
    </w:p>
    <w:p w14:paraId="3D72391E" w14:textId="77777777" w:rsidR="001C6AA0" w:rsidRPr="00914D61" w:rsidRDefault="001C6AA0" w:rsidP="001C6AA0">
      <w:pPr>
        <w:ind w:firstLine="709"/>
        <w:jc w:val="both"/>
      </w:pPr>
      <w:r w:rsidRPr="00914D61">
        <w:t>5. Заява про відвід подана повторно з тих самих підстав або подана із порушенням строків, визначених цієї статтею без наявності поважних причин залишається судом без розгляду. Ухвала про це виноситься без виходу до нарадчої кімнати.</w:t>
      </w:r>
    </w:p>
    <w:p w14:paraId="62060079" w14:textId="77777777" w:rsidR="001C6AA0" w:rsidRPr="00914D61" w:rsidRDefault="001C6AA0" w:rsidP="001C6AA0">
      <w:pPr>
        <w:ind w:firstLine="709"/>
        <w:jc w:val="both"/>
      </w:pPr>
      <w:r w:rsidRPr="00914D61">
        <w:t xml:space="preserve">6. Самовідвід заявляється особою після встановлення підстав для самовідводу. </w:t>
      </w:r>
    </w:p>
    <w:p w14:paraId="1B4D143A" w14:textId="77777777" w:rsidR="001C6AA0" w:rsidRPr="00914D61" w:rsidRDefault="001C6AA0" w:rsidP="001C6AA0">
      <w:pPr>
        <w:ind w:firstLine="709"/>
        <w:jc w:val="both"/>
      </w:pPr>
      <w:r w:rsidRPr="00914D61">
        <w:t>Стаття 31. Порядок вирішення питання про відвід (самовідвід)</w:t>
      </w:r>
    </w:p>
    <w:p w14:paraId="770DA89E" w14:textId="77777777" w:rsidR="001C6AA0" w:rsidRPr="00914D61" w:rsidRDefault="001C6AA0" w:rsidP="001C6AA0">
      <w:pPr>
        <w:ind w:firstLine="709"/>
        <w:jc w:val="both"/>
      </w:pPr>
      <w:r w:rsidRPr="00914D61">
        <w:t>1. У разі подання заяви про відвід (самовідвід) у судовому засіданні суд заслуховує думку учасників процесу. Особа, якій заявлено відвід, має право дати пояснення щодо мотивів відводу.</w:t>
      </w:r>
    </w:p>
    <w:p w14:paraId="620AB466" w14:textId="77777777" w:rsidR="001C6AA0" w:rsidRPr="00914D61" w:rsidRDefault="001C6AA0" w:rsidP="001C6AA0">
      <w:pPr>
        <w:ind w:firstLine="709"/>
        <w:jc w:val="both"/>
      </w:pPr>
      <w:r w:rsidRPr="00914D61">
        <w:t>2. Заява про відвід секретарю судового засідання, експерту, спеціалісту, перекладачу вирішується складом суду, що розглядає справу з виходом до нарадчої кімнати. Заява про самовідвід судді, який розглядає справу одноособово вирішується цим суддею.</w:t>
      </w:r>
    </w:p>
    <w:p w14:paraId="4FB7A8C3" w14:textId="77777777" w:rsidR="001C6AA0" w:rsidRPr="00914D61" w:rsidRDefault="001C6AA0" w:rsidP="001C6AA0">
      <w:pPr>
        <w:ind w:firstLine="709"/>
        <w:jc w:val="both"/>
      </w:pPr>
      <w:r w:rsidRPr="00914D61">
        <w:t>3. Заява про відвід (самовідвід) судді, що здійснює судочинство у складі колегії суддів, кільком членам колегії суддів або всьому складу колегії суддів вирішується цією колегією суддів із виходом до нарадчої кімнати.</w:t>
      </w:r>
    </w:p>
    <w:p w14:paraId="53D21668" w14:textId="77777777" w:rsidR="001C6AA0" w:rsidRPr="00914D61" w:rsidRDefault="001C6AA0" w:rsidP="001C6AA0">
      <w:pPr>
        <w:ind w:firstLine="709"/>
        <w:jc w:val="both"/>
      </w:pPr>
      <w:r w:rsidRPr="00914D61">
        <w:t xml:space="preserve">4. Заява про відвід, подана стосовно судді, що здійснює розгляд справи одноособово, розглядається одним із суддів цього ж суду, який визначається у порядку, визначеному </w:t>
      </w:r>
      <w:r w:rsidRPr="00914D61">
        <w:lastRenderedPageBreak/>
        <w:t>частиною третьою статті 15-1 цього Кодексу. Така заява розглядається цим суддею протягом одного дня з дня її надходження без виклику сторін по справі. Суддя якому заявлений відвід має право подати письмові пояснення з приводу заявленого відводу. Заява про відвід в усіх випадках має бути розглянута до дня проведення судового засідання.</w:t>
      </w:r>
    </w:p>
    <w:p w14:paraId="3DB27E41" w14:textId="77777777" w:rsidR="001C6AA0" w:rsidRPr="00914D61" w:rsidRDefault="001C6AA0" w:rsidP="001C6AA0">
      <w:pPr>
        <w:ind w:firstLine="709"/>
        <w:jc w:val="both"/>
      </w:pPr>
      <w:r w:rsidRPr="00914D61">
        <w:t xml:space="preserve">5. У разі подання заяви про відвід судді, який здійснює розгляд справи одноособово з порушенням строків, визначених статтею 30 цього Кодексу, вона розглядається цим суддею одноособово. </w:t>
      </w:r>
    </w:p>
    <w:p w14:paraId="03A261BA" w14:textId="77777777" w:rsidR="001C6AA0" w:rsidRPr="00914D61" w:rsidRDefault="001C6AA0" w:rsidP="001C6AA0">
      <w:pPr>
        <w:ind w:firstLine="709"/>
        <w:jc w:val="both"/>
      </w:pPr>
      <w:r w:rsidRPr="00914D61">
        <w:t>6. Визначення судді, що здійснює розгляд заяви про відвід, здійснюється без урахування спеціалізації суддів. У випадку подання в цьому ж провадженні нової заяви про відвід вона передається на розгляд тому самому судді. Участь судді у вирішення заяви про відвід не перешкоджає його участі у розгляду цієї ж справи по суті у випадку, коли така справа буде передана йому до розгляду відповідно до вимог цього Кодексу. Судді, що здійснює розгляд заяви про відвід, не може бути заявлений відвід сторонами, проте він має право заявити самовідвід.</w:t>
      </w:r>
    </w:p>
    <w:p w14:paraId="078BD572" w14:textId="77777777" w:rsidR="001C6AA0" w:rsidRPr="00914D61" w:rsidRDefault="001C6AA0" w:rsidP="001C6AA0">
      <w:pPr>
        <w:jc w:val="both"/>
      </w:pPr>
      <w:r>
        <w:tab/>
        <w:t>7. У випадку, якщо в суд</w:t>
      </w:r>
      <w:r w:rsidRPr="00914D61">
        <w:t>і відсутні судді для розгляду заяви про відвід, заява про відвід разом з письмовими поясненнями судді, якому заявлений відвід, направляється судді вищестоящого суду. Ці документи можуть направлятися в електронному вигляді. Суддя вищестоящого суду має право витребувати копії окремих матеріалів справи або всі матеріали справи, необхідні йому для вирішення заяви про відвід. У разі необхідності розгляд справи в суді першої інстанції відкладається до вирішення заяви про відвід.</w:t>
      </w:r>
    </w:p>
    <w:p w14:paraId="1A8824B9" w14:textId="77777777" w:rsidR="001C6AA0" w:rsidRPr="00914D61" w:rsidRDefault="001C6AA0" w:rsidP="001C6AA0">
      <w:pPr>
        <w:jc w:val="both"/>
      </w:pPr>
      <w:r w:rsidRPr="00914D61">
        <w:tab/>
        <w:t>8. Ухвала про задоволення або про відмову а задоволенні заяви про самовідвід оскарженню не підлягає, заперечення проти неї може бути включене до апеляційної чи касаційної скарги на постанову чи ухвалу суду, прийняту за наслідками розгляду справи.»</w:t>
      </w:r>
    </w:p>
    <w:p w14:paraId="73F58A6C" w14:textId="77777777" w:rsidR="001C6AA0" w:rsidRPr="00914D61" w:rsidRDefault="001C6AA0" w:rsidP="001C6AA0">
      <w:pPr>
        <w:jc w:val="both"/>
      </w:pPr>
      <w:r w:rsidRPr="00914D61">
        <w:tab/>
        <w:t>2. У Цивільному процесуальному кодексі України (Відомості Верховної Ради України (ВВР), 2004, № 40-41, 42, ст.492) статті 23 та 24 викласти у наступній редакції:</w:t>
      </w:r>
    </w:p>
    <w:p w14:paraId="2DCC3A6F" w14:textId="77777777" w:rsidR="001C6AA0" w:rsidRPr="00914D61" w:rsidRDefault="001C6AA0" w:rsidP="001C6AA0">
      <w:pPr>
        <w:ind w:firstLine="709"/>
        <w:jc w:val="both"/>
      </w:pPr>
      <w:r w:rsidRPr="00914D61">
        <w:t>«Стаття 23. Заява про відвід (самовідвід)</w:t>
      </w:r>
    </w:p>
    <w:p w14:paraId="0EEA8F11" w14:textId="77777777" w:rsidR="001C6AA0" w:rsidRPr="00914D61" w:rsidRDefault="001C6AA0" w:rsidP="001C6AA0">
      <w:pPr>
        <w:ind w:firstLine="709"/>
        <w:jc w:val="both"/>
      </w:pPr>
      <w:r w:rsidRPr="00914D61">
        <w:t>1. За наявності підстав, зазначених у статтях 20-22 цього Кодексу, суддя, секретар судового засідання, експерт, спеціаліст, перекладач зобов'язані заявити самовідвід. За цими ж підставами їм може бути заявлено відвід особами, які беруть участь у справі.</w:t>
      </w:r>
    </w:p>
    <w:p w14:paraId="577F3160" w14:textId="77777777" w:rsidR="001C6AA0" w:rsidRPr="00914D61" w:rsidRDefault="001C6AA0" w:rsidP="001C6AA0">
      <w:pPr>
        <w:ind w:firstLine="709"/>
        <w:jc w:val="both"/>
      </w:pPr>
      <w:r w:rsidRPr="00914D61">
        <w:t>2. Відвід (самовідвід) повинен бути вмотивований. Заява про відвід або самовідвід подається у письмовій формі з обґрунтуванням підстав для відводу.</w:t>
      </w:r>
    </w:p>
    <w:p w14:paraId="4596248A" w14:textId="77777777" w:rsidR="001C6AA0" w:rsidRPr="00914D61" w:rsidRDefault="001C6AA0" w:rsidP="001C6AA0">
      <w:pPr>
        <w:ind w:firstLine="709"/>
        <w:jc w:val="both"/>
      </w:pPr>
      <w:r w:rsidRPr="00914D61">
        <w:t>3. Заява про відвід секретарю судового засідання, експерту, спеціалісту, перекладачу або судді (суддям) у справах, що розглядаються колегією суддів, заявляється до початку з’ясування обставин у справі та перевірки їх доказами.  Заявляти відвід після цього дозволяється лише у разі, якщо про підставу відводу стало відомо після з’ясування обставин у справі та перевірки їх доказами.</w:t>
      </w:r>
    </w:p>
    <w:p w14:paraId="2C0494DB" w14:textId="77777777" w:rsidR="001C6AA0" w:rsidRPr="00914D61" w:rsidRDefault="001C6AA0" w:rsidP="001C6AA0">
      <w:pPr>
        <w:ind w:firstLine="709"/>
        <w:jc w:val="both"/>
      </w:pPr>
      <w:r w:rsidRPr="00914D61">
        <w:t xml:space="preserve">4. Заява про відвід судді, що здійснює розгляд одноособово, подається не пізніше, як за два дні до дня попереднього судового засідання, а в разі, якщо попереднє судове засідання не проводиться – за два дні до дня першого судового засідання. Особи, які були залучені до участі у справі після першого судового засідання мають право подати заяву про відвід під час першого судового засідання, в якому вони беруть участь. </w:t>
      </w:r>
    </w:p>
    <w:p w14:paraId="46CF5D6A" w14:textId="77777777" w:rsidR="001C6AA0" w:rsidRPr="00914D61" w:rsidRDefault="001C6AA0" w:rsidP="001C6AA0">
      <w:pPr>
        <w:ind w:firstLine="709"/>
        <w:jc w:val="both"/>
      </w:pPr>
      <w:r w:rsidRPr="00914D61">
        <w:t>5. Заява про відвід подана повторно з тих самих підстав або подана із порушенням строків, визначених цієї статтею без наявності поважних причин залишається судом без розгляду. Ухвала про це виноситься без виходу до нарадчої кімнати.</w:t>
      </w:r>
    </w:p>
    <w:p w14:paraId="1C3F8CC4" w14:textId="77777777" w:rsidR="001C6AA0" w:rsidRPr="00914D61" w:rsidRDefault="001C6AA0" w:rsidP="001C6AA0">
      <w:pPr>
        <w:ind w:firstLine="709"/>
        <w:jc w:val="both"/>
      </w:pPr>
      <w:r w:rsidRPr="00914D61">
        <w:t xml:space="preserve">6. Самовідвід заявляється особою після встановлення підстав для самовідводу. </w:t>
      </w:r>
    </w:p>
    <w:p w14:paraId="4D080C33" w14:textId="77777777" w:rsidR="001C6AA0" w:rsidRPr="00914D61" w:rsidRDefault="001C6AA0" w:rsidP="001C6AA0">
      <w:pPr>
        <w:ind w:firstLine="709"/>
        <w:jc w:val="both"/>
      </w:pPr>
      <w:r w:rsidRPr="00914D61">
        <w:t>Стаття 24. Порядок вирішення питання про відвід (самовідвід)</w:t>
      </w:r>
    </w:p>
    <w:p w14:paraId="48C8E7EE" w14:textId="77777777" w:rsidR="001C6AA0" w:rsidRPr="00914D61" w:rsidRDefault="001C6AA0" w:rsidP="001C6AA0">
      <w:pPr>
        <w:ind w:firstLine="709"/>
        <w:jc w:val="both"/>
      </w:pPr>
      <w:r w:rsidRPr="00914D61">
        <w:t>1. У разі подання заяви про відвід (самовідвід) у судовому засіданні суд заслуховує думку учасників процесу. Особа, якій заявлено відвід, має право дати пояснення щодо мотивів відводу.</w:t>
      </w:r>
    </w:p>
    <w:p w14:paraId="5E766269" w14:textId="77777777" w:rsidR="001C6AA0" w:rsidRPr="00914D61" w:rsidRDefault="001C6AA0" w:rsidP="001C6AA0">
      <w:pPr>
        <w:ind w:firstLine="709"/>
        <w:jc w:val="both"/>
      </w:pPr>
      <w:r w:rsidRPr="00914D61">
        <w:t>2. Заява про відвід секретарю судового засідання, експерту, спеціалісту, перекладачу вирішується складом суду, що розглядає справу з виходом до нарадчої кімнати. Заява про самовідвід судді, який розглядає справу одноособово вирішується цим суддею.</w:t>
      </w:r>
    </w:p>
    <w:p w14:paraId="7EAA44E3" w14:textId="77777777" w:rsidR="001C6AA0" w:rsidRPr="00914D61" w:rsidRDefault="001C6AA0" w:rsidP="001C6AA0">
      <w:pPr>
        <w:ind w:firstLine="709"/>
        <w:jc w:val="both"/>
      </w:pPr>
      <w:r w:rsidRPr="00914D61">
        <w:lastRenderedPageBreak/>
        <w:t>3. Заява про відвід (самовідвід) судді, що здійснює судочинство у складі колегії суддів, кільком членам колегії суддів або всьому складу колегії суддів вирішується цією колегією суддів із виходом до нарадчої кімнати.</w:t>
      </w:r>
    </w:p>
    <w:p w14:paraId="6521A423" w14:textId="77777777" w:rsidR="001C6AA0" w:rsidRPr="00914D61" w:rsidRDefault="001C6AA0" w:rsidP="001C6AA0">
      <w:pPr>
        <w:ind w:firstLine="709"/>
        <w:jc w:val="both"/>
      </w:pPr>
      <w:r w:rsidRPr="00914D61">
        <w:t>4. Заява про відвід, подана стосовно судді, що здійснює розгляд справи одноособово, розглядається одним із суддів цього ж суду, який визначається у порядку, визначеному частиною третьою статті 11-1 цього Кодексу. Така заява розглядається цим суддею протягом одного дня з дня її надходження без виклику сторін по справі. Суддя якому заявлений відвід має право подати письмові пояснення з приводу заявленого відводу. Заява про відвід в усіх випадках має бути розглянута до дня проведення судового засідання.</w:t>
      </w:r>
    </w:p>
    <w:p w14:paraId="56A2AD4D" w14:textId="77777777" w:rsidR="001C6AA0" w:rsidRPr="00914D61" w:rsidRDefault="001C6AA0" w:rsidP="001C6AA0">
      <w:pPr>
        <w:ind w:firstLine="709"/>
        <w:jc w:val="both"/>
      </w:pPr>
      <w:r w:rsidRPr="00914D61">
        <w:t xml:space="preserve">5. У разі подання заяви про відвід судді, який здійснює розгляд справи одноособово з порушенням строків, визначених статтею 23 цього Кодексу, вона розглядається цим суддею одноособово. </w:t>
      </w:r>
    </w:p>
    <w:p w14:paraId="39DF53F7" w14:textId="77777777" w:rsidR="001C6AA0" w:rsidRPr="00914D61" w:rsidRDefault="001C6AA0" w:rsidP="001C6AA0">
      <w:pPr>
        <w:ind w:firstLine="709"/>
        <w:jc w:val="both"/>
      </w:pPr>
      <w:r w:rsidRPr="00914D61">
        <w:t>6. Визначення судді, що здійснює розгляд заяви про відвід, здійснюється без урахування спеціалізації суддів. У випадку подання в цьому ж провадженні нової заяви про відвід вона передається на розгляд тому самому судді. Участь судді у вирішення заяви про відвід не перешкоджає його участі у розгляду цієї ж справи по суті у випадку, коли така справа буде передана йому до розгляду відповідно до вимог цього Кодексу. Судді, що здійснює розгляд заяви про відвід, не може бути заявлений відвід сторонами, проте він має право заявити самовідвід.</w:t>
      </w:r>
    </w:p>
    <w:p w14:paraId="47A50146" w14:textId="77777777" w:rsidR="001C6AA0" w:rsidRPr="00914D61" w:rsidRDefault="001C6AA0" w:rsidP="001C6AA0">
      <w:pPr>
        <w:jc w:val="both"/>
      </w:pPr>
      <w:r>
        <w:tab/>
        <w:t>7. У випадку, якщо в суд</w:t>
      </w:r>
      <w:r w:rsidRPr="00914D61">
        <w:t>і відсутні судді для розгляду заяви про відвід, заява про відвід разом з письмовими поясненнями судді, якому заявлений відвід, направляється судді вищестоящого суду. Ці документи можуть направлятися в електронному вигляді. Суддя вищестоящого суду має право витребувати копії окремих матеріалів справи або всі матеріали справи, необхідні йому для вирішення заяви про відвід. У разі необхідності розгляд справи в суді першої інстанції відкладається до вирішення заяви про відвід.</w:t>
      </w:r>
    </w:p>
    <w:p w14:paraId="202EAC67" w14:textId="77777777" w:rsidR="001C6AA0" w:rsidRPr="00914D61" w:rsidRDefault="001C6AA0" w:rsidP="001C6AA0">
      <w:pPr>
        <w:jc w:val="both"/>
      </w:pPr>
      <w:r w:rsidRPr="00914D61">
        <w:tab/>
        <w:t>8. Ухвала про задоволення або про відмову а задоволенні заяви про самовідвід оскарженню не підлягає, заперечення проти неї може бути включене до апеляційної чи касаційної скарги на рішення чи ухвалу суду, прийняту за наслідками розгляду справи.»</w:t>
      </w:r>
    </w:p>
    <w:p w14:paraId="3998BA51" w14:textId="77777777" w:rsidR="001C6AA0" w:rsidRPr="00914D61" w:rsidRDefault="001C6AA0" w:rsidP="001C6AA0">
      <w:pPr>
        <w:jc w:val="both"/>
        <w:rPr>
          <w:rStyle w:val="rvts44"/>
        </w:rPr>
      </w:pPr>
      <w:r w:rsidRPr="00914D61">
        <w:tab/>
        <w:t xml:space="preserve">3. У Господарському процесуальному кодексі України </w:t>
      </w:r>
      <w:r w:rsidRPr="00914D61">
        <w:rPr>
          <w:rStyle w:val="rvts44"/>
        </w:rPr>
        <w:t xml:space="preserve">(Відомості Верховної Ради України (ВВР), 1992, № 6, ст.56; </w:t>
      </w:r>
      <w:r w:rsidRPr="00914D61">
        <w:t>ВВР, 2010, № 41-42, № 43, № 44-45, ст.529; ВВР, 2012, № 29, ст.340</w:t>
      </w:r>
      <w:r w:rsidRPr="00914D61">
        <w:rPr>
          <w:rStyle w:val="rvts44"/>
        </w:rPr>
        <w:t>) статтю 20 викласти у наступній редакції:</w:t>
      </w:r>
    </w:p>
    <w:p w14:paraId="33309988" w14:textId="77777777" w:rsidR="001C6AA0" w:rsidRPr="00914D61" w:rsidRDefault="001C6AA0" w:rsidP="001C6AA0">
      <w:pPr>
        <w:jc w:val="both"/>
        <w:rPr>
          <w:rStyle w:val="rvts44"/>
        </w:rPr>
      </w:pPr>
      <w:r w:rsidRPr="00914D61">
        <w:rPr>
          <w:rStyle w:val="rvts44"/>
        </w:rPr>
        <w:tab/>
        <w:t>«Стаття 20. Відвід судді</w:t>
      </w:r>
    </w:p>
    <w:p w14:paraId="6A7EC3A8" w14:textId="77777777" w:rsidR="001C6AA0" w:rsidRPr="00914D61" w:rsidRDefault="001C6AA0" w:rsidP="001C6AA0">
      <w:pPr>
        <w:jc w:val="both"/>
        <w:rPr>
          <w:rStyle w:val="rvts44"/>
        </w:rPr>
      </w:pPr>
      <w:r w:rsidRPr="00914D61">
        <w:rPr>
          <w:rStyle w:val="rvts44"/>
        </w:rPr>
        <w:tab/>
        <w:t>Суддя не може брати участі в розгляді справи і підлягає відводу (самовідводу), якщо він є родичем осіб, які беруть участь у судовому процесі, якщо було порушено порядок визначення судді для розгляду справи, встановлений частиною третьою статті 2-1 цього Кодексу, або якщо буде встановлено інші обставини, що викликають сумнів у його неупередженості. Суддя, який брав участь у розгляді справи, не може брати участі в новому розгляді справи у разі скасування рішення, ухвали, постанови, прийнятої за його участю, або у перегляді прийнятих за його участю рішень, ухвал, постанов за нововиявленими обставинами.</w:t>
      </w:r>
    </w:p>
    <w:p w14:paraId="1C24E84A" w14:textId="77777777" w:rsidR="001C6AA0" w:rsidRPr="00914D61" w:rsidRDefault="001C6AA0" w:rsidP="001C6AA0">
      <w:pPr>
        <w:ind w:firstLine="708"/>
        <w:jc w:val="both"/>
        <w:rPr>
          <w:rStyle w:val="rvts44"/>
        </w:rPr>
      </w:pPr>
      <w:r w:rsidRPr="00914D61">
        <w:rPr>
          <w:rStyle w:val="rvts44"/>
        </w:rPr>
        <w:t>При наявності зазначених підстав суддя повинен заявити самовідвід.</w:t>
      </w:r>
    </w:p>
    <w:p w14:paraId="4EF013B5" w14:textId="77777777" w:rsidR="001C6AA0" w:rsidRPr="00914D61" w:rsidRDefault="001C6AA0" w:rsidP="001C6AA0">
      <w:pPr>
        <w:ind w:firstLine="708"/>
        <w:jc w:val="both"/>
        <w:rPr>
          <w:rStyle w:val="rvts44"/>
        </w:rPr>
      </w:pPr>
      <w:r w:rsidRPr="00914D61">
        <w:rPr>
          <w:rStyle w:val="rvts44"/>
        </w:rPr>
        <w:t>З цих же підстав відвід судді можуть заявити сторони та прокурор, який бере участь в судовому процесі.</w:t>
      </w:r>
    </w:p>
    <w:p w14:paraId="6B30E2C3" w14:textId="77777777" w:rsidR="001C6AA0" w:rsidRPr="00914D61" w:rsidRDefault="001C6AA0" w:rsidP="001C6AA0">
      <w:pPr>
        <w:ind w:firstLine="708"/>
        <w:jc w:val="both"/>
        <w:rPr>
          <w:rStyle w:val="rvts44"/>
        </w:rPr>
      </w:pPr>
      <w:r w:rsidRPr="00914D61">
        <w:rPr>
          <w:rStyle w:val="rvts44"/>
        </w:rPr>
        <w:t>Відвід повинен бути мотивованим, заявлятись у письмовій формі до початку вирішення спору. Заява про відвід судді, що здійснює розгляд справи одноособово подається не пізніше, як за два дні до дня першого судового засідання, а особою, яка була залучена судом до участі у справі після першого судового засідання – за два дні до дня першого судового засідання, що відбуватиметься після залучення зазначеної особи до участі у справі.</w:t>
      </w:r>
    </w:p>
    <w:p w14:paraId="4D785524" w14:textId="77777777" w:rsidR="001C6AA0" w:rsidRPr="00914D61" w:rsidRDefault="001C6AA0" w:rsidP="001C6AA0">
      <w:pPr>
        <w:ind w:firstLine="708"/>
        <w:jc w:val="both"/>
      </w:pPr>
      <w:r w:rsidRPr="00914D61">
        <w:t>Заява про відвід (самовідвід) судді, що здійснює судочинство у складі колегії суддів, кільком членам колегії суддів або всьому складу колегії суддів вирішується цією колегією суддів із виходом до нарадчої кімнати. Заява про самовідвід судді вирішується цим суддею.</w:t>
      </w:r>
    </w:p>
    <w:p w14:paraId="1C671B20" w14:textId="77777777" w:rsidR="001C6AA0" w:rsidRPr="00914D61" w:rsidRDefault="001C6AA0" w:rsidP="001C6AA0">
      <w:pPr>
        <w:ind w:firstLine="709"/>
        <w:jc w:val="both"/>
      </w:pPr>
      <w:r w:rsidRPr="00914D61">
        <w:lastRenderedPageBreak/>
        <w:t>Заява про відвід, подана стосовно судді, що здійснює розгляд справи одноособово, розглядається одним із суддів цього ж суду, який визначається у порядку, визначеному частиною третьою статті 2-1 цього Кодексу. Така заява розглядається цим суддею протягом одного дня з дня її надходження без виклику сторін по справі. Суддя якому заявлений відвід має право подати письмові пояснення з приводу заявленого відводу. Заява про відвід в усіх випадках має бути розглянута до дня проведення судового засідання.</w:t>
      </w:r>
    </w:p>
    <w:p w14:paraId="3A885452" w14:textId="77777777" w:rsidR="001C6AA0" w:rsidRPr="00914D61" w:rsidRDefault="001C6AA0" w:rsidP="001C6AA0">
      <w:pPr>
        <w:ind w:firstLine="708"/>
        <w:jc w:val="both"/>
      </w:pPr>
      <w:r w:rsidRPr="00914D61">
        <w:t>Визначення судді, що здійснює розгляд заяви про відвід, здійснюється без урахування спеціалізації суддів. У випадку подання в цьому ж провадженні нової заяви про відвід вона передається на розгляд тому самому судді. Участь судді у вирішення заяви про відвід не перешкоджає його участі у розгляду цієї ж справи по суті у випадку, коли така справа буде передана йому до розгляду відповідно до вимог цього Кодексу. Судді, що здійснює розгляд заяви про відвід, не може бути заявлений відвід сторонами, проте він має право заявити самовідвід.</w:t>
      </w:r>
    </w:p>
    <w:p w14:paraId="1B17A263" w14:textId="77777777" w:rsidR="001C6AA0" w:rsidRPr="00914D61" w:rsidRDefault="001C6AA0" w:rsidP="001C6AA0">
      <w:pPr>
        <w:ind w:firstLine="708"/>
        <w:jc w:val="both"/>
      </w:pPr>
      <w:r>
        <w:t>У випадку, якщо в су</w:t>
      </w:r>
      <w:r w:rsidRPr="00914D61">
        <w:t>ді відсутні судді для розгляду заяви про відвід, заява про відвід разом з письмовими поясненнями судді, якому заявлений відвід, направляється судді вищестоящого суду. Ці документи можуть направлятися в електронному вигляді. Суддя вищестоящого суду має право витребувати копії окремих матеріалів справи або всі матеріали справи, необхідні йому для вирішення заяви про відвід. У разі необхідності розгляд справи в суді першої інстанції відкладається до вирішення заяви про відвід.</w:t>
      </w:r>
    </w:p>
    <w:p w14:paraId="74BD6636" w14:textId="77777777" w:rsidR="001C6AA0" w:rsidRPr="00914D61" w:rsidRDefault="001C6AA0" w:rsidP="001C6AA0">
      <w:pPr>
        <w:ind w:firstLine="709"/>
        <w:jc w:val="both"/>
      </w:pPr>
      <w:r w:rsidRPr="00914D61">
        <w:t xml:space="preserve">У разі подання заяви про відвід судді, який здійснює розгляд справи одноособово з порушенням строків, визначених цією статтею, вона розглядається цим суддею одноособово. </w:t>
      </w:r>
    </w:p>
    <w:p w14:paraId="210712F1" w14:textId="77777777" w:rsidR="001C6AA0" w:rsidRPr="00914D61" w:rsidRDefault="001C6AA0" w:rsidP="001C6AA0">
      <w:pPr>
        <w:ind w:firstLine="709"/>
        <w:jc w:val="both"/>
      </w:pPr>
      <w:r w:rsidRPr="00914D61">
        <w:t>Заява про відвід подана повторно з тих самих підстав або подана із порушенням строків, визначених цієї статтею без наявності поважних причин залишається судом без розгляду. Ухвала про це виноситься без виходу до нарадчої кімнати.</w:t>
      </w:r>
    </w:p>
    <w:p w14:paraId="276E5BA1" w14:textId="77777777" w:rsidR="001C6AA0" w:rsidRPr="00914D61" w:rsidRDefault="001C6AA0" w:rsidP="001C6AA0">
      <w:pPr>
        <w:ind w:firstLine="708"/>
        <w:jc w:val="both"/>
      </w:pPr>
      <w:r w:rsidRPr="00914D61">
        <w:t>Ухвала про задоволення або про відмову а задоволенні заяви про самовідвід оскарженню не підлягає, заперечення проти неї може бути включене до апеляційної чи касаційної скарги на рішення чи ухвалу суду, прийняту за наслідками розгляду справи.</w:t>
      </w:r>
    </w:p>
    <w:p w14:paraId="4FBDEC2E" w14:textId="77777777" w:rsidR="001C6AA0" w:rsidRPr="00914D61" w:rsidRDefault="001C6AA0" w:rsidP="001C6AA0">
      <w:pPr>
        <w:ind w:firstLine="708"/>
        <w:jc w:val="both"/>
      </w:pPr>
      <w:r w:rsidRPr="00914D61">
        <w:t>У разі задоволення відводу (самовідводу) одному з суддів, кільком суддям або всьому складу суду справа розглядається в тому самому господарському суді тим самим кількісним складом колегії суддів без участі відведеного судді (суддів) або іншим складом суддів, який визначається у порядку, встановленому частиною третьою статті 2-1 цього Кодексу.»</w:t>
      </w:r>
    </w:p>
    <w:p w14:paraId="441A7F7F" w14:textId="77777777" w:rsidR="001C6AA0" w:rsidRPr="00914D61" w:rsidRDefault="001C6AA0" w:rsidP="001C6AA0">
      <w:pPr>
        <w:ind w:firstLine="708"/>
        <w:jc w:val="both"/>
        <w:rPr>
          <w:rStyle w:val="rvts44"/>
        </w:rPr>
      </w:pPr>
      <w:r w:rsidRPr="00914D61">
        <w:t xml:space="preserve">4. </w:t>
      </w:r>
      <w:r>
        <w:rPr>
          <w:lang w:val="uk-UA"/>
        </w:rPr>
        <w:t>В ГПК</w:t>
      </w:r>
      <w:r w:rsidRPr="00914D61">
        <w:rPr>
          <w:rStyle w:val="rvts44"/>
        </w:rPr>
        <w:t xml:space="preserve"> доповнити статтями наступного змісту:</w:t>
      </w:r>
    </w:p>
    <w:p w14:paraId="4799FC5C" w14:textId="77777777" w:rsidR="001C6AA0" w:rsidRDefault="001C6AA0" w:rsidP="001C6AA0">
      <w:pPr>
        <w:ind w:firstLine="708"/>
        <w:jc w:val="both"/>
        <w:rPr>
          <w:rStyle w:val="rvts44"/>
        </w:rPr>
      </w:pPr>
      <w:r w:rsidRPr="00914D61">
        <w:rPr>
          <w:rStyle w:val="rvts44"/>
        </w:rPr>
        <w:t xml:space="preserve">«Стаття </w:t>
      </w:r>
      <w:r>
        <w:rPr>
          <w:rStyle w:val="rvts44"/>
          <w:lang w:val="uk-UA"/>
        </w:rPr>
        <w:t>30</w:t>
      </w:r>
      <w:r w:rsidRPr="00914D61">
        <w:rPr>
          <w:rStyle w:val="rvts44"/>
        </w:rPr>
        <w:t xml:space="preserve">-1. Підстави для відводу особи, яка здійснює розгляд справи </w:t>
      </w:r>
    </w:p>
    <w:p w14:paraId="79732B5D" w14:textId="77777777" w:rsidR="001C6AA0" w:rsidRPr="00914D61" w:rsidRDefault="001C6AA0" w:rsidP="001C6AA0">
      <w:pPr>
        <w:ind w:firstLine="708"/>
        <w:jc w:val="both"/>
        <w:rPr>
          <w:rStyle w:val="rvts44"/>
        </w:rPr>
      </w:pPr>
      <w:r w:rsidRPr="00914D61">
        <w:rPr>
          <w:rStyle w:val="rvts44"/>
        </w:rPr>
        <w:t>Посадова особа, яка здійснює розгляд справи, член колегіального органу, що здійснює розгляд справи або суддя не мають права брати участь у розгляді справи у наступних випадках:</w:t>
      </w:r>
    </w:p>
    <w:p w14:paraId="525375BC" w14:textId="77777777" w:rsidR="001C6AA0" w:rsidRPr="00914D61" w:rsidRDefault="001C6AA0" w:rsidP="001C6AA0">
      <w:pPr>
        <w:ind w:firstLine="708"/>
        <w:jc w:val="both"/>
        <w:rPr>
          <w:rStyle w:val="rvts44"/>
        </w:rPr>
      </w:pPr>
      <w:r w:rsidRPr="00914D61">
        <w:rPr>
          <w:rStyle w:val="rvts44"/>
        </w:rPr>
        <w:t>1) якщо він брав або бере участь у розгляді цієї справи або пов’язаної з нею справи як представник, секретар судового засідання, свідок, експерт, спеціаліст, перекладач;</w:t>
      </w:r>
    </w:p>
    <w:p w14:paraId="66D89D50" w14:textId="77777777" w:rsidR="001C6AA0" w:rsidRPr="00914D61" w:rsidRDefault="001C6AA0" w:rsidP="001C6AA0">
      <w:pPr>
        <w:ind w:firstLine="708"/>
        <w:jc w:val="both"/>
        <w:rPr>
          <w:rStyle w:val="rvts44"/>
        </w:rPr>
      </w:pPr>
      <w:r w:rsidRPr="00914D61">
        <w:rPr>
          <w:rStyle w:val="rvts44"/>
        </w:rPr>
        <w:t>2) якщо він є особою, яка притягується до відповідальності за дане адміністративне правопорушення або є потерпілим від даного правопорушення;</w:t>
      </w:r>
    </w:p>
    <w:p w14:paraId="1F17F51C" w14:textId="77777777" w:rsidR="001C6AA0" w:rsidRPr="00914D61" w:rsidRDefault="001C6AA0" w:rsidP="001C6AA0">
      <w:pPr>
        <w:ind w:firstLine="708"/>
        <w:jc w:val="both"/>
        <w:rPr>
          <w:rStyle w:val="rvts44"/>
        </w:rPr>
      </w:pPr>
      <w:r w:rsidRPr="00914D61">
        <w:rPr>
          <w:rStyle w:val="rvts44"/>
        </w:rPr>
        <w:t>3) якщо він прямо чи опосередковано заінтересований в результаті розгляду справи;</w:t>
      </w:r>
    </w:p>
    <w:p w14:paraId="7522EDFD" w14:textId="77777777" w:rsidR="001C6AA0" w:rsidRPr="00914D61" w:rsidRDefault="001C6AA0" w:rsidP="001C6AA0">
      <w:pPr>
        <w:ind w:firstLine="708"/>
        <w:jc w:val="both"/>
        <w:rPr>
          <w:rStyle w:val="rvts44"/>
        </w:rPr>
      </w:pPr>
      <w:r w:rsidRPr="00914D61">
        <w:rPr>
          <w:rStyle w:val="rvts44"/>
        </w:rPr>
        <w:t>4) якщо він є членом сім’ї або близьким родичем (чоловіком, дружиною, батьком, матір’ю, вітчимом, мачухою, сином, дочкою, пасинком, падчеркою, братом, сестрою, дідом, бабою, внуком, онукою, усиновлювачем або усиновленим, членом сім’ї або близьким родичем цих осіб) сторони по справі або інших осіб, які беруть участь у справі;</w:t>
      </w:r>
    </w:p>
    <w:p w14:paraId="5810F34D" w14:textId="77777777" w:rsidR="001C6AA0" w:rsidRPr="00914D61" w:rsidRDefault="001C6AA0" w:rsidP="001C6AA0">
      <w:pPr>
        <w:ind w:firstLine="708"/>
        <w:jc w:val="both"/>
        <w:rPr>
          <w:rStyle w:val="rvts44"/>
        </w:rPr>
      </w:pPr>
      <w:r w:rsidRPr="00914D61">
        <w:rPr>
          <w:rStyle w:val="rvts44"/>
        </w:rPr>
        <w:t>5) за наявності інших підстав, що викликають сумнів у його упередженості.</w:t>
      </w:r>
    </w:p>
    <w:p w14:paraId="1D52BC7F" w14:textId="77777777" w:rsidR="001C6AA0" w:rsidRPr="00914D61" w:rsidRDefault="001C6AA0" w:rsidP="001C6AA0">
      <w:pPr>
        <w:ind w:firstLine="708"/>
        <w:jc w:val="both"/>
        <w:rPr>
          <w:rStyle w:val="rvts44"/>
        </w:rPr>
      </w:pPr>
      <w:r w:rsidRPr="00914D61">
        <w:rPr>
          <w:rStyle w:val="rvts44"/>
        </w:rPr>
        <w:t>Суддя не має права брати участь у розгляді справи про адміністративне правопорушення також у випадку, якщо було порушено порядок автоматичного визначення судді, що здійснює розгляд справи. Суддя апеляційного суду не може здійснювати перегляд постанов по справах, в яких він брав участь в якості судді в суді першої інстанції.</w:t>
      </w:r>
    </w:p>
    <w:p w14:paraId="0A1620B8" w14:textId="77777777" w:rsidR="001C6AA0" w:rsidRPr="00914D61" w:rsidRDefault="001C6AA0" w:rsidP="001C6AA0">
      <w:pPr>
        <w:ind w:firstLine="708"/>
        <w:jc w:val="both"/>
        <w:rPr>
          <w:rStyle w:val="rvts44"/>
        </w:rPr>
      </w:pPr>
      <w:r w:rsidRPr="00914D61">
        <w:rPr>
          <w:rStyle w:val="rvts44"/>
        </w:rPr>
        <w:t xml:space="preserve">Особи, визначені у частинах першій та другій цієї статті зобов’язані подати самовідвід. З цих же підстав заяву про відвід може подати будь-який учасник судового розгляду. Заява </w:t>
      </w:r>
      <w:r w:rsidRPr="00914D61">
        <w:rPr>
          <w:rStyle w:val="rvts44"/>
        </w:rPr>
        <w:lastRenderedPageBreak/>
        <w:t>про відвід подається до початку дослідження матеріалів справи, а після цього – лише якщо відомості, які стали підставою для відводу, були отримані стороною після цього строку.</w:t>
      </w:r>
    </w:p>
    <w:p w14:paraId="0DF1D863" w14:textId="77777777" w:rsidR="001C6AA0" w:rsidRPr="00914D61" w:rsidRDefault="001C6AA0" w:rsidP="001C6AA0">
      <w:pPr>
        <w:ind w:firstLine="708"/>
        <w:jc w:val="both"/>
        <w:rPr>
          <w:rStyle w:val="rvts44"/>
        </w:rPr>
      </w:pPr>
      <w:r w:rsidRPr="00914D61">
        <w:rPr>
          <w:rStyle w:val="rvts44"/>
        </w:rPr>
        <w:t>Заява про відвід посадової особи, яка розглядає справу про адміністративне правопорушення, розглядається вищестоящим керівником цієї посадової особи. Заява про відвід члена колегіального органу розглядається цим колегіальним органом без участі особи (осіб), яким заявлений відвід (самовідвід). При цьому для визначення повноважності колегіального органу особи, яким заявлений відвід, не враховуються у загальному складі органу. Рішення про відвід (самовідвід) вважається прийнятим, якщо за нього проголосує більшість присутніх членів колегіального органу. В разі рівного поділу голосів відвід (самовідвід) вважається задоволеним.</w:t>
      </w:r>
    </w:p>
    <w:p w14:paraId="12070185" w14:textId="77777777" w:rsidR="001C6AA0" w:rsidRPr="00914D61" w:rsidRDefault="001C6AA0" w:rsidP="001C6AA0">
      <w:pPr>
        <w:ind w:firstLine="708"/>
        <w:jc w:val="both"/>
        <w:rPr>
          <w:rStyle w:val="rvts44"/>
        </w:rPr>
      </w:pPr>
      <w:r w:rsidRPr="00914D61">
        <w:rPr>
          <w:rStyle w:val="rvts44"/>
        </w:rPr>
        <w:t>Заява про самовідвід судді вирішується суддею, який заявив про самовідвід. Заява про відвід судді подана не пізніше, як за 2 дні до дня розгляду справи, розглядається іншим суддею цього суду без виклику сторін. Суддя, якому заявлений відвід, може подати письмові пояснення щодо мотивів для відводу. Заява, подана пізніше, як за 2 дні до дня розгляду справи розглядається складом суду, що розглядає справу. Постанова про задоволення або відмову у задоволенні відводу оскарженню не підлягає.</w:t>
      </w:r>
    </w:p>
    <w:p w14:paraId="31D1FD98" w14:textId="77777777" w:rsidR="001C6AA0" w:rsidRPr="00914D61" w:rsidRDefault="001C6AA0" w:rsidP="001C6AA0">
      <w:pPr>
        <w:ind w:firstLine="708"/>
        <w:jc w:val="both"/>
        <w:rPr>
          <w:rStyle w:val="rvts44"/>
        </w:rPr>
      </w:pPr>
      <w:r w:rsidRPr="00914D61">
        <w:rPr>
          <w:rStyle w:val="rvts44"/>
        </w:rPr>
        <w:t>У разі відводу (самовідводу) посадової особи, яка розглядає справу про адміністративне правопорушення керівник цієї особи визначає іншу особу, яка буде здійснювати розгляд справи або розглядає її самостійно. У разі задоволення відводу (самовідводу) члену (членам) колегіального органу, що здійснює розгляд справи про адміністративне правопорушення, справа продовжує розглядатися цим же органом без участі відведених осіб. При цьому для мети визначення повноважності колегіального органу відведені особи не враховуються у його загальному складі.</w:t>
      </w:r>
    </w:p>
    <w:p w14:paraId="5FFA857C" w14:textId="77777777" w:rsidR="001C6AA0" w:rsidRPr="00914D61" w:rsidRDefault="001C6AA0" w:rsidP="001C6AA0">
      <w:pPr>
        <w:ind w:firstLine="708"/>
        <w:jc w:val="both"/>
        <w:rPr>
          <w:rStyle w:val="rvts44"/>
        </w:rPr>
      </w:pPr>
      <w:r w:rsidRPr="00914D61">
        <w:rPr>
          <w:rStyle w:val="rvts44"/>
        </w:rPr>
        <w:t>У разі задоволення відводу (самовідводу) судді справа розглядається іншим суддею цього ж суду, який визначається автоматизованою системою документообігу суду. Участь судді у розгляді справи про відвід не перешкоджає його участі у вирішенні цієї ж справи про адміністративне правопорушення.</w:t>
      </w:r>
    </w:p>
    <w:p w14:paraId="28DFDB03" w14:textId="77777777" w:rsidR="001C6AA0" w:rsidRDefault="001C6AA0" w:rsidP="001C6AA0">
      <w:pPr>
        <w:ind w:firstLine="708"/>
        <w:jc w:val="both"/>
        <w:rPr>
          <w:rStyle w:val="rvts44"/>
        </w:rPr>
      </w:pPr>
      <w:r w:rsidRPr="00914D61">
        <w:rPr>
          <w:rStyle w:val="rvts44"/>
        </w:rPr>
        <w:t xml:space="preserve">Повторно подана заява про відвід з тих самих мотивів, а також заява про відвід подана із явним зловживанням правом на відвід залишається без розгляду особою, яка розглядає справу про адміністративне правопорушення або головуючим на засіданні колегіального органу, що здійснює такий розгляд.» </w:t>
      </w:r>
    </w:p>
    <w:p w14:paraId="2EE1CA52" w14:textId="77777777" w:rsidR="001C6AA0" w:rsidRDefault="001C6AA0" w:rsidP="001C6AA0">
      <w:pPr>
        <w:ind w:firstLine="708"/>
        <w:jc w:val="both"/>
      </w:pPr>
      <w:r>
        <w:rPr>
          <w:rStyle w:val="rvts44"/>
        </w:rPr>
        <w:t xml:space="preserve">5. У Кримінальному процесуальному кодексі України </w:t>
      </w:r>
      <w:r w:rsidRPr="00993881">
        <w:t>(Відомості Верховної Ради України (ВВР), 2013, № 9-10, № 11-12, № 13, ст.88)</w:t>
      </w:r>
      <w:r>
        <w:t xml:space="preserve"> статтю 81 доповнити частиною п’ятою наступного змісту:</w:t>
      </w:r>
    </w:p>
    <w:p w14:paraId="271B8987" w14:textId="77777777" w:rsidR="001C6AA0" w:rsidRPr="00914D61" w:rsidRDefault="001C6AA0" w:rsidP="001C6AA0">
      <w:pPr>
        <w:ind w:firstLine="708"/>
        <w:jc w:val="both"/>
        <w:rPr>
          <w:rStyle w:val="rvts44"/>
        </w:rPr>
      </w:pPr>
      <w:r>
        <w:t>«5. Заява про самовідвід судді, що здійснює судочинство одноособово або слідчого судді розглядається цим же суддею або слідчим суддею.»</w:t>
      </w:r>
    </w:p>
    <w:p w14:paraId="6677BC6F" w14:textId="77777777" w:rsidR="001C6AA0" w:rsidRDefault="001C6AA0" w:rsidP="001C6AA0">
      <w:pPr>
        <w:ind w:firstLine="709"/>
        <w:jc w:val="both"/>
      </w:pPr>
      <w:r w:rsidRPr="00914D61">
        <w:t xml:space="preserve">II. </w:t>
      </w:r>
      <w:r>
        <w:t>Прикінцеві положення</w:t>
      </w:r>
    </w:p>
    <w:p w14:paraId="1A84D79A" w14:textId="77777777" w:rsidR="001C6AA0" w:rsidRDefault="001C6AA0" w:rsidP="001C6AA0">
      <w:pPr>
        <w:ind w:firstLine="709"/>
        <w:jc w:val="both"/>
      </w:pPr>
      <w:r>
        <w:t xml:space="preserve">1. </w:t>
      </w:r>
      <w:r w:rsidRPr="00914D61">
        <w:t>Цей Закон набирає чинності через 1 місяц</w:t>
      </w:r>
      <w:r>
        <w:t>ь</w:t>
      </w:r>
      <w:r w:rsidRPr="00914D61">
        <w:t xml:space="preserve"> з дня, наступ</w:t>
      </w:r>
      <w:r>
        <w:t>ного за днем його опублікування, крім пунктів 2 та 3 цього розділу.</w:t>
      </w:r>
    </w:p>
    <w:p w14:paraId="754FEA49" w14:textId="77777777" w:rsidR="001C6AA0" w:rsidRDefault="001C6AA0" w:rsidP="001C6AA0">
      <w:pPr>
        <w:ind w:firstLine="709"/>
        <w:jc w:val="both"/>
      </w:pPr>
      <w:r>
        <w:t>2. Рекомендувати Державній судовій адміністрації протягом 20 днів з дня опублікування цього Закону забезпечити зміни у автоматизованій системі документообігу суду з метою забезпечення визначення суддів, що здійснюють розгляд заяв про відвід у випадках, передбачених цим законом.</w:t>
      </w:r>
    </w:p>
    <w:p w14:paraId="15DBED54" w14:textId="77777777" w:rsidR="001C6AA0" w:rsidRPr="00914D61" w:rsidRDefault="001C6AA0" w:rsidP="001C6AA0">
      <w:pPr>
        <w:ind w:firstLine="709"/>
        <w:jc w:val="both"/>
      </w:pPr>
      <w:r>
        <w:t>3. Рекомендувати Раді Суддів України внести зміни до Положення про автоматизовану систему документообігу судів з метою приведення його у відповідність із цим Законом.</w:t>
      </w:r>
    </w:p>
    <w:p w14:paraId="312C7E44" w14:textId="77777777" w:rsidR="001C6AA0" w:rsidRPr="00914D61" w:rsidRDefault="001C6AA0" w:rsidP="001C6AA0">
      <w:pPr>
        <w:ind w:firstLine="709"/>
        <w:jc w:val="both"/>
      </w:pPr>
    </w:p>
    <w:p w14:paraId="12F4CCE0" w14:textId="77777777" w:rsidR="001C6AA0" w:rsidRPr="00914D61" w:rsidRDefault="001C6AA0" w:rsidP="001C6AA0">
      <w:pPr>
        <w:ind w:firstLine="709"/>
        <w:rPr>
          <w:b/>
          <w:bCs/>
        </w:rPr>
      </w:pPr>
      <w:r w:rsidRPr="00914D61">
        <w:rPr>
          <w:b/>
          <w:bCs/>
        </w:rPr>
        <w:t xml:space="preserve">Голова Верховної Ради </w:t>
      </w:r>
    </w:p>
    <w:p w14:paraId="54645C81" w14:textId="77777777" w:rsidR="001C6AA0" w:rsidRPr="00914D61" w:rsidRDefault="001C6AA0" w:rsidP="001C6AA0">
      <w:pPr>
        <w:ind w:left="711" w:firstLine="709"/>
        <w:rPr>
          <w:b/>
          <w:bCs/>
        </w:rPr>
      </w:pPr>
      <w:r w:rsidRPr="00914D61">
        <w:rPr>
          <w:b/>
          <w:bCs/>
        </w:rPr>
        <w:t xml:space="preserve">   України</w:t>
      </w:r>
      <w:r w:rsidRPr="00914D61">
        <w:rPr>
          <w:b/>
          <w:bCs/>
        </w:rPr>
        <w:tab/>
      </w:r>
      <w:r w:rsidRPr="00914D61">
        <w:rPr>
          <w:b/>
          <w:bCs/>
        </w:rPr>
        <w:tab/>
      </w:r>
      <w:r w:rsidRPr="00914D61">
        <w:rPr>
          <w:b/>
          <w:bCs/>
        </w:rPr>
        <w:tab/>
      </w:r>
      <w:r w:rsidRPr="00914D61">
        <w:rPr>
          <w:b/>
          <w:bCs/>
        </w:rPr>
        <w:tab/>
        <w:t xml:space="preserve">         </w:t>
      </w:r>
      <w:r w:rsidRPr="00914D61">
        <w:rPr>
          <w:b/>
          <w:bCs/>
        </w:rPr>
        <w:tab/>
      </w:r>
      <w:r w:rsidRPr="00914D61">
        <w:rPr>
          <w:b/>
          <w:bCs/>
        </w:rPr>
        <w:tab/>
      </w:r>
      <w:r w:rsidRPr="00914D61">
        <w:rPr>
          <w:b/>
          <w:bCs/>
        </w:rPr>
        <w:tab/>
      </w:r>
    </w:p>
    <w:p w14:paraId="293DA45F" w14:textId="70F4A8ED" w:rsidR="001C6AA0" w:rsidRPr="00525D3D" w:rsidRDefault="001C6AA0" w:rsidP="001C6AA0">
      <w:pPr>
        <w:widowControl w:val="0"/>
        <w:autoSpaceDE w:val="0"/>
        <w:autoSpaceDN w:val="0"/>
        <w:adjustRightInd w:val="0"/>
        <w:spacing w:line="360" w:lineRule="auto"/>
        <w:ind w:left="57" w:right="57" w:firstLine="709"/>
        <w:jc w:val="right"/>
        <w:rPr>
          <w:rFonts w:ascii="Times New Roman CYR" w:eastAsia="MS Mincho" w:hAnsi="Times New Roman CYR" w:cs="Times New Roman CYR"/>
          <w:b/>
          <w:sz w:val="28"/>
          <w:szCs w:val="28"/>
          <w:lang w:val="uk-UA"/>
        </w:rPr>
      </w:pPr>
      <w:r>
        <w:rPr>
          <w:rFonts w:ascii="Times New Roman CYR" w:eastAsia="MS Mincho" w:hAnsi="Times New Roman CYR" w:cs="Times New Roman CYR"/>
          <w:sz w:val="28"/>
          <w:szCs w:val="28"/>
          <w:lang w:val="uk-UA"/>
        </w:rPr>
        <w:br w:type="page"/>
      </w:r>
      <w:r w:rsidRPr="00493F33">
        <w:rPr>
          <w:rFonts w:ascii="Times New Roman CYR" w:eastAsia="MS Mincho" w:hAnsi="Times New Roman CYR" w:cs="Times New Roman CYR"/>
          <w:b/>
          <w:sz w:val="28"/>
          <w:szCs w:val="28"/>
        </w:rPr>
        <w:lastRenderedPageBreak/>
        <w:t xml:space="preserve">Додаток </w:t>
      </w:r>
      <w:r w:rsidR="005E7022">
        <w:rPr>
          <w:rFonts w:ascii="Times New Roman CYR" w:eastAsia="MS Mincho" w:hAnsi="Times New Roman CYR" w:cs="Times New Roman CYR"/>
          <w:b/>
          <w:sz w:val="28"/>
          <w:szCs w:val="28"/>
          <w:lang w:val="uk-UA"/>
        </w:rPr>
        <w:t>Г</w:t>
      </w:r>
    </w:p>
    <w:p w14:paraId="3CD78C61" w14:textId="77777777" w:rsidR="001C6AA0" w:rsidRDefault="001C6AA0" w:rsidP="001C6AA0">
      <w:pPr>
        <w:jc w:val="center"/>
        <w:rPr>
          <w:rFonts w:ascii="Times New Roman CYR" w:eastAsia="MS Mincho" w:hAnsi="Times New Roman CYR" w:cs="Times New Roman CYR"/>
          <w:sz w:val="28"/>
          <w:szCs w:val="28"/>
          <w:lang w:val="uk-UA"/>
        </w:rPr>
      </w:pPr>
    </w:p>
    <w:p w14:paraId="34314419" w14:textId="77777777" w:rsidR="001C6AA0" w:rsidRPr="006433A5" w:rsidRDefault="001C6AA0" w:rsidP="001C6AA0">
      <w:pPr>
        <w:jc w:val="center"/>
        <w:rPr>
          <w:b/>
          <w:bCs/>
        </w:rPr>
      </w:pPr>
      <w:r w:rsidRPr="006433A5">
        <w:rPr>
          <w:b/>
          <w:bCs/>
        </w:rPr>
        <w:t>ПОЯСНЮВАЛЬНА ЗАПИСКА</w:t>
      </w:r>
    </w:p>
    <w:p w14:paraId="610E4B45" w14:textId="77777777" w:rsidR="001C6AA0" w:rsidRPr="00914D61" w:rsidRDefault="001C6AA0" w:rsidP="001C6AA0">
      <w:pPr>
        <w:jc w:val="center"/>
        <w:rPr>
          <w:b/>
          <w:bCs/>
        </w:rPr>
      </w:pPr>
      <w:r>
        <w:rPr>
          <w:b/>
          <w:bCs/>
        </w:rPr>
        <w:t>до проекту</w:t>
      </w:r>
      <w:r w:rsidRPr="001A2C31">
        <w:rPr>
          <w:b/>
          <w:bCs/>
        </w:rPr>
        <w:t xml:space="preserve"> </w:t>
      </w:r>
      <w:r>
        <w:rPr>
          <w:b/>
          <w:bCs/>
        </w:rPr>
        <w:t>Закону України «</w:t>
      </w:r>
      <w:r w:rsidRPr="00914D61">
        <w:rPr>
          <w:b/>
          <w:bCs/>
        </w:rPr>
        <w:t>Про внесення змін до деяких законодавчих актів щодо</w:t>
      </w:r>
      <w:r>
        <w:rPr>
          <w:b/>
          <w:bCs/>
        </w:rPr>
        <w:t xml:space="preserve"> забезпечення процедури відводу»</w:t>
      </w:r>
    </w:p>
    <w:p w14:paraId="7C6A8E3F" w14:textId="77777777" w:rsidR="001C6AA0" w:rsidRPr="006C1097" w:rsidRDefault="001C6AA0" w:rsidP="001C6AA0">
      <w:pPr>
        <w:jc w:val="center"/>
        <w:rPr>
          <w:b/>
          <w:bCs/>
        </w:rPr>
      </w:pPr>
    </w:p>
    <w:p w14:paraId="1EE01494" w14:textId="77777777" w:rsidR="001C6AA0" w:rsidRPr="005A59DD" w:rsidRDefault="001C6AA0" w:rsidP="001C6AA0">
      <w:pPr>
        <w:jc w:val="center"/>
        <w:rPr>
          <w:b/>
          <w:bCs/>
        </w:rPr>
      </w:pPr>
    </w:p>
    <w:p w14:paraId="158237D4" w14:textId="77777777" w:rsidR="001C6AA0" w:rsidRDefault="001C6AA0" w:rsidP="001C6AA0">
      <w:pPr>
        <w:numPr>
          <w:ilvl w:val="0"/>
          <w:numId w:val="6"/>
        </w:numPr>
        <w:tabs>
          <w:tab w:val="left" w:pos="1120"/>
        </w:tabs>
        <w:ind w:hanging="720"/>
        <w:jc w:val="both"/>
        <w:rPr>
          <w:b/>
          <w:bCs/>
        </w:rPr>
      </w:pPr>
      <w:r w:rsidRPr="006433A5">
        <w:rPr>
          <w:b/>
          <w:bCs/>
        </w:rPr>
        <w:t>Обґрунтування необхідності прийняття Закону України</w:t>
      </w:r>
      <w:r w:rsidRPr="00453E4C">
        <w:rPr>
          <w:b/>
          <w:bCs/>
        </w:rPr>
        <w:t xml:space="preserve"> </w:t>
      </w:r>
    </w:p>
    <w:p w14:paraId="3FA46D1F" w14:textId="77777777" w:rsidR="001C6AA0" w:rsidRDefault="001C6AA0" w:rsidP="001C6AA0">
      <w:pPr>
        <w:jc w:val="both"/>
        <w:rPr>
          <w:b/>
          <w:bCs/>
        </w:rPr>
      </w:pPr>
    </w:p>
    <w:p w14:paraId="21FB2571" w14:textId="77777777" w:rsidR="001C6AA0" w:rsidRDefault="001C6AA0" w:rsidP="001C6AA0">
      <w:pPr>
        <w:tabs>
          <w:tab w:val="left" w:pos="0"/>
          <w:tab w:val="left" w:pos="916"/>
          <w:tab w:val="left" w:pos="11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t>Право на розгляд справи неупередженим судом, встановленим відповідно до Закону, є частиною конституційних гарантій судочинства, а також передбачається статтею 6 Європейської конвенції про захист прав та основоположних свобод людини. Однією із процесуальних гарантій цього права є забезпечення процедури відводу або самовідводу судді у ситуації, коли суддя має особистий інтерес у результат розгляду справи, має конфлікт інтересів або іншим чином упереджений відносно будь-якої сторони.</w:t>
      </w:r>
    </w:p>
    <w:p w14:paraId="3AD81819" w14:textId="77777777" w:rsidR="001C6AA0" w:rsidRDefault="001C6AA0" w:rsidP="001C6AA0">
      <w:pPr>
        <w:tabs>
          <w:tab w:val="left" w:pos="0"/>
          <w:tab w:val="left" w:pos="916"/>
          <w:tab w:val="left" w:pos="11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t xml:space="preserve">Процедура розгляду заяви про відвід у різних видах судочинства змінювалася протягом всього періоду розвитку вітчизняного процесуального законодавства. На даний час у цивільному, адміністративному та господарському судочинстві відвід розглядається тим самим складом суду з участю судді, якому заявлений такий відвід. При одноособовому розгляду справи суддя вирішує заяву про власний відвід самостійно. Разом з тим в процесі про адміністративні правопорушення інститут відводу повністю відсутній та використовується суддями «за аналогією». </w:t>
      </w:r>
    </w:p>
    <w:p w14:paraId="0F214BD4" w14:textId="77777777" w:rsidR="001C6AA0" w:rsidRDefault="001C6AA0" w:rsidP="001C6AA0">
      <w:pPr>
        <w:tabs>
          <w:tab w:val="left" w:pos="0"/>
          <w:tab w:val="left" w:pos="916"/>
          <w:tab w:val="left" w:pos="11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t>В кримінальному процесі відвід судді, що здійснює судочинство одноособово, розглядається іншим суддею цього ж суду. При цьому недопущення зловживанням права на відвід забезпечується участю в процесі професійних адвокатів, а також можливістю залишення заяви без розгляду у разі повторного подання такої заяви.</w:t>
      </w:r>
    </w:p>
    <w:p w14:paraId="0B66C834" w14:textId="77777777" w:rsidR="001C6AA0" w:rsidRPr="00644B29" w:rsidRDefault="001C6AA0" w:rsidP="001C6AA0">
      <w:pPr>
        <w:tabs>
          <w:tab w:val="left" w:pos="0"/>
          <w:tab w:val="left" w:pos="916"/>
          <w:tab w:val="left" w:pos="11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p>
    <w:p w14:paraId="011B319C" w14:textId="77777777" w:rsidR="001C6AA0" w:rsidRDefault="001C6AA0" w:rsidP="001C6AA0">
      <w:pPr>
        <w:numPr>
          <w:ilvl w:val="0"/>
          <w:numId w:val="6"/>
        </w:numPr>
        <w:tabs>
          <w:tab w:val="left" w:pos="1120"/>
        </w:tabs>
        <w:ind w:hanging="720"/>
        <w:jc w:val="both"/>
        <w:rPr>
          <w:b/>
          <w:bCs/>
        </w:rPr>
      </w:pPr>
      <w:r w:rsidRPr="005B7147">
        <w:rPr>
          <w:b/>
          <w:bCs/>
        </w:rPr>
        <w:t>Цілі та завдання прийняття законопроекту</w:t>
      </w:r>
    </w:p>
    <w:p w14:paraId="0B4AE26D" w14:textId="77777777" w:rsidR="001C6AA0" w:rsidRDefault="001C6AA0" w:rsidP="001C6AA0">
      <w:pPr>
        <w:tabs>
          <w:tab w:val="left" w:pos="1120"/>
        </w:tabs>
        <w:ind w:left="1429" w:hanging="1429"/>
        <w:jc w:val="both"/>
      </w:pPr>
    </w:p>
    <w:p w14:paraId="52DD1E47" w14:textId="77777777" w:rsidR="001C6AA0" w:rsidRPr="0054280D" w:rsidRDefault="001C6AA0" w:rsidP="001C6AA0">
      <w:pPr>
        <w:ind w:firstLine="709"/>
        <w:jc w:val="both"/>
      </w:pPr>
      <w:r>
        <w:t>Законопроект спрямований на запровадження уніфікованої процедури забезпечення розгляду заяви про відвід та самовідвід судді з дотриманням балансу інтересів сторін та унеможливлення затягування процесу через штучні заяви про відвід.</w:t>
      </w:r>
    </w:p>
    <w:p w14:paraId="07DF755B" w14:textId="77777777" w:rsidR="001C6AA0" w:rsidRDefault="001C6AA0" w:rsidP="001C6AA0">
      <w:pPr>
        <w:ind w:firstLine="709"/>
        <w:jc w:val="both"/>
        <w:rPr>
          <w:snapToGrid w:val="0"/>
        </w:rPr>
      </w:pPr>
    </w:p>
    <w:p w14:paraId="22A5E0E7" w14:textId="77777777" w:rsidR="001C6AA0" w:rsidRDefault="001C6AA0" w:rsidP="001C6AA0">
      <w:pPr>
        <w:numPr>
          <w:ilvl w:val="0"/>
          <w:numId w:val="7"/>
        </w:numPr>
        <w:tabs>
          <w:tab w:val="clear" w:pos="1080"/>
          <w:tab w:val="left" w:pos="708"/>
          <w:tab w:val="left" w:pos="916"/>
          <w:tab w:val="left" w:pos="11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rPr>
          <w:b/>
          <w:bCs/>
        </w:rPr>
      </w:pPr>
      <w:r w:rsidRPr="005B7147">
        <w:rPr>
          <w:b/>
          <w:bCs/>
        </w:rPr>
        <w:t>Загальна характеристика та основні положення законопроекту</w:t>
      </w:r>
    </w:p>
    <w:p w14:paraId="50B1C446" w14:textId="77777777" w:rsidR="001C6AA0" w:rsidRPr="00644B29" w:rsidRDefault="001C6AA0" w:rsidP="001C6AA0">
      <w:pPr>
        <w:ind w:firstLine="709"/>
        <w:jc w:val="both"/>
      </w:pPr>
    </w:p>
    <w:p w14:paraId="4EC3A0C6" w14:textId="77777777" w:rsidR="001C6AA0" w:rsidRDefault="001C6AA0" w:rsidP="001C6AA0">
      <w:pPr>
        <w:ind w:firstLine="709"/>
        <w:jc w:val="both"/>
      </w:pPr>
      <w:r>
        <w:t>Законопроектом пропонується запровадити уніфіковану систему розгляду заяв про відвід та самовідвід в адміністративному, господарському та цивільному судочинстві, а також запровадити інститут відводу в процесі розгляду справ про адміністративні правопорушення.</w:t>
      </w:r>
    </w:p>
    <w:p w14:paraId="41FBA29F" w14:textId="77777777" w:rsidR="001C6AA0" w:rsidRDefault="001C6AA0" w:rsidP="001C6AA0">
      <w:pPr>
        <w:ind w:firstLine="709"/>
        <w:jc w:val="both"/>
      </w:pPr>
      <w:r>
        <w:t>Пропонується наступна загальна схема розгляду заяви про відвід (самовідвід) судді:</w:t>
      </w:r>
    </w:p>
    <w:p w14:paraId="6D9A8DAB" w14:textId="77777777" w:rsidR="001C6AA0" w:rsidRDefault="001C6AA0" w:rsidP="001C6AA0">
      <w:pPr>
        <w:ind w:firstLine="709"/>
        <w:jc w:val="both"/>
      </w:pPr>
      <w:r>
        <w:t>1) Заява про відвід або самовідвід судді, що входить до складу колегії суддів, кільком членам колегії суддів або всьому складу колегії розглядається цієї ж колегією суддів – тобто, залишається існуюча процедура;</w:t>
      </w:r>
    </w:p>
    <w:p w14:paraId="5D39C624" w14:textId="77777777" w:rsidR="001C6AA0" w:rsidRDefault="001C6AA0" w:rsidP="001C6AA0">
      <w:pPr>
        <w:ind w:firstLine="709"/>
        <w:jc w:val="both"/>
      </w:pPr>
      <w:r>
        <w:t xml:space="preserve">2) Заява про самовідвід судді, що розглядає справу одноособово здійснюється тим же суддею. </w:t>
      </w:r>
    </w:p>
    <w:p w14:paraId="0C733803" w14:textId="77777777" w:rsidR="001C6AA0" w:rsidRDefault="001C6AA0" w:rsidP="001C6AA0">
      <w:pPr>
        <w:ind w:firstLine="709"/>
        <w:jc w:val="both"/>
      </w:pPr>
      <w:r>
        <w:t>3) Заява про відвід судді, що розглядає справу одноособово може розглядатися двома способами:</w:t>
      </w:r>
    </w:p>
    <w:p w14:paraId="3B3871E7" w14:textId="77777777" w:rsidR="001C6AA0" w:rsidRDefault="001C6AA0" w:rsidP="001C6AA0">
      <w:pPr>
        <w:ind w:firstLine="709"/>
        <w:jc w:val="both"/>
      </w:pPr>
      <w:r>
        <w:t>а) якщо заява подана за 2 дні до дня судового засідання або раніше, то вона розподіляється на іншого суддю цього ж суду, який вирішує її без виклику сторін. При цьому суддя, якому заявлений відвід, може подати письмові пояснення.</w:t>
      </w:r>
    </w:p>
    <w:p w14:paraId="7F768833" w14:textId="77777777" w:rsidR="001C6AA0" w:rsidRDefault="001C6AA0" w:rsidP="001C6AA0">
      <w:pPr>
        <w:ind w:firstLine="709"/>
        <w:jc w:val="both"/>
      </w:pPr>
      <w:r>
        <w:t xml:space="preserve">б) якщо заява про відвід подана пізніше, ніж за 2 дні до дня судового засідання то вона розглядається тим же суддею, якому заявлений відвід – як це існує зараз. У кримінальному </w:t>
      </w:r>
      <w:r>
        <w:lastRenderedPageBreak/>
        <w:t>процесі процедура не змінюється – тут заява про відвід судді, який розглядає справу одноособово, завжди розглядається іншим суддею, коли б вона не була подана.</w:t>
      </w:r>
    </w:p>
    <w:p w14:paraId="01541234" w14:textId="77777777" w:rsidR="001C6AA0" w:rsidRDefault="001C6AA0" w:rsidP="001C6AA0">
      <w:pPr>
        <w:ind w:firstLine="709"/>
        <w:jc w:val="both"/>
      </w:pPr>
      <w:r>
        <w:t>Також пропонується запровадити механізм відводу в процесі розгляду справи про адміністративні правопорушення. При цьому окремо прописується порядок відводу члена колегіального органу, що здійснює розгляд таких справ у визначених законом випадках – за аналогією із відводом судді у колегії суддів. Окремо пропонується запровадити процедуру відводу посадової особи, яка розглядає справу про адміністративне правопорушення – заява про відвід має розглядатися її керівником.</w:t>
      </w:r>
    </w:p>
    <w:p w14:paraId="114B0A2B" w14:textId="77777777" w:rsidR="001C6AA0" w:rsidRDefault="001C6AA0" w:rsidP="001C6AA0">
      <w:pPr>
        <w:ind w:firstLine="709"/>
        <w:jc w:val="both"/>
      </w:pPr>
      <w:r>
        <w:t>Право суду залишати без розгляду заяву про відвід, яка подана повторно з тих самих підстав не виходячи до нарадчої кімнати унфікується і запроваджується в усіх видах судочинства.</w:t>
      </w:r>
    </w:p>
    <w:p w14:paraId="06D1CCB9" w14:textId="77777777" w:rsidR="001C6AA0" w:rsidRDefault="001C6AA0" w:rsidP="001C6AA0">
      <w:pPr>
        <w:ind w:firstLine="709"/>
        <w:jc w:val="both"/>
      </w:pPr>
      <w:r>
        <w:t>У разі запровадження зазначеного механізму кожен матиме реальне право забезпечити належний розгляд його заяви про відвід іншим суддею не зриваючи при цьому розгляд справи. В очевидних випадках виникнення упередженості вже під час судового процесу особа не буде позбавлена можливості подання заяви про відвід, але розглядатися вона буде вже буде за існуючою процедурою. Тим самим буде досягнуто баланс між право на відвід та правом на швидке відправлення правосуддя.</w:t>
      </w:r>
    </w:p>
    <w:p w14:paraId="39A77D8E" w14:textId="77777777" w:rsidR="001C6AA0" w:rsidRDefault="001C6AA0" w:rsidP="001C6AA0">
      <w:pPr>
        <w:ind w:firstLine="709"/>
        <w:jc w:val="both"/>
      </w:pPr>
    </w:p>
    <w:p w14:paraId="69889673" w14:textId="77777777" w:rsidR="001C6AA0" w:rsidRPr="005B7147" w:rsidRDefault="001C6AA0" w:rsidP="001C6AA0">
      <w:pPr>
        <w:numPr>
          <w:ilvl w:val="0"/>
          <w:numId w:val="7"/>
        </w:numPr>
        <w:tabs>
          <w:tab w:val="clear" w:pos="1080"/>
          <w:tab w:val="num" w:pos="360"/>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jc w:val="both"/>
        <w:rPr>
          <w:b/>
          <w:bCs/>
        </w:rPr>
      </w:pPr>
      <w:r w:rsidRPr="005B7147">
        <w:rPr>
          <w:b/>
          <w:bCs/>
        </w:rPr>
        <w:t>Стан нормативно-правової бази у даній сфері правового регулювання</w:t>
      </w:r>
    </w:p>
    <w:p w14:paraId="3800A47A" w14:textId="77777777" w:rsidR="001C6AA0" w:rsidRDefault="001C6AA0" w:rsidP="001C6AA0">
      <w:pPr>
        <w:tabs>
          <w:tab w:val="left" w:pos="1120"/>
        </w:tabs>
        <w:ind w:firstLine="709"/>
        <w:jc w:val="both"/>
        <w:rPr>
          <w:spacing w:val="-6"/>
        </w:rPr>
      </w:pPr>
    </w:p>
    <w:p w14:paraId="0BB2A8FA" w14:textId="77777777" w:rsidR="001C6AA0" w:rsidRPr="00525D3D" w:rsidRDefault="001C6AA0" w:rsidP="001C6AA0">
      <w:pPr>
        <w:tabs>
          <w:tab w:val="left" w:pos="1120"/>
        </w:tabs>
        <w:ind w:firstLine="709"/>
        <w:jc w:val="both"/>
      </w:pPr>
      <w:r>
        <w:rPr>
          <w:spacing w:val="-6"/>
        </w:rPr>
        <w:t xml:space="preserve">Питання розгляду заяви про відвід регулюється процесуальним законодавством України: Цивільним процесуальним кодексом України, Господарський процесуальним кодексом України, Кримінальним процесуальним кодексом України та Кодексом адміністративного судочинства України. Порядок розгляд справ про адміністративні правопорушення регулюються Кодексом України про адміністративні </w:t>
      </w:r>
      <w:r w:rsidRPr="00525D3D">
        <w:rPr>
          <w:spacing w:val="-6"/>
        </w:rPr>
        <w:t>правопорушення.</w:t>
      </w:r>
    </w:p>
    <w:p w14:paraId="60092B53" w14:textId="77777777" w:rsidR="001C6AA0" w:rsidRPr="00525D3D" w:rsidRDefault="001C6AA0" w:rsidP="001C6AA0">
      <w:pPr>
        <w:tabs>
          <w:tab w:val="left" w:pos="1120"/>
        </w:tabs>
        <w:ind w:firstLine="709"/>
        <w:jc w:val="both"/>
        <w:rPr>
          <w:b/>
          <w:bCs/>
          <w:snapToGrid w:val="0"/>
        </w:rPr>
      </w:pPr>
    </w:p>
    <w:p w14:paraId="5AD00B4F" w14:textId="77777777" w:rsidR="001C6AA0" w:rsidRPr="00525D3D" w:rsidRDefault="001C6AA0" w:rsidP="001C6AA0">
      <w:pPr>
        <w:numPr>
          <w:ilvl w:val="0"/>
          <w:numId w:val="8"/>
        </w:numPr>
        <w:tabs>
          <w:tab w:val="clear" w:pos="1080"/>
          <w:tab w:val="left" w:pos="1120"/>
        </w:tabs>
        <w:ind w:left="0" w:firstLine="709"/>
        <w:jc w:val="both"/>
        <w:rPr>
          <w:b/>
          <w:bCs/>
          <w:snapToGrid w:val="0"/>
        </w:rPr>
      </w:pPr>
      <w:r w:rsidRPr="00525D3D">
        <w:rPr>
          <w:b/>
          <w:bCs/>
          <w:snapToGrid w:val="0"/>
        </w:rPr>
        <w:t>Фінансово-економічне обґрунтування</w:t>
      </w:r>
    </w:p>
    <w:p w14:paraId="7A4EAEB6" w14:textId="77777777" w:rsidR="001C6AA0" w:rsidRPr="00525D3D" w:rsidRDefault="001C6AA0" w:rsidP="001C6AA0">
      <w:pPr>
        <w:pStyle w:val="ae"/>
        <w:tabs>
          <w:tab w:val="left" w:pos="1120"/>
        </w:tabs>
        <w:spacing w:after="0"/>
        <w:ind w:left="284" w:firstLine="709"/>
        <w:jc w:val="both"/>
        <w:rPr>
          <w:sz w:val="24"/>
          <w:szCs w:val="24"/>
        </w:rPr>
      </w:pPr>
    </w:p>
    <w:p w14:paraId="3791743A" w14:textId="77777777" w:rsidR="001C6AA0" w:rsidRPr="00525D3D" w:rsidRDefault="001C6AA0" w:rsidP="001C6AA0">
      <w:pPr>
        <w:ind w:firstLine="708"/>
        <w:jc w:val="both"/>
        <w:rPr>
          <w:spacing w:val="-6"/>
        </w:rPr>
      </w:pPr>
      <w:r w:rsidRPr="00525D3D">
        <w:t>Ре</w:t>
      </w:r>
      <w:r w:rsidRPr="00525D3D">
        <w:rPr>
          <w:spacing w:val="-6"/>
        </w:rPr>
        <w:t>алізація даного проекту Закону не потребує збільшення витрат з Державного бюджету України.</w:t>
      </w:r>
    </w:p>
    <w:p w14:paraId="6224B580" w14:textId="77777777" w:rsidR="001C6AA0" w:rsidRPr="00525D3D" w:rsidRDefault="001C6AA0" w:rsidP="001C6AA0">
      <w:pPr>
        <w:tabs>
          <w:tab w:val="left" w:pos="1120"/>
        </w:tabs>
        <w:ind w:firstLine="709"/>
        <w:jc w:val="both"/>
        <w:rPr>
          <w:spacing w:val="-6"/>
        </w:rPr>
      </w:pPr>
    </w:p>
    <w:p w14:paraId="3553E6F0" w14:textId="77777777" w:rsidR="001C6AA0" w:rsidRPr="00525D3D" w:rsidRDefault="001C6AA0" w:rsidP="001C6AA0">
      <w:pPr>
        <w:pStyle w:val="21"/>
        <w:numPr>
          <w:ilvl w:val="0"/>
          <w:numId w:val="9"/>
        </w:numPr>
        <w:tabs>
          <w:tab w:val="clear" w:pos="1080"/>
          <w:tab w:val="left" w:pos="1120"/>
        </w:tabs>
        <w:spacing w:after="0" w:line="240" w:lineRule="auto"/>
        <w:ind w:left="0" w:firstLine="709"/>
        <w:jc w:val="both"/>
        <w:rPr>
          <w:b/>
          <w:bCs/>
        </w:rPr>
      </w:pPr>
      <w:r w:rsidRPr="00525D3D">
        <w:rPr>
          <w:b/>
          <w:bCs/>
        </w:rPr>
        <w:t>Прогноз соціально-економічних та інших наслідків прийняття законопроекту</w:t>
      </w:r>
    </w:p>
    <w:p w14:paraId="6ECF4D31" w14:textId="77777777" w:rsidR="001C6AA0" w:rsidRPr="00525D3D" w:rsidRDefault="001C6AA0" w:rsidP="001C6AA0">
      <w:pPr>
        <w:ind w:firstLine="709"/>
        <w:jc w:val="both"/>
      </w:pPr>
    </w:p>
    <w:p w14:paraId="21D13FFF" w14:textId="77777777" w:rsidR="001C6AA0" w:rsidRPr="00525D3D" w:rsidRDefault="001C6AA0" w:rsidP="001C6AA0">
      <w:pPr>
        <w:ind w:firstLine="709"/>
        <w:jc w:val="both"/>
      </w:pPr>
      <w:r w:rsidRPr="00525D3D">
        <w:t xml:space="preserve">Внаслідок прийняття даного законопроекту буде забезпечено право особи на розгляд його справи справедливим і не упередженим судом, при цьому буде усунута ситуація, коли в питаннях відводу порушується принцип неприпустимості для будь-кого бути «суддею у власній справі». </w:t>
      </w:r>
    </w:p>
    <w:p w14:paraId="7390E264" w14:textId="77777777" w:rsidR="001C6AA0" w:rsidRPr="00525D3D" w:rsidRDefault="001C6AA0" w:rsidP="001C6AA0">
      <w:pPr>
        <w:ind w:firstLine="709"/>
        <w:jc w:val="both"/>
      </w:pPr>
    </w:p>
    <w:p w14:paraId="1849FE7B" w14:textId="77777777" w:rsidR="001C6AA0" w:rsidRPr="00525D3D" w:rsidRDefault="001C6AA0" w:rsidP="001C6AA0">
      <w:pPr>
        <w:ind w:firstLine="709"/>
        <w:jc w:val="both"/>
      </w:pPr>
    </w:p>
    <w:tbl>
      <w:tblPr>
        <w:tblW w:w="9648" w:type="dxa"/>
        <w:tblLook w:val="01E0" w:firstRow="1" w:lastRow="1" w:firstColumn="1" w:lastColumn="1" w:noHBand="0" w:noVBand="0"/>
      </w:tblPr>
      <w:tblGrid>
        <w:gridCol w:w="6948"/>
        <w:gridCol w:w="2700"/>
      </w:tblGrid>
      <w:tr w:rsidR="001C6AA0" w:rsidRPr="00525D3D" w14:paraId="5D2E2EF3" w14:textId="77777777" w:rsidTr="00D53776">
        <w:tc>
          <w:tcPr>
            <w:tcW w:w="6948" w:type="dxa"/>
          </w:tcPr>
          <w:p w14:paraId="69B47ABD" w14:textId="77777777" w:rsidR="001C6AA0" w:rsidRPr="00525D3D" w:rsidRDefault="001C6AA0" w:rsidP="00D53776">
            <w:pPr>
              <w:pStyle w:val="Style7"/>
              <w:widowControl/>
              <w:spacing w:before="19"/>
              <w:ind w:left="709"/>
              <w:jc w:val="both"/>
              <w:rPr>
                <w:rStyle w:val="FontStyle21"/>
                <w:lang w:val="uk-UA" w:eastAsia="uk-UA"/>
              </w:rPr>
            </w:pPr>
            <w:r w:rsidRPr="00525D3D">
              <w:rPr>
                <w:rStyle w:val="FontStyle21"/>
                <w:lang w:val="uk-UA" w:eastAsia="uk-UA"/>
              </w:rPr>
              <w:t>Народний депутат України</w:t>
            </w:r>
          </w:p>
        </w:tc>
        <w:tc>
          <w:tcPr>
            <w:tcW w:w="2700" w:type="dxa"/>
          </w:tcPr>
          <w:p w14:paraId="4BD59E7E" w14:textId="77777777" w:rsidR="001C6AA0" w:rsidRPr="00525D3D" w:rsidRDefault="001C6AA0" w:rsidP="00D53776">
            <w:pPr>
              <w:pStyle w:val="af0"/>
              <w:jc w:val="right"/>
              <w:rPr>
                <w:rFonts w:ascii="Times New Roman" w:hAnsi="Times New Roman" w:cs="Times New Roman"/>
                <w:i w:val="0"/>
                <w:iCs w:val="0"/>
                <w:caps w:val="0"/>
                <w:spacing w:val="-5"/>
                <w:sz w:val="24"/>
                <w:szCs w:val="24"/>
                <w:lang w:val="ru-RU"/>
              </w:rPr>
            </w:pPr>
            <w:r w:rsidRPr="00525D3D">
              <w:rPr>
                <w:rFonts w:ascii="Times New Roman" w:hAnsi="Times New Roman" w:cs="Times New Roman"/>
                <w:i w:val="0"/>
                <w:iCs w:val="0"/>
                <w:caps w:val="0"/>
                <w:spacing w:val="-5"/>
                <w:sz w:val="24"/>
                <w:szCs w:val="24"/>
                <w:lang w:val="ru-RU"/>
              </w:rPr>
              <w:t>О</w:t>
            </w:r>
            <w:r w:rsidRPr="00525D3D">
              <w:rPr>
                <w:rFonts w:ascii="Times New Roman" w:hAnsi="Times New Roman" w:cs="Times New Roman"/>
                <w:i w:val="0"/>
                <w:iCs w:val="0"/>
                <w:caps w:val="0"/>
                <w:spacing w:val="-5"/>
                <w:sz w:val="24"/>
                <w:szCs w:val="24"/>
              </w:rPr>
              <w:t>.</w:t>
            </w:r>
            <w:r w:rsidRPr="00525D3D">
              <w:rPr>
                <w:rFonts w:ascii="Times New Roman" w:hAnsi="Times New Roman" w:cs="Times New Roman"/>
                <w:i w:val="0"/>
                <w:iCs w:val="0"/>
                <w:caps w:val="0"/>
                <w:spacing w:val="-5"/>
                <w:sz w:val="24"/>
                <w:szCs w:val="24"/>
                <w:lang w:val="ru-RU"/>
              </w:rPr>
              <w:t>Г</w:t>
            </w:r>
            <w:r w:rsidRPr="00525D3D">
              <w:rPr>
                <w:rFonts w:ascii="Times New Roman" w:hAnsi="Times New Roman" w:cs="Times New Roman"/>
                <w:i w:val="0"/>
                <w:iCs w:val="0"/>
                <w:caps w:val="0"/>
                <w:spacing w:val="-5"/>
                <w:sz w:val="24"/>
                <w:szCs w:val="24"/>
              </w:rPr>
              <w:t xml:space="preserve">. </w:t>
            </w:r>
            <w:r w:rsidRPr="00525D3D">
              <w:rPr>
                <w:rFonts w:ascii="Times New Roman" w:hAnsi="Times New Roman" w:cs="Times New Roman"/>
                <w:i w:val="0"/>
                <w:iCs w:val="0"/>
                <w:caps w:val="0"/>
                <w:spacing w:val="-5"/>
                <w:sz w:val="24"/>
                <w:szCs w:val="24"/>
                <w:lang w:val="ru-RU"/>
              </w:rPr>
              <w:t>Григоренко</w:t>
            </w:r>
          </w:p>
        </w:tc>
      </w:tr>
    </w:tbl>
    <w:p w14:paraId="4FCBFEB0"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5FF67AAE"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0DCD4FC3"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1879AA8F" w14:textId="77777777" w:rsidR="001C6AA0" w:rsidRDefault="001C6AA0" w:rsidP="001C6AA0">
      <w:pPr>
        <w:widowControl w:val="0"/>
        <w:autoSpaceDE w:val="0"/>
        <w:autoSpaceDN w:val="0"/>
        <w:adjustRightInd w:val="0"/>
        <w:spacing w:line="360" w:lineRule="auto"/>
        <w:ind w:left="57" w:right="57" w:firstLine="709"/>
        <w:jc w:val="both"/>
        <w:rPr>
          <w:rFonts w:ascii="Times New Roman CYR" w:eastAsia="MS Mincho" w:hAnsi="Times New Roman CYR" w:cs="Times New Roman CYR"/>
          <w:sz w:val="28"/>
          <w:szCs w:val="28"/>
          <w:lang w:val="uk-UA"/>
        </w:rPr>
      </w:pPr>
    </w:p>
    <w:p w14:paraId="0E90E4B4" w14:textId="77777777" w:rsidR="00D53776" w:rsidRPr="001C6AA0" w:rsidRDefault="00D53776">
      <w:pPr>
        <w:rPr>
          <w:sz w:val="28"/>
          <w:szCs w:val="28"/>
        </w:rPr>
      </w:pPr>
    </w:p>
    <w:sectPr w:rsidR="00D53776" w:rsidRPr="001C6AA0" w:rsidSect="005E7022">
      <w:headerReference w:type="default" r:id="rId8"/>
      <w:pgSz w:w="11906" w:h="16838"/>
      <w:pgMar w:top="1134" w:right="567" w:bottom="1134" w:left="1701"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1E95D54" w16cid:durableId="1FAAA926"/>
  <w16cid:commentId w16cid:paraId="51050828" w16cid:durableId="1FAAAA7D"/>
  <w16cid:commentId w16cid:paraId="07B0F374" w16cid:durableId="1FAAABAF"/>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BD7F22" w14:textId="77777777" w:rsidR="00CD6AB8" w:rsidRDefault="00CD6AB8">
      <w:r>
        <w:separator/>
      </w:r>
    </w:p>
  </w:endnote>
  <w:endnote w:type="continuationSeparator" w:id="0">
    <w:p w14:paraId="4CBFF713" w14:textId="77777777" w:rsidR="00CD6AB8" w:rsidRDefault="00CD6A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ntiqua">
    <w:altName w:val="Century Gothic"/>
    <w:panose1 w:val="00000000000000000000"/>
    <w:charset w:val="00"/>
    <w:family w:val="swiss"/>
    <w:notTrueType/>
    <w:pitch w:val="variable"/>
    <w:sig w:usb0="00000003" w:usb1="00000000" w:usb2="00000000" w:usb3="00000000" w:csb0="00000001" w:csb1="00000000"/>
  </w:font>
  <w:font w:name="Segoe UI">
    <w:altName w:val="Calibri"/>
    <w:panose1 w:val="020B0502040204020203"/>
    <w:charset w:val="CC"/>
    <w:family w:val="swiss"/>
    <w:pitch w:val="variable"/>
    <w:sig w:usb0="E4002EFF" w:usb1="C000E47F" w:usb2="00000009" w:usb3="00000000" w:csb0="000001FF" w:csb1="00000000"/>
  </w:font>
  <w:font w:name="Helvetica Neue">
    <w:altName w:val="Times New Roman"/>
    <w:charset w:val="00"/>
    <w:family w:val="roman"/>
    <w:pitch w:val="default"/>
  </w:font>
  <w:font w:name="Arial Unicode MS">
    <w:panose1 w:val="020B0604020202020204"/>
    <w:charset w:val="00"/>
    <w:family w:val="roman"/>
    <w:pitch w:val="default"/>
  </w:font>
  <w:font w:name="Microsoft Uighur">
    <w:panose1 w:val="02000000000000000000"/>
    <w:charset w:val="00"/>
    <w:family w:val="auto"/>
    <w:pitch w:val="variable"/>
    <w:sig w:usb0="80002023" w:usb1="80000002" w:usb2="00000008" w:usb3="00000000" w:csb0="00000041" w:csb1="00000000"/>
  </w:font>
  <w:font w:name="TimesNewRomanPSMT">
    <w:charset w:val="00"/>
    <w:family w:val="auto"/>
    <w:pitch w:val="variable"/>
    <w:sig w:usb0="E0002AEF" w:usb1="C0007841"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MS Mincho">
    <w:altName w:val="ＭＳ 明朝"/>
    <w:panose1 w:val="02020609040205080304"/>
    <w:charset w:val="80"/>
    <w:family w:val="auto"/>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34A08A" w14:textId="77777777" w:rsidR="00CD6AB8" w:rsidRDefault="00CD6AB8">
      <w:r>
        <w:separator/>
      </w:r>
    </w:p>
  </w:footnote>
  <w:footnote w:type="continuationSeparator" w:id="0">
    <w:p w14:paraId="32BEE310" w14:textId="77777777" w:rsidR="00CD6AB8" w:rsidRDefault="00CD6AB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2BD92E" w14:textId="64D18A05" w:rsidR="005E7022" w:rsidRDefault="005E7022">
    <w:pPr>
      <w:pStyle w:val="a7"/>
      <w:jc w:val="right"/>
    </w:pPr>
    <w:r>
      <w:fldChar w:fldCharType="begin"/>
    </w:r>
    <w:r>
      <w:instrText>PAGE   \* MERGEFORMAT</w:instrText>
    </w:r>
    <w:r>
      <w:fldChar w:fldCharType="separate"/>
    </w:r>
    <w:r w:rsidR="000A430F">
      <w:rPr>
        <w:noProof/>
      </w:rPr>
      <w:t>2</w:t>
    </w:r>
    <w:r>
      <w:fldChar w:fldCharType="end"/>
    </w:r>
  </w:p>
  <w:p w14:paraId="7937A0A9" w14:textId="77777777" w:rsidR="005E7022" w:rsidRDefault="005E7022">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9AC86EC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AEE0F4F"/>
    <w:multiLevelType w:val="multilevel"/>
    <w:tmpl w:val="F732E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00F2A1C"/>
    <w:multiLevelType w:val="singleLevel"/>
    <w:tmpl w:val="32869BA4"/>
    <w:lvl w:ilvl="0">
      <w:numFmt w:val="none"/>
      <w:lvlText w:val=""/>
      <w:lvlJc w:val="left"/>
      <w:pPr>
        <w:tabs>
          <w:tab w:val="num" w:pos="360"/>
        </w:tabs>
      </w:pPr>
    </w:lvl>
  </w:abstractNum>
  <w:abstractNum w:abstractNumId="3" w15:restartNumberingAfterBreak="0">
    <w:nsid w:val="3C490A70"/>
    <w:multiLevelType w:val="hybridMultilevel"/>
    <w:tmpl w:val="66E6ED6C"/>
    <w:lvl w:ilvl="0" w:tplc="8BF2581A">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4" w15:restartNumberingAfterBreak="0">
    <w:nsid w:val="422D08AC"/>
    <w:multiLevelType w:val="hybridMultilevel"/>
    <w:tmpl w:val="A7224838"/>
    <w:lvl w:ilvl="0" w:tplc="B456BD88">
      <w:start w:val="3"/>
      <w:numFmt w:val="decimal"/>
      <w:lvlText w:val="%1."/>
      <w:lvlJc w:val="left"/>
      <w:pPr>
        <w:tabs>
          <w:tab w:val="num" w:pos="1080"/>
        </w:tabs>
        <w:ind w:left="1080" w:hanging="360"/>
      </w:pPr>
      <w:rPr>
        <w:rFonts w:cs="Times New Roman" w:hint="default"/>
      </w:rPr>
    </w:lvl>
    <w:lvl w:ilvl="1" w:tplc="04190019">
      <w:start w:val="1"/>
      <w:numFmt w:val="lowerLetter"/>
      <w:lvlText w:val="%2."/>
      <w:lvlJc w:val="left"/>
      <w:pPr>
        <w:tabs>
          <w:tab w:val="num" w:pos="1800"/>
        </w:tabs>
        <w:ind w:left="1800" w:hanging="360"/>
      </w:pPr>
      <w:rPr>
        <w:rFonts w:cs="Times New Roman"/>
      </w:rPr>
    </w:lvl>
    <w:lvl w:ilvl="2" w:tplc="0419001B">
      <w:start w:val="1"/>
      <w:numFmt w:val="lowerRoman"/>
      <w:lvlText w:val="%3."/>
      <w:lvlJc w:val="right"/>
      <w:pPr>
        <w:tabs>
          <w:tab w:val="num" w:pos="2520"/>
        </w:tabs>
        <w:ind w:left="2520" w:hanging="180"/>
      </w:pPr>
      <w:rPr>
        <w:rFonts w:cs="Times New Roman"/>
      </w:rPr>
    </w:lvl>
    <w:lvl w:ilvl="3" w:tplc="0419000F">
      <w:start w:val="1"/>
      <w:numFmt w:val="decimal"/>
      <w:lvlText w:val="%4."/>
      <w:lvlJc w:val="left"/>
      <w:pPr>
        <w:tabs>
          <w:tab w:val="num" w:pos="3240"/>
        </w:tabs>
        <w:ind w:left="3240" w:hanging="360"/>
      </w:pPr>
      <w:rPr>
        <w:rFonts w:cs="Times New Roman"/>
      </w:rPr>
    </w:lvl>
    <w:lvl w:ilvl="4" w:tplc="04190019">
      <w:start w:val="1"/>
      <w:numFmt w:val="lowerLetter"/>
      <w:lvlText w:val="%5."/>
      <w:lvlJc w:val="left"/>
      <w:pPr>
        <w:tabs>
          <w:tab w:val="num" w:pos="3960"/>
        </w:tabs>
        <w:ind w:left="3960" w:hanging="360"/>
      </w:pPr>
      <w:rPr>
        <w:rFonts w:cs="Times New Roman"/>
      </w:rPr>
    </w:lvl>
    <w:lvl w:ilvl="5" w:tplc="0419001B">
      <w:start w:val="1"/>
      <w:numFmt w:val="lowerRoman"/>
      <w:lvlText w:val="%6."/>
      <w:lvlJc w:val="right"/>
      <w:pPr>
        <w:tabs>
          <w:tab w:val="num" w:pos="4680"/>
        </w:tabs>
        <w:ind w:left="4680" w:hanging="180"/>
      </w:pPr>
      <w:rPr>
        <w:rFonts w:cs="Times New Roman"/>
      </w:rPr>
    </w:lvl>
    <w:lvl w:ilvl="6" w:tplc="0419000F">
      <w:start w:val="1"/>
      <w:numFmt w:val="decimal"/>
      <w:lvlText w:val="%7."/>
      <w:lvlJc w:val="left"/>
      <w:pPr>
        <w:tabs>
          <w:tab w:val="num" w:pos="5400"/>
        </w:tabs>
        <w:ind w:left="5400" w:hanging="360"/>
      </w:pPr>
      <w:rPr>
        <w:rFonts w:cs="Times New Roman"/>
      </w:rPr>
    </w:lvl>
    <w:lvl w:ilvl="7" w:tplc="04190019">
      <w:start w:val="1"/>
      <w:numFmt w:val="lowerLetter"/>
      <w:lvlText w:val="%8."/>
      <w:lvlJc w:val="left"/>
      <w:pPr>
        <w:tabs>
          <w:tab w:val="num" w:pos="6120"/>
        </w:tabs>
        <w:ind w:left="6120" w:hanging="360"/>
      </w:pPr>
      <w:rPr>
        <w:rFonts w:cs="Times New Roman"/>
      </w:rPr>
    </w:lvl>
    <w:lvl w:ilvl="8" w:tplc="0419001B">
      <w:start w:val="1"/>
      <w:numFmt w:val="lowerRoman"/>
      <w:lvlText w:val="%9."/>
      <w:lvlJc w:val="right"/>
      <w:pPr>
        <w:tabs>
          <w:tab w:val="num" w:pos="6840"/>
        </w:tabs>
        <w:ind w:left="6840" w:hanging="180"/>
      </w:pPr>
      <w:rPr>
        <w:rFonts w:cs="Times New Roman"/>
      </w:rPr>
    </w:lvl>
  </w:abstractNum>
  <w:abstractNum w:abstractNumId="5" w15:restartNumberingAfterBreak="0">
    <w:nsid w:val="4330432F"/>
    <w:multiLevelType w:val="hybridMultilevel"/>
    <w:tmpl w:val="4EAC9154"/>
    <w:lvl w:ilvl="0" w:tplc="44721FB2">
      <w:start w:val="5"/>
      <w:numFmt w:val="decimal"/>
      <w:lvlText w:val="%1."/>
      <w:lvlJc w:val="left"/>
      <w:pPr>
        <w:tabs>
          <w:tab w:val="num" w:pos="1080"/>
        </w:tabs>
        <w:ind w:left="1080" w:hanging="360"/>
      </w:pPr>
      <w:rPr>
        <w:rFonts w:cs="Times New Roman" w:hint="default"/>
      </w:rPr>
    </w:lvl>
    <w:lvl w:ilvl="1" w:tplc="04190019">
      <w:start w:val="1"/>
      <w:numFmt w:val="lowerLetter"/>
      <w:lvlText w:val="%2."/>
      <w:lvlJc w:val="left"/>
      <w:pPr>
        <w:tabs>
          <w:tab w:val="num" w:pos="1800"/>
        </w:tabs>
        <w:ind w:left="1800" w:hanging="360"/>
      </w:pPr>
      <w:rPr>
        <w:rFonts w:cs="Times New Roman"/>
      </w:rPr>
    </w:lvl>
    <w:lvl w:ilvl="2" w:tplc="0419001B">
      <w:start w:val="1"/>
      <w:numFmt w:val="lowerRoman"/>
      <w:lvlText w:val="%3."/>
      <w:lvlJc w:val="right"/>
      <w:pPr>
        <w:tabs>
          <w:tab w:val="num" w:pos="2520"/>
        </w:tabs>
        <w:ind w:left="2520" w:hanging="180"/>
      </w:pPr>
      <w:rPr>
        <w:rFonts w:cs="Times New Roman"/>
      </w:rPr>
    </w:lvl>
    <w:lvl w:ilvl="3" w:tplc="0419000F">
      <w:start w:val="1"/>
      <w:numFmt w:val="decimal"/>
      <w:lvlText w:val="%4."/>
      <w:lvlJc w:val="left"/>
      <w:pPr>
        <w:tabs>
          <w:tab w:val="num" w:pos="3240"/>
        </w:tabs>
        <w:ind w:left="3240" w:hanging="360"/>
      </w:pPr>
      <w:rPr>
        <w:rFonts w:cs="Times New Roman"/>
      </w:rPr>
    </w:lvl>
    <w:lvl w:ilvl="4" w:tplc="04190019">
      <w:start w:val="1"/>
      <w:numFmt w:val="lowerLetter"/>
      <w:lvlText w:val="%5."/>
      <w:lvlJc w:val="left"/>
      <w:pPr>
        <w:tabs>
          <w:tab w:val="num" w:pos="3960"/>
        </w:tabs>
        <w:ind w:left="3960" w:hanging="360"/>
      </w:pPr>
      <w:rPr>
        <w:rFonts w:cs="Times New Roman"/>
      </w:rPr>
    </w:lvl>
    <w:lvl w:ilvl="5" w:tplc="0419001B">
      <w:start w:val="1"/>
      <w:numFmt w:val="lowerRoman"/>
      <w:lvlText w:val="%6."/>
      <w:lvlJc w:val="right"/>
      <w:pPr>
        <w:tabs>
          <w:tab w:val="num" w:pos="4680"/>
        </w:tabs>
        <w:ind w:left="4680" w:hanging="180"/>
      </w:pPr>
      <w:rPr>
        <w:rFonts w:cs="Times New Roman"/>
      </w:rPr>
    </w:lvl>
    <w:lvl w:ilvl="6" w:tplc="0419000F">
      <w:start w:val="1"/>
      <w:numFmt w:val="decimal"/>
      <w:lvlText w:val="%7."/>
      <w:lvlJc w:val="left"/>
      <w:pPr>
        <w:tabs>
          <w:tab w:val="num" w:pos="5400"/>
        </w:tabs>
        <w:ind w:left="5400" w:hanging="360"/>
      </w:pPr>
      <w:rPr>
        <w:rFonts w:cs="Times New Roman"/>
      </w:rPr>
    </w:lvl>
    <w:lvl w:ilvl="7" w:tplc="04190019">
      <w:start w:val="1"/>
      <w:numFmt w:val="lowerLetter"/>
      <w:lvlText w:val="%8."/>
      <w:lvlJc w:val="left"/>
      <w:pPr>
        <w:tabs>
          <w:tab w:val="num" w:pos="6120"/>
        </w:tabs>
        <w:ind w:left="6120" w:hanging="360"/>
      </w:pPr>
      <w:rPr>
        <w:rFonts w:cs="Times New Roman"/>
      </w:rPr>
    </w:lvl>
    <w:lvl w:ilvl="8" w:tplc="0419001B">
      <w:start w:val="1"/>
      <w:numFmt w:val="lowerRoman"/>
      <w:lvlText w:val="%9."/>
      <w:lvlJc w:val="right"/>
      <w:pPr>
        <w:tabs>
          <w:tab w:val="num" w:pos="6840"/>
        </w:tabs>
        <w:ind w:left="6840" w:hanging="180"/>
      </w:pPr>
      <w:rPr>
        <w:rFonts w:cs="Times New Roman"/>
      </w:rPr>
    </w:lvl>
  </w:abstractNum>
  <w:abstractNum w:abstractNumId="6" w15:restartNumberingAfterBreak="0">
    <w:nsid w:val="49C846EA"/>
    <w:multiLevelType w:val="hybridMultilevel"/>
    <w:tmpl w:val="7F6269B6"/>
    <w:lvl w:ilvl="0" w:tplc="5BE6F3CC">
      <w:start w:val="6"/>
      <w:numFmt w:val="decimal"/>
      <w:lvlText w:val="%1."/>
      <w:lvlJc w:val="left"/>
      <w:pPr>
        <w:tabs>
          <w:tab w:val="num" w:pos="1080"/>
        </w:tabs>
        <w:ind w:left="1080" w:hanging="360"/>
      </w:pPr>
      <w:rPr>
        <w:rFonts w:cs="Times New Roman" w:hint="default"/>
      </w:rPr>
    </w:lvl>
    <w:lvl w:ilvl="1" w:tplc="04220019">
      <w:start w:val="1"/>
      <w:numFmt w:val="lowerLetter"/>
      <w:lvlText w:val="%2."/>
      <w:lvlJc w:val="left"/>
      <w:pPr>
        <w:tabs>
          <w:tab w:val="num" w:pos="1800"/>
        </w:tabs>
        <w:ind w:left="1800" w:hanging="360"/>
      </w:pPr>
      <w:rPr>
        <w:rFonts w:cs="Times New Roman"/>
      </w:rPr>
    </w:lvl>
    <w:lvl w:ilvl="2" w:tplc="0422001B">
      <w:start w:val="1"/>
      <w:numFmt w:val="lowerRoman"/>
      <w:lvlText w:val="%3."/>
      <w:lvlJc w:val="right"/>
      <w:pPr>
        <w:tabs>
          <w:tab w:val="num" w:pos="2520"/>
        </w:tabs>
        <w:ind w:left="2520" w:hanging="180"/>
      </w:pPr>
      <w:rPr>
        <w:rFonts w:cs="Times New Roman"/>
      </w:rPr>
    </w:lvl>
    <w:lvl w:ilvl="3" w:tplc="0422000F">
      <w:start w:val="1"/>
      <w:numFmt w:val="decimal"/>
      <w:lvlText w:val="%4."/>
      <w:lvlJc w:val="left"/>
      <w:pPr>
        <w:tabs>
          <w:tab w:val="num" w:pos="3240"/>
        </w:tabs>
        <w:ind w:left="3240" w:hanging="360"/>
      </w:pPr>
      <w:rPr>
        <w:rFonts w:cs="Times New Roman"/>
      </w:rPr>
    </w:lvl>
    <w:lvl w:ilvl="4" w:tplc="04220019">
      <w:start w:val="1"/>
      <w:numFmt w:val="lowerLetter"/>
      <w:lvlText w:val="%5."/>
      <w:lvlJc w:val="left"/>
      <w:pPr>
        <w:tabs>
          <w:tab w:val="num" w:pos="3960"/>
        </w:tabs>
        <w:ind w:left="3960" w:hanging="360"/>
      </w:pPr>
      <w:rPr>
        <w:rFonts w:cs="Times New Roman"/>
      </w:rPr>
    </w:lvl>
    <w:lvl w:ilvl="5" w:tplc="0422001B">
      <w:start w:val="1"/>
      <w:numFmt w:val="lowerRoman"/>
      <w:lvlText w:val="%6."/>
      <w:lvlJc w:val="right"/>
      <w:pPr>
        <w:tabs>
          <w:tab w:val="num" w:pos="4680"/>
        </w:tabs>
        <w:ind w:left="4680" w:hanging="180"/>
      </w:pPr>
      <w:rPr>
        <w:rFonts w:cs="Times New Roman"/>
      </w:rPr>
    </w:lvl>
    <w:lvl w:ilvl="6" w:tplc="0422000F">
      <w:start w:val="1"/>
      <w:numFmt w:val="decimal"/>
      <w:lvlText w:val="%7."/>
      <w:lvlJc w:val="left"/>
      <w:pPr>
        <w:tabs>
          <w:tab w:val="num" w:pos="5400"/>
        </w:tabs>
        <w:ind w:left="5400" w:hanging="360"/>
      </w:pPr>
      <w:rPr>
        <w:rFonts w:cs="Times New Roman"/>
      </w:rPr>
    </w:lvl>
    <w:lvl w:ilvl="7" w:tplc="04220019">
      <w:start w:val="1"/>
      <w:numFmt w:val="lowerLetter"/>
      <w:lvlText w:val="%8."/>
      <w:lvlJc w:val="left"/>
      <w:pPr>
        <w:tabs>
          <w:tab w:val="num" w:pos="6120"/>
        </w:tabs>
        <w:ind w:left="6120" w:hanging="360"/>
      </w:pPr>
      <w:rPr>
        <w:rFonts w:cs="Times New Roman"/>
      </w:rPr>
    </w:lvl>
    <w:lvl w:ilvl="8" w:tplc="0422001B">
      <w:start w:val="1"/>
      <w:numFmt w:val="lowerRoman"/>
      <w:lvlText w:val="%9."/>
      <w:lvlJc w:val="right"/>
      <w:pPr>
        <w:tabs>
          <w:tab w:val="num" w:pos="6840"/>
        </w:tabs>
        <w:ind w:left="6840" w:hanging="180"/>
      </w:pPr>
      <w:rPr>
        <w:rFonts w:cs="Times New Roman"/>
      </w:rPr>
    </w:lvl>
  </w:abstractNum>
  <w:abstractNum w:abstractNumId="7" w15:restartNumberingAfterBreak="0">
    <w:nsid w:val="4E696A00"/>
    <w:multiLevelType w:val="hybridMultilevel"/>
    <w:tmpl w:val="9058FF4C"/>
    <w:lvl w:ilvl="0" w:tplc="04220011">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8" w15:restartNumberingAfterBreak="0">
    <w:nsid w:val="540A491F"/>
    <w:multiLevelType w:val="hybridMultilevel"/>
    <w:tmpl w:val="BF720B74"/>
    <w:lvl w:ilvl="0" w:tplc="0419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9" w15:restartNumberingAfterBreak="0">
    <w:nsid w:val="56431694"/>
    <w:multiLevelType w:val="hybridMultilevel"/>
    <w:tmpl w:val="32D0C37C"/>
    <w:lvl w:ilvl="0" w:tplc="9B905138">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0" w15:restartNumberingAfterBreak="0">
    <w:nsid w:val="5CB56201"/>
    <w:multiLevelType w:val="hybridMultilevel"/>
    <w:tmpl w:val="328C94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E257F87"/>
    <w:multiLevelType w:val="hybridMultilevel"/>
    <w:tmpl w:val="691608BE"/>
    <w:lvl w:ilvl="0" w:tplc="06CAB10A">
      <w:start w:val="1"/>
      <w:numFmt w:val="decimal"/>
      <w:lvlText w:val="%1."/>
      <w:lvlJc w:val="left"/>
      <w:pPr>
        <w:tabs>
          <w:tab w:val="num" w:pos="1429"/>
        </w:tabs>
        <w:ind w:left="1429" w:hanging="360"/>
      </w:pPr>
      <w:rPr>
        <w:rFonts w:cs="Times New Roman" w:hint="default"/>
        <w:b/>
        <w:bCs/>
      </w:rPr>
    </w:lvl>
    <w:lvl w:ilvl="1" w:tplc="04190019">
      <w:start w:val="1"/>
      <w:numFmt w:val="lowerLetter"/>
      <w:lvlText w:val="%2."/>
      <w:lvlJc w:val="left"/>
      <w:pPr>
        <w:tabs>
          <w:tab w:val="num" w:pos="2149"/>
        </w:tabs>
        <w:ind w:left="2149" w:hanging="360"/>
      </w:pPr>
      <w:rPr>
        <w:rFonts w:cs="Times New Roman"/>
      </w:rPr>
    </w:lvl>
    <w:lvl w:ilvl="2" w:tplc="0419001B">
      <w:start w:val="1"/>
      <w:numFmt w:val="lowerRoman"/>
      <w:lvlText w:val="%3."/>
      <w:lvlJc w:val="right"/>
      <w:pPr>
        <w:tabs>
          <w:tab w:val="num" w:pos="2869"/>
        </w:tabs>
        <w:ind w:left="2869" w:hanging="180"/>
      </w:pPr>
      <w:rPr>
        <w:rFonts w:cs="Times New Roman"/>
      </w:rPr>
    </w:lvl>
    <w:lvl w:ilvl="3" w:tplc="0419000F">
      <w:start w:val="1"/>
      <w:numFmt w:val="decimal"/>
      <w:lvlText w:val="%4."/>
      <w:lvlJc w:val="left"/>
      <w:pPr>
        <w:tabs>
          <w:tab w:val="num" w:pos="3589"/>
        </w:tabs>
        <w:ind w:left="3589" w:hanging="360"/>
      </w:pPr>
      <w:rPr>
        <w:rFonts w:cs="Times New Roman"/>
      </w:rPr>
    </w:lvl>
    <w:lvl w:ilvl="4" w:tplc="04190019">
      <w:start w:val="1"/>
      <w:numFmt w:val="lowerLetter"/>
      <w:lvlText w:val="%5."/>
      <w:lvlJc w:val="left"/>
      <w:pPr>
        <w:tabs>
          <w:tab w:val="num" w:pos="4309"/>
        </w:tabs>
        <w:ind w:left="4309" w:hanging="360"/>
      </w:pPr>
      <w:rPr>
        <w:rFonts w:cs="Times New Roman"/>
      </w:rPr>
    </w:lvl>
    <w:lvl w:ilvl="5" w:tplc="0419001B">
      <w:start w:val="1"/>
      <w:numFmt w:val="lowerRoman"/>
      <w:lvlText w:val="%6."/>
      <w:lvlJc w:val="right"/>
      <w:pPr>
        <w:tabs>
          <w:tab w:val="num" w:pos="5029"/>
        </w:tabs>
        <w:ind w:left="5029" w:hanging="180"/>
      </w:pPr>
      <w:rPr>
        <w:rFonts w:cs="Times New Roman"/>
      </w:rPr>
    </w:lvl>
    <w:lvl w:ilvl="6" w:tplc="0419000F">
      <w:start w:val="1"/>
      <w:numFmt w:val="decimal"/>
      <w:lvlText w:val="%7."/>
      <w:lvlJc w:val="left"/>
      <w:pPr>
        <w:tabs>
          <w:tab w:val="num" w:pos="5749"/>
        </w:tabs>
        <w:ind w:left="5749" w:hanging="360"/>
      </w:pPr>
      <w:rPr>
        <w:rFonts w:cs="Times New Roman"/>
      </w:rPr>
    </w:lvl>
    <w:lvl w:ilvl="7" w:tplc="04190019">
      <w:start w:val="1"/>
      <w:numFmt w:val="lowerLetter"/>
      <w:lvlText w:val="%8."/>
      <w:lvlJc w:val="left"/>
      <w:pPr>
        <w:tabs>
          <w:tab w:val="num" w:pos="6469"/>
        </w:tabs>
        <w:ind w:left="6469" w:hanging="360"/>
      </w:pPr>
      <w:rPr>
        <w:rFonts w:cs="Times New Roman"/>
      </w:rPr>
    </w:lvl>
    <w:lvl w:ilvl="8" w:tplc="0419001B">
      <w:start w:val="1"/>
      <w:numFmt w:val="lowerRoman"/>
      <w:lvlText w:val="%9."/>
      <w:lvlJc w:val="right"/>
      <w:pPr>
        <w:tabs>
          <w:tab w:val="num" w:pos="7189"/>
        </w:tabs>
        <w:ind w:left="7189" w:hanging="180"/>
      </w:pPr>
      <w:rPr>
        <w:rFonts w:cs="Times New Roman"/>
      </w:rPr>
    </w:lvl>
  </w:abstractNum>
  <w:abstractNum w:abstractNumId="12" w15:restartNumberingAfterBreak="0">
    <w:nsid w:val="6456106C"/>
    <w:multiLevelType w:val="hybridMultilevel"/>
    <w:tmpl w:val="0D1408A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3" w15:restartNumberingAfterBreak="0">
    <w:nsid w:val="6A3D0363"/>
    <w:multiLevelType w:val="hybridMultilevel"/>
    <w:tmpl w:val="59D25906"/>
    <w:lvl w:ilvl="0" w:tplc="0419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4" w15:restartNumberingAfterBreak="0">
    <w:nsid w:val="706A70B5"/>
    <w:multiLevelType w:val="hybridMultilevel"/>
    <w:tmpl w:val="2E827AC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5" w15:restartNumberingAfterBreak="0">
    <w:nsid w:val="73AC4E01"/>
    <w:multiLevelType w:val="multilevel"/>
    <w:tmpl w:val="96D86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5F34E0C"/>
    <w:multiLevelType w:val="multilevel"/>
    <w:tmpl w:val="F6104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5"/>
  </w:num>
  <w:num w:numId="3">
    <w:abstractNumId w:val="8"/>
  </w:num>
  <w:num w:numId="4">
    <w:abstractNumId w:val="13"/>
  </w:num>
  <w:num w:numId="5">
    <w:abstractNumId w:val="16"/>
  </w:num>
  <w:num w:numId="6">
    <w:abstractNumId w:val="11"/>
  </w:num>
  <w:num w:numId="7">
    <w:abstractNumId w:val="4"/>
  </w:num>
  <w:num w:numId="8">
    <w:abstractNumId w:val="5"/>
  </w:num>
  <w:num w:numId="9">
    <w:abstractNumId w:val="6"/>
  </w:num>
  <w:num w:numId="10">
    <w:abstractNumId w:val="10"/>
  </w:num>
  <w:num w:numId="11">
    <w:abstractNumId w:val="1"/>
  </w:num>
  <w:num w:numId="12">
    <w:abstractNumId w:val="12"/>
  </w:num>
  <w:num w:numId="13">
    <w:abstractNumId w:val="9"/>
  </w:num>
  <w:num w:numId="14">
    <w:abstractNumId w:val="14"/>
  </w:num>
  <w:num w:numId="15">
    <w:abstractNumId w:val="7"/>
  </w:num>
  <w:num w:numId="16">
    <w:abstractNumId w:val="3"/>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6AA0"/>
    <w:rsid w:val="000A430F"/>
    <w:rsid w:val="00142D5D"/>
    <w:rsid w:val="001C6AA0"/>
    <w:rsid w:val="001D4FE2"/>
    <w:rsid w:val="00483CE4"/>
    <w:rsid w:val="005447F2"/>
    <w:rsid w:val="005E7022"/>
    <w:rsid w:val="0061256B"/>
    <w:rsid w:val="00656411"/>
    <w:rsid w:val="00667366"/>
    <w:rsid w:val="008B06AF"/>
    <w:rsid w:val="009157D9"/>
    <w:rsid w:val="00A65373"/>
    <w:rsid w:val="00B46C35"/>
    <w:rsid w:val="00CD6AB8"/>
    <w:rsid w:val="00D53776"/>
    <w:rsid w:val="00D85D55"/>
    <w:rsid w:val="00DD4441"/>
    <w:rsid w:val="00E45018"/>
    <w:rsid w:val="00EB0A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C25900"/>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C6AA0"/>
    <w:rPr>
      <w:rFonts w:ascii="Times New Roman" w:eastAsia="Times New Roman" w:hAnsi="Times New Roman" w:cs="Times New Roman"/>
      <w:lang w:val="ru-RU" w:eastAsia="ru-RU"/>
    </w:rPr>
  </w:style>
  <w:style w:type="paragraph" w:styleId="1">
    <w:name w:val="heading 1"/>
    <w:basedOn w:val="a"/>
    <w:next w:val="a"/>
    <w:link w:val="10"/>
    <w:qFormat/>
    <w:rsid w:val="001C6AA0"/>
    <w:pPr>
      <w:keepNext/>
      <w:shd w:val="clear" w:color="auto" w:fill="FFFFFF"/>
      <w:spacing w:line="360" w:lineRule="auto"/>
      <w:jc w:val="center"/>
      <w:outlineLvl w:val="0"/>
    </w:pPr>
    <w:rPr>
      <w:b/>
      <w:noProof/>
      <w:sz w:val="28"/>
      <w:lang w:val="uk-UA"/>
    </w:rPr>
  </w:style>
  <w:style w:type="paragraph" w:styleId="3">
    <w:name w:val="heading 3"/>
    <w:basedOn w:val="a"/>
    <w:next w:val="a"/>
    <w:link w:val="30"/>
    <w:uiPriority w:val="9"/>
    <w:qFormat/>
    <w:rsid w:val="001C6AA0"/>
    <w:pPr>
      <w:keepNext/>
      <w:spacing w:before="240" w:after="60"/>
      <w:outlineLvl w:val="2"/>
    </w:pPr>
    <w:rPr>
      <w:rFonts w:ascii="Calibri Light" w:hAnsi="Calibri Light"/>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C6AA0"/>
    <w:rPr>
      <w:rFonts w:ascii="Times New Roman" w:eastAsia="Times New Roman" w:hAnsi="Times New Roman" w:cs="Times New Roman"/>
      <w:b/>
      <w:noProof/>
      <w:sz w:val="28"/>
      <w:shd w:val="clear" w:color="auto" w:fill="FFFFFF"/>
      <w:lang w:val="uk-UA" w:eastAsia="ru-RU"/>
    </w:rPr>
  </w:style>
  <w:style w:type="character" w:customStyle="1" w:styleId="30">
    <w:name w:val="Заголовок 3 Знак"/>
    <w:basedOn w:val="a0"/>
    <w:link w:val="3"/>
    <w:uiPriority w:val="9"/>
    <w:rsid w:val="001C6AA0"/>
    <w:rPr>
      <w:rFonts w:ascii="Calibri Light" w:eastAsia="Times New Roman" w:hAnsi="Calibri Light" w:cs="Times New Roman"/>
      <w:b/>
      <w:bCs/>
      <w:sz w:val="26"/>
      <w:szCs w:val="26"/>
      <w:lang w:val="ru-RU" w:eastAsia="ru-RU"/>
    </w:rPr>
  </w:style>
  <w:style w:type="paragraph" w:styleId="a3">
    <w:name w:val="Plain Text"/>
    <w:basedOn w:val="a"/>
    <w:link w:val="a4"/>
    <w:rsid w:val="001C6AA0"/>
    <w:rPr>
      <w:rFonts w:ascii="Courier New" w:hAnsi="Courier New"/>
      <w:sz w:val="20"/>
      <w:szCs w:val="20"/>
      <w:lang w:val="uk-UA"/>
    </w:rPr>
  </w:style>
  <w:style w:type="character" w:customStyle="1" w:styleId="a4">
    <w:name w:val="Текст Знак"/>
    <w:basedOn w:val="a0"/>
    <w:link w:val="a3"/>
    <w:rsid w:val="001C6AA0"/>
    <w:rPr>
      <w:rFonts w:ascii="Courier New" w:eastAsia="Times New Roman" w:hAnsi="Courier New" w:cs="Times New Roman"/>
      <w:sz w:val="20"/>
      <w:szCs w:val="20"/>
      <w:lang w:val="uk-UA" w:eastAsia="ru-RU"/>
    </w:rPr>
  </w:style>
  <w:style w:type="character" w:styleId="a5">
    <w:name w:val="Hyperlink"/>
    <w:uiPriority w:val="99"/>
    <w:rsid w:val="001C6AA0"/>
    <w:rPr>
      <w:color w:val="0000FF"/>
      <w:u w:val="single"/>
    </w:rPr>
  </w:style>
  <w:style w:type="paragraph" w:styleId="11">
    <w:name w:val="toc 1"/>
    <w:basedOn w:val="a"/>
    <w:next w:val="a"/>
    <w:autoRedefine/>
    <w:uiPriority w:val="39"/>
    <w:rsid w:val="001C6AA0"/>
    <w:pPr>
      <w:tabs>
        <w:tab w:val="right" w:leader="dot" w:pos="10195"/>
      </w:tabs>
    </w:pPr>
    <w:rPr>
      <w:sz w:val="28"/>
    </w:rPr>
  </w:style>
  <w:style w:type="paragraph" w:styleId="a6">
    <w:name w:val="Normal (Web)"/>
    <w:basedOn w:val="a"/>
    <w:uiPriority w:val="99"/>
    <w:unhideWhenUsed/>
    <w:rsid w:val="001C6AA0"/>
    <w:pPr>
      <w:spacing w:before="100" w:beforeAutospacing="1" w:after="100" w:afterAutospacing="1"/>
    </w:pPr>
  </w:style>
  <w:style w:type="paragraph" w:styleId="a7">
    <w:name w:val="header"/>
    <w:basedOn w:val="a"/>
    <w:link w:val="a8"/>
    <w:uiPriority w:val="99"/>
    <w:unhideWhenUsed/>
    <w:rsid w:val="001C6AA0"/>
    <w:pPr>
      <w:tabs>
        <w:tab w:val="center" w:pos="4677"/>
        <w:tab w:val="right" w:pos="9355"/>
      </w:tabs>
    </w:pPr>
  </w:style>
  <w:style w:type="character" w:customStyle="1" w:styleId="a8">
    <w:name w:val="Верхній колонтитул Знак"/>
    <w:basedOn w:val="a0"/>
    <w:link w:val="a7"/>
    <w:uiPriority w:val="99"/>
    <w:rsid w:val="001C6AA0"/>
    <w:rPr>
      <w:rFonts w:ascii="Times New Roman" w:eastAsia="Times New Roman" w:hAnsi="Times New Roman" w:cs="Times New Roman"/>
      <w:lang w:val="ru-RU" w:eastAsia="ru-RU"/>
    </w:rPr>
  </w:style>
  <w:style w:type="paragraph" w:styleId="a9">
    <w:name w:val="footer"/>
    <w:basedOn w:val="a"/>
    <w:link w:val="aa"/>
    <w:uiPriority w:val="99"/>
    <w:unhideWhenUsed/>
    <w:rsid w:val="001C6AA0"/>
    <w:pPr>
      <w:tabs>
        <w:tab w:val="center" w:pos="4677"/>
        <w:tab w:val="right" w:pos="9355"/>
      </w:tabs>
    </w:pPr>
  </w:style>
  <w:style w:type="character" w:customStyle="1" w:styleId="aa">
    <w:name w:val="Нижній колонтитул Знак"/>
    <w:basedOn w:val="a0"/>
    <w:link w:val="a9"/>
    <w:uiPriority w:val="99"/>
    <w:rsid w:val="001C6AA0"/>
    <w:rPr>
      <w:rFonts w:ascii="Times New Roman" w:eastAsia="Times New Roman" w:hAnsi="Times New Roman" w:cs="Times New Roman"/>
      <w:lang w:val="ru-RU" w:eastAsia="ru-RU"/>
    </w:rPr>
  </w:style>
  <w:style w:type="paragraph" w:styleId="31">
    <w:name w:val="Body Text 3"/>
    <w:basedOn w:val="a"/>
    <w:link w:val="32"/>
    <w:uiPriority w:val="99"/>
    <w:semiHidden/>
    <w:unhideWhenUsed/>
    <w:rsid w:val="001C6AA0"/>
    <w:pPr>
      <w:spacing w:after="120"/>
    </w:pPr>
    <w:rPr>
      <w:sz w:val="16"/>
      <w:szCs w:val="16"/>
    </w:rPr>
  </w:style>
  <w:style w:type="character" w:customStyle="1" w:styleId="32">
    <w:name w:val="Основний текст 3 Знак"/>
    <w:basedOn w:val="a0"/>
    <w:link w:val="31"/>
    <w:uiPriority w:val="99"/>
    <w:semiHidden/>
    <w:rsid w:val="001C6AA0"/>
    <w:rPr>
      <w:rFonts w:ascii="Times New Roman" w:eastAsia="Times New Roman" w:hAnsi="Times New Roman" w:cs="Times New Roman"/>
      <w:sz w:val="16"/>
      <w:szCs w:val="16"/>
      <w:lang w:val="ru-RU" w:eastAsia="ru-RU"/>
    </w:rPr>
  </w:style>
  <w:style w:type="paragraph" w:styleId="2">
    <w:name w:val="Body Text 2"/>
    <w:basedOn w:val="a"/>
    <w:link w:val="20"/>
    <w:uiPriority w:val="99"/>
    <w:semiHidden/>
    <w:unhideWhenUsed/>
    <w:rsid w:val="001C6AA0"/>
    <w:pPr>
      <w:spacing w:after="120" w:line="480" w:lineRule="auto"/>
    </w:pPr>
  </w:style>
  <w:style w:type="character" w:customStyle="1" w:styleId="20">
    <w:name w:val="Основний текст 2 Знак"/>
    <w:basedOn w:val="a0"/>
    <w:link w:val="2"/>
    <w:uiPriority w:val="99"/>
    <w:semiHidden/>
    <w:rsid w:val="001C6AA0"/>
    <w:rPr>
      <w:rFonts w:ascii="Times New Roman" w:eastAsia="Times New Roman" w:hAnsi="Times New Roman" w:cs="Times New Roman"/>
      <w:lang w:val="ru-RU" w:eastAsia="ru-RU"/>
    </w:rPr>
  </w:style>
  <w:style w:type="paragraph" w:styleId="ab">
    <w:name w:val="footnote text"/>
    <w:basedOn w:val="a"/>
    <w:link w:val="ac"/>
    <w:uiPriority w:val="99"/>
    <w:rsid w:val="001C6AA0"/>
    <w:rPr>
      <w:sz w:val="20"/>
      <w:szCs w:val="20"/>
      <w:lang w:val="uk-UA"/>
    </w:rPr>
  </w:style>
  <w:style w:type="character" w:customStyle="1" w:styleId="ac">
    <w:name w:val="Текст виноски Знак"/>
    <w:basedOn w:val="a0"/>
    <w:link w:val="ab"/>
    <w:uiPriority w:val="99"/>
    <w:rsid w:val="001C6AA0"/>
    <w:rPr>
      <w:rFonts w:ascii="Times New Roman" w:eastAsia="Times New Roman" w:hAnsi="Times New Roman" w:cs="Times New Roman"/>
      <w:sz w:val="20"/>
      <w:szCs w:val="20"/>
      <w:lang w:val="uk-UA" w:eastAsia="ru-RU"/>
    </w:rPr>
  </w:style>
  <w:style w:type="character" w:styleId="ad">
    <w:name w:val="footnote reference"/>
    <w:uiPriority w:val="99"/>
    <w:rsid w:val="001C6AA0"/>
    <w:rPr>
      <w:vertAlign w:val="superscript"/>
    </w:rPr>
  </w:style>
  <w:style w:type="paragraph" w:styleId="21">
    <w:name w:val="Body Text Indent 2"/>
    <w:basedOn w:val="a"/>
    <w:link w:val="22"/>
    <w:uiPriority w:val="99"/>
    <w:semiHidden/>
    <w:unhideWhenUsed/>
    <w:rsid w:val="001C6AA0"/>
    <w:pPr>
      <w:spacing w:after="120" w:line="480" w:lineRule="auto"/>
      <w:ind w:left="283"/>
    </w:pPr>
  </w:style>
  <w:style w:type="character" w:customStyle="1" w:styleId="22">
    <w:name w:val="Основний текст з відступом 2 Знак"/>
    <w:basedOn w:val="a0"/>
    <w:link w:val="21"/>
    <w:uiPriority w:val="99"/>
    <w:semiHidden/>
    <w:rsid w:val="001C6AA0"/>
    <w:rPr>
      <w:rFonts w:ascii="Times New Roman" w:eastAsia="Times New Roman" w:hAnsi="Times New Roman" w:cs="Times New Roman"/>
      <w:lang w:val="ru-RU" w:eastAsia="ru-RU"/>
    </w:rPr>
  </w:style>
  <w:style w:type="paragraph" w:styleId="ae">
    <w:name w:val="Body Text Indent"/>
    <w:basedOn w:val="a"/>
    <w:link w:val="af"/>
    <w:uiPriority w:val="99"/>
    <w:rsid w:val="001C6AA0"/>
    <w:pPr>
      <w:overflowPunct w:val="0"/>
      <w:autoSpaceDE w:val="0"/>
      <w:autoSpaceDN w:val="0"/>
      <w:adjustRightInd w:val="0"/>
      <w:spacing w:after="120"/>
      <w:ind w:left="283"/>
    </w:pPr>
    <w:rPr>
      <w:sz w:val="28"/>
      <w:szCs w:val="28"/>
      <w:lang w:val="uk-UA" w:eastAsia="uk-UA"/>
    </w:rPr>
  </w:style>
  <w:style w:type="character" w:customStyle="1" w:styleId="af">
    <w:name w:val="Основний текст з відступом Знак"/>
    <w:basedOn w:val="a0"/>
    <w:link w:val="ae"/>
    <w:uiPriority w:val="99"/>
    <w:rsid w:val="001C6AA0"/>
    <w:rPr>
      <w:rFonts w:ascii="Times New Roman" w:eastAsia="Times New Roman" w:hAnsi="Times New Roman" w:cs="Times New Roman"/>
      <w:sz w:val="28"/>
      <w:szCs w:val="28"/>
      <w:lang w:val="uk-UA" w:eastAsia="uk-UA"/>
    </w:rPr>
  </w:style>
  <w:style w:type="paragraph" w:customStyle="1" w:styleId="Style7">
    <w:name w:val="Style7"/>
    <w:basedOn w:val="a"/>
    <w:uiPriority w:val="99"/>
    <w:rsid w:val="001C6AA0"/>
    <w:pPr>
      <w:widowControl w:val="0"/>
      <w:autoSpaceDE w:val="0"/>
      <w:autoSpaceDN w:val="0"/>
      <w:adjustRightInd w:val="0"/>
    </w:pPr>
    <w:rPr>
      <w:rFonts w:ascii="Courier New" w:hAnsi="Courier New" w:cs="Courier New"/>
    </w:rPr>
  </w:style>
  <w:style w:type="character" w:customStyle="1" w:styleId="FontStyle21">
    <w:name w:val="Font Style21"/>
    <w:uiPriority w:val="99"/>
    <w:rsid w:val="001C6AA0"/>
    <w:rPr>
      <w:rFonts w:ascii="Times New Roman" w:hAnsi="Times New Roman" w:cs="Times New Roman"/>
      <w:b/>
      <w:bCs/>
      <w:sz w:val="24"/>
      <w:szCs w:val="24"/>
    </w:rPr>
  </w:style>
  <w:style w:type="paragraph" w:customStyle="1" w:styleId="af0">
    <w:name w:val="Установа"/>
    <w:basedOn w:val="a"/>
    <w:uiPriority w:val="99"/>
    <w:rsid w:val="001C6AA0"/>
    <w:pPr>
      <w:keepNext/>
      <w:keepLines/>
      <w:spacing w:before="120"/>
      <w:jc w:val="center"/>
    </w:pPr>
    <w:rPr>
      <w:rFonts w:ascii="Antiqua" w:hAnsi="Antiqua" w:cs="Antiqua"/>
      <w:b/>
      <w:bCs/>
      <w:i/>
      <w:iCs/>
      <w:caps/>
      <w:sz w:val="48"/>
      <w:szCs w:val="48"/>
      <w:lang w:val="uk-UA"/>
    </w:rPr>
  </w:style>
  <w:style w:type="character" w:customStyle="1" w:styleId="rvts44">
    <w:name w:val="rvts44"/>
    <w:rsid w:val="001C6AA0"/>
    <w:rPr>
      <w:rFonts w:cs="Times New Roman"/>
    </w:rPr>
  </w:style>
  <w:style w:type="paragraph" w:styleId="af1">
    <w:name w:val="Body Text"/>
    <w:basedOn w:val="a"/>
    <w:link w:val="af2"/>
    <w:uiPriority w:val="99"/>
    <w:semiHidden/>
    <w:unhideWhenUsed/>
    <w:rsid w:val="001C6AA0"/>
    <w:pPr>
      <w:spacing w:after="120"/>
    </w:pPr>
  </w:style>
  <w:style w:type="character" w:customStyle="1" w:styleId="af2">
    <w:name w:val="Основний текст Знак"/>
    <w:basedOn w:val="a0"/>
    <w:link w:val="af1"/>
    <w:uiPriority w:val="99"/>
    <w:semiHidden/>
    <w:rsid w:val="001C6AA0"/>
    <w:rPr>
      <w:rFonts w:ascii="Times New Roman" w:eastAsia="Times New Roman" w:hAnsi="Times New Roman" w:cs="Times New Roman"/>
      <w:lang w:val="ru-RU" w:eastAsia="ru-RU"/>
    </w:rPr>
  </w:style>
  <w:style w:type="paragraph" w:styleId="af3">
    <w:name w:val="List Paragraph"/>
    <w:basedOn w:val="a"/>
    <w:uiPriority w:val="72"/>
    <w:qFormat/>
    <w:rsid w:val="001C6AA0"/>
    <w:pPr>
      <w:ind w:left="720"/>
    </w:pPr>
  </w:style>
  <w:style w:type="character" w:styleId="af4">
    <w:name w:val="annotation reference"/>
    <w:uiPriority w:val="99"/>
    <w:semiHidden/>
    <w:unhideWhenUsed/>
    <w:rsid w:val="001C6AA0"/>
    <w:rPr>
      <w:sz w:val="16"/>
      <w:szCs w:val="16"/>
    </w:rPr>
  </w:style>
  <w:style w:type="paragraph" w:styleId="af5">
    <w:name w:val="annotation text"/>
    <w:basedOn w:val="a"/>
    <w:link w:val="af6"/>
    <w:uiPriority w:val="99"/>
    <w:semiHidden/>
    <w:unhideWhenUsed/>
    <w:rsid w:val="001C6AA0"/>
    <w:rPr>
      <w:sz w:val="20"/>
      <w:szCs w:val="20"/>
    </w:rPr>
  </w:style>
  <w:style w:type="character" w:customStyle="1" w:styleId="af6">
    <w:name w:val="Текст примітки Знак"/>
    <w:basedOn w:val="a0"/>
    <w:link w:val="af5"/>
    <w:uiPriority w:val="99"/>
    <w:semiHidden/>
    <w:rsid w:val="001C6AA0"/>
    <w:rPr>
      <w:rFonts w:ascii="Times New Roman" w:eastAsia="Times New Roman" w:hAnsi="Times New Roman" w:cs="Times New Roman"/>
      <w:sz w:val="20"/>
      <w:szCs w:val="20"/>
      <w:lang w:val="ru-RU" w:eastAsia="ru-RU"/>
    </w:rPr>
  </w:style>
  <w:style w:type="paragraph" w:styleId="af7">
    <w:name w:val="annotation subject"/>
    <w:basedOn w:val="af5"/>
    <w:next w:val="af5"/>
    <w:link w:val="af8"/>
    <w:uiPriority w:val="99"/>
    <w:semiHidden/>
    <w:unhideWhenUsed/>
    <w:rsid w:val="001C6AA0"/>
    <w:rPr>
      <w:b/>
      <w:bCs/>
    </w:rPr>
  </w:style>
  <w:style w:type="character" w:customStyle="1" w:styleId="af8">
    <w:name w:val="Тема примітки Знак"/>
    <w:basedOn w:val="af6"/>
    <w:link w:val="af7"/>
    <w:uiPriority w:val="99"/>
    <w:semiHidden/>
    <w:rsid w:val="001C6AA0"/>
    <w:rPr>
      <w:rFonts w:ascii="Times New Roman" w:eastAsia="Times New Roman" w:hAnsi="Times New Roman" w:cs="Times New Roman"/>
      <w:b/>
      <w:bCs/>
      <w:sz w:val="20"/>
      <w:szCs w:val="20"/>
      <w:lang w:val="ru-RU" w:eastAsia="ru-RU"/>
    </w:rPr>
  </w:style>
  <w:style w:type="paragraph" w:styleId="af9">
    <w:name w:val="Balloon Text"/>
    <w:basedOn w:val="a"/>
    <w:link w:val="afa"/>
    <w:uiPriority w:val="99"/>
    <w:semiHidden/>
    <w:unhideWhenUsed/>
    <w:rsid w:val="001C6AA0"/>
    <w:rPr>
      <w:rFonts w:ascii="Segoe UI" w:hAnsi="Segoe UI" w:cs="Segoe UI"/>
      <w:sz w:val="18"/>
      <w:szCs w:val="18"/>
    </w:rPr>
  </w:style>
  <w:style w:type="character" w:customStyle="1" w:styleId="afa">
    <w:name w:val="Текст у виносці Знак"/>
    <w:basedOn w:val="a0"/>
    <w:link w:val="af9"/>
    <w:uiPriority w:val="99"/>
    <w:semiHidden/>
    <w:rsid w:val="001C6AA0"/>
    <w:rPr>
      <w:rFonts w:ascii="Segoe UI" w:eastAsia="Times New Roman" w:hAnsi="Segoe UI" w:cs="Segoe UI"/>
      <w:sz w:val="18"/>
      <w:szCs w:val="18"/>
      <w:lang w:val="ru-RU" w:eastAsia="ru-RU"/>
    </w:rPr>
  </w:style>
  <w:style w:type="paragraph" w:customStyle="1" w:styleId="Default">
    <w:name w:val="Default"/>
    <w:rsid w:val="009157D9"/>
    <w:pPr>
      <w:pBdr>
        <w:top w:val="nil"/>
        <w:left w:val="nil"/>
        <w:bottom w:val="nil"/>
        <w:right w:val="nil"/>
        <w:between w:val="nil"/>
        <w:bar w:val="nil"/>
      </w:pBdr>
    </w:pPr>
    <w:rPr>
      <w:rFonts w:ascii="Helvetica Neue" w:eastAsia="Arial Unicode MS" w:hAnsi="Helvetica Neue" w:cs="Arial Unicode MS"/>
      <w:color w:val="000000"/>
      <w:sz w:val="22"/>
      <w:szCs w:val="22"/>
      <w:bdr w:val="nil"/>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zakon3.rada.gov.ua/laws/show/254%D0%BA/96-%D0%B2%D1%8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19" Type="http://schemas.microsoft.com/office/2016/09/relationships/commentsIds" Target="commentsIds.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132</Pages>
  <Words>166216</Words>
  <Characters>94744</Characters>
  <Application>Microsoft Office Word</Application>
  <DocSecurity>0</DocSecurity>
  <Lines>789</Lines>
  <Paragraphs>520</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260440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Катя</cp:lastModifiedBy>
  <cp:revision>2</cp:revision>
  <cp:lastPrinted>2018-12-16T17:22:00Z</cp:lastPrinted>
  <dcterms:created xsi:type="dcterms:W3CDTF">2018-12-16T17:37:00Z</dcterms:created>
  <dcterms:modified xsi:type="dcterms:W3CDTF">2018-12-16T17:37:00Z</dcterms:modified>
</cp:coreProperties>
</file>