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177" w:rsidRPr="00621177" w:rsidRDefault="003A25C1" w:rsidP="003A25C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621177">
        <w:rPr>
          <w:rFonts w:ascii="Times New Roman" w:hAnsi="Times New Roman" w:cs="Times New Roman"/>
          <w:sz w:val="24"/>
          <w:szCs w:val="24"/>
        </w:rPr>
        <w:t xml:space="preserve">Кривда О.В., </w:t>
      </w:r>
    </w:p>
    <w:p w:rsidR="00621177" w:rsidRPr="00621177" w:rsidRDefault="00621177" w:rsidP="003A25C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621177">
        <w:rPr>
          <w:rFonts w:ascii="Times New Roman" w:hAnsi="Times New Roman" w:cs="Times New Roman"/>
          <w:sz w:val="24"/>
          <w:szCs w:val="24"/>
        </w:rPr>
        <w:t>КПІ ім. Ігоря Сікорського</w:t>
      </w:r>
    </w:p>
    <w:p w:rsidR="003A25C1" w:rsidRPr="00621177" w:rsidRDefault="00621177" w:rsidP="003A25C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621177">
        <w:rPr>
          <w:rFonts w:ascii="Times New Roman" w:hAnsi="Times New Roman" w:cs="Times New Roman"/>
          <w:sz w:val="24"/>
          <w:szCs w:val="24"/>
        </w:rPr>
        <w:t>к.е.н</w:t>
      </w:r>
      <w:proofErr w:type="spellEnd"/>
      <w:r w:rsidRPr="00621177">
        <w:rPr>
          <w:rFonts w:ascii="Times New Roman" w:hAnsi="Times New Roman" w:cs="Times New Roman"/>
          <w:sz w:val="24"/>
          <w:szCs w:val="24"/>
        </w:rPr>
        <w:t xml:space="preserve">., </w:t>
      </w:r>
      <w:r w:rsidR="003A25C1" w:rsidRPr="00621177">
        <w:rPr>
          <w:rFonts w:ascii="Times New Roman" w:hAnsi="Times New Roman" w:cs="Times New Roman"/>
          <w:sz w:val="24"/>
          <w:szCs w:val="24"/>
        </w:rPr>
        <w:t>доцент  ФММ</w:t>
      </w:r>
    </w:p>
    <w:p w:rsidR="003A25C1" w:rsidRDefault="003A25C1" w:rsidP="002C49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4970" w:rsidRDefault="003A25C1" w:rsidP="002C49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25C1">
        <w:rPr>
          <w:rFonts w:ascii="Times New Roman" w:hAnsi="Times New Roman" w:cs="Times New Roman"/>
          <w:b/>
          <w:sz w:val="24"/>
          <w:szCs w:val="24"/>
        </w:rPr>
        <w:t>РИЗИКИ РЕПУТАЦІЙНОЇ ДІЯЛЬНОСТІ ПІДПРИЄМСТВ</w:t>
      </w:r>
    </w:p>
    <w:p w:rsidR="00621177" w:rsidRPr="003A25C1" w:rsidRDefault="00621177" w:rsidP="002C49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600B" w:rsidRDefault="002142BB" w:rsidP="009E60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42BB">
        <w:rPr>
          <w:rFonts w:ascii="Times New Roman" w:hAnsi="Times New Roman" w:cs="Times New Roman"/>
          <w:sz w:val="24"/>
          <w:szCs w:val="24"/>
        </w:rPr>
        <w:t>У вітчизняних нормативних законодавчих актах термін «ділова репутація» застосовується як синонім англомовного терміна «гудвіл» (</w:t>
      </w:r>
      <w:proofErr w:type="spellStart"/>
      <w:r w:rsidRPr="002142BB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2142BB">
        <w:rPr>
          <w:rFonts w:ascii="Times New Roman" w:hAnsi="Times New Roman" w:cs="Times New Roman"/>
          <w:sz w:val="24"/>
          <w:szCs w:val="24"/>
        </w:rPr>
        <w:t xml:space="preserve">). Такий нематеріальний актив, як ділова репутація, що генерує процеси росту інтелектуального капіталу, включаючи репутаційний капітал, став одним з найважливіших джерел розвитку підприємств. Так, наприклад, в промислово розвинених країнах вартість ділової репутації в ринковій вартості компаній становить в середньому 20-25 відсотків [1]. Для високотехнологічних компаній ця величина </w:t>
      </w:r>
      <w:r w:rsidR="00171ED8">
        <w:rPr>
          <w:rFonts w:ascii="Times New Roman" w:hAnsi="Times New Roman" w:cs="Times New Roman"/>
          <w:sz w:val="24"/>
          <w:szCs w:val="24"/>
        </w:rPr>
        <w:t>може доходити до 80 відсотків</w:t>
      </w:r>
      <w:r w:rsidRPr="002142BB">
        <w:rPr>
          <w:rFonts w:ascii="Times New Roman" w:hAnsi="Times New Roman" w:cs="Times New Roman"/>
          <w:sz w:val="24"/>
          <w:szCs w:val="24"/>
        </w:rPr>
        <w:t>. При оцінці вартості ділової репутації завжди присутня невизначеність і породжувані цією невизначеністю ризики, оскільки при виконанні оцінки можна детально врахувати деякі елементи фактичних витрат на придбання або створення ділової репутації, її правову охорону.</w:t>
      </w:r>
      <w:r w:rsidRPr="002142BB">
        <w:t xml:space="preserve"> </w:t>
      </w:r>
      <w:r w:rsidRPr="002142BB">
        <w:rPr>
          <w:rFonts w:ascii="Times New Roman" w:hAnsi="Times New Roman" w:cs="Times New Roman"/>
          <w:sz w:val="24"/>
          <w:szCs w:val="24"/>
        </w:rPr>
        <w:t>В умовах високої турбулентності ринку, невизначеності зовнішнього середовища функціонування підприємства і, відповідно, процеси формування ділової репутації пов'язані з появою так званих репутаційних ризиків, виникнення яких є наслідком дії загроз зовнішнь</w:t>
      </w:r>
      <w:r w:rsidR="00171ED8">
        <w:rPr>
          <w:rFonts w:ascii="Times New Roman" w:hAnsi="Times New Roman" w:cs="Times New Roman"/>
          <w:sz w:val="24"/>
          <w:szCs w:val="24"/>
        </w:rPr>
        <w:t>ого і внутрішнього середовища</w:t>
      </w:r>
      <w:bookmarkStart w:id="0" w:name="_GoBack"/>
      <w:bookmarkEnd w:id="0"/>
      <w:r w:rsidRPr="002142BB">
        <w:rPr>
          <w:rFonts w:ascii="Times New Roman" w:hAnsi="Times New Roman" w:cs="Times New Roman"/>
          <w:sz w:val="24"/>
          <w:szCs w:val="24"/>
        </w:rPr>
        <w:t>. Основні фактори, що визначають рівень репутаційних ризиків, вказані в таблиці.</w:t>
      </w:r>
    </w:p>
    <w:p w:rsidR="009E600B" w:rsidRDefault="009E600B" w:rsidP="009E60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06006" w:rsidRPr="009E600B" w:rsidRDefault="009E600B" w:rsidP="009E60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E600B">
        <w:rPr>
          <w:rFonts w:ascii="Times New Roman" w:eastAsia="Arial" w:hAnsi="Times New Roman" w:cs="Times New Roman"/>
          <w:sz w:val="24"/>
          <w:szCs w:val="24"/>
          <w:lang w:eastAsia="uk-UA"/>
        </w:rPr>
        <w:t>Основні фактори, що визначають рівень репутаційних ризиків</w:t>
      </w:r>
    </w:p>
    <w:p w:rsidR="009E600B" w:rsidRPr="00206006" w:rsidRDefault="009E600B" w:rsidP="00206006">
      <w:pPr>
        <w:spacing w:after="0" w:line="100" w:lineRule="exact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7"/>
        <w:gridCol w:w="9168"/>
        <w:gridCol w:w="23"/>
        <w:gridCol w:w="17"/>
        <w:gridCol w:w="9"/>
        <w:gridCol w:w="186"/>
        <w:gridCol w:w="24"/>
      </w:tblGrid>
      <w:tr w:rsidR="009C775D" w:rsidRPr="00206006" w:rsidTr="002142BB">
        <w:trPr>
          <w:trHeight w:val="79"/>
        </w:trPr>
        <w:tc>
          <w:tcPr>
            <w:tcW w:w="23" w:type="dxa"/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916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tbl>
            <w:tblPr>
              <w:tblStyle w:val="a3"/>
              <w:tblW w:w="9158" w:type="dxa"/>
              <w:jc w:val="center"/>
              <w:tblLook w:val="04A0" w:firstRow="1" w:lastRow="0" w:firstColumn="1" w:lastColumn="0" w:noHBand="0" w:noVBand="1"/>
            </w:tblPr>
            <w:tblGrid>
              <w:gridCol w:w="4359"/>
              <w:gridCol w:w="4799"/>
            </w:tblGrid>
            <w:tr w:rsidR="009C775D" w:rsidTr="00C76DDD">
              <w:trPr>
                <w:trHeight w:val="361"/>
                <w:jc w:val="center"/>
              </w:trPr>
              <w:tc>
                <w:tcPr>
                  <w:tcW w:w="2380" w:type="pct"/>
                </w:tcPr>
                <w:p w:rsidR="00621177" w:rsidRDefault="00621177" w:rsidP="00C76DDD">
                  <w:pPr>
                    <w:spacing w:line="0" w:lineRule="atLeast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Зовнішні фактори</w:t>
                  </w:r>
                </w:p>
              </w:tc>
              <w:tc>
                <w:tcPr>
                  <w:tcW w:w="2620" w:type="pct"/>
                </w:tcPr>
                <w:p w:rsidR="00621177" w:rsidRDefault="00621177" w:rsidP="00C76DDD">
                  <w:pPr>
                    <w:spacing w:line="0" w:lineRule="atLeast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Внутрішні фактори</w:t>
                  </w:r>
                </w:p>
              </w:tc>
            </w:tr>
            <w:tr w:rsidR="009C775D" w:rsidTr="00C76DDD">
              <w:trPr>
                <w:trHeight w:val="511"/>
                <w:jc w:val="center"/>
              </w:trPr>
              <w:tc>
                <w:tcPr>
                  <w:tcW w:w="2380" w:type="pct"/>
                </w:tcPr>
                <w:p w:rsidR="00621177" w:rsidRPr="00621177" w:rsidRDefault="00621177" w:rsidP="00621177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ступінь прозорості фінансової</w:t>
                  </w:r>
                </w:p>
                <w:p w:rsidR="00621177" w:rsidRDefault="00621177" w:rsidP="00621177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і бухгалтерської звітності</w:t>
                  </w:r>
                </w:p>
              </w:tc>
              <w:tc>
                <w:tcPr>
                  <w:tcW w:w="2620" w:type="pct"/>
                </w:tcPr>
                <w:p w:rsidR="00621177" w:rsidRDefault="00C76DDD" w:rsidP="00621177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 xml:space="preserve">рівень довіри різних категорій </w:t>
                  </w:r>
                  <w:r w:rsidR="00621177"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стейкхолдерів</w:t>
                  </w:r>
                </w:p>
              </w:tc>
            </w:tr>
            <w:tr w:rsidR="009C775D" w:rsidTr="00C76DDD">
              <w:trPr>
                <w:trHeight w:val="279"/>
                <w:jc w:val="center"/>
              </w:trPr>
              <w:tc>
                <w:tcPr>
                  <w:tcW w:w="2380" w:type="pct"/>
                </w:tcPr>
                <w:p w:rsidR="00621177" w:rsidRDefault="00621177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динаміка показників фінансового стану</w:t>
                  </w:r>
                </w:p>
              </w:tc>
              <w:tc>
                <w:tcPr>
                  <w:tcW w:w="2620" w:type="pct"/>
                </w:tcPr>
                <w:p w:rsidR="00621177" w:rsidRDefault="00621177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proofErr w:type="spellStart"/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впізнаваність</w:t>
                  </w:r>
                  <w:proofErr w:type="spellEnd"/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 xml:space="preserve"> на ринку торгових марок</w:t>
                  </w:r>
                </w:p>
              </w:tc>
            </w:tr>
            <w:tr w:rsidR="009C775D" w:rsidTr="00C76DDD">
              <w:trPr>
                <w:trHeight w:val="285"/>
                <w:jc w:val="center"/>
              </w:trPr>
              <w:tc>
                <w:tcPr>
                  <w:tcW w:w="2380" w:type="pct"/>
                </w:tcPr>
                <w:p w:rsidR="00621177" w:rsidRDefault="00621177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рівень плинності кадрів</w:t>
                  </w:r>
                </w:p>
              </w:tc>
              <w:tc>
                <w:tcPr>
                  <w:tcW w:w="2620" w:type="pct"/>
                </w:tcPr>
                <w:p w:rsidR="00621177" w:rsidRDefault="00C76DDD" w:rsidP="00621177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 xml:space="preserve">наявність претензій з боку </w:t>
                  </w:r>
                  <w:proofErr w:type="spellStart"/>
                  <w:r w:rsidR="00621177" w:rsidRPr="006211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стейкхолдерів</w:t>
                  </w:r>
                  <w:proofErr w:type="spellEnd"/>
                </w:p>
              </w:tc>
            </w:tr>
            <w:tr w:rsidR="009C775D" w:rsidTr="00C76DDD">
              <w:trPr>
                <w:trHeight w:val="263"/>
                <w:jc w:val="center"/>
              </w:trPr>
              <w:tc>
                <w:tcPr>
                  <w:tcW w:w="2380" w:type="pct"/>
                </w:tcPr>
                <w:p w:rsidR="00621177" w:rsidRDefault="00C76DDD" w:rsidP="009C775D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 xml:space="preserve">корпоративна культура </w:t>
                  </w:r>
                  <w:r w:rsidR="009C775D"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підприємства</w:t>
                  </w:r>
                </w:p>
              </w:tc>
              <w:tc>
                <w:tcPr>
                  <w:tcW w:w="2620" w:type="pct"/>
                </w:tcPr>
                <w:p w:rsidR="00621177" w:rsidRDefault="009C775D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динаміка розвитку клієнтської бази</w:t>
                  </w:r>
                </w:p>
              </w:tc>
            </w:tr>
            <w:tr w:rsidR="009C775D" w:rsidTr="00C76DDD">
              <w:trPr>
                <w:trHeight w:val="577"/>
                <w:jc w:val="center"/>
              </w:trPr>
              <w:tc>
                <w:tcPr>
                  <w:tcW w:w="2380" w:type="pct"/>
                </w:tcPr>
                <w:p w:rsidR="00621177" w:rsidRDefault="009C775D" w:rsidP="009C775D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 xml:space="preserve">особливості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бізнес-</w:t>
                  </w: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процесів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, що реалізуються</w:t>
                  </w:r>
                </w:p>
              </w:tc>
              <w:tc>
                <w:tcPr>
                  <w:tcW w:w="2620" w:type="pct"/>
                </w:tcPr>
                <w:p w:rsidR="00621177" w:rsidRDefault="009C775D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негативні згадки про підприємство в засобах масової інформації</w:t>
                  </w:r>
                </w:p>
              </w:tc>
            </w:tr>
            <w:tr w:rsidR="009C775D" w:rsidTr="00C76DDD">
              <w:trPr>
                <w:trHeight w:val="607"/>
                <w:jc w:val="center"/>
              </w:trPr>
              <w:tc>
                <w:tcPr>
                  <w:tcW w:w="2380" w:type="pct"/>
                </w:tcPr>
                <w:p w:rsidR="00621177" w:rsidRDefault="009C775D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якість продукції і послуг</w:t>
                  </w:r>
                </w:p>
              </w:tc>
              <w:tc>
                <w:tcPr>
                  <w:tcW w:w="2620" w:type="pct"/>
                </w:tcPr>
                <w:p w:rsidR="00621177" w:rsidRDefault="009C775D" w:rsidP="00206006">
                  <w:pPr>
                    <w:spacing w:line="0" w:lineRule="atLeas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</w:pPr>
                  <w:r w:rsidRPr="009C775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uk-UA"/>
                    </w:rPr>
                    <w:t>наявність соціальної складової в діяльності підприємства</w:t>
                  </w:r>
                </w:p>
              </w:tc>
            </w:tr>
          </w:tbl>
          <w:p w:rsidR="009C775D" w:rsidRPr="00206006" w:rsidRDefault="009C775D" w:rsidP="009C775D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2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8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9C775D" w:rsidRPr="00206006" w:rsidRDefault="009C775D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24" w:type="dxa"/>
            <w:tcBorders>
              <w:left w:val="nil"/>
            </w:tcBorders>
            <w:shd w:val="clear" w:color="auto" w:fill="auto"/>
            <w:vAlign w:val="bottom"/>
          </w:tcPr>
          <w:p w:rsidR="00206006" w:rsidRPr="00206006" w:rsidRDefault="00206006" w:rsidP="0020600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</w:tbl>
    <w:p w:rsidR="00206006" w:rsidRDefault="002142BB" w:rsidP="002142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42BB">
        <w:rPr>
          <w:rFonts w:ascii="Times New Roman" w:hAnsi="Times New Roman" w:cs="Times New Roman"/>
          <w:sz w:val="24"/>
          <w:szCs w:val="24"/>
        </w:rPr>
        <w:t xml:space="preserve">Для мінімізації репутаційних ризиків </w:t>
      </w:r>
      <w:r w:rsidR="00171ED8">
        <w:rPr>
          <w:rFonts w:ascii="Times New Roman" w:hAnsi="Times New Roman" w:cs="Times New Roman"/>
          <w:sz w:val="24"/>
          <w:szCs w:val="24"/>
        </w:rPr>
        <w:t>використовуються різні методи [2</w:t>
      </w:r>
      <w:r w:rsidRPr="002142BB">
        <w:rPr>
          <w:rFonts w:ascii="Times New Roman" w:hAnsi="Times New Roman" w:cs="Times New Roman"/>
          <w:sz w:val="24"/>
          <w:szCs w:val="24"/>
        </w:rPr>
        <w:t>]. У практиці ризик-менеджменту найбільшого поширення</w:t>
      </w:r>
      <w:r>
        <w:rPr>
          <w:rFonts w:ascii="Times New Roman" w:hAnsi="Times New Roman" w:cs="Times New Roman"/>
          <w:sz w:val="24"/>
          <w:szCs w:val="24"/>
        </w:rPr>
        <w:t xml:space="preserve"> набули такі методи, як уникання</w:t>
      </w:r>
      <w:r w:rsidRPr="002142BB">
        <w:rPr>
          <w:rFonts w:ascii="Times New Roman" w:hAnsi="Times New Roman" w:cs="Times New Roman"/>
          <w:sz w:val="24"/>
          <w:szCs w:val="24"/>
        </w:rPr>
        <w:t xml:space="preserve">, диверсифікація та поділ ризиків між учасниками підприємницької діяльності, резервування підприємством коштів для покриття ризиків. Репутаційні ризики можуть бути зменшені за рахунок розширення числа учасників підприємницької діяльності. При цьому </w:t>
      </w:r>
      <w:r>
        <w:rPr>
          <w:rFonts w:ascii="Times New Roman" w:hAnsi="Times New Roman" w:cs="Times New Roman"/>
          <w:sz w:val="24"/>
          <w:szCs w:val="24"/>
        </w:rPr>
        <w:t>залучені</w:t>
      </w:r>
      <w:r w:rsidRPr="002142BB">
        <w:rPr>
          <w:rFonts w:ascii="Times New Roman" w:hAnsi="Times New Roman" w:cs="Times New Roman"/>
          <w:sz w:val="24"/>
          <w:szCs w:val="24"/>
        </w:rPr>
        <w:t xml:space="preserve"> учасники повинні мати у своєму розпорядженні відповідні ресурси, наприклад</w:t>
      </w:r>
      <w:r>
        <w:rPr>
          <w:rFonts w:ascii="Times New Roman" w:hAnsi="Times New Roman" w:cs="Times New Roman"/>
          <w:sz w:val="24"/>
          <w:szCs w:val="24"/>
        </w:rPr>
        <w:t xml:space="preserve"> фінансові</w:t>
      </w:r>
      <w:r w:rsidRPr="002142BB">
        <w:rPr>
          <w:rFonts w:ascii="Times New Roman" w:hAnsi="Times New Roman" w:cs="Times New Roman"/>
          <w:sz w:val="24"/>
          <w:szCs w:val="24"/>
        </w:rPr>
        <w:t>, що дозволяють знизити середньозважену вартість капіталу.</w:t>
      </w:r>
      <w:r w:rsidR="00195F12" w:rsidRPr="00195F12">
        <w:rPr>
          <w:rFonts w:ascii="Times New Roman" w:hAnsi="Times New Roman" w:cs="Times New Roman"/>
          <w:sz w:val="24"/>
          <w:szCs w:val="24"/>
        </w:rPr>
        <w:t xml:space="preserve"> </w:t>
      </w:r>
      <w:r w:rsidRPr="002142BB">
        <w:rPr>
          <w:rFonts w:ascii="Times New Roman" w:hAnsi="Times New Roman" w:cs="Times New Roman"/>
          <w:sz w:val="24"/>
          <w:szCs w:val="24"/>
        </w:rPr>
        <w:t>Це можуть бути і інтелектуальні ресурси, зокрема, інформація про стан різних сегментів ринку і особливості їх функціонування. Використання цього виду ресурсів дасть можливість знизити рівень невизначеності і, відповідно, зменшити норму дисконту в моделях розрахунку величин чистого дисконтованого доходу, одержуваних в результаті реалізації тієї чи іншої програми ризик-менеджменту. В рамках реалізації підприємством цих програм в режимі моніторингу здійснюється контроль параметрів зовнішнього і внутрішнього середовища.</w:t>
      </w:r>
      <w:r w:rsidRPr="002142BB">
        <w:t xml:space="preserve"> </w:t>
      </w:r>
      <w:r w:rsidRPr="002142BB">
        <w:rPr>
          <w:rFonts w:ascii="Times New Roman" w:hAnsi="Times New Roman" w:cs="Times New Roman"/>
          <w:sz w:val="24"/>
          <w:szCs w:val="24"/>
        </w:rPr>
        <w:t xml:space="preserve">Це дозволяє на ранніх етапах виникнення ризиків визначити динаміку загроз і можливостей підприємства, а також прогнозувати появу факторів, що обумовлюють виникнення нових ризиків. За результатами моніторингу коригується стратегія взаємовідносин підприємства з клієнтами та іншими категоріями </w:t>
      </w:r>
      <w:proofErr w:type="spellStart"/>
      <w:r w:rsidRPr="002142BB">
        <w:rPr>
          <w:rFonts w:ascii="Times New Roman" w:hAnsi="Times New Roman" w:cs="Times New Roman"/>
          <w:sz w:val="24"/>
          <w:szCs w:val="24"/>
        </w:rPr>
        <w:t>стейкхолдерів</w:t>
      </w:r>
      <w:proofErr w:type="spellEnd"/>
      <w:r w:rsidRPr="002142BB">
        <w:rPr>
          <w:rFonts w:ascii="Times New Roman" w:hAnsi="Times New Roman" w:cs="Times New Roman"/>
          <w:sz w:val="24"/>
          <w:szCs w:val="24"/>
        </w:rPr>
        <w:t>, актуалізуються програми забезпечення лояль</w:t>
      </w:r>
      <w:r w:rsidR="00C27A8E">
        <w:rPr>
          <w:rFonts w:ascii="Times New Roman" w:hAnsi="Times New Roman" w:cs="Times New Roman"/>
          <w:sz w:val="24"/>
          <w:szCs w:val="24"/>
        </w:rPr>
        <w:t>ності, навчання персоналу тощо</w:t>
      </w:r>
      <w:r w:rsidRPr="002142BB">
        <w:rPr>
          <w:rFonts w:ascii="Times New Roman" w:hAnsi="Times New Roman" w:cs="Times New Roman"/>
          <w:sz w:val="24"/>
          <w:szCs w:val="24"/>
        </w:rPr>
        <w:t>.</w:t>
      </w:r>
    </w:p>
    <w:p w:rsidR="009E600B" w:rsidRDefault="009E600B" w:rsidP="009E600B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Література:</w:t>
      </w:r>
    </w:p>
    <w:p w:rsidR="009E600B" w:rsidRPr="009E600B" w:rsidRDefault="009E600B" w:rsidP="009E600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600B">
        <w:rPr>
          <w:rFonts w:ascii="Times New Roman" w:hAnsi="Times New Roman" w:cs="Times New Roman"/>
          <w:sz w:val="24"/>
          <w:szCs w:val="24"/>
        </w:rPr>
        <w:lastRenderedPageBreak/>
        <w:t>Анохіна К. О. Характеристика взаємозв’язку репутації, іміджу, бренду та гудвілу як складових нематеріальних активів підприємства / К. О. Анохіна // Науковий збірник Одеського національного економічного університету. – 2010. – №1. – С. 67-69.</w:t>
      </w:r>
    </w:p>
    <w:p w:rsidR="009E600B" w:rsidRPr="009E600B" w:rsidRDefault="009E600B" w:rsidP="00171ED8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600B">
        <w:rPr>
          <w:rFonts w:ascii="Times New Roman" w:hAnsi="Times New Roman" w:cs="Times New Roman"/>
          <w:sz w:val="24"/>
          <w:szCs w:val="24"/>
        </w:rPr>
        <w:t>Гриффин</w:t>
      </w:r>
      <w:proofErr w:type="spellEnd"/>
      <w:r w:rsidRPr="009E600B">
        <w:rPr>
          <w:rFonts w:ascii="Times New Roman" w:hAnsi="Times New Roman" w:cs="Times New Roman"/>
          <w:sz w:val="24"/>
          <w:szCs w:val="24"/>
        </w:rPr>
        <w:tab/>
        <w:t xml:space="preserve">Э. 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Управление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репутационными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 рисками: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Стратегический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подход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Эндрю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1ED8" w:rsidRPr="00171ED8">
        <w:rPr>
          <w:rFonts w:ascii="Times New Roman" w:hAnsi="Times New Roman" w:cs="Times New Roman"/>
          <w:sz w:val="24"/>
          <w:szCs w:val="24"/>
        </w:rPr>
        <w:t>Гриффин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 xml:space="preserve">; Пер. с </w:t>
      </w:r>
      <w:r w:rsidR="00171ED8">
        <w:rPr>
          <w:rFonts w:ascii="Times New Roman" w:hAnsi="Times New Roman" w:cs="Times New Roman"/>
          <w:sz w:val="24"/>
          <w:szCs w:val="24"/>
        </w:rPr>
        <w:t xml:space="preserve">англ. — М.: </w:t>
      </w:r>
      <w:proofErr w:type="spellStart"/>
      <w:r w:rsidR="00171ED8">
        <w:rPr>
          <w:rFonts w:ascii="Times New Roman" w:hAnsi="Times New Roman" w:cs="Times New Roman"/>
          <w:sz w:val="24"/>
          <w:szCs w:val="24"/>
        </w:rPr>
        <w:t>Альпина</w:t>
      </w:r>
      <w:proofErr w:type="spellEnd"/>
      <w:r w:rsidR="00171E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1ED8">
        <w:rPr>
          <w:rFonts w:ascii="Times New Roman" w:hAnsi="Times New Roman" w:cs="Times New Roman"/>
          <w:sz w:val="24"/>
          <w:szCs w:val="24"/>
        </w:rPr>
        <w:t>Бизнес</w:t>
      </w:r>
      <w:proofErr w:type="spellEnd"/>
      <w:r w:rsidR="00171ED8" w:rsidRPr="00171ED8">
        <w:rPr>
          <w:rFonts w:ascii="Times New Roman" w:hAnsi="Times New Roman" w:cs="Times New Roman"/>
          <w:sz w:val="24"/>
          <w:szCs w:val="24"/>
        </w:rPr>
        <w:t>, 2009. — 237 с</w:t>
      </w:r>
      <w:r w:rsidR="00171ED8">
        <w:rPr>
          <w:rFonts w:ascii="Times New Roman" w:hAnsi="Times New Roman" w:cs="Times New Roman"/>
          <w:sz w:val="24"/>
          <w:szCs w:val="24"/>
        </w:rPr>
        <w:t>.</w:t>
      </w:r>
    </w:p>
    <w:sectPr w:rsidR="009E600B" w:rsidRPr="009E600B" w:rsidSect="00621177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D80B76"/>
    <w:multiLevelType w:val="hybridMultilevel"/>
    <w:tmpl w:val="44804C9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C5E"/>
    <w:rsid w:val="00107C5E"/>
    <w:rsid w:val="00171ED8"/>
    <w:rsid w:val="00195F12"/>
    <w:rsid w:val="00206006"/>
    <w:rsid w:val="002142BB"/>
    <w:rsid w:val="002C4970"/>
    <w:rsid w:val="003A25C1"/>
    <w:rsid w:val="00621177"/>
    <w:rsid w:val="009C775D"/>
    <w:rsid w:val="009E600B"/>
    <w:rsid w:val="00C27A8E"/>
    <w:rsid w:val="00C57465"/>
    <w:rsid w:val="00C76DDD"/>
    <w:rsid w:val="00E46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11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E60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11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E60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2395</Words>
  <Characters>1366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2018-11-01T15:36:00Z</dcterms:created>
  <dcterms:modified xsi:type="dcterms:W3CDTF">2018-11-01T18:25:00Z</dcterms:modified>
</cp:coreProperties>
</file>