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charts/chart10.xml" ContentType="application/vnd.openxmlformats-officedocument.drawingml.chart+xml"/>
  <Override PartName="/word/drawings/drawing10.xml" ContentType="application/vnd.openxmlformats-officedocument.drawingml.chartshapes+xml"/>
  <Override PartName="/word/charts/chart11.xml" ContentType="application/vnd.openxmlformats-officedocument.drawingml.chart+xml"/>
  <Override PartName="/word/drawings/drawing11.xml" ContentType="application/vnd.openxmlformats-officedocument.drawingml.chartshapes+xml"/>
  <Override PartName="/word/charts/chart12.xml" ContentType="application/vnd.openxmlformats-officedocument.drawingml.chart+xml"/>
  <Override PartName="/word/drawings/drawing12.xml" ContentType="application/vnd.openxmlformats-officedocument.drawingml.chartshapes+xml"/>
  <Override PartName="/word/charts/chart1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1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1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20.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21.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22.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23.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24.xml" ContentType="application/vnd.openxmlformats-officedocument.drawingml.chart+xml"/>
  <Override PartName="/word/drawings/drawing13.xml" ContentType="application/vnd.openxmlformats-officedocument.drawingml.chartshapes+xml"/>
  <Override PartName="/word/charts/chart25.xml" ContentType="application/vnd.openxmlformats-officedocument.drawingml.chart+xml"/>
  <Override PartName="/word/drawings/drawing14.xml" ContentType="application/vnd.openxmlformats-officedocument.drawingml.chartshapes+xml"/>
  <Override PartName="/word/charts/chart26.xml" ContentType="application/vnd.openxmlformats-officedocument.drawingml.chart+xml"/>
  <Override PartName="/word/drawings/drawing15.xml" ContentType="application/vnd.openxmlformats-officedocument.drawingml.chartshapes+xml"/>
  <Override PartName="/word/charts/chart27.xml" ContentType="application/vnd.openxmlformats-officedocument.drawingml.chart+xml"/>
  <Override PartName="/word/drawings/drawing16.xml" ContentType="application/vnd.openxmlformats-officedocument.drawingml.chartshapes+xml"/>
  <Override PartName="/word/charts/chart28.xml" ContentType="application/vnd.openxmlformats-officedocument.drawingml.chart+xml"/>
  <Override PartName="/word/drawings/drawing17.xml" ContentType="application/vnd.openxmlformats-officedocument.drawingml.chartshapes+xml"/>
  <Override PartName="/word/charts/chart29.xml" ContentType="application/vnd.openxmlformats-officedocument.drawingml.chart+xml"/>
  <Override PartName="/word/drawings/drawing18.xml" ContentType="application/vnd.openxmlformats-officedocument.drawingml.chartshapes+xml"/>
  <Override PartName="/word/charts/chart30.xml" ContentType="application/vnd.openxmlformats-officedocument.drawingml.chart+xml"/>
  <Override PartName="/word/drawings/drawing19.xml" ContentType="application/vnd.openxmlformats-officedocument.drawingml.chartshapes+xml"/>
  <Override PartName="/word/charts/chart31.xml" ContentType="application/vnd.openxmlformats-officedocument.drawingml.chart+xml"/>
  <Override PartName="/word/drawings/drawing20.xml" ContentType="application/vnd.openxmlformats-officedocument.drawingml.chartshapes+xml"/>
  <Override PartName="/word/charts/chart32.xml" ContentType="application/vnd.openxmlformats-officedocument.drawingml.chart+xml"/>
  <Override PartName="/word/drawings/drawing21.xml" ContentType="application/vnd.openxmlformats-officedocument.drawingml.chartshapes+xml"/>
  <Override PartName="/word/charts/chart33.xml" ContentType="application/vnd.openxmlformats-officedocument.drawingml.chart+xml"/>
  <Override PartName="/word/drawings/drawing22.xml" ContentType="application/vnd.openxmlformats-officedocument.drawingml.chartshapes+xml"/>
  <Override PartName="/word/charts/chart34.xml" ContentType="application/vnd.openxmlformats-officedocument.drawingml.chart+xml"/>
  <Override PartName="/word/drawings/drawing23.xml" ContentType="application/vnd.openxmlformats-officedocument.drawingml.chartshapes+xml"/>
  <Override PartName="/word/charts/chart35.xml" ContentType="application/vnd.openxmlformats-officedocument.drawingml.chart+xml"/>
  <Override PartName="/word/drawings/drawing24.xml" ContentType="application/vnd.openxmlformats-officedocument.drawingml.chartshapes+xml"/>
  <Override PartName="/word/charts/chart36.xml" ContentType="application/vnd.openxmlformats-officedocument.drawingml.chart+xml"/>
  <Override PartName="/word/drawings/drawing25.xml" ContentType="application/vnd.openxmlformats-officedocument.drawingml.chartshapes+xml"/>
  <Override PartName="/word/charts/chart37.xml" ContentType="application/vnd.openxmlformats-officedocument.drawingml.chart+xml"/>
  <Override PartName="/word/drawings/drawing26.xml" ContentType="application/vnd.openxmlformats-officedocument.drawingml.chartshapes+xml"/>
  <Override PartName="/word/charts/chart38.xml" ContentType="application/vnd.openxmlformats-officedocument.drawingml.chart+xml"/>
  <Override PartName="/word/drawings/drawing27.xml" ContentType="application/vnd.openxmlformats-officedocument.drawingml.chartshapes+xml"/>
  <Override PartName="/word/charts/chart39.xml" ContentType="application/vnd.openxmlformats-officedocument.drawingml.chart+xml"/>
  <Override PartName="/word/drawings/drawing28.xml" ContentType="application/vnd.openxmlformats-officedocument.drawingml.chartshapes+xml"/>
  <Override PartName="/word/charts/chart40.xml" ContentType="application/vnd.openxmlformats-officedocument.drawingml.chart+xml"/>
  <Override PartName="/word/drawings/drawing29.xml" ContentType="application/vnd.openxmlformats-officedocument.drawingml.chartshapes+xml"/>
  <Override PartName="/word/charts/chart41.xml" ContentType="application/vnd.openxmlformats-officedocument.drawingml.chart+xml"/>
  <Override PartName="/word/drawings/drawing30.xml" ContentType="application/vnd.openxmlformats-officedocument.drawingml.chartshapes+xml"/>
  <Override PartName="/word/charts/chart4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29C" w:rsidRDefault="00E671D2">
      <w:pPr>
        <w:spacing w:after="0" w:line="240" w:lineRule="auto"/>
        <w:jc w:val="center"/>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НАЦІОНАЛЬНИЙ ТЕХНІЧНИЙ УНІВЕРСИТЕТ УКРАЇНИ</w:t>
      </w:r>
    </w:p>
    <w:p w:rsidR="00F1629C" w:rsidRDefault="00E671D2">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«КИЇВСЬКИЙ ПОЛІТЕХНІЧНИЙ ІНСТИТУТ</w:t>
      </w:r>
      <w:r>
        <w:rPr>
          <w:rFonts w:ascii="Times New Roman" w:hAnsi="Times New Roman" w:cs="Times New Roman"/>
          <w:b/>
          <w:bCs/>
          <w:sz w:val="28"/>
          <w:szCs w:val="28"/>
        </w:rPr>
        <w:br/>
        <w:t>імені ІГОРЯ СІКОРСЬКОГО»</w:t>
      </w:r>
    </w:p>
    <w:p w:rsidR="00F1629C" w:rsidRDefault="00E671D2">
      <w:pPr>
        <w:tabs>
          <w:tab w:val="left" w:leader="underscore" w:pos="9356"/>
        </w:tabs>
        <w:spacing w:before="120" w:line="240" w:lineRule="auto"/>
        <w:jc w:val="center"/>
        <w:rPr>
          <w:rFonts w:ascii="Times New Roman" w:hAnsi="Times New Roman" w:cs="Times New Roman"/>
          <w:b/>
          <w:sz w:val="28"/>
          <w:szCs w:val="28"/>
        </w:rPr>
      </w:pPr>
      <w:r>
        <w:rPr>
          <w:rFonts w:ascii="Times New Roman" w:hAnsi="Times New Roman" w:cs="Times New Roman"/>
          <w:b/>
          <w:sz w:val="28"/>
          <w:szCs w:val="28"/>
        </w:rPr>
        <w:t>Інженерно-хімічний факультет</w:t>
      </w:r>
    </w:p>
    <w:p w:rsidR="00F1629C" w:rsidRDefault="00E671D2">
      <w:pPr>
        <w:tabs>
          <w:tab w:val="left" w:leader="underscore" w:pos="9356"/>
        </w:tabs>
        <w:spacing w:before="120" w:line="240" w:lineRule="auto"/>
        <w:jc w:val="center"/>
        <w:rPr>
          <w:rFonts w:ascii="Times New Roman" w:hAnsi="Times New Roman" w:cs="Times New Roman"/>
          <w:b/>
          <w:sz w:val="28"/>
          <w:szCs w:val="28"/>
        </w:rPr>
      </w:pPr>
      <w:r>
        <w:rPr>
          <w:rFonts w:ascii="Times New Roman" w:hAnsi="Times New Roman" w:cs="Times New Roman"/>
          <w:b/>
          <w:sz w:val="28"/>
          <w:szCs w:val="28"/>
        </w:rPr>
        <w:t>Кафедра екології та технології рослинних полімерів</w:t>
      </w:r>
    </w:p>
    <w:p w:rsidR="00F1629C" w:rsidRDefault="00F1629C">
      <w:pPr>
        <w:tabs>
          <w:tab w:val="left" w:leader="underscore" w:pos="8903"/>
          <w:tab w:val="left" w:leader="underscore" w:pos="9631"/>
        </w:tabs>
        <w:spacing w:line="240" w:lineRule="auto"/>
        <w:jc w:val="center"/>
        <w:rPr>
          <w:rFonts w:ascii="Times New Roman" w:hAnsi="Times New Roman" w:cs="Times New Roman"/>
          <w:sz w:val="28"/>
          <w:szCs w:val="28"/>
        </w:rPr>
      </w:pPr>
    </w:p>
    <w:tbl>
      <w:tblPr>
        <w:tblW w:w="9116" w:type="dxa"/>
        <w:tblLayout w:type="fixed"/>
        <w:tblLook w:val="04A0" w:firstRow="1" w:lastRow="0" w:firstColumn="1" w:lastColumn="0" w:noHBand="0" w:noVBand="1"/>
      </w:tblPr>
      <w:tblGrid>
        <w:gridCol w:w="5353"/>
        <w:gridCol w:w="3763"/>
      </w:tblGrid>
      <w:tr w:rsidR="00F1629C">
        <w:tc>
          <w:tcPr>
            <w:tcW w:w="5353" w:type="dxa"/>
          </w:tcPr>
          <w:p w:rsidR="00F1629C" w:rsidRDefault="00E671D2">
            <w:pPr>
              <w:tabs>
                <w:tab w:val="left" w:leader="underscore" w:pos="9631"/>
              </w:tabs>
              <w:spacing w:after="0" w:line="240" w:lineRule="auto"/>
              <w:rPr>
                <w:rFonts w:ascii="Times New Roman" w:hAnsi="Times New Roman" w:cs="Times New Roman"/>
                <w:bCs/>
                <w:sz w:val="26"/>
                <w:szCs w:val="26"/>
              </w:rPr>
            </w:pPr>
            <w:r>
              <w:rPr>
                <w:rFonts w:ascii="Times New Roman" w:hAnsi="Times New Roman" w:cs="Times New Roman"/>
                <w:bCs/>
                <w:sz w:val="26"/>
                <w:szCs w:val="26"/>
              </w:rPr>
              <w:t>«На правах рукопису»</w:t>
            </w:r>
          </w:p>
          <w:p w:rsidR="00F1629C" w:rsidRDefault="00E671D2">
            <w:pPr>
              <w:tabs>
                <w:tab w:val="left" w:leader="underscore" w:pos="9631"/>
              </w:tabs>
              <w:spacing w:after="0" w:line="240" w:lineRule="auto"/>
              <w:rPr>
                <w:rFonts w:ascii="Times New Roman" w:hAnsi="Times New Roman" w:cs="Times New Roman"/>
                <w:bCs/>
                <w:sz w:val="28"/>
                <w:szCs w:val="28"/>
                <w:lang w:val="ru"/>
              </w:rPr>
            </w:pPr>
            <w:r>
              <w:rPr>
                <w:rFonts w:ascii="Times New Roman" w:hAnsi="Times New Roman" w:cs="Times New Roman"/>
                <w:bCs/>
                <w:sz w:val="26"/>
                <w:szCs w:val="26"/>
              </w:rPr>
              <w:t xml:space="preserve">УДК </w:t>
            </w:r>
            <w:r>
              <w:rPr>
                <w:rFonts w:ascii="Times New Roman" w:hAnsi="Times New Roman" w:cs="Times New Roman"/>
                <w:bCs/>
                <w:sz w:val="26"/>
                <w:szCs w:val="26"/>
                <w:lang w:val="ru"/>
              </w:rPr>
              <w:t>628.3</w:t>
            </w:r>
          </w:p>
        </w:tc>
        <w:tc>
          <w:tcPr>
            <w:tcW w:w="3763" w:type="dxa"/>
          </w:tcPr>
          <w:p w:rsidR="00F1629C" w:rsidRDefault="00E671D2">
            <w:pPr>
              <w:spacing w:before="120" w:after="0" w:line="240" w:lineRule="auto"/>
              <w:ind w:left="62"/>
              <w:rPr>
                <w:rFonts w:ascii="Times New Roman" w:hAnsi="Times New Roman" w:cs="Times New Roman"/>
                <w:sz w:val="24"/>
                <w:szCs w:val="28"/>
              </w:rPr>
            </w:pPr>
            <w:r>
              <w:rPr>
                <w:rFonts w:ascii="Times New Roman" w:hAnsi="Times New Roman" w:cs="Times New Roman"/>
                <w:sz w:val="24"/>
                <w:szCs w:val="28"/>
              </w:rPr>
              <w:t>«До захисту допущено»</w:t>
            </w:r>
          </w:p>
          <w:p w:rsidR="00F1629C" w:rsidRDefault="00E671D2">
            <w:pPr>
              <w:spacing w:before="120" w:after="0" w:line="240" w:lineRule="auto"/>
              <w:ind w:left="62"/>
              <w:rPr>
                <w:rFonts w:ascii="Times New Roman" w:hAnsi="Times New Roman" w:cs="Times New Roman"/>
                <w:bCs/>
                <w:sz w:val="24"/>
                <w:szCs w:val="28"/>
              </w:rPr>
            </w:pPr>
            <w:r>
              <w:rPr>
                <w:rFonts w:ascii="Times New Roman" w:hAnsi="Times New Roman" w:cs="Times New Roman"/>
                <w:bCs/>
                <w:sz w:val="24"/>
                <w:szCs w:val="28"/>
              </w:rPr>
              <w:t>Завідувач кафедри</w:t>
            </w:r>
          </w:p>
          <w:p w:rsidR="00F1629C" w:rsidRDefault="00E671D2">
            <w:pPr>
              <w:spacing w:before="120" w:after="0" w:line="240" w:lineRule="auto"/>
              <w:ind w:left="62"/>
              <w:rPr>
                <w:rFonts w:ascii="Times New Roman" w:hAnsi="Times New Roman" w:cs="Times New Roman"/>
                <w:sz w:val="24"/>
                <w:szCs w:val="28"/>
              </w:rPr>
            </w:pPr>
            <w:r>
              <w:rPr>
                <w:rFonts w:ascii="Times New Roman" w:hAnsi="Times New Roman" w:cs="Times New Roman"/>
                <w:sz w:val="24"/>
                <w:szCs w:val="28"/>
              </w:rPr>
              <w:t xml:space="preserve">__________ М.Д. Гомеля </w:t>
            </w:r>
          </w:p>
          <w:p w:rsidR="00F1629C" w:rsidRDefault="00E671D2">
            <w:pPr>
              <w:spacing w:before="120" w:after="0" w:line="240" w:lineRule="auto"/>
              <w:ind w:left="62"/>
              <w:rPr>
                <w:rFonts w:ascii="Times New Roman" w:hAnsi="Times New Roman" w:cs="Times New Roman"/>
                <w:sz w:val="24"/>
                <w:szCs w:val="28"/>
              </w:rPr>
            </w:pPr>
            <w:r>
              <w:rPr>
                <w:rFonts w:ascii="Times New Roman" w:hAnsi="Times New Roman" w:cs="Times New Roman"/>
                <w:sz w:val="24"/>
                <w:szCs w:val="28"/>
              </w:rPr>
              <w:t>«___»_____________20__ р.</w:t>
            </w:r>
          </w:p>
          <w:p w:rsidR="00F1629C" w:rsidRDefault="00F1629C">
            <w:pPr>
              <w:spacing w:after="0" w:line="240" w:lineRule="auto"/>
              <w:rPr>
                <w:rFonts w:ascii="Times New Roman" w:hAnsi="Times New Roman" w:cs="Times New Roman"/>
                <w:bCs/>
                <w:caps/>
                <w:sz w:val="28"/>
                <w:szCs w:val="28"/>
              </w:rPr>
            </w:pPr>
          </w:p>
        </w:tc>
      </w:tr>
    </w:tbl>
    <w:p w:rsidR="00F1629C" w:rsidRDefault="00E671D2">
      <w:pPr>
        <w:tabs>
          <w:tab w:val="right" w:leader="underscore" w:pos="8903"/>
        </w:tabs>
        <w:spacing w:after="0" w:line="240" w:lineRule="auto"/>
        <w:jc w:val="center"/>
        <w:rPr>
          <w:rFonts w:ascii="Times New Roman" w:hAnsi="Times New Roman" w:cs="Times New Roman"/>
          <w:b/>
          <w:sz w:val="40"/>
          <w:szCs w:val="28"/>
        </w:rPr>
      </w:pPr>
      <w:r>
        <w:rPr>
          <w:rFonts w:ascii="Times New Roman" w:hAnsi="Times New Roman" w:cs="Times New Roman"/>
          <w:b/>
          <w:sz w:val="40"/>
          <w:szCs w:val="28"/>
        </w:rPr>
        <w:t>Магістерська дисертація</w:t>
      </w:r>
    </w:p>
    <w:p w:rsidR="00F1629C" w:rsidRDefault="00E671D2">
      <w:pPr>
        <w:spacing w:before="120" w:after="120" w:line="240" w:lineRule="auto"/>
        <w:jc w:val="center"/>
        <w:rPr>
          <w:rFonts w:ascii="Times New Roman" w:hAnsi="Times New Roman" w:cs="Times New Roman"/>
          <w:b/>
          <w:sz w:val="28"/>
          <w:szCs w:val="28"/>
        </w:rPr>
      </w:pPr>
      <w:r>
        <w:rPr>
          <w:rFonts w:ascii="Times New Roman" w:hAnsi="Times New Roman" w:cs="Times New Roman"/>
          <w:b/>
          <w:sz w:val="28"/>
          <w:szCs w:val="28"/>
        </w:rPr>
        <w:t>на здобуття ступеня магістра</w:t>
      </w:r>
    </w:p>
    <w:p w:rsidR="00F1629C" w:rsidRDefault="00E671D2">
      <w:pPr>
        <w:tabs>
          <w:tab w:val="left" w:leader="underscore" w:pos="9356"/>
        </w:tabs>
        <w:spacing w:line="240" w:lineRule="auto"/>
        <w:jc w:val="center"/>
        <w:rPr>
          <w:rFonts w:ascii="Times New Roman" w:hAnsi="Times New Roman" w:cs="Times New Roman"/>
          <w:b/>
          <w:sz w:val="28"/>
          <w:szCs w:val="28"/>
        </w:rPr>
      </w:pPr>
      <w:r>
        <w:rPr>
          <w:rFonts w:ascii="Times New Roman" w:hAnsi="Times New Roman" w:cs="Times New Roman"/>
          <w:b/>
          <w:sz w:val="28"/>
          <w:szCs w:val="28"/>
        </w:rPr>
        <w:t>зі спеціальності 101 Екологія</w:t>
      </w:r>
    </w:p>
    <w:p w:rsidR="00F1629C" w:rsidRDefault="00E671D2">
      <w:pPr>
        <w:tabs>
          <w:tab w:val="left" w:leader="underscore" w:pos="9356"/>
        </w:tabs>
        <w:spacing w:before="120" w:line="240" w:lineRule="auto"/>
        <w:jc w:val="center"/>
        <w:rPr>
          <w:rFonts w:ascii="Times New Roman" w:hAnsi="Times New Roman" w:cs="Times New Roman"/>
          <w:b/>
          <w:sz w:val="28"/>
          <w:szCs w:val="28"/>
        </w:rPr>
      </w:pPr>
      <w:r>
        <w:rPr>
          <w:rFonts w:ascii="Times New Roman" w:hAnsi="Times New Roman" w:cs="Times New Roman"/>
          <w:b/>
          <w:sz w:val="28"/>
          <w:szCs w:val="28"/>
        </w:rPr>
        <w:t>на тему: «</w:t>
      </w:r>
      <w:r>
        <w:rPr>
          <w:rFonts w:ascii="Times New Roman" w:hAnsi="Times New Roman" w:cs="Times New Roman"/>
          <w:b/>
          <w:sz w:val="28"/>
          <w:szCs w:val="28"/>
          <w:lang w:val="ru"/>
        </w:rPr>
        <w:t>Оцінка</w:t>
      </w:r>
      <w:r>
        <w:rPr>
          <w:rFonts w:ascii="Times New Roman" w:hAnsi="Times New Roman" w:cs="Times New Roman"/>
          <w:b/>
          <w:sz w:val="28"/>
          <w:szCs w:val="28"/>
          <w:lang w:val="ru"/>
        </w:rPr>
        <w:t xml:space="preserve"> ефективності фізико-хімічних методів очищення води від іонів важких металів</w:t>
      </w:r>
      <w:r>
        <w:rPr>
          <w:rFonts w:ascii="Times New Roman" w:hAnsi="Times New Roman" w:cs="Times New Roman"/>
          <w:b/>
          <w:sz w:val="28"/>
          <w:szCs w:val="28"/>
        </w:rPr>
        <w:t>»</w:t>
      </w:r>
    </w:p>
    <w:p w:rsidR="00F1629C" w:rsidRDefault="00E671D2">
      <w:pPr>
        <w:spacing w:after="0" w:line="240" w:lineRule="auto"/>
        <w:rPr>
          <w:rFonts w:ascii="Times New Roman" w:hAnsi="Times New Roman" w:cs="Times New Roman"/>
          <w:bCs/>
          <w:sz w:val="28"/>
          <w:szCs w:val="28"/>
        </w:rPr>
      </w:pPr>
      <w:r>
        <w:rPr>
          <w:rFonts w:ascii="Times New Roman" w:hAnsi="Times New Roman" w:cs="Times New Roman"/>
          <w:bCs/>
          <w:sz w:val="28"/>
          <w:szCs w:val="28"/>
        </w:rPr>
        <w:t>Викона</w:t>
      </w:r>
      <w:r>
        <w:rPr>
          <w:rFonts w:ascii="Times New Roman" w:hAnsi="Times New Roman" w:cs="Times New Roman"/>
          <w:bCs/>
          <w:sz w:val="28"/>
          <w:szCs w:val="28"/>
          <w:lang w:val="ru"/>
        </w:rPr>
        <w:t>в</w:t>
      </w:r>
      <w:r>
        <w:rPr>
          <w:rFonts w:ascii="Times New Roman" w:hAnsi="Times New Roman" w:cs="Times New Roman"/>
          <w:bCs/>
          <w:sz w:val="28"/>
          <w:szCs w:val="28"/>
        </w:rPr>
        <w:t xml:space="preserve">: </w:t>
      </w:r>
    </w:p>
    <w:p w:rsidR="00F1629C" w:rsidRDefault="00E671D2">
      <w:pPr>
        <w:spacing w:after="0" w:line="240" w:lineRule="auto"/>
        <w:rPr>
          <w:rFonts w:ascii="Times New Roman" w:hAnsi="Times New Roman" w:cs="Times New Roman"/>
          <w:sz w:val="28"/>
          <w:szCs w:val="28"/>
        </w:rPr>
      </w:pPr>
      <w:r>
        <w:rPr>
          <w:rFonts w:ascii="Times New Roman" w:hAnsi="Times New Roman" w:cs="Times New Roman"/>
          <w:bCs/>
          <w:sz w:val="28"/>
          <w:szCs w:val="28"/>
        </w:rPr>
        <w:t>студент VI курсу,</w:t>
      </w:r>
      <w:r>
        <w:rPr>
          <w:rFonts w:ascii="Times New Roman" w:hAnsi="Times New Roman" w:cs="Times New Roman"/>
          <w:bCs/>
          <w:sz w:val="28"/>
          <w:szCs w:val="28"/>
        </w:rPr>
        <w:t xml:space="preserve"> групи ЛЕ-</w:t>
      </w:r>
      <w:r>
        <w:rPr>
          <w:rFonts w:ascii="Times New Roman" w:hAnsi="Times New Roman" w:cs="Times New Roman"/>
          <w:bCs/>
          <w:sz w:val="28"/>
          <w:szCs w:val="28"/>
          <w:lang w:val="ru"/>
        </w:rPr>
        <w:t>8</w:t>
      </w:r>
      <w:r>
        <w:rPr>
          <w:rFonts w:ascii="Times New Roman" w:hAnsi="Times New Roman" w:cs="Times New Roman"/>
          <w:bCs/>
          <w:sz w:val="28"/>
          <w:szCs w:val="28"/>
        </w:rPr>
        <w:t>1мп</w:t>
      </w:r>
      <w:r>
        <w:rPr>
          <w:rFonts w:ascii="Times New Roman" w:hAnsi="Times New Roman" w:cs="Times New Roman"/>
          <w:sz w:val="28"/>
          <w:szCs w:val="28"/>
        </w:rPr>
        <w:t xml:space="preserve"> </w:t>
      </w:r>
    </w:p>
    <w:p w:rsidR="00F1629C" w:rsidRDefault="00E671D2">
      <w:pPr>
        <w:tabs>
          <w:tab w:val="left" w:pos="7513"/>
        </w:tabs>
        <w:spacing w:after="0" w:line="240" w:lineRule="auto"/>
        <w:rPr>
          <w:rFonts w:ascii="Times New Roman" w:hAnsi="Times New Roman" w:cs="Times New Roman"/>
          <w:bCs/>
          <w:sz w:val="28"/>
          <w:szCs w:val="28"/>
        </w:rPr>
      </w:pPr>
      <w:r>
        <w:rPr>
          <w:rFonts w:ascii="Times New Roman" w:hAnsi="Times New Roman" w:cs="Times New Roman"/>
          <w:bCs/>
          <w:sz w:val="28"/>
          <w:szCs w:val="28"/>
          <w:lang w:val="ru"/>
        </w:rPr>
        <w:t>Булгаков</w:t>
      </w:r>
      <w:r>
        <w:rPr>
          <w:rFonts w:ascii="Times New Roman" w:hAnsi="Times New Roman" w:cs="Times New Roman"/>
          <w:bCs/>
          <w:sz w:val="28"/>
          <w:szCs w:val="28"/>
          <w:lang w:val="ru"/>
        </w:rPr>
        <w:t xml:space="preserve"> Євгеній Сергійович</w:t>
      </w:r>
      <w:r>
        <w:rPr>
          <w:rFonts w:ascii="Times New Roman" w:hAnsi="Times New Roman" w:cs="Times New Roman"/>
          <w:bCs/>
          <w:sz w:val="28"/>
          <w:szCs w:val="28"/>
        </w:rPr>
        <w:t xml:space="preserve"> </w:t>
      </w:r>
      <w:r>
        <w:rPr>
          <w:rFonts w:ascii="Times New Roman" w:hAnsi="Times New Roman" w:cs="Times New Roman"/>
          <w:bCs/>
          <w:sz w:val="28"/>
          <w:szCs w:val="28"/>
        </w:rPr>
        <w:tab/>
        <w:t>__________</w:t>
      </w:r>
    </w:p>
    <w:p w:rsidR="00F1629C" w:rsidRDefault="00E671D2">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Pr>
          <w:rFonts w:ascii="Times New Roman" w:hAnsi="Times New Roman" w:cs="Times New Roman"/>
          <w:bCs/>
          <w:sz w:val="28"/>
          <w:szCs w:val="28"/>
        </w:rPr>
        <w:t>Керівник:</w:t>
      </w:r>
      <w:r>
        <w:rPr>
          <w:rFonts w:ascii="Times New Roman" w:hAnsi="Times New Roman" w:cs="Times New Roman"/>
          <w:sz w:val="28"/>
          <w:szCs w:val="28"/>
        </w:rPr>
        <w:t xml:space="preserve"> </w:t>
      </w:r>
    </w:p>
    <w:p w:rsidR="00F1629C" w:rsidRDefault="00E671D2">
      <w:pPr>
        <w:tabs>
          <w:tab w:val="left" w:leader="underscore" w:pos="7371"/>
          <w:tab w:val="left" w:pos="7513"/>
          <w:tab w:val="left" w:leader="underscore" w:pos="8903"/>
        </w:tabs>
        <w:spacing w:after="0" w:line="240" w:lineRule="auto"/>
        <w:rPr>
          <w:rFonts w:ascii="Times New Roman" w:hAnsi="Times New Roman" w:cs="Times New Roman"/>
          <w:bCs/>
          <w:sz w:val="28"/>
          <w:szCs w:val="28"/>
        </w:rPr>
      </w:pPr>
      <w:r>
        <w:rPr>
          <w:rFonts w:ascii="Times New Roman" w:hAnsi="Times New Roman" w:cs="Times New Roman"/>
          <w:bCs/>
          <w:sz w:val="28"/>
          <w:szCs w:val="28"/>
          <w:lang w:val="ru"/>
        </w:rPr>
        <w:t>професор</w:t>
      </w:r>
      <w:r>
        <w:rPr>
          <w:rFonts w:ascii="Times New Roman" w:hAnsi="Times New Roman" w:cs="Times New Roman"/>
          <w:bCs/>
          <w:sz w:val="28"/>
          <w:szCs w:val="28"/>
        </w:rPr>
        <w:t xml:space="preserve">, </w:t>
      </w:r>
      <w:r>
        <w:rPr>
          <w:rFonts w:ascii="Times New Roman" w:hAnsi="Times New Roman" w:cs="Times New Roman"/>
          <w:bCs/>
          <w:sz w:val="28"/>
          <w:szCs w:val="28"/>
          <w:lang w:val="ru"/>
        </w:rPr>
        <w:t>д</w:t>
      </w:r>
      <w:r>
        <w:rPr>
          <w:rFonts w:ascii="Times New Roman" w:hAnsi="Times New Roman" w:cs="Times New Roman"/>
          <w:bCs/>
          <w:sz w:val="28"/>
          <w:szCs w:val="28"/>
        </w:rPr>
        <w:t xml:space="preserve">.т.н. </w:t>
      </w:r>
    </w:p>
    <w:p w:rsidR="00F1629C" w:rsidRDefault="00E671D2">
      <w:pPr>
        <w:tabs>
          <w:tab w:val="left" w:pos="7513"/>
        </w:tabs>
        <w:spacing w:after="0" w:line="240" w:lineRule="auto"/>
        <w:rPr>
          <w:rFonts w:ascii="Times New Roman" w:hAnsi="Times New Roman" w:cs="Times New Roman"/>
          <w:bCs/>
          <w:sz w:val="28"/>
          <w:szCs w:val="28"/>
        </w:rPr>
      </w:pPr>
      <w:r w:rsidRPr="00486865">
        <w:rPr>
          <w:rFonts w:ascii="Times New Roman" w:hAnsi="Times New Roman" w:cs="Times New Roman"/>
          <w:bCs/>
          <w:sz w:val="28"/>
          <w:szCs w:val="28"/>
        </w:rPr>
        <w:t>Гомеля</w:t>
      </w:r>
      <w:r w:rsidRPr="00486865">
        <w:rPr>
          <w:rFonts w:ascii="Times New Roman" w:hAnsi="Times New Roman" w:cs="Times New Roman"/>
          <w:bCs/>
          <w:sz w:val="28"/>
          <w:szCs w:val="28"/>
        </w:rPr>
        <w:t xml:space="preserve"> М.Д.</w:t>
      </w:r>
      <w:r>
        <w:rPr>
          <w:rFonts w:ascii="Times New Roman" w:hAnsi="Times New Roman" w:cs="Times New Roman"/>
          <w:bCs/>
          <w:sz w:val="28"/>
          <w:szCs w:val="28"/>
        </w:rPr>
        <w:tab/>
        <w:t>__________</w:t>
      </w:r>
    </w:p>
    <w:p w:rsidR="00F1629C" w:rsidRDefault="00E671D2">
      <w:pPr>
        <w:tabs>
          <w:tab w:val="left" w:leader="underscore" w:pos="7371"/>
          <w:tab w:val="left" w:pos="7513"/>
          <w:tab w:val="left" w:leader="underscore" w:pos="8903"/>
        </w:tabs>
        <w:spacing w:before="240" w:after="0" w:line="240" w:lineRule="auto"/>
        <w:rPr>
          <w:rFonts w:ascii="Times New Roman" w:hAnsi="Times New Roman" w:cs="Times New Roman"/>
          <w:bCs/>
          <w:sz w:val="28"/>
          <w:szCs w:val="28"/>
        </w:rPr>
      </w:pPr>
      <w:r>
        <w:rPr>
          <w:rFonts w:ascii="Times New Roman" w:hAnsi="Times New Roman" w:cs="Times New Roman"/>
          <w:bCs/>
          <w:sz w:val="28"/>
          <w:szCs w:val="28"/>
        </w:rPr>
        <w:t>Рецензент:</w:t>
      </w:r>
    </w:p>
    <w:p w:rsidR="00F1629C" w:rsidRDefault="00F1629C">
      <w:pPr>
        <w:tabs>
          <w:tab w:val="left" w:pos="7513"/>
        </w:tabs>
        <w:spacing w:after="0" w:line="240" w:lineRule="auto"/>
        <w:rPr>
          <w:rFonts w:ascii="Times New Roman" w:hAnsi="Times New Roman" w:cs="Times New Roman"/>
          <w:bCs/>
          <w:sz w:val="28"/>
          <w:szCs w:val="28"/>
        </w:rPr>
      </w:pPr>
    </w:p>
    <w:p w:rsidR="00F1629C" w:rsidRDefault="00E671D2">
      <w:pPr>
        <w:tabs>
          <w:tab w:val="left" w:pos="7513"/>
        </w:tabs>
        <w:spacing w:after="0" w:line="240" w:lineRule="auto"/>
        <w:rPr>
          <w:rFonts w:ascii="Times New Roman" w:hAnsi="Times New Roman" w:cs="Times New Roman"/>
          <w:bCs/>
          <w:sz w:val="28"/>
          <w:szCs w:val="28"/>
        </w:rPr>
      </w:pPr>
      <w:r w:rsidRPr="00486865">
        <w:rPr>
          <w:rFonts w:ascii="Times New Roman" w:hAnsi="Times New Roman" w:cs="Times New Roman"/>
          <w:bCs/>
          <w:sz w:val="28"/>
          <w:szCs w:val="28"/>
        </w:rPr>
        <w:t>___________________________________________</w:t>
      </w:r>
      <w:r>
        <w:rPr>
          <w:rFonts w:ascii="Times New Roman" w:hAnsi="Times New Roman" w:cs="Times New Roman"/>
          <w:bCs/>
          <w:sz w:val="28"/>
          <w:szCs w:val="28"/>
        </w:rPr>
        <w:tab/>
        <w:t>__________</w:t>
      </w:r>
    </w:p>
    <w:p w:rsidR="00F1629C" w:rsidRDefault="00F1629C">
      <w:pPr>
        <w:tabs>
          <w:tab w:val="left" w:pos="7513"/>
        </w:tabs>
        <w:spacing w:after="0" w:line="240" w:lineRule="auto"/>
        <w:rPr>
          <w:rFonts w:ascii="Times New Roman" w:hAnsi="Times New Roman" w:cs="Times New Roman"/>
          <w:bCs/>
          <w:sz w:val="28"/>
          <w:szCs w:val="28"/>
        </w:rPr>
      </w:pPr>
    </w:p>
    <w:p w:rsidR="00F1629C" w:rsidRPr="00486865" w:rsidRDefault="00E671D2">
      <w:pPr>
        <w:tabs>
          <w:tab w:val="left" w:pos="7513"/>
        </w:tabs>
        <w:spacing w:after="0" w:line="240" w:lineRule="auto"/>
        <w:rPr>
          <w:rFonts w:ascii="Times New Roman" w:hAnsi="Times New Roman" w:cs="Times New Roman"/>
          <w:bCs/>
          <w:sz w:val="28"/>
          <w:szCs w:val="28"/>
        </w:rPr>
      </w:pPr>
      <w:r w:rsidRPr="00486865">
        <w:rPr>
          <w:rFonts w:ascii="Times New Roman" w:hAnsi="Times New Roman" w:cs="Times New Roman"/>
          <w:bCs/>
          <w:sz w:val="28"/>
          <w:szCs w:val="28"/>
        </w:rPr>
        <w:t>___________________________________________</w:t>
      </w:r>
      <w:r w:rsidRPr="00486865">
        <w:rPr>
          <w:rFonts w:ascii="Times New Roman" w:hAnsi="Times New Roman" w:cs="Times New Roman"/>
          <w:bCs/>
          <w:sz w:val="28"/>
          <w:szCs w:val="28"/>
        </w:rPr>
        <w:tab/>
        <w:t>__________</w:t>
      </w:r>
    </w:p>
    <w:p w:rsidR="00F1629C" w:rsidRDefault="00F1629C">
      <w:pPr>
        <w:tabs>
          <w:tab w:val="left" w:pos="330"/>
        </w:tabs>
        <w:spacing w:line="240" w:lineRule="auto"/>
        <w:ind w:left="4536"/>
        <w:rPr>
          <w:rFonts w:ascii="Times New Roman" w:hAnsi="Times New Roman" w:cs="Times New Roman"/>
          <w:sz w:val="28"/>
          <w:szCs w:val="28"/>
        </w:rPr>
      </w:pPr>
    </w:p>
    <w:p w:rsidR="00F1629C" w:rsidRDefault="00F1629C">
      <w:pPr>
        <w:tabs>
          <w:tab w:val="left" w:pos="330"/>
        </w:tabs>
        <w:spacing w:line="240" w:lineRule="auto"/>
        <w:rPr>
          <w:rFonts w:ascii="Times New Roman" w:hAnsi="Times New Roman" w:cs="Times New Roman"/>
          <w:sz w:val="28"/>
          <w:szCs w:val="28"/>
        </w:rPr>
      </w:pPr>
    </w:p>
    <w:p w:rsidR="00F1629C" w:rsidRDefault="00E671D2">
      <w:pPr>
        <w:tabs>
          <w:tab w:val="left" w:pos="330"/>
        </w:tabs>
        <w:spacing w:after="0" w:line="240" w:lineRule="auto"/>
        <w:ind w:left="4536"/>
        <w:rPr>
          <w:rFonts w:ascii="Times New Roman" w:hAnsi="Times New Roman" w:cs="Times New Roman"/>
          <w:sz w:val="28"/>
          <w:szCs w:val="28"/>
        </w:rPr>
      </w:pPr>
      <w:r>
        <w:rPr>
          <w:rFonts w:ascii="Times New Roman" w:hAnsi="Times New Roman" w:cs="Times New Roman"/>
          <w:sz w:val="28"/>
          <w:szCs w:val="28"/>
        </w:rPr>
        <w:t xml:space="preserve">Засвідчую, що у цій </w:t>
      </w:r>
      <w:r>
        <w:rPr>
          <w:rFonts w:ascii="Times New Roman" w:hAnsi="Times New Roman" w:cs="Times New Roman"/>
          <w:sz w:val="28"/>
          <w:szCs w:val="28"/>
        </w:rPr>
        <w:t>магістерській дисертації немає запозичень з праць інших авторів без відповідних посилань.</w:t>
      </w:r>
    </w:p>
    <w:p w:rsidR="00F1629C" w:rsidRDefault="00E671D2">
      <w:pPr>
        <w:tabs>
          <w:tab w:val="left" w:pos="330"/>
        </w:tabs>
        <w:spacing w:after="120" w:line="240" w:lineRule="auto"/>
        <w:ind w:left="4536"/>
        <w:rPr>
          <w:rFonts w:ascii="Times New Roman" w:hAnsi="Times New Roman" w:cs="Times New Roman"/>
          <w:sz w:val="28"/>
          <w:szCs w:val="28"/>
        </w:rPr>
      </w:pPr>
      <w:r>
        <w:rPr>
          <w:rFonts w:ascii="Times New Roman" w:hAnsi="Times New Roman" w:cs="Times New Roman"/>
          <w:sz w:val="28"/>
          <w:szCs w:val="28"/>
        </w:rPr>
        <w:t>Студент  _____________</w:t>
      </w:r>
    </w:p>
    <w:p w:rsidR="00F1629C" w:rsidRDefault="00F1629C">
      <w:pPr>
        <w:spacing w:after="120" w:line="240" w:lineRule="auto"/>
        <w:jc w:val="center"/>
        <w:rPr>
          <w:rFonts w:ascii="Times New Roman" w:hAnsi="Times New Roman" w:cs="Times New Roman"/>
          <w:sz w:val="28"/>
          <w:szCs w:val="28"/>
        </w:rPr>
      </w:pPr>
    </w:p>
    <w:p w:rsidR="00F1629C" w:rsidRDefault="00F1629C">
      <w:pPr>
        <w:spacing w:after="120" w:line="240" w:lineRule="auto"/>
        <w:jc w:val="both"/>
        <w:rPr>
          <w:rFonts w:ascii="Times New Roman" w:hAnsi="Times New Roman" w:cs="Times New Roman"/>
          <w:sz w:val="28"/>
          <w:szCs w:val="28"/>
        </w:rPr>
      </w:pPr>
    </w:p>
    <w:p w:rsidR="00F1629C" w:rsidRDefault="00E671D2">
      <w:pPr>
        <w:spacing w:after="120" w:line="240" w:lineRule="auto"/>
        <w:jc w:val="center"/>
        <w:rPr>
          <w:rFonts w:ascii="Times New Roman" w:hAnsi="Times New Roman" w:cs="Times New Roman"/>
          <w:sz w:val="28"/>
          <w:szCs w:val="28"/>
        </w:rPr>
      </w:pPr>
      <w:r>
        <w:rPr>
          <w:rFonts w:ascii="Times New Roman" w:hAnsi="Times New Roman" w:cs="Times New Roman"/>
          <w:sz w:val="28"/>
          <w:szCs w:val="28"/>
        </w:rPr>
        <w:t xml:space="preserve">Київ – </w:t>
      </w:r>
      <w:r>
        <w:rPr>
          <w:rFonts w:ascii="Times New Roman" w:hAnsi="Times New Roman" w:cs="Times New Roman"/>
          <w:sz w:val="28"/>
          <w:szCs w:val="28"/>
          <w:lang w:val="ru"/>
        </w:rPr>
        <w:t>2019</w:t>
      </w:r>
      <w:r>
        <w:rPr>
          <w:rFonts w:ascii="Times New Roman" w:hAnsi="Times New Roman" w:cs="Times New Roman"/>
          <w:sz w:val="28"/>
          <w:szCs w:val="28"/>
        </w:rPr>
        <w:t xml:space="preserve"> року</w:t>
      </w:r>
    </w:p>
    <w:p w:rsidR="00F1629C" w:rsidRDefault="00E671D2">
      <w:pPr>
        <w:spacing w:after="120" w:line="240" w:lineRule="auto"/>
        <w:jc w:val="center"/>
        <w:rPr>
          <w:rFonts w:ascii="Times New Roman" w:hAnsi="Times New Roman" w:cs="Times New Roman"/>
          <w:bCs/>
          <w:sz w:val="28"/>
          <w:szCs w:val="28"/>
        </w:rPr>
      </w:pPr>
      <w:r>
        <w:rPr>
          <w:rFonts w:ascii="Times New Roman" w:hAnsi="Times New Roman" w:cs="Times New Roman"/>
          <w:bCs/>
          <w:sz w:val="28"/>
          <w:szCs w:val="28"/>
        </w:rPr>
        <w:lastRenderedPageBreak/>
        <w:t>Національний технічний університет України</w:t>
      </w:r>
    </w:p>
    <w:p w:rsidR="00F1629C" w:rsidRDefault="00E671D2">
      <w:pPr>
        <w:spacing w:after="120" w:line="240" w:lineRule="auto"/>
        <w:jc w:val="center"/>
        <w:rPr>
          <w:rFonts w:ascii="Times New Roman" w:hAnsi="Times New Roman" w:cs="Times New Roman"/>
          <w:bCs/>
          <w:sz w:val="28"/>
          <w:szCs w:val="28"/>
        </w:rPr>
      </w:pPr>
      <w:r>
        <w:rPr>
          <w:rFonts w:ascii="Times New Roman" w:hAnsi="Times New Roman" w:cs="Times New Roman"/>
          <w:bCs/>
          <w:sz w:val="28"/>
          <w:szCs w:val="28"/>
        </w:rPr>
        <w:t>«Київський політехнічний інститут імені Ігоря Сікорського»</w:t>
      </w:r>
    </w:p>
    <w:p w:rsidR="00F1629C" w:rsidRDefault="00E671D2">
      <w:pPr>
        <w:tabs>
          <w:tab w:val="left" w:leader="underscore" w:pos="9356"/>
        </w:tabs>
        <w:spacing w:before="120" w:line="240" w:lineRule="auto"/>
        <w:jc w:val="center"/>
        <w:rPr>
          <w:rFonts w:ascii="Times New Roman" w:hAnsi="Times New Roman" w:cs="Times New Roman"/>
          <w:sz w:val="28"/>
          <w:szCs w:val="28"/>
        </w:rPr>
      </w:pPr>
      <w:r>
        <w:rPr>
          <w:rFonts w:ascii="Times New Roman" w:hAnsi="Times New Roman" w:cs="Times New Roman"/>
          <w:sz w:val="28"/>
          <w:szCs w:val="28"/>
        </w:rPr>
        <w:t>Інженерно-хімічний фак</w:t>
      </w:r>
      <w:r>
        <w:rPr>
          <w:rFonts w:ascii="Times New Roman" w:hAnsi="Times New Roman" w:cs="Times New Roman"/>
          <w:sz w:val="28"/>
          <w:szCs w:val="28"/>
        </w:rPr>
        <w:t>ультет</w:t>
      </w:r>
    </w:p>
    <w:p w:rsidR="00F1629C" w:rsidRDefault="00E671D2">
      <w:pPr>
        <w:tabs>
          <w:tab w:val="left" w:leader="underscore" w:pos="9356"/>
        </w:tabs>
        <w:spacing w:before="120" w:after="0" w:line="240" w:lineRule="auto"/>
        <w:jc w:val="center"/>
        <w:rPr>
          <w:rFonts w:ascii="Times New Roman" w:hAnsi="Times New Roman" w:cs="Times New Roman"/>
          <w:sz w:val="28"/>
          <w:szCs w:val="28"/>
        </w:rPr>
      </w:pPr>
      <w:r>
        <w:rPr>
          <w:rFonts w:ascii="Times New Roman" w:hAnsi="Times New Roman" w:cs="Times New Roman"/>
          <w:sz w:val="28"/>
          <w:szCs w:val="28"/>
        </w:rPr>
        <w:t>Кафедра екології та технології рослинних полімерів</w:t>
      </w:r>
    </w:p>
    <w:p w:rsidR="00F1629C" w:rsidRDefault="00E671D2">
      <w:pPr>
        <w:spacing w:after="0" w:line="240" w:lineRule="auto"/>
        <w:rPr>
          <w:rFonts w:ascii="Times New Roman" w:hAnsi="Times New Roman" w:cs="Times New Roman"/>
          <w:sz w:val="28"/>
          <w:szCs w:val="28"/>
        </w:rPr>
      </w:pPr>
      <w:r>
        <w:rPr>
          <w:rFonts w:ascii="Times New Roman" w:hAnsi="Times New Roman" w:cs="Times New Roman"/>
          <w:sz w:val="28"/>
          <w:szCs w:val="28"/>
        </w:rPr>
        <w:t>Рівень вищої освіти – другий (магістерський) за освітньо-професійною програмою</w:t>
      </w:r>
    </w:p>
    <w:p w:rsidR="00F1629C" w:rsidRDefault="00E671D2">
      <w:pPr>
        <w:spacing w:after="120" w:line="240" w:lineRule="auto"/>
        <w:rPr>
          <w:rFonts w:ascii="Times New Roman" w:hAnsi="Times New Roman" w:cs="Times New Roman"/>
          <w:sz w:val="28"/>
          <w:szCs w:val="28"/>
        </w:rPr>
      </w:pPr>
      <w:r>
        <w:rPr>
          <w:rFonts w:ascii="Times New Roman" w:hAnsi="Times New Roman" w:cs="Times New Roman"/>
          <w:sz w:val="28"/>
          <w:szCs w:val="28"/>
        </w:rPr>
        <w:t xml:space="preserve">Спеціальність  – 101 «Екологія» </w:t>
      </w:r>
    </w:p>
    <w:p w:rsidR="00F1629C" w:rsidRDefault="00E671D2">
      <w:pPr>
        <w:spacing w:after="120" w:line="240" w:lineRule="auto"/>
        <w:rPr>
          <w:rFonts w:ascii="Times New Roman" w:hAnsi="Times New Roman" w:cs="Times New Roman"/>
          <w:sz w:val="28"/>
          <w:szCs w:val="28"/>
        </w:rPr>
      </w:pPr>
      <w:r>
        <w:rPr>
          <w:rFonts w:ascii="Times New Roman" w:hAnsi="Times New Roman" w:cs="Times New Roman"/>
          <w:sz w:val="28"/>
          <w:szCs w:val="28"/>
          <w:lang w:val="ru"/>
        </w:rPr>
        <w:t>Освітня</w:t>
      </w:r>
      <w:r>
        <w:rPr>
          <w:rFonts w:ascii="Times New Roman" w:hAnsi="Times New Roman" w:cs="Times New Roman"/>
          <w:sz w:val="28"/>
          <w:szCs w:val="28"/>
          <w:lang w:val="ru"/>
        </w:rPr>
        <w:t xml:space="preserve"> програма</w:t>
      </w:r>
      <w:r>
        <w:rPr>
          <w:rFonts w:ascii="Times New Roman" w:hAnsi="Times New Roman" w:cs="Times New Roman"/>
          <w:sz w:val="28"/>
          <w:szCs w:val="28"/>
        </w:rPr>
        <w:t xml:space="preserve">  – </w:t>
      </w:r>
      <w:r>
        <w:rPr>
          <w:rFonts w:ascii="Times New Roman" w:hAnsi="Times New Roman" w:cs="Times New Roman"/>
          <w:sz w:val="28"/>
          <w:szCs w:val="28"/>
          <w:lang w:val="ru"/>
        </w:rPr>
        <w:t>Екологічна</w:t>
      </w:r>
      <w:r>
        <w:rPr>
          <w:rFonts w:ascii="Times New Roman" w:hAnsi="Times New Roman" w:cs="Times New Roman"/>
          <w:sz w:val="28"/>
          <w:szCs w:val="28"/>
          <w:lang w:val="ru"/>
        </w:rPr>
        <w:t xml:space="preserve"> безпека</w:t>
      </w:r>
      <w:r>
        <w:rPr>
          <w:rFonts w:ascii="Times New Roman" w:hAnsi="Times New Roman" w:cs="Times New Roman"/>
          <w:sz w:val="28"/>
          <w:szCs w:val="28"/>
        </w:rPr>
        <w:t xml:space="preserve"> </w:t>
      </w:r>
    </w:p>
    <w:p w:rsidR="00F1629C" w:rsidRDefault="00F1629C">
      <w:pPr>
        <w:tabs>
          <w:tab w:val="left" w:leader="underscore" w:pos="8931"/>
        </w:tabs>
        <w:spacing w:before="120" w:line="240" w:lineRule="auto"/>
        <w:ind w:left="539" w:hanging="539"/>
        <w:rPr>
          <w:rFonts w:ascii="Times New Roman" w:hAnsi="Times New Roman" w:cs="Times New Roman"/>
          <w:sz w:val="28"/>
          <w:szCs w:val="28"/>
        </w:rPr>
      </w:pPr>
    </w:p>
    <w:p w:rsidR="00F1629C" w:rsidRDefault="00E671D2">
      <w:pPr>
        <w:spacing w:before="120" w:after="0" w:line="240" w:lineRule="auto"/>
        <w:ind w:left="5387"/>
        <w:rPr>
          <w:rFonts w:ascii="Times New Roman" w:hAnsi="Times New Roman" w:cs="Times New Roman"/>
          <w:bCs/>
          <w:sz w:val="28"/>
          <w:szCs w:val="28"/>
        </w:rPr>
      </w:pPr>
      <w:r>
        <w:rPr>
          <w:rFonts w:ascii="Times New Roman" w:hAnsi="Times New Roman" w:cs="Times New Roman"/>
          <w:bCs/>
          <w:sz w:val="28"/>
          <w:szCs w:val="28"/>
        </w:rPr>
        <w:t>ЗАТВЕРДЖУЮ</w:t>
      </w:r>
    </w:p>
    <w:p w:rsidR="00F1629C" w:rsidRDefault="00E671D2">
      <w:pPr>
        <w:spacing w:before="120" w:after="0" w:line="240" w:lineRule="auto"/>
        <w:ind w:left="5387"/>
        <w:rPr>
          <w:rFonts w:ascii="Times New Roman" w:hAnsi="Times New Roman" w:cs="Times New Roman"/>
          <w:bCs/>
          <w:sz w:val="28"/>
          <w:szCs w:val="28"/>
        </w:rPr>
      </w:pPr>
      <w:r>
        <w:rPr>
          <w:rFonts w:ascii="Times New Roman" w:hAnsi="Times New Roman" w:cs="Times New Roman"/>
          <w:bCs/>
          <w:sz w:val="28"/>
          <w:szCs w:val="28"/>
        </w:rPr>
        <w:t>Завідувач кафедри</w:t>
      </w:r>
    </w:p>
    <w:p w:rsidR="00F1629C" w:rsidRDefault="00E671D2">
      <w:pPr>
        <w:spacing w:before="120" w:after="0" w:line="240" w:lineRule="auto"/>
        <w:ind w:left="5387"/>
        <w:rPr>
          <w:rFonts w:ascii="Times New Roman" w:hAnsi="Times New Roman" w:cs="Times New Roman"/>
          <w:sz w:val="28"/>
          <w:szCs w:val="28"/>
        </w:rPr>
      </w:pPr>
      <w:r>
        <w:rPr>
          <w:rFonts w:ascii="Times New Roman" w:hAnsi="Times New Roman" w:cs="Times New Roman"/>
          <w:sz w:val="28"/>
          <w:szCs w:val="28"/>
        </w:rPr>
        <w:t xml:space="preserve">__________ </w:t>
      </w:r>
      <w:r>
        <w:rPr>
          <w:rFonts w:ascii="Times New Roman" w:hAnsi="Times New Roman" w:cs="Times New Roman"/>
          <w:sz w:val="28"/>
          <w:szCs w:val="28"/>
        </w:rPr>
        <w:t>Гомеля М.Д.</w:t>
      </w:r>
    </w:p>
    <w:p w:rsidR="00F1629C" w:rsidRDefault="00E671D2">
      <w:pPr>
        <w:spacing w:before="120" w:after="0" w:line="240" w:lineRule="auto"/>
        <w:ind w:left="5387"/>
        <w:rPr>
          <w:rFonts w:ascii="Times New Roman" w:hAnsi="Times New Roman" w:cs="Times New Roman"/>
          <w:sz w:val="28"/>
          <w:szCs w:val="28"/>
        </w:rPr>
      </w:pPr>
      <w:r>
        <w:rPr>
          <w:rFonts w:ascii="Times New Roman" w:hAnsi="Times New Roman" w:cs="Times New Roman"/>
          <w:sz w:val="28"/>
          <w:szCs w:val="28"/>
        </w:rPr>
        <w:t>«___»_____________20__ р.</w:t>
      </w:r>
    </w:p>
    <w:p w:rsidR="00F1629C" w:rsidRDefault="00F1629C">
      <w:pPr>
        <w:spacing w:before="120" w:line="240" w:lineRule="auto"/>
        <w:jc w:val="center"/>
        <w:rPr>
          <w:rFonts w:ascii="Times New Roman" w:hAnsi="Times New Roman" w:cs="Times New Roman"/>
          <w:bCs/>
          <w:sz w:val="28"/>
          <w:szCs w:val="28"/>
        </w:rPr>
      </w:pPr>
    </w:p>
    <w:p w:rsidR="00F1629C" w:rsidRDefault="00E671D2">
      <w:pPr>
        <w:tabs>
          <w:tab w:val="left" w:pos="720"/>
          <w:tab w:val="left" w:pos="1440"/>
          <w:tab w:val="left" w:pos="1620"/>
        </w:tabs>
        <w:spacing w:before="120" w:after="0" w:line="240" w:lineRule="auto"/>
        <w:ind w:left="540" w:hanging="540"/>
        <w:jc w:val="center"/>
        <w:rPr>
          <w:rFonts w:ascii="Times New Roman" w:hAnsi="Times New Roman" w:cs="Times New Roman"/>
          <w:bCs/>
          <w:sz w:val="28"/>
          <w:szCs w:val="28"/>
        </w:rPr>
      </w:pPr>
      <w:r>
        <w:rPr>
          <w:rFonts w:ascii="Times New Roman" w:hAnsi="Times New Roman" w:cs="Times New Roman"/>
          <w:bCs/>
          <w:sz w:val="28"/>
          <w:szCs w:val="28"/>
        </w:rPr>
        <w:t>ЗАВДАННЯ</w:t>
      </w:r>
    </w:p>
    <w:p w:rsidR="00F1629C" w:rsidRDefault="00E671D2">
      <w:pPr>
        <w:tabs>
          <w:tab w:val="left" w:pos="720"/>
          <w:tab w:val="left" w:pos="1440"/>
          <w:tab w:val="left" w:pos="1620"/>
        </w:tabs>
        <w:spacing w:after="0" w:line="240" w:lineRule="auto"/>
        <w:ind w:left="539" w:hanging="539"/>
        <w:jc w:val="center"/>
        <w:rPr>
          <w:rFonts w:ascii="Times New Roman" w:hAnsi="Times New Roman" w:cs="Times New Roman"/>
          <w:bCs/>
          <w:sz w:val="28"/>
          <w:szCs w:val="28"/>
        </w:rPr>
      </w:pPr>
      <w:r>
        <w:rPr>
          <w:rFonts w:ascii="Times New Roman" w:hAnsi="Times New Roman" w:cs="Times New Roman"/>
          <w:bCs/>
          <w:sz w:val="28"/>
          <w:szCs w:val="28"/>
        </w:rPr>
        <w:t>на магістерську дисертацію студенту</w:t>
      </w:r>
    </w:p>
    <w:p w:rsidR="00F1629C" w:rsidRDefault="00E671D2">
      <w:pPr>
        <w:tabs>
          <w:tab w:val="left" w:pos="720"/>
          <w:tab w:val="left" w:pos="1440"/>
          <w:tab w:val="left" w:pos="1620"/>
        </w:tabs>
        <w:spacing w:before="120" w:line="240" w:lineRule="auto"/>
        <w:ind w:left="539" w:hanging="539"/>
        <w:jc w:val="center"/>
        <w:rPr>
          <w:rFonts w:ascii="Times New Roman" w:hAnsi="Times New Roman" w:cs="Times New Roman"/>
          <w:bCs/>
          <w:sz w:val="28"/>
          <w:szCs w:val="28"/>
          <w:lang w:val="ru"/>
        </w:rPr>
      </w:pPr>
      <w:r>
        <w:rPr>
          <w:rFonts w:ascii="Times New Roman" w:hAnsi="Times New Roman" w:cs="Times New Roman"/>
          <w:bCs/>
          <w:sz w:val="28"/>
          <w:szCs w:val="28"/>
          <w:lang w:val="ru"/>
        </w:rPr>
        <w:t>Булгакову</w:t>
      </w:r>
      <w:r>
        <w:rPr>
          <w:rFonts w:ascii="Times New Roman" w:hAnsi="Times New Roman" w:cs="Times New Roman"/>
          <w:bCs/>
          <w:sz w:val="28"/>
          <w:szCs w:val="28"/>
          <w:lang w:val="ru"/>
        </w:rPr>
        <w:t xml:space="preserve"> Євгенію Сергійовичу</w:t>
      </w:r>
    </w:p>
    <w:p w:rsidR="00F1629C" w:rsidRDefault="00E671D2">
      <w:pPr>
        <w:tabs>
          <w:tab w:val="left" w:leader="underscore" w:pos="9356"/>
        </w:tabs>
        <w:spacing w:before="240" w:line="240" w:lineRule="auto"/>
        <w:jc w:val="both"/>
        <w:rPr>
          <w:rFonts w:ascii="Times New Roman" w:hAnsi="Times New Roman" w:cs="Times New Roman"/>
          <w:sz w:val="28"/>
          <w:szCs w:val="28"/>
          <w:u w:val="single"/>
          <w:lang w:val="en-US"/>
        </w:rPr>
      </w:pPr>
      <w:r>
        <w:rPr>
          <w:rFonts w:ascii="Times New Roman" w:hAnsi="Times New Roman" w:cs="Times New Roman"/>
          <w:sz w:val="28"/>
          <w:szCs w:val="28"/>
        </w:rPr>
        <w:t>1. Тема дисертації «</w:t>
      </w:r>
      <w:r>
        <w:rPr>
          <w:rFonts w:ascii="Times New Roman" w:hAnsi="Times New Roman" w:cs="Times New Roman"/>
          <w:sz w:val="28"/>
          <w:szCs w:val="28"/>
          <w:lang w:val="ru"/>
        </w:rPr>
        <w:t>Оцінка</w:t>
      </w:r>
      <w:r>
        <w:rPr>
          <w:rFonts w:ascii="Times New Roman" w:hAnsi="Times New Roman" w:cs="Times New Roman"/>
          <w:sz w:val="28"/>
          <w:szCs w:val="28"/>
          <w:lang w:val="ru"/>
        </w:rPr>
        <w:t xml:space="preserve"> ефективності фізико-хімічних методів очищення води від іонів важких металів</w:t>
      </w:r>
      <w:r>
        <w:rPr>
          <w:rFonts w:ascii="Times New Roman" w:hAnsi="Times New Roman" w:cs="Times New Roman"/>
          <w:sz w:val="28"/>
          <w:szCs w:val="28"/>
        </w:rPr>
        <w:t xml:space="preserve">», науковий керівник дисертації </w:t>
      </w:r>
      <w:r>
        <w:rPr>
          <w:rFonts w:ascii="Times New Roman" w:hAnsi="Times New Roman" w:cs="Times New Roman"/>
          <w:sz w:val="28"/>
          <w:szCs w:val="28"/>
          <w:lang w:val="ru"/>
        </w:rPr>
        <w:t>Гомеля</w:t>
      </w:r>
      <w:r>
        <w:rPr>
          <w:rFonts w:ascii="Times New Roman" w:hAnsi="Times New Roman" w:cs="Times New Roman"/>
          <w:sz w:val="28"/>
          <w:szCs w:val="28"/>
          <w:lang w:val="ru"/>
        </w:rPr>
        <w:t xml:space="preserve"> М</w:t>
      </w:r>
      <w:r>
        <w:rPr>
          <w:rFonts w:ascii="Times New Roman" w:hAnsi="Times New Roman" w:cs="Times New Roman"/>
          <w:sz w:val="28"/>
          <w:szCs w:val="28"/>
          <w:lang w:val="ru"/>
        </w:rPr>
        <w:t>.Д.</w:t>
      </w:r>
      <w:r>
        <w:rPr>
          <w:rFonts w:ascii="Times New Roman" w:hAnsi="Times New Roman" w:cs="Times New Roman"/>
          <w:sz w:val="28"/>
          <w:szCs w:val="28"/>
        </w:rPr>
        <w:t xml:space="preserve">, </w:t>
      </w:r>
      <w:r>
        <w:rPr>
          <w:rFonts w:ascii="Times New Roman" w:hAnsi="Times New Roman" w:cs="Times New Roman"/>
          <w:sz w:val="28"/>
          <w:szCs w:val="28"/>
          <w:lang w:val="ru"/>
        </w:rPr>
        <w:t>д</w:t>
      </w:r>
      <w:r>
        <w:rPr>
          <w:rFonts w:ascii="Times New Roman" w:hAnsi="Times New Roman" w:cs="Times New Roman"/>
          <w:sz w:val="28"/>
          <w:szCs w:val="28"/>
        </w:rPr>
        <w:t xml:space="preserve">.т.н., </w:t>
      </w:r>
      <w:r>
        <w:rPr>
          <w:rFonts w:ascii="Times New Roman" w:hAnsi="Times New Roman" w:cs="Times New Roman"/>
          <w:sz w:val="28"/>
          <w:szCs w:val="28"/>
          <w:lang w:val="ru"/>
        </w:rPr>
        <w:t>професор</w:t>
      </w:r>
      <w:r>
        <w:rPr>
          <w:rFonts w:ascii="Times New Roman" w:hAnsi="Times New Roman" w:cs="Times New Roman"/>
          <w:sz w:val="28"/>
          <w:szCs w:val="28"/>
        </w:rPr>
        <w:t>, затверджені наказом по університету від «</w:t>
      </w:r>
      <w:r>
        <w:rPr>
          <w:rFonts w:ascii="Times New Roman" w:hAnsi="Times New Roman" w:cs="Times New Roman"/>
          <w:sz w:val="28"/>
          <w:szCs w:val="28"/>
          <w:u w:val="single"/>
        </w:rPr>
        <w:t xml:space="preserve">    </w:t>
      </w:r>
      <w:r>
        <w:rPr>
          <w:rFonts w:ascii="Times New Roman" w:hAnsi="Times New Roman" w:cs="Times New Roman"/>
          <w:sz w:val="28"/>
          <w:szCs w:val="28"/>
        </w:rPr>
        <w:t>»</w:t>
      </w:r>
      <w:r>
        <w:rPr>
          <w:rFonts w:ascii="Times New Roman" w:hAnsi="Times New Roman" w:cs="Times New Roman"/>
          <w:sz w:val="28"/>
          <w:szCs w:val="28"/>
          <w:u w:val="single"/>
        </w:rPr>
        <w:t xml:space="preserve">    </w:t>
      </w:r>
      <w:r>
        <w:rPr>
          <w:rFonts w:ascii="Times New Roman" w:hAnsi="Times New Roman" w:cs="Times New Roman"/>
          <w:sz w:val="28"/>
          <w:szCs w:val="28"/>
        </w:rPr>
        <w:t xml:space="preserve"> 20</w:t>
      </w:r>
      <w:r>
        <w:rPr>
          <w:rFonts w:ascii="Times New Roman" w:hAnsi="Times New Roman" w:cs="Times New Roman"/>
          <w:sz w:val="28"/>
          <w:szCs w:val="28"/>
          <w:u w:val="single"/>
        </w:rPr>
        <w:t>1</w:t>
      </w:r>
      <w:r>
        <w:rPr>
          <w:rFonts w:ascii="Times New Roman" w:hAnsi="Times New Roman" w:cs="Times New Roman"/>
          <w:sz w:val="28"/>
          <w:szCs w:val="28"/>
          <w:u w:val="single"/>
          <w:lang w:val="ru"/>
        </w:rPr>
        <w:t>9</w:t>
      </w:r>
      <w:r>
        <w:rPr>
          <w:rFonts w:ascii="Times New Roman" w:hAnsi="Times New Roman" w:cs="Times New Roman"/>
          <w:sz w:val="28"/>
          <w:szCs w:val="28"/>
        </w:rPr>
        <w:t>р. №</w:t>
      </w:r>
      <w:r>
        <w:rPr>
          <w:rFonts w:ascii="Times New Roman" w:hAnsi="Times New Roman" w:cs="Times New Roman"/>
          <w:sz w:val="28"/>
          <w:szCs w:val="28"/>
          <w:lang w:val="en-US"/>
        </w:rPr>
        <w:t xml:space="preserve"> </w:t>
      </w:r>
      <w:r>
        <w:rPr>
          <w:rFonts w:ascii="Times New Roman" w:hAnsi="Times New Roman" w:cs="Times New Roman"/>
          <w:sz w:val="28"/>
          <w:szCs w:val="28"/>
          <w:u w:val="single"/>
          <w:lang w:val="en-US"/>
        </w:rPr>
        <w:t xml:space="preserve"> </w:t>
      </w:r>
    </w:p>
    <w:p w:rsidR="00F1629C" w:rsidRDefault="00E671D2">
      <w:pPr>
        <w:tabs>
          <w:tab w:val="left" w:leader="underscore" w:pos="9356"/>
        </w:tabs>
        <w:spacing w:before="240" w:line="240" w:lineRule="auto"/>
        <w:rPr>
          <w:sz w:val="28"/>
        </w:rPr>
      </w:pPr>
      <w:r>
        <w:rPr>
          <w:rFonts w:ascii="Times New Roman" w:hAnsi="Times New Roman" w:cs="Times New Roman"/>
          <w:sz w:val="28"/>
          <w:szCs w:val="28"/>
        </w:rPr>
        <w:t>2.Термін подання студентом дисертації</w:t>
      </w:r>
      <w:r>
        <w:rPr>
          <w:rFonts w:ascii="Times New Roman" w:hAnsi="Times New Roman" w:cs="Times New Roman"/>
          <w:sz w:val="28"/>
        </w:rPr>
        <w:t xml:space="preserve">  ________________________________</w:t>
      </w:r>
    </w:p>
    <w:p w:rsidR="00F1629C" w:rsidRPr="00486865" w:rsidRDefault="00E671D2">
      <w:pPr>
        <w:tabs>
          <w:tab w:val="left" w:leader="underscore" w:pos="9356"/>
        </w:tabs>
        <w:spacing w:before="240" w:line="24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3. </w:t>
      </w:r>
      <w:r>
        <w:rPr>
          <w:rFonts w:ascii="Times New Roman" w:hAnsi="Times New Roman" w:cs="Times New Roman"/>
          <w:bCs/>
          <w:sz w:val="28"/>
          <w:szCs w:val="28"/>
        </w:rPr>
        <w:t>Об’єкт дослідження</w:t>
      </w:r>
      <w:r>
        <w:rPr>
          <w:rFonts w:ascii="Times New Roman" w:hAnsi="Times New Roman" w:cs="Times New Roman"/>
          <w:sz w:val="28"/>
          <w:szCs w:val="28"/>
        </w:rPr>
        <w:t xml:space="preserve">: </w:t>
      </w:r>
      <w:r>
        <w:rPr>
          <w:rFonts w:ascii="Times New Roman" w:hAnsi="Times New Roman" w:cs="Times New Roman"/>
          <w:sz w:val="28"/>
          <w:szCs w:val="28"/>
          <w:lang w:val="ru"/>
        </w:rPr>
        <w:t>процеси</w:t>
      </w:r>
      <w:r w:rsidRPr="00486865">
        <w:rPr>
          <w:rFonts w:ascii="Times New Roman" w:hAnsi="Times New Roman" w:cs="Times New Roman"/>
          <w:sz w:val="28"/>
          <w:szCs w:val="28"/>
          <w:lang w:val="en-US"/>
        </w:rPr>
        <w:t xml:space="preserve"> </w:t>
      </w:r>
      <w:r>
        <w:rPr>
          <w:rFonts w:ascii="Times New Roman" w:hAnsi="Times New Roman" w:cs="Times New Roman"/>
          <w:sz w:val="28"/>
          <w:szCs w:val="28"/>
        </w:rPr>
        <w:t>очищення природної та стічної води від йонів важких металів</w:t>
      </w:r>
      <w:r w:rsidRPr="00486865">
        <w:rPr>
          <w:rFonts w:ascii="Times New Roman" w:hAnsi="Times New Roman" w:cs="Times New Roman"/>
          <w:sz w:val="28"/>
          <w:szCs w:val="28"/>
          <w:lang w:val="en-US"/>
        </w:rPr>
        <w:t>.</w:t>
      </w:r>
    </w:p>
    <w:p w:rsidR="00F1629C" w:rsidRDefault="00E671D2">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 xml:space="preserve">4. </w:t>
      </w:r>
      <w:r>
        <w:rPr>
          <w:rFonts w:ascii="Times New Roman" w:hAnsi="Times New Roman" w:cs="Times New Roman"/>
          <w:sz w:val="28"/>
          <w:szCs w:val="28"/>
        </w:rPr>
        <w:t>Вихідні дані: початков</w:t>
      </w:r>
      <w:r>
        <w:rPr>
          <w:rFonts w:ascii="Times New Roman" w:hAnsi="Times New Roman" w:cs="Times New Roman"/>
          <w:sz w:val="28"/>
          <w:szCs w:val="28"/>
          <w:lang w:val="ru"/>
        </w:rPr>
        <w:t>і</w:t>
      </w:r>
      <w:r>
        <w:rPr>
          <w:rFonts w:ascii="Times New Roman" w:hAnsi="Times New Roman" w:cs="Times New Roman"/>
          <w:sz w:val="28"/>
          <w:szCs w:val="28"/>
        </w:rPr>
        <w:t xml:space="preserve"> концентраці</w:t>
      </w:r>
      <w:r>
        <w:rPr>
          <w:rFonts w:ascii="Times New Roman" w:hAnsi="Times New Roman" w:cs="Times New Roman"/>
          <w:sz w:val="28"/>
          <w:szCs w:val="28"/>
          <w:lang w:val="ru"/>
        </w:rPr>
        <w:t>ї</w:t>
      </w:r>
      <w:r>
        <w:rPr>
          <w:rFonts w:ascii="Times New Roman" w:hAnsi="Times New Roman" w:cs="Times New Roman"/>
          <w:sz w:val="28"/>
          <w:szCs w:val="28"/>
        </w:rPr>
        <w:t xml:space="preserve"> розчин</w:t>
      </w:r>
      <w:r>
        <w:rPr>
          <w:rFonts w:ascii="Times New Roman" w:hAnsi="Times New Roman" w:cs="Times New Roman"/>
          <w:sz w:val="28"/>
          <w:szCs w:val="28"/>
          <w:lang w:val="ru"/>
        </w:rPr>
        <w:t>ів</w:t>
      </w:r>
      <w:r>
        <w:rPr>
          <w:rFonts w:ascii="Times New Roman" w:hAnsi="Times New Roman" w:cs="Times New Roman"/>
          <w:sz w:val="28"/>
          <w:szCs w:val="28"/>
        </w:rPr>
        <w:t xml:space="preserve"> </w:t>
      </w:r>
      <w:r>
        <w:rPr>
          <w:rFonts w:ascii="Times New Roman" w:hAnsi="Times New Roman" w:cs="Times New Roman"/>
          <w:sz w:val="28"/>
          <w:szCs w:val="28"/>
          <w:lang w:val="ru"/>
        </w:rPr>
        <w:t>важких</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металів</w:t>
      </w:r>
      <w:r>
        <w:rPr>
          <w:rFonts w:ascii="Times New Roman" w:hAnsi="Times New Roman" w:cs="Times New Roman"/>
          <w:sz w:val="28"/>
          <w:szCs w:val="28"/>
        </w:rPr>
        <w:t xml:space="preserve"> складал</w:t>
      </w:r>
      <w:r>
        <w:rPr>
          <w:rFonts w:ascii="Times New Roman" w:hAnsi="Times New Roman" w:cs="Times New Roman"/>
          <w:sz w:val="28"/>
          <w:szCs w:val="28"/>
          <w:lang w:val="ru"/>
        </w:rPr>
        <w:t>и</w:t>
      </w:r>
      <w:r>
        <w:rPr>
          <w:rFonts w:ascii="Times New Roman" w:hAnsi="Times New Roman" w:cs="Times New Roman"/>
          <w:sz w:val="28"/>
          <w:szCs w:val="28"/>
        </w:rPr>
        <w:t xml:space="preserve"> </w:t>
      </w:r>
      <w:r w:rsidRPr="00486865">
        <w:rPr>
          <w:rFonts w:ascii="Times New Roman" w:hAnsi="Times New Roman" w:cs="Times New Roman"/>
          <w:sz w:val="28"/>
          <w:szCs w:val="28"/>
          <w:lang w:val="en-US"/>
        </w:rPr>
        <w:t>10</w:t>
      </w:r>
      <w:r w:rsidRPr="00486865">
        <w:rPr>
          <w:rFonts w:ascii="Times New Roman" w:hAnsi="Times New Roman" w:cs="Times New Roman"/>
          <w:sz w:val="28"/>
          <w:szCs w:val="28"/>
          <w:vertAlign w:val="superscript"/>
          <w:lang w:val="en-US"/>
        </w:rPr>
        <w:t>-9</w:t>
      </w:r>
      <w:r w:rsidRPr="00486865">
        <w:rPr>
          <w:rFonts w:ascii="Times New Roman" w:hAnsi="Times New Roman" w:cs="Times New Roman"/>
          <w:sz w:val="28"/>
          <w:szCs w:val="28"/>
          <w:lang w:val="en-US"/>
        </w:rPr>
        <w:t>-10</w:t>
      </w:r>
      <w:r w:rsidRPr="00486865">
        <w:rPr>
          <w:rFonts w:ascii="Times New Roman" w:hAnsi="Times New Roman" w:cs="Times New Roman"/>
          <w:sz w:val="28"/>
          <w:szCs w:val="28"/>
          <w:vertAlign w:val="superscript"/>
          <w:lang w:val="en-US"/>
        </w:rPr>
        <w:t>-3</w:t>
      </w:r>
      <w:r>
        <w:rPr>
          <w:rFonts w:ascii="Times New Roman" w:hAnsi="Times New Roman" w:cs="Times New Roman"/>
          <w:sz w:val="28"/>
          <w:szCs w:val="28"/>
        </w:rPr>
        <w:t xml:space="preserve"> 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w:t>
      </w:r>
      <w:r>
        <w:rPr>
          <w:rFonts w:ascii="Times New Roman" w:hAnsi="Times New Roman" w:cs="Times New Roman"/>
          <w:sz w:val="28"/>
          <w:szCs w:val="28"/>
          <w:lang w:val="ru"/>
        </w:rPr>
        <w:t>початкові</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рН</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розчинів</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коливались</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у</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діапазоні</w:t>
      </w:r>
      <w:r w:rsidRPr="00486865">
        <w:rPr>
          <w:rFonts w:ascii="Times New Roman" w:hAnsi="Times New Roman" w:cs="Times New Roman"/>
          <w:sz w:val="28"/>
          <w:szCs w:val="28"/>
          <w:lang w:val="en-US"/>
        </w:rPr>
        <w:t xml:space="preserve"> 2,2 - 10 </w:t>
      </w:r>
      <w:r>
        <w:rPr>
          <w:rFonts w:ascii="Times New Roman" w:hAnsi="Times New Roman" w:cs="Times New Roman"/>
          <w:sz w:val="28"/>
          <w:szCs w:val="28"/>
          <w:lang w:val="ru"/>
        </w:rPr>
        <w:t>од</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рН</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досліди</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проводились</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на</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розчинах</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важких</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металів</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у</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дистильованій</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та</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водопровідній</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воді</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жорсткість</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водопровідної</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води</w:t>
      </w:r>
      <w:r w:rsidRPr="00486865">
        <w:rPr>
          <w:rFonts w:ascii="Times New Roman" w:hAnsi="Times New Roman" w:cs="Times New Roman"/>
          <w:sz w:val="28"/>
          <w:szCs w:val="28"/>
          <w:lang w:val="en-US"/>
        </w:rPr>
        <w:t xml:space="preserve"> </w:t>
      </w:r>
      <w:r>
        <w:rPr>
          <w:rFonts w:ascii="Times New Roman" w:hAnsi="Times New Roman" w:cs="Times New Roman"/>
          <w:sz w:val="28"/>
          <w:szCs w:val="28"/>
          <w:lang w:val="ru"/>
        </w:rPr>
        <w:t>складала</w:t>
      </w:r>
      <w:r w:rsidRPr="00486865">
        <w:rPr>
          <w:rFonts w:ascii="Times New Roman" w:hAnsi="Times New Roman" w:cs="Times New Roman"/>
          <w:sz w:val="28"/>
          <w:szCs w:val="28"/>
          <w:lang w:val="en-US"/>
        </w:rPr>
        <w:t xml:space="preserve"> 2,3 - 5,4 </w:t>
      </w:r>
      <w:r>
        <w:rPr>
          <w:rFonts w:ascii="Times New Roman" w:hAnsi="Times New Roman" w:cs="Times New Roman"/>
          <w:sz w:val="28"/>
          <w:szCs w:val="28"/>
          <w:lang w:val="ru"/>
        </w:rPr>
        <w:t>мг</w:t>
      </w:r>
      <w:r w:rsidRPr="00486865">
        <w:rPr>
          <w:rFonts w:ascii="Times New Roman" w:hAnsi="Times New Roman" w:cs="Times New Roman"/>
          <w:sz w:val="28"/>
          <w:szCs w:val="28"/>
          <w:lang w:val="en-US"/>
        </w:rPr>
        <w:t>-</w:t>
      </w:r>
      <w:r>
        <w:rPr>
          <w:rFonts w:ascii="Times New Roman" w:hAnsi="Times New Roman" w:cs="Times New Roman"/>
          <w:sz w:val="28"/>
          <w:szCs w:val="28"/>
          <w:lang w:val="ru"/>
        </w:rPr>
        <w:t>екв</w:t>
      </w:r>
      <w:r w:rsidRPr="00486865">
        <w:rPr>
          <w:rFonts w:ascii="Times New Roman" w:hAnsi="Times New Roman" w:cs="Times New Roman"/>
          <w:sz w:val="28"/>
          <w:szCs w:val="28"/>
          <w:lang w:val="en-US"/>
        </w:rPr>
        <w:t>/</w:t>
      </w:r>
      <w:r>
        <w:rPr>
          <w:rFonts w:ascii="Times New Roman" w:hAnsi="Times New Roman" w:cs="Times New Roman"/>
          <w:sz w:val="28"/>
          <w:szCs w:val="28"/>
          <w:lang w:val="ru"/>
        </w:rPr>
        <w:t>дм</w:t>
      </w:r>
      <w:r w:rsidRPr="00486865">
        <w:rPr>
          <w:rFonts w:ascii="Times New Roman" w:hAnsi="Times New Roman" w:cs="Times New Roman"/>
          <w:sz w:val="28"/>
          <w:szCs w:val="28"/>
          <w:vertAlign w:val="superscript"/>
          <w:lang w:val="en-US"/>
        </w:rPr>
        <w:t>3</w:t>
      </w:r>
      <w:r>
        <w:rPr>
          <w:rFonts w:ascii="Times New Roman" w:hAnsi="Times New Roman" w:cs="Times New Roman"/>
          <w:sz w:val="28"/>
          <w:szCs w:val="28"/>
        </w:rPr>
        <w:t>.</w:t>
      </w:r>
    </w:p>
    <w:p w:rsidR="00F1629C" w:rsidRDefault="00E671D2">
      <w:pPr>
        <w:tabs>
          <w:tab w:val="left" w:leader="underscore" w:pos="9356"/>
        </w:tabs>
        <w:spacing w:before="240" w:line="240" w:lineRule="auto"/>
        <w:jc w:val="both"/>
        <w:rPr>
          <w:rFonts w:ascii="Times New Roman" w:hAnsi="Times New Roman" w:cs="Times New Roman"/>
          <w:sz w:val="28"/>
          <w:szCs w:val="28"/>
        </w:rPr>
      </w:pPr>
      <w:r>
        <w:rPr>
          <w:rFonts w:ascii="Times New Roman" w:hAnsi="Times New Roman" w:cs="Times New Roman"/>
          <w:sz w:val="28"/>
          <w:szCs w:val="28"/>
        </w:rPr>
        <w:t xml:space="preserve">5. Перелік завдань, які потрібно розробити: </w:t>
      </w:r>
      <w:r w:rsidRPr="00486865">
        <w:rPr>
          <w:rFonts w:ascii="Times New Roman" w:hAnsi="Times New Roman" w:cs="Times New Roman"/>
          <w:sz w:val="28"/>
          <w:szCs w:val="28"/>
        </w:rPr>
        <w:t>Оцінити</w:t>
      </w:r>
      <w:r w:rsidRPr="00486865">
        <w:rPr>
          <w:rFonts w:ascii="Times New Roman" w:hAnsi="Times New Roman" w:cs="Times New Roman"/>
          <w:sz w:val="28"/>
          <w:szCs w:val="28"/>
        </w:rPr>
        <w:t xml:space="preserve"> ефек</w:t>
      </w:r>
      <w:r w:rsidRPr="00486865">
        <w:rPr>
          <w:rFonts w:ascii="Times New Roman" w:hAnsi="Times New Roman" w:cs="Times New Roman"/>
          <w:sz w:val="28"/>
          <w:szCs w:val="28"/>
        </w:rPr>
        <w:t>тивність вилучення важких металів з води методом нанофільтрації; Оцінити доцільність використання комплеусоутворюючих реагентів для підвищення ефективності процесу нанофільтрації; Встановити залежність ступеню вилучення іонів важких металів з води від форм</w:t>
      </w:r>
      <w:r w:rsidRPr="00486865">
        <w:rPr>
          <w:rFonts w:ascii="Times New Roman" w:hAnsi="Times New Roman" w:cs="Times New Roman"/>
          <w:sz w:val="28"/>
          <w:szCs w:val="28"/>
        </w:rPr>
        <w:t>и іонообмінного матеріалу та складу самої води; Оцінити вплив постійної та тимчасової жорсткості на ефективність іонообмінного очищення води від іонів важких металів; Дослідити ефективність сорбційних методів очищення води від іонів важких металів</w:t>
      </w:r>
      <w:r>
        <w:rPr>
          <w:rFonts w:ascii="Times New Roman" w:hAnsi="Times New Roman" w:cs="Times New Roman"/>
          <w:sz w:val="28"/>
          <w:szCs w:val="28"/>
        </w:rPr>
        <w:t>.</w:t>
      </w:r>
    </w:p>
    <w:p w:rsidR="00F1629C" w:rsidRDefault="00F1629C">
      <w:pPr>
        <w:tabs>
          <w:tab w:val="left" w:pos="284"/>
        </w:tabs>
        <w:spacing w:line="240" w:lineRule="auto"/>
        <w:ind w:right="57"/>
        <w:jc w:val="both"/>
        <w:rPr>
          <w:rFonts w:ascii="Times New Roman" w:hAnsi="Times New Roman" w:cs="Times New Roman"/>
          <w:sz w:val="28"/>
          <w:szCs w:val="28"/>
        </w:rPr>
      </w:pPr>
    </w:p>
    <w:p w:rsidR="00F1629C" w:rsidRDefault="00E671D2">
      <w:pPr>
        <w:tabs>
          <w:tab w:val="left" w:pos="284"/>
        </w:tabs>
        <w:spacing w:after="0" w:line="240" w:lineRule="auto"/>
        <w:ind w:right="57"/>
        <w:jc w:val="both"/>
        <w:rPr>
          <w:rFonts w:ascii="Times New Roman" w:hAnsi="Times New Roman" w:cs="Times New Roman"/>
          <w:sz w:val="28"/>
          <w:szCs w:val="28"/>
        </w:rPr>
      </w:pPr>
      <w:r>
        <w:rPr>
          <w:rFonts w:ascii="Times New Roman" w:hAnsi="Times New Roman" w:cs="Times New Roman"/>
          <w:sz w:val="28"/>
          <w:szCs w:val="28"/>
        </w:rPr>
        <w:t xml:space="preserve">6. Орієнтовний перелік графічного (ілюстративного) матеріалу: </w:t>
      </w:r>
      <w:r>
        <w:rPr>
          <w:rFonts w:ascii="Times New Roman" w:hAnsi="Times New Roman" w:cs="Times New Roman"/>
          <w:sz w:val="28"/>
          <w:szCs w:val="28"/>
          <w:lang w:val="ru"/>
        </w:rPr>
        <w:t>20 слайдів</w:t>
      </w:r>
      <w:r>
        <w:rPr>
          <w:rFonts w:ascii="Times New Roman" w:hAnsi="Times New Roman" w:cs="Times New Roman"/>
          <w:sz w:val="28"/>
          <w:szCs w:val="28"/>
        </w:rPr>
        <w:t xml:space="preserve"> </w:t>
      </w:r>
    </w:p>
    <w:p w:rsidR="00F1629C" w:rsidRDefault="00F1629C">
      <w:pPr>
        <w:pStyle w:val="ad"/>
        <w:spacing w:before="0" w:beforeAutospacing="0" w:after="0" w:afterAutospacing="0"/>
        <w:jc w:val="both"/>
        <w:rPr>
          <w:sz w:val="28"/>
          <w:szCs w:val="28"/>
          <w:lang w:val="uk-UA"/>
        </w:rPr>
      </w:pPr>
    </w:p>
    <w:p w:rsidR="00F1629C" w:rsidRDefault="00E671D2">
      <w:pPr>
        <w:tabs>
          <w:tab w:val="left" w:leader="underscore" w:pos="9356"/>
        </w:tabs>
        <w:spacing w:before="240"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lang w:val="ru"/>
        </w:rPr>
        <w:t xml:space="preserve">1. </w:t>
      </w:r>
      <w:r>
        <w:rPr>
          <w:rFonts w:ascii="Times New Roman" w:eastAsia="SimSun" w:hAnsi="Times New Roman" w:cs="Times New Roman"/>
          <w:bCs/>
          <w:sz w:val="28"/>
          <w:szCs w:val="28"/>
          <w:u w:val="single"/>
          <w:lang w:val="ru" w:eastAsia="zh-CN" w:bidi="ar"/>
        </w:rPr>
        <w:t>Визначення сорбційної здатності аніонообмінних редокситів по сульфат-іонах / Шуриберко М.М., Булгаков Є.С., Гомеля М.Д., // Proceedings of V International Scientific and Techn</w:t>
      </w:r>
      <w:r>
        <w:rPr>
          <w:rFonts w:ascii="Times New Roman" w:eastAsia="SimSun" w:hAnsi="Times New Roman" w:cs="Times New Roman"/>
          <w:bCs/>
          <w:sz w:val="28"/>
          <w:szCs w:val="28"/>
          <w:u w:val="single"/>
          <w:lang w:val="ru" w:eastAsia="zh-CN" w:bidi="ar"/>
        </w:rPr>
        <w:t>ical Conference “Pure water. Fundamental, applied and industrial aspects.” - 26-27 жовтня 2017 р. с. 235-236</w:t>
      </w:r>
    </w:p>
    <w:p w:rsidR="00F1629C" w:rsidRDefault="00E671D2">
      <w:pPr>
        <w:spacing w:line="240" w:lineRule="auto"/>
        <w:rPr>
          <w:rFonts w:ascii="Times New Roman" w:eastAsia="SimSun" w:hAnsi="Times New Roman" w:cs="Times New Roman"/>
          <w:bCs/>
          <w:sz w:val="28"/>
          <w:szCs w:val="28"/>
          <w:u w:val="single"/>
          <w:lang w:val="ru" w:eastAsia="zh-CN" w:bidi="ar"/>
        </w:rPr>
      </w:pPr>
      <w:r>
        <w:rPr>
          <w:rFonts w:ascii="Times New Roman" w:hAnsi="Times New Roman" w:cs="Times New Roman"/>
          <w:sz w:val="28"/>
          <w:szCs w:val="28"/>
        </w:rPr>
        <w:t xml:space="preserve">2. </w:t>
      </w:r>
      <w:r>
        <w:rPr>
          <w:rFonts w:ascii="Times New Roman" w:hAnsi="Times New Roman" w:cs="Times New Roman"/>
          <w:bCs/>
          <w:sz w:val="28"/>
          <w:szCs w:val="40"/>
          <w:u w:val="single"/>
        </w:rPr>
        <w:t>З</w:t>
      </w:r>
      <w:r>
        <w:rPr>
          <w:rFonts w:ascii="Times New Roman" w:eastAsia="SimSun" w:hAnsi="Times New Roman" w:cs="Times New Roman"/>
          <w:bCs/>
          <w:sz w:val="28"/>
          <w:szCs w:val="28"/>
          <w:u w:val="single"/>
          <w:lang w:val="ru" w:eastAsia="zh-CN" w:bidi="ar"/>
        </w:rPr>
        <w:t>астосування баромембранних методів при очищенні води від іонів важких металів / М. Д. Гомеля, В. П. Іванова, І. М. Трус, Є. С. Булгаков // Вісн</w:t>
      </w:r>
      <w:r>
        <w:rPr>
          <w:rFonts w:ascii="Times New Roman" w:eastAsia="SimSun" w:hAnsi="Times New Roman" w:cs="Times New Roman"/>
          <w:bCs/>
          <w:sz w:val="28"/>
          <w:szCs w:val="28"/>
          <w:u w:val="single"/>
          <w:lang w:val="ru" w:eastAsia="zh-CN" w:bidi="ar"/>
        </w:rPr>
        <w:t>ик Вінницького політехнічного інституту. – 2018 р. № 3. – С. 23 – 27</w:t>
      </w:r>
    </w:p>
    <w:p w:rsidR="00F1629C" w:rsidRDefault="00E671D2">
      <w:pPr>
        <w:spacing w:line="240" w:lineRule="auto"/>
        <w:rPr>
          <w:bCs/>
          <w:lang w:val="ru"/>
        </w:rPr>
      </w:pPr>
      <w:r>
        <w:rPr>
          <w:rFonts w:ascii="Times New Roman" w:hAnsi="Times New Roman" w:cs="Times New Roman"/>
          <w:sz w:val="28"/>
          <w:szCs w:val="28"/>
        </w:rPr>
        <w:t>3.</w:t>
      </w:r>
      <w:r>
        <w:rPr>
          <w:rFonts w:ascii="Times New Roman" w:hAnsi="Times New Roman" w:cs="Times New Roman"/>
          <w:sz w:val="28"/>
          <w:szCs w:val="28"/>
          <w:lang w:val="ru"/>
        </w:rPr>
        <w:t xml:space="preserve"> </w:t>
      </w:r>
      <w:r>
        <w:rPr>
          <w:rFonts w:ascii="Times New Roman" w:eastAsia="SimSun" w:hAnsi="Times New Roman" w:cs="Times New Roman"/>
          <w:bCs/>
          <w:sz w:val="28"/>
          <w:szCs w:val="28"/>
          <w:u w:val="single"/>
          <w:lang w:val="ru" w:eastAsia="zh-CN" w:bidi="ar"/>
        </w:rPr>
        <w:t xml:space="preserve">Оцінка ефективності іонообмінного вилучення іонів міді та свинцю з розведених розчинів / Гомеля М.Д., Іванова В.П., Булгаков Є.С. // Акутальні проблеми сучасної хімії - Матеріали ІІ </w:t>
      </w:r>
      <w:r>
        <w:rPr>
          <w:rFonts w:ascii="Times New Roman" w:eastAsia="SimSun" w:hAnsi="Times New Roman" w:cs="Times New Roman"/>
          <w:bCs/>
          <w:sz w:val="28"/>
          <w:szCs w:val="28"/>
          <w:u w:val="single"/>
          <w:lang w:val="ru" w:eastAsia="zh-CN" w:bidi="ar"/>
        </w:rPr>
        <w:t>Всеукраїнської науково-практичної конференції студентів, аспірантів та молодих науковців 24-25 травня 2018 р. с. 23-25</w:t>
      </w:r>
    </w:p>
    <w:p w:rsidR="00F1629C" w:rsidRDefault="00E671D2">
      <w:pPr>
        <w:spacing w:line="240" w:lineRule="auto"/>
        <w:rPr>
          <w:bCs/>
          <w:lang w:val="ru"/>
        </w:rPr>
      </w:pPr>
      <w:r>
        <w:rPr>
          <w:bCs/>
          <w:lang w:val="ru"/>
        </w:rPr>
        <w:t xml:space="preserve">4. </w:t>
      </w:r>
      <w:r>
        <w:rPr>
          <w:rFonts w:ascii="Times New Roman" w:eastAsia="SimSun" w:hAnsi="Times New Roman" w:cs="Times New Roman"/>
          <w:bCs/>
          <w:sz w:val="28"/>
          <w:szCs w:val="28"/>
          <w:u w:val="single"/>
          <w:lang w:val="ru" w:eastAsia="zh-CN" w:bidi="ar"/>
        </w:rPr>
        <w:t>SYNTHESIS AND RESEARCH OF IRON-CONTAINING SORBENTS FOR WATER PURIFICATION FROM OIL PRODUCTS / Radovenchyk I., Bulhakov E., Radovenchyk</w:t>
      </w:r>
      <w:r>
        <w:rPr>
          <w:rFonts w:ascii="Times New Roman" w:eastAsia="SimSun" w:hAnsi="Times New Roman" w:cs="Times New Roman"/>
          <w:bCs/>
          <w:sz w:val="28"/>
          <w:szCs w:val="28"/>
          <w:u w:val="single"/>
          <w:lang w:val="ru" w:eastAsia="zh-CN" w:bidi="ar"/>
        </w:rPr>
        <w:t xml:space="preserve"> V. // MEMBRAN AND SORPTION PROCESSES AND TECHNOLOGIES. BOOK OF ABSTRACTS III Ukrainian-Polish scientific conference. Dec. 12-14, 2017 p. 219-220</w:t>
      </w:r>
    </w:p>
    <w:p w:rsidR="00F1629C" w:rsidRDefault="00E671D2">
      <w:pPr>
        <w:spacing w:line="240" w:lineRule="auto"/>
        <w:rPr>
          <w:bCs/>
          <w:lang w:val="ru"/>
        </w:rPr>
      </w:pPr>
      <w:r>
        <w:rPr>
          <w:bCs/>
          <w:lang w:val="ru"/>
        </w:rPr>
        <w:t xml:space="preserve">5. </w:t>
      </w:r>
      <w:r>
        <w:rPr>
          <w:rFonts w:ascii="Times New Roman" w:eastAsia="SimSun" w:hAnsi="Times New Roman" w:cs="Times New Roman"/>
          <w:bCs/>
          <w:sz w:val="28"/>
          <w:szCs w:val="28"/>
          <w:u w:val="single"/>
          <w:lang w:val="ru" w:eastAsia="zh-CN" w:bidi="ar"/>
        </w:rPr>
        <w:t xml:space="preserve">ОЦІНКА ЕФЕКТИВНОСТІ ВИЛУЧЕННЯ ІОНІВ ВАЖКИХ МЕТАЛІВ ІЗ РОЗВЕДЕНИХ РОЗЧИНІВ ШЛЯХОМ НАНОФІЛЬТРАЦІЇ ТА ІОННОГО </w:t>
      </w:r>
      <w:r>
        <w:rPr>
          <w:rFonts w:ascii="Times New Roman" w:eastAsia="SimSun" w:hAnsi="Times New Roman" w:cs="Times New Roman"/>
          <w:bCs/>
          <w:sz w:val="28"/>
          <w:szCs w:val="28"/>
          <w:u w:val="single"/>
          <w:lang w:val="ru" w:eastAsia="zh-CN" w:bidi="ar"/>
        </w:rPr>
        <w:t>ОБМІНУ / Е.С. Булгаков, М.Д. Гомеля // ТЕЗИ науково-практичної конференції Всеукраїнського конкурсу студентських наукових робіт зі спеціальності “ЕКОЛОГІЯ”. Полтава 2019, с 30</w:t>
      </w:r>
    </w:p>
    <w:p w:rsidR="00F1629C" w:rsidRDefault="00F1629C">
      <w:pPr>
        <w:tabs>
          <w:tab w:val="left" w:leader="underscore" w:pos="9356"/>
        </w:tabs>
        <w:spacing w:before="240" w:line="240" w:lineRule="auto"/>
        <w:jc w:val="both"/>
        <w:rPr>
          <w:rFonts w:ascii="Times New Roman" w:hAnsi="Times New Roman" w:cs="Times New Roman"/>
          <w:sz w:val="28"/>
          <w:szCs w:val="28"/>
          <w:lang w:val="ru"/>
        </w:rPr>
      </w:pPr>
    </w:p>
    <w:p w:rsidR="00F1629C" w:rsidRDefault="00E671D2">
      <w:pPr>
        <w:tabs>
          <w:tab w:val="left" w:pos="360"/>
          <w:tab w:val="left" w:pos="1440"/>
          <w:tab w:val="left" w:pos="1620"/>
        </w:tabs>
        <w:spacing w:before="240" w:after="0" w:line="240" w:lineRule="auto"/>
        <w:ind w:left="540" w:hanging="540"/>
        <w:jc w:val="both"/>
        <w:rPr>
          <w:rFonts w:ascii="Times New Roman" w:hAnsi="Times New Roman" w:cs="Times New Roman"/>
          <w:sz w:val="28"/>
          <w:szCs w:val="28"/>
        </w:rPr>
      </w:pPr>
      <w:r>
        <w:rPr>
          <w:rFonts w:ascii="Times New Roman" w:hAnsi="Times New Roman" w:cs="Times New Roman"/>
          <w:sz w:val="28"/>
          <w:szCs w:val="28"/>
        </w:rPr>
        <w:t>8. Консультанти розділів дисертації</w:t>
      </w:r>
      <w:r>
        <w:rPr>
          <w:rStyle w:val="af1"/>
          <w:rFonts w:ascii="Times New Roman" w:hAnsi="Times New Roman" w:cs="Times New Roman"/>
          <w:sz w:val="28"/>
          <w:szCs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4111"/>
        <w:gridCol w:w="1396"/>
        <w:gridCol w:w="1397"/>
      </w:tblGrid>
      <w:tr w:rsidR="00F1629C">
        <w:trPr>
          <w:cantSplit/>
        </w:trPr>
        <w:tc>
          <w:tcPr>
            <w:tcW w:w="2410" w:type="dxa"/>
            <w:vMerge w:val="restart"/>
            <w:vAlign w:val="center"/>
          </w:tcPr>
          <w:p w:rsidR="00F1629C" w:rsidRDefault="00E671D2">
            <w:pPr>
              <w:spacing w:after="0" w:line="240" w:lineRule="auto"/>
              <w:jc w:val="both"/>
              <w:rPr>
                <w:rFonts w:ascii="Times New Roman" w:hAnsi="Times New Roman" w:cs="Times New Roman"/>
                <w:sz w:val="24"/>
                <w:szCs w:val="28"/>
              </w:rPr>
            </w:pPr>
            <w:r>
              <w:rPr>
                <w:rFonts w:ascii="Times New Roman" w:hAnsi="Times New Roman" w:cs="Times New Roman"/>
                <w:sz w:val="24"/>
                <w:szCs w:val="28"/>
              </w:rPr>
              <w:t>Розділ</w:t>
            </w:r>
          </w:p>
        </w:tc>
        <w:tc>
          <w:tcPr>
            <w:tcW w:w="4111" w:type="dxa"/>
            <w:vMerge w:val="restart"/>
            <w:vAlign w:val="center"/>
          </w:tcPr>
          <w:p w:rsidR="00F1629C" w:rsidRDefault="00E671D2">
            <w:pPr>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Прізвище, ініціали та посада </w:t>
            </w:r>
            <w:r>
              <w:rPr>
                <w:rFonts w:ascii="Times New Roman" w:hAnsi="Times New Roman" w:cs="Times New Roman"/>
                <w:sz w:val="24"/>
                <w:szCs w:val="28"/>
              </w:rPr>
              <w:br/>
              <w:t>консу</w:t>
            </w:r>
            <w:r>
              <w:rPr>
                <w:rFonts w:ascii="Times New Roman" w:hAnsi="Times New Roman" w:cs="Times New Roman"/>
                <w:sz w:val="24"/>
                <w:szCs w:val="28"/>
              </w:rPr>
              <w:t>льтанта</w:t>
            </w:r>
          </w:p>
        </w:tc>
        <w:tc>
          <w:tcPr>
            <w:tcW w:w="2793" w:type="dxa"/>
            <w:gridSpan w:val="2"/>
          </w:tcPr>
          <w:p w:rsidR="00F1629C" w:rsidRDefault="00E671D2">
            <w:pPr>
              <w:spacing w:after="0" w:line="240" w:lineRule="auto"/>
              <w:jc w:val="both"/>
              <w:rPr>
                <w:rFonts w:ascii="Times New Roman" w:hAnsi="Times New Roman" w:cs="Times New Roman"/>
                <w:sz w:val="24"/>
                <w:szCs w:val="28"/>
              </w:rPr>
            </w:pPr>
            <w:r>
              <w:rPr>
                <w:rFonts w:ascii="Times New Roman" w:hAnsi="Times New Roman" w:cs="Times New Roman"/>
                <w:sz w:val="24"/>
                <w:szCs w:val="28"/>
              </w:rPr>
              <w:t>Підпис, дата</w:t>
            </w:r>
          </w:p>
        </w:tc>
      </w:tr>
      <w:tr w:rsidR="00F1629C">
        <w:trPr>
          <w:cantSplit/>
        </w:trPr>
        <w:tc>
          <w:tcPr>
            <w:tcW w:w="2410" w:type="dxa"/>
            <w:vMerge/>
          </w:tcPr>
          <w:p w:rsidR="00F1629C" w:rsidRDefault="00F1629C">
            <w:pPr>
              <w:spacing w:after="0" w:line="240" w:lineRule="auto"/>
              <w:jc w:val="both"/>
              <w:rPr>
                <w:rFonts w:ascii="Times New Roman" w:hAnsi="Times New Roman" w:cs="Times New Roman"/>
                <w:sz w:val="24"/>
                <w:szCs w:val="28"/>
              </w:rPr>
            </w:pPr>
          </w:p>
        </w:tc>
        <w:tc>
          <w:tcPr>
            <w:tcW w:w="4111" w:type="dxa"/>
            <w:vMerge/>
          </w:tcPr>
          <w:p w:rsidR="00F1629C" w:rsidRDefault="00F1629C">
            <w:pPr>
              <w:spacing w:after="0" w:line="240" w:lineRule="auto"/>
              <w:jc w:val="both"/>
              <w:rPr>
                <w:rFonts w:ascii="Times New Roman" w:hAnsi="Times New Roman" w:cs="Times New Roman"/>
                <w:sz w:val="24"/>
                <w:szCs w:val="28"/>
              </w:rPr>
            </w:pPr>
          </w:p>
        </w:tc>
        <w:tc>
          <w:tcPr>
            <w:tcW w:w="1396" w:type="dxa"/>
          </w:tcPr>
          <w:p w:rsidR="00F1629C" w:rsidRDefault="00E671D2">
            <w:pPr>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завдання </w:t>
            </w:r>
            <w:r>
              <w:rPr>
                <w:rFonts w:ascii="Times New Roman" w:hAnsi="Times New Roman" w:cs="Times New Roman"/>
                <w:sz w:val="24"/>
                <w:szCs w:val="28"/>
              </w:rPr>
              <w:br/>
              <w:t>видав</w:t>
            </w:r>
          </w:p>
        </w:tc>
        <w:tc>
          <w:tcPr>
            <w:tcW w:w="1397" w:type="dxa"/>
          </w:tcPr>
          <w:p w:rsidR="00F1629C" w:rsidRDefault="00E671D2">
            <w:pPr>
              <w:spacing w:after="0" w:line="240" w:lineRule="auto"/>
              <w:jc w:val="both"/>
              <w:rPr>
                <w:rFonts w:ascii="Times New Roman" w:hAnsi="Times New Roman" w:cs="Times New Roman"/>
                <w:sz w:val="24"/>
                <w:szCs w:val="28"/>
              </w:rPr>
            </w:pPr>
            <w:r>
              <w:rPr>
                <w:rFonts w:ascii="Times New Roman" w:hAnsi="Times New Roman" w:cs="Times New Roman"/>
                <w:sz w:val="24"/>
                <w:szCs w:val="28"/>
              </w:rPr>
              <w:t>завдання</w:t>
            </w:r>
            <w:r>
              <w:rPr>
                <w:rFonts w:ascii="Times New Roman" w:hAnsi="Times New Roman" w:cs="Times New Roman"/>
                <w:sz w:val="24"/>
                <w:szCs w:val="28"/>
              </w:rPr>
              <w:br/>
              <w:t>прийняв</w:t>
            </w:r>
          </w:p>
        </w:tc>
      </w:tr>
      <w:tr w:rsidR="00F1629C">
        <w:tc>
          <w:tcPr>
            <w:tcW w:w="2410" w:type="dxa"/>
          </w:tcPr>
          <w:p w:rsidR="00F1629C" w:rsidRDefault="00F1629C">
            <w:pPr>
              <w:spacing w:after="0" w:line="240" w:lineRule="auto"/>
              <w:jc w:val="both"/>
              <w:rPr>
                <w:rFonts w:ascii="Times New Roman" w:hAnsi="Times New Roman" w:cs="Times New Roman"/>
                <w:sz w:val="24"/>
                <w:szCs w:val="28"/>
              </w:rPr>
            </w:pPr>
          </w:p>
        </w:tc>
        <w:tc>
          <w:tcPr>
            <w:tcW w:w="4111" w:type="dxa"/>
          </w:tcPr>
          <w:p w:rsidR="00F1629C" w:rsidRDefault="00F1629C">
            <w:pPr>
              <w:spacing w:after="0" w:line="240" w:lineRule="auto"/>
              <w:jc w:val="both"/>
              <w:rPr>
                <w:rFonts w:ascii="Times New Roman" w:hAnsi="Times New Roman" w:cs="Times New Roman"/>
                <w:sz w:val="24"/>
                <w:szCs w:val="28"/>
              </w:rPr>
            </w:pPr>
          </w:p>
        </w:tc>
        <w:tc>
          <w:tcPr>
            <w:tcW w:w="1396" w:type="dxa"/>
          </w:tcPr>
          <w:p w:rsidR="00F1629C" w:rsidRDefault="00F1629C">
            <w:pPr>
              <w:spacing w:after="0" w:line="240" w:lineRule="auto"/>
              <w:jc w:val="both"/>
              <w:rPr>
                <w:rFonts w:ascii="Times New Roman" w:hAnsi="Times New Roman" w:cs="Times New Roman"/>
                <w:sz w:val="24"/>
                <w:szCs w:val="28"/>
              </w:rPr>
            </w:pPr>
          </w:p>
        </w:tc>
        <w:tc>
          <w:tcPr>
            <w:tcW w:w="1397" w:type="dxa"/>
          </w:tcPr>
          <w:p w:rsidR="00F1629C" w:rsidRDefault="00F1629C">
            <w:pPr>
              <w:spacing w:after="0" w:line="240" w:lineRule="auto"/>
              <w:jc w:val="both"/>
              <w:rPr>
                <w:rFonts w:ascii="Times New Roman" w:hAnsi="Times New Roman" w:cs="Times New Roman"/>
                <w:sz w:val="24"/>
                <w:szCs w:val="28"/>
              </w:rPr>
            </w:pPr>
          </w:p>
        </w:tc>
      </w:tr>
    </w:tbl>
    <w:p w:rsidR="00F1629C" w:rsidRDefault="00F1629C">
      <w:pPr>
        <w:tabs>
          <w:tab w:val="left" w:pos="1440"/>
          <w:tab w:val="left" w:pos="1620"/>
          <w:tab w:val="left" w:pos="9356"/>
        </w:tabs>
        <w:spacing w:before="240" w:line="240" w:lineRule="auto"/>
        <w:ind w:right="-31"/>
        <w:jc w:val="both"/>
        <w:rPr>
          <w:rFonts w:ascii="Times New Roman" w:hAnsi="Times New Roman" w:cs="Times New Roman"/>
          <w:sz w:val="28"/>
          <w:szCs w:val="28"/>
        </w:rPr>
      </w:pPr>
    </w:p>
    <w:p w:rsidR="00F1629C" w:rsidRDefault="00E671D2">
      <w:pPr>
        <w:tabs>
          <w:tab w:val="left" w:pos="1440"/>
          <w:tab w:val="left" w:pos="1620"/>
          <w:tab w:val="left" w:pos="9356"/>
        </w:tabs>
        <w:spacing w:before="240" w:line="240" w:lineRule="auto"/>
        <w:ind w:right="-31"/>
        <w:jc w:val="both"/>
        <w:rPr>
          <w:rFonts w:ascii="Times New Roman" w:hAnsi="Times New Roman" w:cs="Times New Roman"/>
          <w:sz w:val="28"/>
          <w:szCs w:val="28"/>
        </w:rPr>
      </w:pPr>
      <w:r>
        <w:rPr>
          <w:rFonts w:ascii="Times New Roman" w:hAnsi="Times New Roman" w:cs="Times New Roman"/>
          <w:sz w:val="28"/>
          <w:szCs w:val="28"/>
        </w:rPr>
        <w:t xml:space="preserve">9. </w:t>
      </w:r>
      <w:r>
        <w:rPr>
          <w:rFonts w:ascii="Times New Roman" w:hAnsi="Times New Roman" w:cs="Times New Roman"/>
          <w:bCs/>
          <w:sz w:val="28"/>
          <w:szCs w:val="28"/>
        </w:rPr>
        <w:t>Дата видачі завдання</w:t>
      </w:r>
      <w:r>
        <w:rPr>
          <w:rFonts w:ascii="Times New Roman" w:hAnsi="Times New Roman" w:cs="Times New Roman"/>
          <w:sz w:val="28"/>
          <w:szCs w:val="28"/>
        </w:rPr>
        <w:t xml:space="preserve">  </w:t>
      </w:r>
      <w:r>
        <w:rPr>
          <w:rFonts w:ascii="Times New Roman" w:hAnsi="Times New Roman" w:cs="Times New Roman"/>
          <w:sz w:val="28"/>
          <w:szCs w:val="28"/>
          <w:u w:val="single"/>
        </w:rPr>
        <w:t xml:space="preserve">                         </w:t>
      </w:r>
      <w:r>
        <w:rPr>
          <w:rFonts w:ascii="Times New Roman" w:hAnsi="Times New Roman" w:cs="Times New Roman"/>
          <w:sz w:val="28"/>
          <w:szCs w:val="28"/>
          <w:u w:val="single"/>
        </w:rPr>
        <w:tab/>
      </w:r>
    </w:p>
    <w:p w:rsidR="00F1629C" w:rsidRDefault="00F1629C">
      <w:pPr>
        <w:spacing w:before="240" w:after="0" w:line="240" w:lineRule="auto"/>
        <w:jc w:val="center"/>
        <w:rPr>
          <w:rFonts w:ascii="Times New Roman" w:hAnsi="Times New Roman" w:cs="Times New Roman"/>
          <w:bCs/>
          <w:sz w:val="28"/>
          <w:szCs w:val="28"/>
        </w:rPr>
      </w:pPr>
    </w:p>
    <w:p w:rsidR="00F1629C" w:rsidRDefault="00F1629C">
      <w:pPr>
        <w:spacing w:before="240" w:after="0" w:line="240" w:lineRule="auto"/>
        <w:jc w:val="both"/>
        <w:rPr>
          <w:rFonts w:ascii="Times New Roman" w:hAnsi="Times New Roman" w:cs="Times New Roman"/>
          <w:bCs/>
          <w:sz w:val="28"/>
          <w:szCs w:val="28"/>
        </w:rPr>
      </w:pPr>
    </w:p>
    <w:p w:rsidR="00F1629C" w:rsidRDefault="00E671D2">
      <w:pPr>
        <w:spacing w:before="240" w:after="0" w:line="240" w:lineRule="auto"/>
        <w:jc w:val="center"/>
        <w:rPr>
          <w:rFonts w:ascii="Times New Roman" w:hAnsi="Times New Roman" w:cs="Times New Roman"/>
          <w:bCs/>
          <w:sz w:val="28"/>
          <w:szCs w:val="28"/>
        </w:rPr>
      </w:pPr>
      <w:r>
        <w:rPr>
          <w:rFonts w:ascii="Times New Roman" w:hAnsi="Times New Roman" w:cs="Times New Roman"/>
          <w:bCs/>
          <w:sz w:val="28"/>
          <w:szCs w:val="28"/>
        </w:rPr>
        <w:lastRenderedPageBreak/>
        <w:t>Календарний план</w:t>
      </w:r>
    </w:p>
    <w:p w:rsidR="00F1629C" w:rsidRDefault="00F1629C">
      <w:pPr>
        <w:spacing w:before="240" w:after="0" w:line="240" w:lineRule="auto"/>
        <w:jc w:val="center"/>
        <w:rPr>
          <w:rFonts w:ascii="Times New Roman" w:hAnsi="Times New Roman" w:cs="Times New Roman"/>
          <w:sz w:val="28"/>
          <w:szCs w:val="2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5"/>
        <w:gridCol w:w="4407"/>
        <w:gridCol w:w="3078"/>
        <w:gridCol w:w="1316"/>
      </w:tblGrid>
      <w:tr w:rsidR="00F1629C">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 з/п</w:t>
            </w:r>
          </w:p>
        </w:tc>
        <w:tc>
          <w:tcPr>
            <w:tcW w:w="4407"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Назва етапів виконання </w:t>
            </w:r>
            <w:r>
              <w:rPr>
                <w:rFonts w:ascii="Times New Roman" w:hAnsi="Times New Roman" w:cs="Times New Roman"/>
                <w:sz w:val="28"/>
                <w:szCs w:val="28"/>
              </w:rPr>
              <w:br/>
              <w:t>магістерської дисертації</w:t>
            </w:r>
          </w:p>
        </w:tc>
        <w:tc>
          <w:tcPr>
            <w:tcW w:w="3078"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Термін виконання етапів магістерської дисертації</w:t>
            </w:r>
          </w:p>
        </w:tc>
        <w:tc>
          <w:tcPr>
            <w:tcW w:w="1316"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Примітка</w:t>
            </w: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4407" w:type="dxa"/>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Огляд літератури по темі  магістерської дисертації</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02</w:t>
            </w:r>
            <w:r>
              <w:rPr>
                <w:rFonts w:ascii="Times New Roman" w:hAnsi="Times New Roman" w:cs="Times New Roman"/>
                <w:sz w:val="28"/>
                <w:szCs w:val="28"/>
              </w:rPr>
              <w:t>.09.201</w:t>
            </w:r>
            <w:r>
              <w:rPr>
                <w:rFonts w:ascii="Times New Roman" w:hAnsi="Times New Roman" w:cs="Times New Roman"/>
                <w:sz w:val="28"/>
                <w:szCs w:val="28"/>
                <w:lang w:val="ru"/>
              </w:rPr>
              <w:t>9</w:t>
            </w:r>
            <w:r>
              <w:rPr>
                <w:rFonts w:ascii="Times New Roman" w:hAnsi="Times New Roman" w:cs="Times New Roman"/>
                <w:sz w:val="28"/>
                <w:szCs w:val="28"/>
              </w:rPr>
              <w:t xml:space="preserve"> – 30.09.201</w:t>
            </w:r>
            <w:r>
              <w:rPr>
                <w:rFonts w:ascii="Times New Roman" w:hAnsi="Times New Roman" w:cs="Times New Roman"/>
                <w:sz w:val="28"/>
                <w:szCs w:val="28"/>
                <w:lang w:val="ru"/>
              </w:rPr>
              <w:t>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4407" w:type="dxa"/>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Оформлення літературного огляду</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01.10.201</w:t>
            </w:r>
            <w:r>
              <w:rPr>
                <w:rFonts w:ascii="Times New Roman" w:hAnsi="Times New Roman" w:cs="Times New Roman"/>
                <w:sz w:val="28"/>
                <w:szCs w:val="28"/>
                <w:lang w:val="ru"/>
              </w:rPr>
              <w:t>9</w:t>
            </w:r>
            <w:r>
              <w:rPr>
                <w:rFonts w:ascii="Times New Roman" w:hAnsi="Times New Roman" w:cs="Times New Roman"/>
                <w:sz w:val="28"/>
                <w:szCs w:val="28"/>
              </w:rPr>
              <w:t>-10.10.</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4407"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Вивчення</w:t>
            </w:r>
            <w:r>
              <w:rPr>
                <w:rFonts w:ascii="Times New Roman" w:hAnsi="Times New Roman" w:cs="Times New Roman"/>
                <w:sz w:val="28"/>
                <w:szCs w:val="28"/>
                <w:lang w:val="ru"/>
              </w:rPr>
              <w:t xml:space="preserve"> кінетики сорбції</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11.10.</w:t>
            </w:r>
            <w:r>
              <w:rPr>
                <w:rFonts w:ascii="Times New Roman" w:hAnsi="Times New Roman" w:cs="Times New Roman"/>
                <w:sz w:val="28"/>
                <w:szCs w:val="28"/>
                <w:lang w:val="ru"/>
              </w:rPr>
              <w:t>2019</w:t>
            </w:r>
            <w:r>
              <w:rPr>
                <w:rFonts w:ascii="Times New Roman" w:hAnsi="Times New Roman" w:cs="Times New Roman"/>
                <w:sz w:val="28"/>
                <w:szCs w:val="28"/>
              </w:rPr>
              <w:t>-20.10.</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4407"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Оцінка</w:t>
            </w:r>
            <w:r>
              <w:rPr>
                <w:rFonts w:ascii="Times New Roman" w:hAnsi="Times New Roman" w:cs="Times New Roman"/>
                <w:sz w:val="28"/>
                <w:szCs w:val="28"/>
                <w:lang w:val="ru"/>
              </w:rPr>
              <w:t xml:space="preserve"> впливу рН на сорбцію міді на магнетиті</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21.10.</w:t>
            </w:r>
            <w:r>
              <w:rPr>
                <w:rFonts w:ascii="Times New Roman" w:hAnsi="Times New Roman" w:cs="Times New Roman"/>
                <w:sz w:val="28"/>
                <w:szCs w:val="28"/>
                <w:lang w:val="ru"/>
              </w:rPr>
              <w:t>2019</w:t>
            </w:r>
            <w:r>
              <w:rPr>
                <w:rFonts w:ascii="Times New Roman" w:hAnsi="Times New Roman" w:cs="Times New Roman"/>
                <w:sz w:val="28"/>
                <w:szCs w:val="28"/>
              </w:rPr>
              <w:t>-10.11.</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4407"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Побудування</w:t>
            </w:r>
            <w:r>
              <w:rPr>
                <w:rFonts w:ascii="Times New Roman" w:hAnsi="Times New Roman" w:cs="Times New Roman"/>
                <w:sz w:val="28"/>
                <w:szCs w:val="28"/>
                <w:lang w:val="ru"/>
              </w:rPr>
              <w:t xml:space="preserve"> ізотерм адсорбції</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11.11.</w:t>
            </w:r>
            <w:r>
              <w:rPr>
                <w:rFonts w:ascii="Times New Roman" w:hAnsi="Times New Roman" w:cs="Times New Roman"/>
                <w:sz w:val="28"/>
                <w:szCs w:val="28"/>
                <w:lang w:val="ru"/>
              </w:rPr>
              <w:t>2019</w:t>
            </w:r>
            <w:r>
              <w:rPr>
                <w:rFonts w:ascii="Times New Roman" w:hAnsi="Times New Roman" w:cs="Times New Roman"/>
                <w:sz w:val="28"/>
                <w:szCs w:val="28"/>
              </w:rPr>
              <w:t>-25.11.</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4407"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Дослідження</w:t>
            </w:r>
            <w:r>
              <w:rPr>
                <w:rFonts w:ascii="Times New Roman" w:hAnsi="Times New Roman" w:cs="Times New Roman"/>
                <w:sz w:val="28"/>
                <w:szCs w:val="28"/>
                <w:lang w:val="ru"/>
              </w:rPr>
              <w:t xml:space="preserve"> модифікацій сорбенту</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26.11.</w:t>
            </w:r>
            <w:r>
              <w:rPr>
                <w:rFonts w:ascii="Times New Roman" w:hAnsi="Times New Roman" w:cs="Times New Roman"/>
                <w:sz w:val="28"/>
                <w:szCs w:val="28"/>
                <w:lang w:val="ru"/>
              </w:rPr>
              <w:t>2019</w:t>
            </w:r>
            <w:r>
              <w:rPr>
                <w:rFonts w:ascii="Times New Roman" w:hAnsi="Times New Roman" w:cs="Times New Roman"/>
                <w:sz w:val="28"/>
                <w:szCs w:val="28"/>
              </w:rPr>
              <w:t>-01.12.</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4407" w:type="dxa"/>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Оформлення результатів магістерської дисертації</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02.12.</w:t>
            </w:r>
            <w:r>
              <w:rPr>
                <w:rFonts w:ascii="Times New Roman" w:hAnsi="Times New Roman" w:cs="Times New Roman"/>
                <w:sz w:val="28"/>
                <w:szCs w:val="28"/>
                <w:lang w:val="ru"/>
              </w:rPr>
              <w:t>2019</w:t>
            </w:r>
            <w:r>
              <w:rPr>
                <w:rFonts w:ascii="Times New Roman" w:hAnsi="Times New Roman" w:cs="Times New Roman"/>
                <w:sz w:val="28"/>
                <w:szCs w:val="28"/>
              </w:rPr>
              <w:t>-11.12.</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4407" w:type="dxa"/>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Підготовка презентації</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rPr>
              <w:t>12.12.</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r w:rsidR="00F1629C">
        <w:trPr>
          <w:trHeight w:val="20"/>
        </w:trPr>
        <w:tc>
          <w:tcPr>
            <w:tcW w:w="555" w:type="dxa"/>
            <w:vAlign w:val="center"/>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4407" w:type="dxa"/>
          </w:tcPr>
          <w:p w:rsidR="00F1629C" w:rsidRDefault="00E671D2">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Представлення роботи до </w:t>
            </w:r>
            <w:r>
              <w:rPr>
                <w:rFonts w:ascii="Times New Roman" w:hAnsi="Times New Roman" w:cs="Times New Roman"/>
                <w:sz w:val="28"/>
                <w:szCs w:val="28"/>
              </w:rPr>
              <w:t>захисту</w:t>
            </w:r>
          </w:p>
        </w:tc>
        <w:tc>
          <w:tcPr>
            <w:tcW w:w="3078" w:type="dxa"/>
          </w:tcPr>
          <w:p w:rsidR="00F1629C" w:rsidRDefault="00E671D2">
            <w:pPr>
              <w:spacing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18</w:t>
            </w:r>
            <w:r>
              <w:rPr>
                <w:rFonts w:ascii="Times New Roman" w:hAnsi="Times New Roman" w:cs="Times New Roman"/>
                <w:sz w:val="28"/>
                <w:szCs w:val="28"/>
              </w:rPr>
              <w:t>.12.</w:t>
            </w:r>
            <w:r>
              <w:rPr>
                <w:rFonts w:ascii="Times New Roman" w:hAnsi="Times New Roman" w:cs="Times New Roman"/>
                <w:sz w:val="28"/>
                <w:szCs w:val="28"/>
                <w:lang w:val="ru"/>
              </w:rPr>
              <w:t>2019</w:t>
            </w:r>
          </w:p>
        </w:tc>
        <w:tc>
          <w:tcPr>
            <w:tcW w:w="1316" w:type="dxa"/>
          </w:tcPr>
          <w:p w:rsidR="00F1629C" w:rsidRDefault="00F1629C">
            <w:pPr>
              <w:spacing w:line="240" w:lineRule="auto"/>
              <w:jc w:val="center"/>
              <w:rPr>
                <w:rFonts w:ascii="Times New Roman" w:hAnsi="Times New Roman" w:cs="Times New Roman"/>
                <w:sz w:val="28"/>
                <w:szCs w:val="28"/>
              </w:rPr>
            </w:pPr>
          </w:p>
        </w:tc>
      </w:tr>
    </w:tbl>
    <w:p w:rsidR="00F1629C" w:rsidRDefault="00F1629C">
      <w:pPr>
        <w:spacing w:line="240" w:lineRule="auto"/>
        <w:jc w:val="both"/>
        <w:rPr>
          <w:rFonts w:ascii="Times New Roman" w:hAnsi="Times New Roman" w:cs="Times New Roman"/>
          <w:sz w:val="28"/>
          <w:szCs w:val="28"/>
        </w:rPr>
      </w:pPr>
    </w:p>
    <w:p w:rsidR="00F1629C" w:rsidRDefault="00F1629C">
      <w:pPr>
        <w:spacing w:line="240" w:lineRule="auto"/>
        <w:jc w:val="both"/>
        <w:rPr>
          <w:rFonts w:ascii="Times New Roman" w:hAnsi="Times New Roman" w:cs="Times New Roman"/>
          <w:sz w:val="28"/>
          <w:szCs w:val="28"/>
        </w:rPr>
      </w:pPr>
    </w:p>
    <w:p w:rsidR="00F1629C" w:rsidRDefault="00F1629C">
      <w:pPr>
        <w:spacing w:line="240" w:lineRule="auto"/>
        <w:jc w:val="both"/>
        <w:rPr>
          <w:rFonts w:ascii="Times New Roman" w:hAnsi="Times New Roman" w:cs="Times New Roman"/>
          <w:sz w:val="28"/>
          <w:szCs w:val="28"/>
        </w:rPr>
      </w:pPr>
    </w:p>
    <w:p w:rsidR="00F1629C" w:rsidRDefault="00E671D2">
      <w:pPr>
        <w:tabs>
          <w:tab w:val="left" w:pos="3544"/>
          <w:tab w:val="left" w:pos="6096"/>
          <w:tab w:val="right" w:pos="8931"/>
        </w:tabs>
        <w:spacing w:after="0" w:line="240" w:lineRule="auto"/>
        <w:ind w:left="1078" w:hanging="539"/>
        <w:jc w:val="both"/>
        <w:rPr>
          <w:rFonts w:ascii="Times New Roman" w:hAnsi="Times New Roman" w:cs="Times New Roman"/>
          <w:sz w:val="28"/>
          <w:szCs w:val="28"/>
          <w:lang w:val="ru"/>
        </w:rPr>
      </w:pPr>
      <w:r>
        <w:rPr>
          <w:rFonts w:ascii="Times New Roman" w:hAnsi="Times New Roman" w:cs="Times New Roman"/>
          <w:bCs/>
          <w:sz w:val="28"/>
          <w:szCs w:val="28"/>
        </w:rPr>
        <w:t xml:space="preserve">Студент </w:t>
      </w:r>
      <w:r>
        <w:rPr>
          <w:rFonts w:ascii="Times New Roman" w:hAnsi="Times New Roman" w:cs="Times New Roman"/>
          <w:bCs/>
          <w:sz w:val="28"/>
          <w:szCs w:val="28"/>
        </w:rPr>
        <w:tab/>
      </w:r>
      <w:r>
        <w:rPr>
          <w:rFonts w:ascii="Times New Roman" w:hAnsi="Times New Roman" w:cs="Times New Roman"/>
          <w:sz w:val="28"/>
          <w:szCs w:val="28"/>
        </w:rPr>
        <w:tab/>
      </w:r>
      <w:r>
        <w:rPr>
          <w:rFonts w:ascii="Times New Roman" w:hAnsi="Times New Roman" w:cs="Times New Roman"/>
          <w:sz w:val="28"/>
          <w:szCs w:val="28"/>
          <w:lang w:val="ru"/>
        </w:rPr>
        <w:t>Булгаков</w:t>
      </w:r>
      <w:r>
        <w:rPr>
          <w:rFonts w:ascii="Times New Roman" w:hAnsi="Times New Roman" w:cs="Times New Roman"/>
          <w:sz w:val="28"/>
          <w:szCs w:val="28"/>
          <w:lang w:val="ru"/>
        </w:rPr>
        <w:t xml:space="preserve"> Є.С.</w:t>
      </w:r>
    </w:p>
    <w:p w:rsidR="00F1629C" w:rsidRDefault="00F1629C">
      <w:pPr>
        <w:tabs>
          <w:tab w:val="left" w:pos="3544"/>
          <w:tab w:val="left" w:pos="6096"/>
          <w:tab w:val="right" w:pos="8931"/>
        </w:tabs>
        <w:spacing w:after="0" w:line="240" w:lineRule="auto"/>
        <w:ind w:left="1078" w:hanging="539"/>
        <w:jc w:val="both"/>
        <w:rPr>
          <w:rFonts w:ascii="Times New Roman" w:hAnsi="Times New Roman" w:cs="Times New Roman"/>
          <w:sz w:val="28"/>
          <w:szCs w:val="28"/>
        </w:rPr>
      </w:pPr>
    </w:p>
    <w:p w:rsidR="00F1629C" w:rsidRDefault="00F1629C">
      <w:pPr>
        <w:tabs>
          <w:tab w:val="left" w:pos="3544"/>
          <w:tab w:val="left" w:pos="6096"/>
          <w:tab w:val="right" w:pos="8931"/>
        </w:tabs>
        <w:spacing w:after="0" w:line="240" w:lineRule="auto"/>
        <w:ind w:left="1078" w:hanging="539"/>
        <w:jc w:val="both"/>
        <w:rPr>
          <w:rFonts w:ascii="Times New Roman" w:hAnsi="Times New Roman" w:cs="Times New Roman"/>
          <w:sz w:val="28"/>
          <w:szCs w:val="28"/>
        </w:rPr>
      </w:pPr>
    </w:p>
    <w:p w:rsidR="00F1629C" w:rsidRDefault="00F1629C">
      <w:pPr>
        <w:tabs>
          <w:tab w:val="left" w:pos="3544"/>
          <w:tab w:val="left" w:pos="6096"/>
          <w:tab w:val="right" w:pos="8931"/>
        </w:tabs>
        <w:spacing w:after="0" w:line="240" w:lineRule="auto"/>
        <w:ind w:left="1078" w:hanging="539"/>
        <w:jc w:val="both"/>
        <w:rPr>
          <w:rFonts w:ascii="Times New Roman" w:hAnsi="Times New Roman" w:cs="Times New Roman"/>
          <w:sz w:val="28"/>
          <w:szCs w:val="28"/>
        </w:rPr>
      </w:pPr>
    </w:p>
    <w:p w:rsidR="00F1629C" w:rsidRDefault="00E671D2">
      <w:pPr>
        <w:tabs>
          <w:tab w:val="left" w:pos="3544"/>
          <w:tab w:val="left" w:pos="6096"/>
          <w:tab w:val="right" w:pos="8931"/>
        </w:tabs>
        <w:spacing w:after="0" w:line="240" w:lineRule="auto"/>
        <w:ind w:left="1078" w:hanging="539"/>
        <w:jc w:val="both"/>
        <w:rPr>
          <w:rFonts w:ascii="Times New Roman" w:hAnsi="Times New Roman" w:cs="Times New Roman"/>
          <w:bCs/>
          <w:sz w:val="28"/>
          <w:szCs w:val="28"/>
          <w:lang w:val="ru"/>
        </w:rPr>
      </w:pPr>
      <w:r>
        <w:rPr>
          <w:rFonts w:ascii="Times New Roman" w:hAnsi="Times New Roman" w:cs="Times New Roman"/>
          <w:bCs/>
          <w:sz w:val="28"/>
          <w:szCs w:val="28"/>
        </w:rPr>
        <w:t>Науковий керівник дисертації</w:t>
      </w:r>
      <w:r>
        <w:rPr>
          <w:rFonts w:ascii="Times New Roman" w:hAnsi="Times New Roman" w:cs="Times New Roman"/>
          <w:sz w:val="28"/>
          <w:szCs w:val="28"/>
        </w:rPr>
        <w:tab/>
      </w:r>
      <w:r>
        <w:rPr>
          <w:rFonts w:ascii="Times New Roman" w:hAnsi="Times New Roman" w:cs="Times New Roman"/>
          <w:sz w:val="28"/>
          <w:szCs w:val="28"/>
          <w:lang w:val="ru"/>
        </w:rPr>
        <w:t>Гомеля</w:t>
      </w:r>
      <w:r>
        <w:rPr>
          <w:rFonts w:ascii="Times New Roman" w:hAnsi="Times New Roman" w:cs="Times New Roman"/>
          <w:sz w:val="28"/>
          <w:szCs w:val="28"/>
          <w:lang w:val="ru"/>
        </w:rPr>
        <w:t xml:space="preserve"> М.Д.</w:t>
      </w:r>
    </w:p>
    <w:p w:rsidR="00F1629C" w:rsidRDefault="00F1629C">
      <w:pPr>
        <w:spacing w:line="240" w:lineRule="auto"/>
        <w:jc w:val="both"/>
      </w:pPr>
    </w:p>
    <w:p w:rsidR="00F1629C" w:rsidRDefault="00E671D2">
      <w:pPr>
        <w:tabs>
          <w:tab w:val="left" w:pos="28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РЕФЕРАТ</w:t>
      </w:r>
    </w:p>
    <w:p w:rsidR="00F1629C" w:rsidRDefault="00F1629C">
      <w:pPr>
        <w:tabs>
          <w:tab w:val="left" w:pos="284"/>
        </w:tabs>
        <w:spacing w:after="0" w:line="360" w:lineRule="auto"/>
        <w:jc w:val="center"/>
        <w:rPr>
          <w:rFonts w:ascii="Times New Roman" w:hAnsi="Times New Roman" w:cs="Times New Roman"/>
          <w:b/>
          <w:sz w:val="28"/>
          <w:szCs w:val="28"/>
        </w:rPr>
      </w:pPr>
    </w:p>
    <w:p w:rsidR="00F1629C" w:rsidRDefault="00E671D2">
      <w:pPr>
        <w:tabs>
          <w:tab w:val="left" w:pos="28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Магістерська дисертація:  1</w:t>
      </w:r>
      <w:r>
        <w:rPr>
          <w:rFonts w:ascii="Times New Roman" w:hAnsi="Times New Roman" w:cs="Times New Roman"/>
          <w:sz w:val="28"/>
          <w:szCs w:val="28"/>
          <w:lang w:val="ru"/>
        </w:rPr>
        <w:t>28</w:t>
      </w:r>
      <w:r>
        <w:rPr>
          <w:rFonts w:ascii="Times New Roman" w:hAnsi="Times New Roman" w:cs="Times New Roman"/>
          <w:sz w:val="28"/>
          <w:szCs w:val="28"/>
        </w:rPr>
        <w:t xml:space="preserve"> с., </w:t>
      </w:r>
      <w:r>
        <w:rPr>
          <w:rFonts w:ascii="Times New Roman" w:hAnsi="Times New Roman" w:cs="Times New Roman"/>
          <w:sz w:val="28"/>
          <w:szCs w:val="28"/>
          <w:lang w:val="ru"/>
        </w:rPr>
        <w:t>40</w:t>
      </w:r>
      <w:r>
        <w:rPr>
          <w:rFonts w:ascii="Times New Roman" w:hAnsi="Times New Roman" w:cs="Times New Roman"/>
          <w:sz w:val="28"/>
          <w:szCs w:val="28"/>
        </w:rPr>
        <w:t xml:space="preserve"> рис.,  </w:t>
      </w:r>
      <w:r>
        <w:rPr>
          <w:rFonts w:ascii="Times New Roman" w:hAnsi="Times New Roman" w:cs="Times New Roman"/>
          <w:sz w:val="28"/>
          <w:szCs w:val="28"/>
          <w:lang w:val="ru-RU"/>
        </w:rPr>
        <w:t>3</w:t>
      </w:r>
      <w:r>
        <w:rPr>
          <w:rFonts w:ascii="Times New Roman" w:hAnsi="Times New Roman" w:cs="Times New Roman"/>
          <w:sz w:val="28"/>
          <w:szCs w:val="28"/>
          <w:lang w:val="ru"/>
        </w:rPr>
        <w:t>1</w:t>
      </w:r>
      <w:r>
        <w:rPr>
          <w:rFonts w:ascii="Times New Roman" w:hAnsi="Times New Roman" w:cs="Times New Roman"/>
          <w:sz w:val="28"/>
          <w:szCs w:val="28"/>
        </w:rPr>
        <w:t xml:space="preserve"> табл.,  </w:t>
      </w:r>
      <w:r>
        <w:rPr>
          <w:rFonts w:ascii="Times New Roman" w:hAnsi="Times New Roman" w:cs="Times New Roman"/>
          <w:sz w:val="28"/>
          <w:szCs w:val="28"/>
          <w:lang w:val="ru"/>
        </w:rPr>
        <w:t>9</w:t>
      </w:r>
      <w:r>
        <w:rPr>
          <w:rFonts w:ascii="Times New Roman" w:hAnsi="Times New Roman" w:cs="Times New Roman"/>
          <w:sz w:val="28"/>
          <w:szCs w:val="28"/>
        </w:rPr>
        <w:t xml:space="preserve"> формул,  </w:t>
      </w:r>
      <w:r>
        <w:rPr>
          <w:rFonts w:ascii="Times New Roman" w:hAnsi="Times New Roman" w:cs="Times New Roman"/>
          <w:sz w:val="28"/>
          <w:szCs w:val="28"/>
          <w:lang w:val="ru"/>
        </w:rPr>
        <w:t>75</w:t>
      </w:r>
      <w:r>
        <w:rPr>
          <w:rFonts w:ascii="Times New Roman" w:hAnsi="Times New Roman" w:cs="Times New Roman"/>
          <w:sz w:val="28"/>
          <w:szCs w:val="28"/>
        </w:rPr>
        <w:t xml:space="preserve"> джерел літератури, </w:t>
      </w:r>
      <w:r>
        <w:rPr>
          <w:rFonts w:ascii="Times New Roman" w:hAnsi="Times New Roman" w:cs="Times New Roman"/>
          <w:sz w:val="28"/>
          <w:szCs w:val="28"/>
          <w:lang w:val="ru"/>
        </w:rPr>
        <w:t>5</w:t>
      </w:r>
      <w:r>
        <w:rPr>
          <w:rFonts w:ascii="Times New Roman" w:hAnsi="Times New Roman" w:cs="Times New Roman"/>
          <w:sz w:val="28"/>
          <w:szCs w:val="28"/>
        </w:rPr>
        <w:t xml:space="preserve"> додатк</w:t>
      </w:r>
      <w:r>
        <w:rPr>
          <w:rFonts w:ascii="Times New Roman" w:hAnsi="Times New Roman" w:cs="Times New Roman"/>
          <w:sz w:val="28"/>
          <w:szCs w:val="28"/>
          <w:lang w:val="ru"/>
        </w:rPr>
        <w:t>ів</w:t>
      </w:r>
      <w:r>
        <w:rPr>
          <w:rFonts w:ascii="Times New Roman" w:hAnsi="Times New Roman" w:cs="Times New Roman"/>
          <w:sz w:val="28"/>
          <w:szCs w:val="28"/>
        </w:rPr>
        <w:t>.</w:t>
      </w:r>
    </w:p>
    <w:p w:rsidR="00F1629C" w:rsidRDefault="00E671D2">
      <w:pPr>
        <w:pStyle w:val="ad"/>
        <w:spacing w:before="0" w:beforeAutospacing="0" w:after="0" w:afterAutospacing="0" w:line="360" w:lineRule="auto"/>
        <w:ind w:right="-1" w:firstLine="709"/>
        <w:contextualSpacing/>
        <w:jc w:val="both"/>
        <w:rPr>
          <w:color w:val="1A1A1A" w:themeColor="background1" w:themeShade="1A"/>
          <w:sz w:val="28"/>
          <w:szCs w:val="28"/>
          <w:lang w:val="uk-UA"/>
        </w:rPr>
      </w:pPr>
      <w:r>
        <w:rPr>
          <w:bCs/>
          <w:iCs/>
          <w:color w:val="1A1A1A" w:themeColor="background1" w:themeShade="1A"/>
          <w:sz w:val="28"/>
          <w:szCs w:val="28"/>
          <w:lang w:val="uk-UA"/>
        </w:rPr>
        <w:t>Мета роботи</w:t>
      </w:r>
      <w:r>
        <w:rPr>
          <w:iCs/>
          <w:color w:val="1A1A1A" w:themeColor="background1" w:themeShade="1A"/>
          <w:sz w:val="28"/>
          <w:szCs w:val="28"/>
          <w:lang w:val="uk-UA"/>
        </w:rPr>
        <w:t xml:space="preserve">: </w:t>
      </w:r>
      <w:r>
        <w:rPr>
          <w:color w:val="1A1A1A" w:themeColor="background1" w:themeShade="1A"/>
          <w:sz w:val="28"/>
          <w:szCs w:val="28"/>
        </w:rPr>
        <w:t xml:space="preserve">оцінка </w:t>
      </w:r>
      <w:r>
        <w:rPr>
          <w:color w:val="1A1A1A" w:themeColor="background1" w:themeShade="1A"/>
          <w:sz w:val="28"/>
          <w:szCs w:val="28"/>
          <w:lang w:val="uk-UA"/>
        </w:rPr>
        <w:t xml:space="preserve">параметрів процесів </w:t>
      </w:r>
      <w:r>
        <w:rPr>
          <w:color w:val="1A1A1A" w:themeColor="background1" w:themeShade="1A"/>
          <w:sz w:val="28"/>
          <w:szCs w:val="28"/>
        </w:rPr>
        <w:t xml:space="preserve">вилучення </w:t>
      </w:r>
      <w:r>
        <w:rPr>
          <w:color w:val="1A1A1A" w:themeColor="background1" w:themeShade="1A"/>
          <w:sz w:val="28"/>
          <w:szCs w:val="28"/>
          <w:lang w:val="ru"/>
        </w:rPr>
        <w:t>і</w:t>
      </w:r>
      <w:r>
        <w:rPr>
          <w:color w:val="1A1A1A" w:themeColor="background1" w:themeShade="1A"/>
          <w:sz w:val="28"/>
          <w:szCs w:val="28"/>
        </w:rPr>
        <w:t xml:space="preserve">онів важких металів з </w:t>
      </w:r>
      <w:r>
        <w:rPr>
          <w:color w:val="1A1A1A" w:themeColor="background1" w:themeShade="1A"/>
          <w:sz w:val="28"/>
          <w:szCs w:val="28"/>
          <w:lang w:val="ru"/>
        </w:rPr>
        <w:t>водних</w:t>
      </w:r>
      <w:r>
        <w:rPr>
          <w:color w:val="1A1A1A" w:themeColor="background1" w:themeShade="1A"/>
          <w:sz w:val="28"/>
          <w:szCs w:val="28"/>
          <w:lang w:val="ru"/>
        </w:rPr>
        <w:t xml:space="preserve"> </w:t>
      </w:r>
      <w:r>
        <w:rPr>
          <w:color w:val="1A1A1A" w:themeColor="background1" w:themeShade="1A"/>
          <w:sz w:val="28"/>
          <w:szCs w:val="28"/>
        </w:rPr>
        <w:t>розчинів</w:t>
      </w:r>
      <w:r>
        <w:rPr>
          <w:iCs/>
          <w:color w:val="1A1A1A" w:themeColor="background1" w:themeShade="1A"/>
          <w:sz w:val="28"/>
          <w:szCs w:val="28"/>
          <w:lang w:val="uk-UA"/>
        </w:rPr>
        <w:t>.</w:t>
      </w:r>
    </w:p>
    <w:p w:rsidR="00F1629C" w:rsidRDefault="00E671D2">
      <w:pPr>
        <w:pStyle w:val="ad"/>
        <w:spacing w:before="0" w:beforeAutospacing="0" w:after="0" w:afterAutospacing="0" w:line="360" w:lineRule="auto"/>
        <w:ind w:right="-1" w:firstLine="709"/>
        <w:contextualSpacing/>
        <w:jc w:val="both"/>
        <w:rPr>
          <w:color w:val="000000"/>
          <w:sz w:val="28"/>
          <w:szCs w:val="28"/>
          <w:lang w:val="uk-UA"/>
        </w:rPr>
      </w:pPr>
      <w:r>
        <w:rPr>
          <w:bCs/>
          <w:iCs/>
          <w:color w:val="000000"/>
          <w:sz w:val="28"/>
          <w:szCs w:val="28"/>
          <w:lang w:val="uk-UA"/>
        </w:rPr>
        <w:t>Об’єкт дослідження</w:t>
      </w:r>
      <w:r>
        <w:rPr>
          <w:iCs/>
          <w:color w:val="000000"/>
          <w:sz w:val="28"/>
          <w:szCs w:val="28"/>
          <w:lang w:val="uk-UA"/>
        </w:rPr>
        <w:t xml:space="preserve">: </w:t>
      </w:r>
      <w:r>
        <w:rPr>
          <w:iCs/>
          <w:color w:val="000000"/>
          <w:sz w:val="28"/>
          <w:szCs w:val="28"/>
        </w:rPr>
        <w:t xml:space="preserve">процеси </w:t>
      </w:r>
      <w:r>
        <w:rPr>
          <w:iCs/>
          <w:color w:val="000000"/>
          <w:sz w:val="28"/>
          <w:szCs w:val="28"/>
          <w:lang w:val="uk-UA"/>
        </w:rPr>
        <w:t xml:space="preserve">очищення природної та </w:t>
      </w:r>
      <w:r>
        <w:rPr>
          <w:iCs/>
          <w:color w:val="000000"/>
          <w:sz w:val="28"/>
          <w:szCs w:val="28"/>
        </w:rPr>
        <w:t xml:space="preserve">стічної </w:t>
      </w:r>
      <w:r>
        <w:rPr>
          <w:iCs/>
          <w:color w:val="000000"/>
          <w:sz w:val="28"/>
          <w:szCs w:val="28"/>
          <w:lang w:val="uk-UA"/>
        </w:rPr>
        <w:t xml:space="preserve">води від </w:t>
      </w:r>
      <w:r>
        <w:rPr>
          <w:iCs/>
          <w:color w:val="000000"/>
          <w:sz w:val="28"/>
          <w:szCs w:val="28"/>
          <w:lang w:val="ru"/>
        </w:rPr>
        <w:t>і</w:t>
      </w:r>
      <w:r>
        <w:rPr>
          <w:iCs/>
          <w:color w:val="000000"/>
          <w:sz w:val="28"/>
          <w:szCs w:val="28"/>
        </w:rPr>
        <w:t>он</w:t>
      </w:r>
      <w:r>
        <w:rPr>
          <w:iCs/>
          <w:color w:val="000000"/>
          <w:sz w:val="28"/>
          <w:szCs w:val="28"/>
          <w:lang w:val="uk-UA"/>
        </w:rPr>
        <w:t>ів важких металів.</w:t>
      </w:r>
    </w:p>
    <w:p w:rsidR="00F1629C" w:rsidRDefault="00E671D2">
      <w:pPr>
        <w:pStyle w:val="ad"/>
        <w:spacing w:before="0" w:beforeAutospacing="0" w:after="0" w:afterAutospacing="0" w:line="360" w:lineRule="auto"/>
        <w:ind w:right="-1" w:firstLine="709"/>
        <w:contextualSpacing/>
        <w:jc w:val="both"/>
        <w:rPr>
          <w:color w:val="000000"/>
          <w:sz w:val="28"/>
          <w:szCs w:val="28"/>
          <w:lang w:val="uk-UA"/>
        </w:rPr>
      </w:pPr>
      <w:r>
        <w:rPr>
          <w:bCs/>
          <w:iCs/>
          <w:color w:val="000000"/>
          <w:sz w:val="28"/>
          <w:szCs w:val="28"/>
          <w:lang w:val="uk-UA"/>
        </w:rPr>
        <w:t>Предмет дослідження</w:t>
      </w:r>
      <w:r>
        <w:rPr>
          <w:iCs/>
          <w:color w:val="000000"/>
          <w:sz w:val="28"/>
          <w:szCs w:val="28"/>
          <w:lang w:val="uk-UA"/>
        </w:rPr>
        <w:t xml:space="preserve">: вилучення йонів </w:t>
      </w:r>
      <w:r>
        <w:rPr>
          <w:iCs/>
          <w:color w:val="000000"/>
          <w:sz w:val="28"/>
          <w:szCs w:val="28"/>
        </w:rPr>
        <w:t>Cu</w:t>
      </w:r>
      <w:r>
        <w:rPr>
          <w:iCs/>
          <w:color w:val="000000"/>
          <w:sz w:val="28"/>
          <w:szCs w:val="28"/>
          <w:vertAlign w:val="superscript"/>
          <w:lang w:val="uk-UA"/>
        </w:rPr>
        <w:t>2+</w:t>
      </w:r>
      <w:r>
        <w:rPr>
          <w:iCs/>
          <w:color w:val="000000"/>
          <w:sz w:val="28"/>
          <w:szCs w:val="28"/>
          <w:lang w:val="uk-UA"/>
        </w:rPr>
        <w:t xml:space="preserve">, </w:t>
      </w:r>
      <w:r>
        <w:rPr>
          <w:iCs/>
          <w:color w:val="000000"/>
          <w:sz w:val="28"/>
          <w:szCs w:val="28"/>
        </w:rPr>
        <w:t>Pb</w:t>
      </w:r>
      <w:r>
        <w:rPr>
          <w:iCs/>
          <w:color w:val="000000"/>
          <w:sz w:val="28"/>
          <w:szCs w:val="28"/>
          <w:vertAlign w:val="superscript"/>
          <w:lang w:val="uk-UA"/>
        </w:rPr>
        <w:t>2+</w:t>
      </w:r>
      <w:r>
        <w:rPr>
          <w:iCs/>
          <w:color w:val="000000"/>
          <w:sz w:val="28"/>
          <w:szCs w:val="28"/>
          <w:lang w:val="uk-UA"/>
        </w:rPr>
        <w:t xml:space="preserve">, </w:t>
      </w:r>
      <w:r>
        <w:rPr>
          <w:iCs/>
          <w:color w:val="000000"/>
          <w:sz w:val="28"/>
          <w:szCs w:val="28"/>
        </w:rPr>
        <w:t>Zn</w:t>
      </w:r>
      <w:r>
        <w:rPr>
          <w:iCs/>
          <w:color w:val="000000"/>
          <w:sz w:val="28"/>
          <w:szCs w:val="28"/>
          <w:vertAlign w:val="superscript"/>
          <w:lang w:val="uk-UA"/>
        </w:rPr>
        <w:t>2+</w:t>
      </w:r>
      <w:r>
        <w:rPr>
          <w:iCs/>
          <w:color w:val="000000"/>
          <w:sz w:val="28"/>
          <w:szCs w:val="28"/>
          <w:lang w:val="uk-UA"/>
        </w:rPr>
        <w:t xml:space="preserve">, </w:t>
      </w:r>
      <w:r>
        <w:rPr>
          <w:iCs/>
          <w:color w:val="000000"/>
          <w:sz w:val="28"/>
          <w:szCs w:val="28"/>
        </w:rPr>
        <w:t>Cd</w:t>
      </w:r>
      <w:r>
        <w:rPr>
          <w:iCs/>
          <w:color w:val="000000"/>
          <w:sz w:val="28"/>
          <w:szCs w:val="28"/>
          <w:vertAlign w:val="superscript"/>
          <w:lang w:val="uk-UA"/>
        </w:rPr>
        <w:t>2+</w:t>
      </w:r>
      <w:r>
        <w:rPr>
          <w:iCs/>
          <w:color w:val="000000"/>
          <w:sz w:val="28"/>
          <w:szCs w:val="28"/>
          <w:lang w:val="uk-UA"/>
        </w:rPr>
        <w:t xml:space="preserve">, </w:t>
      </w:r>
      <w:r>
        <w:rPr>
          <w:iCs/>
          <w:color w:val="000000"/>
          <w:sz w:val="28"/>
          <w:szCs w:val="28"/>
        </w:rPr>
        <w:t>Ni</w:t>
      </w:r>
      <w:r>
        <w:rPr>
          <w:iCs/>
          <w:color w:val="000000"/>
          <w:sz w:val="28"/>
          <w:szCs w:val="28"/>
          <w:vertAlign w:val="superscript"/>
          <w:lang w:val="uk-UA"/>
        </w:rPr>
        <w:t>2+</w:t>
      </w:r>
      <w:r>
        <w:rPr>
          <w:iCs/>
          <w:color w:val="000000"/>
          <w:sz w:val="28"/>
          <w:szCs w:val="28"/>
          <w:lang w:val="uk-UA"/>
        </w:rPr>
        <w:t xml:space="preserve"> з </w:t>
      </w:r>
      <w:r>
        <w:rPr>
          <w:iCs/>
          <w:color w:val="000000"/>
          <w:sz w:val="28"/>
          <w:szCs w:val="28"/>
          <w:lang w:val="ru"/>
        </w:rPr>
        <w:t>водних</w:t>
      </w:r>
      <w:r>
        <w:rPr>
          <w:iCs/>
          <w:color w:val="000000"/>
          <w:sz w:val="28"/>
          <w:szCs w:val="28"/>
          <w:lang w:val="ru"/>
        </w:rPr>
        <w:t xml:space="preserve"> </w:t>
      </w:r>
      <w:r>
        <w:rPr>
          <w:iCs/>
          <w:color w:val="000000"/>
          <w:sz w:val="28"/>
          <w:szCs w:val="28"/>
          <w:lang w:val="uk-UA"/>
        </w:rPr>
        <w:t>розчинів різних концентрацій методами</w:t>
      </w:r>
      <w:r>
        <w:rPr>
          <w:iCs/>
          <w:color w:val="000000"/>
          <w:sz w:val="28"/>
          <w:szCs w:val="28"/>
          <w:lang w:val="ru"/>
        </w:rPr>
        <w:t xml:space="preserve"> адсорбції,</w:t>
      </w:r>
      <w:r>
        <w:rPr>
          <w:iCs/>
          <w:color w:val="000000"/>
          <w:sz w:val="28"/>
          <w:szCs w:val="28"/>
          <w:lang w:val="uk-UA"/>
        </w:rPr>
        <w:t xml:space="preserve"> нанофільтрації та іонного обміну.</w:t>
      </w:r>
    </w:p>
    <w:p w:rsidR="00F1629C" w:rsidRDefault="00E671D2">
      <w:pPr>
        <w:pStyle w:val="ad"/>
        <w:spacing w:before="0" w:beforeAutospacing="0" w:after="0" w:afterAutospacing="0" w:line="360" w:lineRule="auto"/>
        <w:ind w:right="-1" w:firstLine="709"/>
        <w:contextualSpacing/>
        <w:jc w:val="both"/>
        <w:rPr>
          <w:color w:val="000000"/>
          <w:sz w:val="28"/>
          <w:szCs w:val="28"/>
          <w:lang w:val="uk-UA"/>
        </w:rPr>
      </w:pPr>
      <w:r>
        <w:rPr>
          <w:color w:val="000000"/>
          <w:sz w:val="28"/>
          <w:szCs w:val="28"/>
          <w:lang w:val="uk-UA"/>
        </w:rPr>
        <w:t>Вивчено процеси видалення йонів важких металів з розведених розчинів при використанні</w:t>
      </w:r>
      <w:r>
        <w:rPr>
          <w:color w:val="000000"/>
          <w:sz w:val="28"/>
          <w:szCs w:val="28"/>
          <w:lang w:val="ru"/>
        </w:rPr>
        <w:t xml:space="preserve"> сорбентів на основі магнетиту,</w:t>
      </w:r>
      <w:r>
        <w:rPr>
          <w:color w:val="000000"/>
          <w:sz w:val="28"/>
          <w:szCs w:val="28"/>
          <w:lang w:val="uk-UA"/>
        </w:rPr>
        <w:t xml:space="preserve"> мембрани ОПМН–П та різних типів катіонообмінних фільтрів. Показано, що ефективність процесу залежить від</w:t>
      </w:r>
      <w:r>
        <w:rPr>
          <w:color w:val="000000"/>
          <w:sz w:val="28"/>
          <w:szCs w:val="28"/>
          <w:lang w:val="uk-UA"/>
        </w:rPr>
        <w:t xml:space="preserve"> наявності </w:t>
      </w:r>
      <w:r>
        <w:rPr>
          <w:color w:val="000000"/>
          <w:sz w:val="28"/>
          <w:szCs w:val="28"/>
          <w:lang w:val="ru"/>
        </w:rPr>
        <w:t>і</w:t>
      </w:r>
      <w:r>
        <w:rPr>
          <w:color w:val="000000"/>
          <w:sz w:val="28"/>
          <w:szCs w:val="28"/>
          <w:lang w:val="uk-UA"/>
        </w:rPr>
        <w:t>онів жорсткості у воді та рН при іонообмінному очищенні</w:t>
      </w:r>
      <w:r>
        <w:rPr>
          <w:color w:val="000000"/>
          <w:sz w:val="28"/>
          <w:szCs w:val="28"/>
          <w:lang w:val="ru"/>
        </w:rPr>
        <w:t>, часу сорбції, вихідної концентрації іонів металу у розчині та рН при адсорбції</w:t>
      </w:r>
      <w:r>
        <w:rPr>
          <w:color w:val="000000"/>
          <w:sz w:val="28"/>
          <w:szCs w:val="28"/>
          <w:lang w:val="uk-UA"/>
        </w:rPr>
        <w:t xml:space="preserve">, а також від вибору комплексонів при нанофільтрації. </w:t>
      </w:r>
    </w:p>
    <w:p w:rsidR="00F1629C" w:rsidRDefault="00E671D2">
      <w:pPr>
        <w:spacing w:after="0" w:line="360" w:lineRule="auto"/>
        <w:ind w:right="-1" w:firstLine="709"/>
        <w:contextualSpacing/>
        <w:jc w:val="both"/>
        <w:rPr>
          <w:rFonts w:ascii="Times New Roman" w:hAnsi="Times New Roman"/>
          <w:color w:val="000000"/>
          <w:sz w:val="28"/>
          <w:szCs w:val="28"/>
        </w:rPr>
      </w:pPr>
      <w:r>
        <w:rPr>
          <w:rFonts w:ascii="Times New Roman" w:hAnsi="Times New Roman"/>
          <w:color w:val="000000"/>
          <w:sz w:val="28"/>
          <w:szCs w:val="28"/>
        </w:rPr>
        <w:t xml:space="preserve">Досліджено залежність селективності нанофільтраційної </w:t>
      </w:r>
      <w:r>
        <w:rPr>
          <w:rFonts w:ascii="Times New Roman" w:hAnsi="Times New Roman"/>
          <w:color w:val="000000"/>
          <w:sz w:val="28"/>
          <w:szCs w:val="28"/>
        </w:rPr>
        <w:t xml:space="preserve">мембрани по важким металам та </w:t>
      </w:r>
      <w:r>
        <w:rPr>
          <w:rFonts w:ascii="Times New Roman" w:hAnsi="Times New Roman"/>
          <w:color w:val="000000"/>
          <w:sz w:val="28"/>
          <w:szCs w:val="28"/>
          <w:lang w:val="ru"/>
        </w:rPr>
        <w:t>і</w:t>
      </w:r>
      <w:r>
        <w:rPr>
          <w:rFonts w:ascii="Times New Roman" w:hAnsi="Times New Roman"/>
          <w:color w:val="000000"/>
          <w:sz w:val="28"/>
          <w:szCs w:val="28"/>
        </w:rPr>
        <w:t>она</w:t>
      </w:r>
      <w:r>
        <w:rPr>
          <w:rFonts w:ascii="Times New Roman" w:hAnsi="Times New Roman"/>
          <w:color w:val="000000"/>
          <w:sz w:val="28"/>
          <w:szCs w:val="28"/>
          <w:lang w:val="ru"/>
        </w:rPr>
        <w:t>х</w:t>
      </w:r>
      <w:r>
        <w:rPr>
          <w:rFonts w:ascii="Times New Roman" w:hAnsi="Times New Roman"/>
          <w:color w:val="000000"/>
          <w:sz w:val="28"/>
          <w:szCs w:val="28"/>
        </w:rPr>
        <w:t xml:space="preserve"> жорсткості від типу комплексоутворювача, що використовувався.</w:t>
      </w:r>
    </w:p>
    <w:p w:rsidR="00F1629C" w:rsidRDefault="00F1629C">
      <w:pPr>
        <w:spacing w:after="0" w:line="360" w:lineRule="auto"/>
        <w:ind w:right="-1" w:firstLine="709"/>
        <w:contextualSpacing/>
        <w:jc w:val="both"/>
        <w:rPr>
          <w:rFonts w:ascii="Times New Roman" w:hAnsi="Times New Roman"/>
          <w:color w:val="000000"/>
          <w:sz w:val="28"/>
          <w:szCs w:val="28"/>
        </w:rPr>
      </w:pPr>
    </w:p>
    <w:p w:rsidR="00F1629C" w:rsidRDefault="00F1629C">
      <w:pPr>
        <w:spacing w:after="0" w:line="360" w:lineRule="auto"/>
        <w:ind w:right="-1" w:firstLine="709"/>
        <w:contextualSpacing/>
        <w:jc w:val="both"/>
        <w:rPr>
          <w:rFonts w:ascii="Times New Roman" w:hAnsi="Times New Roman"/>
          <w:color w:val="000000"/>
          <w:sz w:val="28"/>
          <w:szCs w:val="28"/>
        </w:rPr>
      </w:pPr>
    </w:p>
    <w:p w:rsidR="00F1629C" w:rsidRDefault="00F1629C">
      <w:pPr>
        <w:spacing w:after="0" w:line="360" w:lineRule="auto"/>
        <w:ind w:right="-1" w:firstLine="709"/>
        <w:contextualSpacing/>
        <w:rPr>
          <w:sz w:val="28"/>
          <w:szCs w:val="28"/>
        </w:rPr>
      </w:pPr>
    </w:p>
    <w:p w:rsidR="00F1629C" w:rsidRDefault="00F1629C">
      <w:pPr>
        <w:spacing w:after="0" w:line="360" w:lineRule="auto"/>
        <w:ind w:right="-1" w:firstLine="709"/>
        <w:contextualSpacing/>
        <w:rPr>
          <w:sz w:val="28"/>
          <w:szCs w:val="28"/>
        </w:rPr>
      </w:pPr>
    </w:p>
    <w:p w:rsidR="00F1629C" w:rsidRDefault="00F1629C">
      <w:pPr>
        <w:spacing w:after="0" w:line="360" w:lineRule="auto"/>
        <w:ind w:right="-1" w:firstLine="709"/>
        <w:contextualSpacing/>
        <w:rPr>
          <w:sz w:val="28"/>
          <w:szCs w:val="28"/>
        </w:rPr>
      </w:pPr>
    </w:p>
    <w:p w:rsidR="00F1629C" w:rsidRDefault="00E671D2">
      <w:pPr>
        <w:tabs>
          <w:tab w:val="left" w:pos="284"/>
        </w:tabs>
        <w:spacing w:after="0" w:line="360" w:lineRule="auto"/>
        <w:ind w:firstLine="709"/>
        <w:jc w:val="both"/>
        <w:rPr>
          <w:rFonts w:ascii="Times New Roman" w:hAnsi="Times New Roman"/>
          <w:sz w:val="28"/>
          <w:szCs w:val="28"/>
        </w:rPr>
      </w:pPr>
      <w:r>
        <w:rPr>
          <w:rFonts w:ascii="Times New Roman" w:hAnsi="Times New Roman"/>
          <w:sz w:val="28"/>
          <w:szCs w:val="28"/>
        </w:rPr>
        <w:t>ВАЖКІ МЕТАЛИ,</w:t>
      </w:r>
      <w:r>
        <w:rPr>
          <w:rFonts w:ascii="Times New Roman" w:hAnsi="Times New Roman"/>
          <w:sz w:val="28"/>
          <w:szCs w:val="28"/>
          <w:lang w:val="ru"/>
        </w:rPr>
        <w:t xml:space="preserve"> АДСОРБЦІЯ, МАГНЕТИТ,</w:t>
      </w:r>
      <w:r>
        <w:rPr>
          <w:rFonts w:ascii="Times New Roman" w:hAnsi="Times New Roman"/>
          <w:sz w:val="28"/>
          <w:szCs w:val="28"/>
        </w:rPr>
        <w:t xml:space="preserve"> ІОННИЙ ОБМІН, НАНОФІЛЬТРАЦІЯ, ГРАНИЧНА ЄМНІСТЬ, КОМПЛЕКСОУТВОРЮВАЧ, ПЕРМІАТ</w:t>
      </w:r>
    </w:p>
    <w:p w:rsidR="00F1629C" w:rsidRDefault="00E671D2">
      <w:pPr>
        <w:rPr>
          <w:rFonts w:ascii="Times New Roman" w:hAnsi="Times New Roman"/>
          <w:sz w:val="28"/>
          <w:szCs w:val="28"/>
        </w:rPr>
      </w:pPr>
      <w:r>
        <w:rPr>
          <w:rFonts w:ascii="Times New Roman" w:hAnsi="Times New Roman"/>
          <w:sz w:val="28"/>
          <w:szCs w:val="28"/>
        </w:rPr>
        <w:br w:type="page"/>
      </w:r>
    </w:p>
    <w:p w:rsidR="00F1629C" w:rsidRDefault="00E671D2">
      <w:pPr>
        <w:spacing w:line="360" w:lineRule="auto"/>
        <w:jc w:val="center"/>
        <w:rPr>
          <w:rFonts w:ascii="Times New Roman" w:eastAsia="SimSun" w:hAnsi="Times New Roman" w:cs="Times New Roman"/>
          <w:sz w:val="28"/>
          <w:szCs w:val="28"/>
          <w:lang w:val="en-US" w:eastAsia="zh-CN" w:bidi="ar"/>
        </w:rPr>
      </w:pPr>
      <w:r>
        <w:rPr>
          <w:rFonts w:ascii="Times New Roman" w:eastAsia="SimSun" w:hAnsi="Times New Roman" w:cs="Times New Roman"/>
          <w:sz w:val="28"/>
          <w:szCs w:val="28"/>
          <w:lang w:val="en-US" w:eastAsia="zh-CN" w:bidi="ar"/>
        </w:rPr>
        <w:lastRenderedPageBreak/>
        <w:t>ABSTRACT</w:t>
      </w:r>
    </w:p>
    <w:p w:rsidR="00F1629C" w:rsidRDefault="00E671D2">
      <w:pPr>
        <w:spacing w:line="360" w:lineRule="auto"/>
        <w:jc w:val="both"/>
        <w:rPr>
          <w:rFonts w:ascii="Times New Roman" w:hAnsi="Times New Roman" w:cs="Times New Roman"/>
          <w:sz w:val="28"/>
          <w:szCs w:val="28"/>
          <w:lang w:val="ru"/>
        </w:rPr>
      </w:pP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ru" w:eastAsia="zh-CN" w:bidi="ar"/>
        </w:rPr>
        <w:tab/>
      </w:r>
      <w:r>
        <w:rPr>
          <w:rFonts w:ascii="Times New Roman" w:eastAsia="SimSun" w:hAnsi="Times New Roman" w:cs="Times New Roman"/>
          <w:sz w:val="28"/>
          <w:szCs w:val="28"/>
          <w:lang w:val="en-US" w:eastAsia="zh-CN" w:bidi="ar"/>
        </w:rPr>
        <w:t xml:space="preserve">Master's Thesis: 128 pp., 40 </w:t>
      </w:r>
      <w:r>
        <w:rPr>
          <w:rFonts w:ascii="Times New Roman" w:eastAsia="SimSun" w:hAnsi="Times New Roman" w:cs="Times New Roman"/>
          <w:sz w:val="28"/>
          <w:szCs w:val="28"/>
          <w:lang w:val="en-US" w:eastAsia="zh-CN" w:bidi="ar"/>
        </w:rPr>
        <w:t>figs., 31 tables, 9 formulas, 75 literature sources, 5 applications.</w:t>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ru" w:eastAsia="zh-CN" w:bidi="ar"/>
        </w:rPr>
        <w:tab/>
      </w:r>
      <w:r>
        <w:rPr>
          <w:rFonts w:ascii="Times New Roman" w:eastAsia="SimSun" w:hAnsi="Times New Roman" w:cs="Times New Roman"/>
          <w:sz w:val="28"/>
          <w:szCs w:val="28"/>
          <w:lang w:val="en-US" w:eastAsia="zh-CN" w:bidi="ar"/>
        </w:rPr>
        <w:t>Purpose: to estimate the parameters of the processes of extraction of heavy metal ions from aqueous solutions.</w:t>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ru" w:eastAsia="zh-CN" w:bidi="ar"/>
        </w:rPr>
        <w:tab/>
      </w:r>
      <w:r>
        <w:rPr>
          <w:rFonts w:ascii="Times New Roman" w:eastAsia="SimSun" w:hAnsi="Times New Roman" w:cs="Times New Roman"/>
          <w:sz w:val="28"/>
          <w:szCs w:val="28"/>
          <w:lang w:val="en-US" w:eastAsia="zh-CN" w:bidi="ar"/>
        </w:rPr>
        <w:t>Object of study: processes of purification of natural and waste water from</w:t>
      </w:r>
      <w:r>
        <w:rPr>
          <w:rFonts w:ascii="Times New Roman" w:eastAsia="SimSun" w:hAnsi="Times New Roman" w:cs="Times New Roman"/>
          <w:sz w:val="28"/>
          <w:szCs w:val="28"/>
          <w:lang w:val="en-US" w:eastAsia="zh-CN" w:bidi="ar"/>
        </w:rPr>
        <w:t xml:space="preserve"> heavy metal ions.</w:t>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ru" w:eastAsia="zh-CN" w:bidi="ar"/>
        </w:rPr>
        <w:tab/>
      </w:r>
      <w:r>
        <w:rPr>
          <w:rFonts w:ascii="Times New Roman" w:eastAsia="SimSun" w:hAnsi="Times New Roman" w:cs="Times New Roman"/>
          <w:sz w:val="28"/>
          <w:szCs w:val="28"/>
          <w:lang w:val="en-US" w:eastAsia="zh-CN" w:bidi="ar"/>
        </w:rPr>
        <w:t>Subject of study: extraction of Cu</w:t>
      </w:r>
      <w:r>
        <w:rPr>
          <w:rFonts w:ascii="Times New Roman" w:eastAsia="SimSun" w:hAnsi="Times New Roman" w:cs="Times New Roman"/>
          <w:sz w:val="28"/>
          <w:szCs w:val="28"/>
          <w:vertAlign w:val="superscript"/>
          <w:lang w:val="en-US" w:eastAsia="zh-CN" w:bidi="ar"/>
        </w:rPr>
        <w:t>2+</w:t>
      </w:r>
      <w:r>
        <w:rPr>
          <w:rFonts w:ascii="Times New Roman" w:eastAsia="SimSun" w:hAnsi="Times New Roman" w:cs="Times New Roman"/>
          <w:sz w:val="28"/>
          <w:szCs w:val="28"/>
          <w:lang w:val="en-US" w:eastAsia="zh-CN" w:bidi="ar"/>
        </w:rPr>
        <w:t>, Pb</w:t>
      </w:r>
      <w:r>
        <w:rPr>
          <w:rFonts w:ascii="Times New Roman" w:eastAsia="SimSun" w:hAnsi="Times New Roman" w:cs="Times New Roman"/>
          <w:sz w:val="28"/>
          <w:szCs w:val="28"/>
          <w:vertAlign w:val="superscript"/>
          <w:lang w:val="en-US" w:eastAsia="zh-CN" w:bidi="ar"/>
        </w:rPr>
        <w:t>2+</w:t>
      </w:r>
      <w:r>
        <w:rPr>
          <w:rFonts w:ascii="Times New Roman" w:eastAsia="SimSun" w:hAnsi="Times New Roman" w:cs="Times New Roman"/>
          <w:sz w:val="28"/>
          <w:szCs w:val="28"/>
          <w:lang w:val="en-US" w:eastAsia="zh-CN" w:bidi="ar"/>
        </w:rPr>
        <w:t>, Zn</w:t>
      </w:r>
      <w:r>
        <w:rPr>
          <w:rFonts w:ascii="Times New Roman" w:eastAsia="SimSun" w:hAnsi="Times New Roman" w:cs="Times New Roman"/>
          <w:sz w:val="28"/>
          <w:szCs w:val="28"/>
          <w:vertAlign w:val="superscript"/>
          <w:lang w:val="en-US" w:eastAsia="zh-CN" w:bidi="ar"/>
        </w:rPr>
        <w:t>2+</w:t>
      </w:r>
      <w:r>
        <w:rPr>
          <w:rFonts w:ascii="Times New Roman" w:eastAsia="SimSun" w:hAnsi="Times New Roman" w:cs="Times New Roman"/>
          <w:sz w:val="28"/>
          <w:szCs w:val="28"/>
          <w:lang w:val="en-US" w:eastAsia="zh-CN" w:bidi="ar"/>
        </w:rPr>
        <w:t>, Cd</w:t>
      </w:r>
      <w:r>
        <w:rPr>
          <w:rFonts w:ascii="Times New Roman" w:eastAsia="SimSun" w:hAnsi="Times New Roman" w:cs="Times New Roman"/>
          <w:sz w:val="28"/>
          <w:szCs w:val="28"/>
          <w:vertAlign w:val="superscript"/>
          <w:lang w:val="en-US" w:eastAsia="zh-CN" w:bidi="ar"/>
        </w:rPr>
        <w:t>2+</w:t>
      </w:r>
      <w:r>
        <w:rPr>
          <w:rFonts w:ascii="Times New Roman" w:eastAsia="SimSun" w:hAnsi="Times New Roman" w:cs="Times New Roman"/>
          <w:sz w:val="28"/>
          <w:szCs w:val="28"/>
          <w:lang w:val="en-US" w:eastAsia="zh-CN" w:bidi="ar"/>
        </w:rPr>
        <w:t>, Ni</w:t>
      </w:r>
      <w:r>
        <w:rPr>
          <w:rFonts w:ascii="Times New Roman" w:eastAsia="SimSun" w:hAnsi="Times New Roman" w:cs="Times New Roman"/>
          <w:sz w:val="28"/>
          <w:szCs w:val="28"/>
          <w:vertAlign w:val="superscript"/>
          <w:lang w:val="en-US" w:eastAsia="zh-CN" w:bidi="ar"/>
        </w:rPr>
        <w:t>2+</w:t>
      </w:r>
      <w:r>
        <w:rPr>
          <w:rFonts w:ascii="Times New Roman" w:eastAsia="SimSun" w:hAnsi="Times New Roman" w:cs="Times New Roman"/>
          <w:sz w:val="28"/>
          <w:szCs w:val="28"/>
          <w:lang w:val="en-US" w:eastAsia="zh-CN" w:bidi="ar"/>
        </w:rPr>
        <w:t xml:space="preserve"> ions from aqueous solutions of different concentrations by adsorption, nanofiltration and ion exchange methods.</w:t>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ru" w:eastAsia="zh-CN" w:bidi="ar"/>
        </w:rPr>
        <w:tab/>
      </w:r>
      <w:r>
        <w:rPr>
          <w:rFonts w:ascii="Times New Roman" w:eastAsia="SimSun" w:hAnsi="Times New Roman" w:cs="Times New Roman"/>
          <w:sz w:val="28"/>
          <w:szCs w:val="28"/>
          <w:lang w:val="en-US" w:eastAsia="zh-CN" w:bidi="ar"/>
        </w:rPr>
        <w:t>The processes of removal of heavy metal ions from dilute solut</w:t>
      </w:r>
      <w:r>
        <w:rPr>
          <w:rFonts w:ascii="Times New Roman" w:eastAsia="SimSun" w:hAnsi="Times New Roman" w:cs="Times New Roman"/>
          <w:sz w:val="28"/>
          <w:szCs w:val="28"/>
          <w:lang w:val="en-US" w:eastAsia="zh-CN" w:bidi="ar"/>
        </w:rPr>
        <w:t>ions using magnetite sorbents, OPMN-P membrane and various types of cation exchange filters have been studied. It is shown that the efficiency of the process depends on the presence of hardness ions in water and pH at ion exchange purification, sorption ti</w:t>
      </w:r>
      <w:r>
        <w:rPr>
          <w:rFonts w:ascii="Times New Roman" w:eastAsia="SimSun" w:hAnsi="Times New Roman" w:cs="Times New Roman"/>
          <w:sz w:val="28"/>
          <w:szCs w:val="28"/>
          <w:lang w:val="en-US" w:eastAsia="zh-CN" w:bidi="ar"/>
        </w:rPr>
        <w:t>me, initial concentration of metal ions in solution and pH at adsorption, as well as the choice of complexes in nanofiltration.</w:t>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ru" w:eastAsia="zh-CN" w:bidi="ar"/>
        </w:rPr>
        <w:tab/>
      </w:r>
      <w:r>
        <w:rPr>
          <w:rFonts w:ascii="Times New Roman" w:eastAsia="SimSun" w:hAnsi="Times New Roman" w:cs="Times New Roman"/>
          <w:sz w:val="28"/>
          <w:szCs w:val="28"/>
          <w:lang w:val="en-US" w:eastAsia="zh-CN" w:bidi="ar"/>
        </w:rPr>
        <w:t>The dependence of the selectivity of the nanofiltration membrane on heavy metals and rigidity ions on the type of complexing ag</w:t>
      </w:r>
      <w:r>
        <w:rPr>
          <w:rFonts w:ascii="Times New Roman" w:eastAsia="SimSun" w:hAnsi="Times New Roman" w:cs="Times New Roman"/>
          <w:sz w:val="28"/>
          <w:szCs w:val="28"/>
          <w:lang w:val="en-US" w:eastAsia="zh-CN" w:bidi="ar"/>
        </w:rPr>
        <w:t>ent used was investigated.</w:t>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en-US" w:eastAsia="zh-CN" w:bidi="ar"/>
        </w:rPr>
        <w:br/>
      </w:r>
      <w:r>
        <w:rPr>
          <w:rFonts w:ascii="Times New Roman" w:eastAsia="SimSun" w:hAnsi="Times New Roman" w:cs="Times New Roman"/>
          <w:sz w:val="28"/>
          <w:szCs w:val="28"/>
          <w:lang w:val="en-US" w:eastAsia="zh-CN" w:bidi="ar"/>
        </w:rPr>
        <w:br/>
        <w:t>H</w:t>
      </w:r>
      <w:r>
        <w:rPr>
          <w:rFonts w:ascii="Times New Roman" w:eastAsia="SimSun" w:hAnsi="Times New Roman" w:cs="Times New Roman"/>
          <w:sz w:val="28"/>
          <w:szCs w:val="28"/>
          <w:lang w:val="ru" w:eastAsia="zh-CN" w:bidi="ar"/>
        </w:rPr>
        <w:t>EAVY METALS</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ADSORPTION</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MAGNETITE</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ION EXCHANGE</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NANOFILTRATION</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BOUNDARY CPACITY</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COMPLEXING AGENT</w:t>
      </w:r>
      <w:r>
        <w:rPr>
          <w:rFonts w:ascii="Times New Roman" w:eastAsia="SimSun" w:hAnsi="Times New Roman" w:cs="Times New Roman"/>
          <w:sz w:val="28"/>
          <w:szCs w:val="28"/>
          <w:lang w:val="en-US" w:eastAsia="zh-CN" w:bidi="ar"/>
        </w:rPr>
        <w:t xml:space="preserve">, </w:t>
      </w:r>
      <w:r>
        <w:rPr>
          <w:rFonts w:ascii="Times New Roman" w:eastAsia="SimSun" w:hAnsi="Times New Roman" w:cs="Times New Roman"/>
          <w:sz w:val="28"/>
          <w:szCs w:val="28"/>
          <w:lang w:val="ru" w:eastAsia="zh-CN" w:bidi="ar"/>
        </w:rPr>
        <w:t>PERMEATE</w:t>
      </w:r>
    </w:p>
    <w:p w:rsidR="00F1629C" w:rsidRDefault="00E671D2">
      <w:pPr>
        <w:tabs>
          <w:tab w:val="left" w:pos="28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F1629C" w:rsidRDefault="00E671D2">
      <w:pPr>
        <w:spacing w:line="360" w:lineRule="auto"/>
        <w:jc w:val="center"/>
        <w:rPr>
          <w:rFonts w:ascii="Times New Roman" w:eastAsia="SimSun" w:hAnsi="Times New Roman" w:cs="Times New Roman"/>
          <w:sz w:val="28"/>
          <w:szCs w:val="28"/>
          <w:lang w:val="ru" w:eastAsia="zh-CN" w:bidi="ar"/>
        </w:rPr>
      </w:pPr>
      <w:r>
        <w:rPr>
          <w:rFonts w:ascii="Times New Roman" w:eastAsia="SimSun" w:hAnsi="Times New Roman" w:cs="Times New Roman"/>
          <w:sz w:val="28"/>
          <w:szCs w:val="28"/>
          <w:lang w:val="ru" w:eastAsia="zh-CN" w:bidi="ar"/>
        </w:rPr>
        <w:lastRenderedPageBreak/>
        <w:t>РЕФЕРАТ</w:t>
      </w:r>
    </w:p>
    <w:p w:rsidR="00F1629C" w:rsidRDefault="00E671D2">
      <w:pPr>
        <w:spacing w:line="360" w:lineRule="auto"/>
        <w:jc w:val="both"/>
        <w:rPr>
          <w:rFonts w:ascii="Times New Roman" w:hAnsi="Times New Roman" w:cs="Times New Roman"/>
          <w:sz w:val="28"/>
          <w:szCs w:val="28"/>
        </w:rPr>
      </w:pP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tab/>
        <w:t xml:space="preserve">Магистерская диссертация: 128 с., 40 рис., 31 табл., 9 формул, 75 источников литературы, 5 </w:t>
      </w:r>
      <w:r>
        <w:rPr>
          <w:rFonts w:ascii="Times New Roman" w:eastAsia="SimSun" w:hAnsi="Times New Roman" w:cs="Times New Roman"/>
          <w:sz w:val="28"/>
          <w:szCs w:val="28"/>
          <w:lang w:val="ru" w:eastAsia="zh-CN" w:bidi="ar"/>
        </w:rPr>
        <w:t>приложений.</w:t>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tab/>
        <w:t>Цель работы: оценка параметров процессов извлечения ионов тяжелых металлов из водных растворов.</w:t>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tab/>
        <w:t>Объект исследования: процессы очистки природной и сточной воды от ионов тяжелых металлов.</w:t>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tab/>
        <w:t>Предмет исследования: изъятие ионов Cu</w:t>
      </w:r>
      <w:r>
        <w:rPr>
          <w:rFonts w:ascii="Times New Roman" w:eastAsia="SimSun" w:hAnsi="Times New Roman" w:cs="Times New Roman"/>
          <w:sz w:val="28"/>
          <w:szCs w:val="28"/>
          <w:vertAlign w:val="superscript"/>
          <w:lang w:val="ru" w:eastAsia="zh-CN" w:bidi="ar"/>
        </w:rPr>
        <w:t>2+</w:t>
      </w:r>
      <w:r>
        <w:rPr>
          <w:rFonts w:ascii="Times New Roman" w:eastAsia="SimSun" w:hAnsi="Times New Roman" w:cs="Times New Roman"/>
          <w:sz w:val="28"/>
          <w:szCs w:val="28"/>
          <w:lang w:val="ru" w:eastAsia="zh-CN" w:bidi="ar"/>
        </w:rPr>
        <w:t>, Pb</w:t>
      </w:r>
      <w:r>
        <w:rPr>
          <w:rFonts w:ascii="Times New Roman" w:eastAsia="SimSun" w:hAnsi="Times New Roman" w:cs="Times New Roman"/>
          <w:sz w:val="28"/>
          <w:szCs w:val="28"/>
          <w:vertAlign w:val="superscript"/>
          <w:lang w:val="ru" w:eastAsia="zh-CN" w:bidi="ar"/>
        </w:rPr>
        <w:t>2+</w:t>
      </w:r>
      <w:r>
        <w:rPr>
          <w:rFonts w:ascii="Times New Roman" w:eastAsia="SimSun" w:hAnsi="Times New Roman" w:cs="Times New Roman"/>
          <w:sz w:val="28"/>
          <w:szCs w:val="28"/>
          <w:lang w:val="ru" w:eastAsia="zh-CN" w:bidi="ar"/>
        </w:rPr>
        <w:t>, Zn</w:t>
      </w:r>
      <w:r>
        <w:rPr>
          <w:rFonts w:ascii="Times New Roman" w:eastAsia="SimSun" w:hAnsi="Times New Roman" w:cs="Times New Roman"/>
          <w:sz w:val="28"/>
          <w:szCs w:val="28"/>
          <w:vertAlign w:val="superscript"/>
          <w:lang w:val="ru" w:eastAsia="zh-CN" w:bidi="ar"/>
        </w:rPr>
        <w:t>2+</w:t>
      </w:r>
      <w:r>
        <w:rPr>
          <w:rFonts w:ascii="Times New Roman" w:eastAsia="SimSun" w:hAnsi="Times New Roman" w:cs="Times New Roman"/>
          <w:sz w:val="28"/>
          <w:szCs w:val="28"/>
          <w:lang w:val="ru" w:eastAsia="zh-CN" w:bidi="ar"/>
        </w:rPr>
        <w:t>, C</w:t>
      </w:r>
      <w:r>
        <w:rPr>
          <w:rFonts w:ascii="Times New Roman" w:eastAsia="SimSun" w:hAnsi="Times New Roman" w:cs="Times New Roman"/>
          <w:sz w:val="28"/>
          <w:szCs w:val="28"/>
          <w:lang w:val="ru" w:eastAsia="zh-CN" w:bidi="ar"/>
        </w:rPr>
        <w:t>d</w:t>
      </w:r>
      <w:r>
        <w:rPr>
          <w:rFonts w:ascii="Times New Roman" w:eastAsia="SimSun" w:hAnsi="Times New Roman" w:cs="Times New Roman"/>
          <w:sz w:val="28"/>
          <w:szCs w:val="28"/>
          <w:vertAlign w:val="superscript"/>
          <w:lang w:val="ru" w:eastAsia="zh-CN" w:bidi="ar"/>
        </w:rPr>
        <w:t>2+</w:t>
      </w:r>
      <w:r>
        <w:rPr>
          <w:rFonts w:ascii="Times New Roman" w:eastAsia="SimSun" w:hAnsi="Times New Roman" w:cs="Times New Roman"/>
          <w:sz w:val="28"/>
          <w:szCs w:val="28"/>
          <w:lang w:val="ru" w:eastAsia="zh-CN" w:bidi="ar"/>
        </w:rPr>
        <w:t>, Ni</w:t>
      </w:r>
      <w:r>
        <w:rPr>
          <w:rFonts w:ascii="Times New Roman" w:eastAsia="SimSun" w:hAnsi="Times New Roman" w:cs="Times New Roman"/>
          <w:sz w:val="28"/>
          <w:szCs w:val="28"/>
          <w:vertAlign w:val="superscript"/>
          <w:lang w:val="ru" w:eastAsia="zh-CN" w:bidi="ar"/>
        </w:rPr>
        <w:t>2+</w:t>
      </w:r>
      <w:r>
        <w:rPr>
          <w:rFonts w:ascii="Times New Roman" w:eastAsia="SimSun" w:hAnsi="Times New Roman" w:cs="Times New Roman"/>
          <w:sz w:val="28"/>
          <w:szCs w:val="28"/>
          <w:lang w:val="ru" w:eastAsia="zh-CN" w:bidi="ar"/>
        </w:rPr>
        <w:t xml:space="preserve"> из водных растворов различных концентраций методами адсорбции, нанофильтрации и ионного обмена.</w:t>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tab/>
        <w:t>Изучены процессы удаления ионов тяжелых металлов из разбавленных растворов при использовании сорбентов на основе магнетита, мембраны ОПМН-П и различн</w:t>
      </w:r>
      <w:r>
        <w:rPr>
          <w:rFonts w:ascii="Times New Roman" w:eastAsia="SimSun" w:hAnsi="Times New Roman" w:cs="Times New Roman"/>
          <w:sz w:val="28"/>
          <w:szCs w:val="28"/>
          <w:lang w:val="ru" w:eastAsia="zh-CN" w:bidi="ar"/>
        </w:rPr>
        <w:t>ых типов катионообменных фильтров. Показано, что эффективность процесса зависит от наличия ионов жесткости в воде и рН при ионообменной очистке, времени сорбции, исходной концентрации ионов металла в растворе и рН при адсорбции, а также от выбора комплексо</w:t>
      </w:r>
      <w:r>
        <w:rPr>
          <w:rFonts w:ascii="Times New Roman" w:eastAsia="SimSun" w:hAnsi="Times New Roman" w:cs="Times New Roman"/>
          <w:sz w:val="28"/>
          <w:szCs w:val="28"/>
          <w:lang w:val="ru" w:eastAsia="zh-CN" w:bidi="ar"/>
        </w:rPr>
        <w:t>нов при нанофильтрации.</w:t>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tab/>
        <w:t>Исследована зависимость селективности нанофильтрационной мембраны по тяжелым металлам и ионам жесткости от типа комплексообразователя, который использовался.</w:t>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br/>
      </w:r>
      <w:r>
        <w:rPr>
          <w:rFonts w:ascii="Times New Roman" w:eastAsia="SimSun" w:hAnsi="Times New Roman" w:cs="Times New Roman"/>
          <w:sz w:val="28"/>
          <w:szCs w:val="28"/>
          <w:lang w:val="ru" w:eastAsia="zh-CN" w:bidi="ar"/>
        </w:rPr>
        <w:br/>
        <w:t xml:space="preserve">ТЯЖЕЛЫЕ МЕТАЛЛЫ, АДСОРБЦИЯ, МАГНЕТИТ, ИОННЫЙ ОБМЕН, НАНОФИЛЬТРАЦИЯ, </w:t>
      </w:r>
      <w:r>
        <w:rPr>
          <w:rFonts w:ascii="Times New Roman" w:eastAsia="SimSun" w:hAnsi="Times New Roman" w:cs="Times New Roman"/>
          <w:sz w:val="28"/>
          <w:szCs w:val="28"/>
          <w:lang w:val="ru" w:eastAsia="zh-CN" w:bidi="ar"/>
        </w:rPr>
        <w:t>ПРЕДЕЛЬНАЯ ЕМКОСТЬ, КОМПЛЕКСООБРАЗОВАТЕЛЬ, ПЕРМИАТ</w:t>
      </w:r>
    </w:p>
    <w:p w:rsidR="00F1629C" w:rsidRDefault="00E671D2">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br w:type="page"/>
      </w:r>
    </w:p>
    <w:p w:rsidR="00F1629C" w:rsidRDefault="00E671D2">
      <w:pPr>
        <w:tabs>
          <w:tab w:val="left" w:pos="284"/>
        </w:tabs>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Вступ </w:t>
      </w:r>
      <w:r>
        <w:rPr>
          <w:rFonts w:ascii="Times New Roman" w:eastAsia="Times New Roman" w:hAnsi="Times New Roman" w:cs="Times New Roman"/>
          <w:sz w:val="28"/>
          <w:szCs w:val="28"/>
        </w:rPr>
        <w:tab/>
        <w:t>11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cs="Times New Roman"/>
          <w:b/>
          <w:caps/>
          <w:sz w:val="28"/>
          <w:szCs w:val="28"/>
        </w:rPr>
        <w:t xml:space="preserve">Розділ 1. </w:t>
      </w:r>
      <w:r>
        <w:rPr>
          <w:rFonts w:ascii="Times New Roman" w:hAnsi="Times New Roman" w:cs="Times New Roman"/>
          <w:b/>
          <w:caps/>
          <w:sz w:val="28"/>
          <w:szCs w:val="28"/>
          <w:lang w:val="ru"/>
        </w:rPr>
        <w:t>В</w:t>
      </w:r>
      <w:r>
        <w:rPr>
          <w:rFonts w:ascii="Times New Roman" w:hAnsi="Times New Roman" w:cs="Times New Roman"/>
          <w:b/>
          <w:sz w:val="28"/>
          <w:szCs w:val="28"/>
          <w:lang w:val="ru"/>
        </w:rPr>
        <w:t>икористання</w:t>
      </w:r>
      <w:r>
        <w:rPr>
          <w:rFonts w:ascii="Times New Roman" w:hAnsi="Times New Roman" w:cs="Times New Roman"/>
          <w:b/>
          <w:sz w:val="28"/>
          <w:szCs w:val="28"/>
          <w:lang w:val="ru"/>
        </w:rPr>
        <w:t xml:space="preserve"> фізико-хімічних методів для очищення води</w:t>
      </w:r>
      <w:r>
        <w:rPr>
          <w:rFonts w:ascii="Times New Roman" w:eastAsia="Times New Roman" w:hAnsi="Times New Roman" w:cs="Times New Roman"/>
          <w:sz w:val="28"/>
          <w:szCs w:val="28"/>
        </w:rPr>
        <w:tab/>
        <w:t>13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r>
        <w:rPr>
          <w:rFonts w:ascii="Times New Roman" w:eastAsia="Times New Roman" w:hAnsi="Times New Roman" w:cs="Times New Roman"/>
          <w:sz w:val="28"/>
          <w:szCs w:val="28"/>
          <w:lang w:val="ru"/>
        </w:rPr>
        <w:t>Контроль</w:t>
      </w:r>
      <w:r>
        <w:rPr>
          <w:rFonts w:ascii="Times New Roman" w:eastAsia="Times New Roman" w:hAnsi="Times New Roman" w:cs="Times New Roman"/>
          <w:sz w:val="28"/>
          <w:szCs w:val="28"/>
          <w:lang w:val="ru"/>
        </w:rPr>
        <w:t xml:space="preserve"> вмісту важких металів у воді</w:t>
      </w:r>
      <w:r>
        <w:rPr>
          <w:rFonts w:ascii="Times New Roman" w:eastAsia="Times New Roman" w:hAnsi="Times New Roman" w:cs="Times New Roman"/>
          <w:sz w:val="28"/>
          <w:szCs w:val="28"/>
        </w:rPr>
        <w:tab/>
        <w:t>13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 xml:space="preserve">1.2 </w:t>
      </w:r>
      <w:r>
        <w:rPr>
          <w:rFonts w:ascii="Times New Roman" w:eastAsia="Times New Roman" w:hAnsi="Times New Roman" w:cs="Times New Roman"/>
          <w:sz w:val="28"/>
          <w:szCs w:val="28"/>
          <w:lang w:val="ru"/>
        </w:rPr>
        <w:t>Основні</w:t>
      </w:r>
      <w:r>
        <w:rPr>
          <w:rFonts w:ascii="Times New Roman" w:eastAsia="Times New Roman" w:hAnsi="Times New Roman" w:cs="Times New Roman"/>
          <w:sz w:val="28"/>
          <w:szCs w:val="28"/>
          <w:lang w:val="ru"/>
        </w:rPr>
        <w:t xml:space="preserve"> способи вилучення важких металів з води</w:t>
      </w:r>
      <w:r>
        <w:rPr>
          <w:rFonts w:ascii="Times New Roman" w:eastAsia="Times New Roman" w:hAnsi="Times New Roman" w:cs="Times New Roman"/>
          <w:sz w:val="28"/>
          <w:szCs w:val="28"/>
        </w:rPr>
        <w:tab/>
        <w:t>1</w:t>
      </w:r>
      <w:r>
        <w:rPr>
          <w:rFonts w:ascii="Times New Roman" w:eastAsia="Times New Roman" w:hAnsi="Times New Roman" w:cs="Times New Roman"/>
          <w:sz w:val="28"/>
          <w:szCs w:val="28"/>
          <w:lang w:val="ru"/>
        </w:rPr>
        <w:t>9</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 xml:space="preserve">1.2.1 </w:t>
      </w:r>
      <w:r>
        <w:rPr>
          <w:rFonts w:ascii="Times New Roman" w:eastAsia="Times New Roman" w:hAnsi="Times New Roman" w:cs="Times New Roman"/>
          <w:bCs/>
          <w:color w:val="000000"/>
          <w:sz w:val="28"/>
          <w:szCs w:val="28"/>
          <w:lang w:val="en"/>
        </w:rPr>
        <w:t>Застосування</w:t>
      </w:r>
      <w:r>
        <w:rPr>
          <w:rFonts w:ascii="Times New Roman" w:eastAsia="Times New Roman" w:hAnsi="Times New Roman" w:cs="Times New Roman"/>
          <w:bCs/>
          <w:color w:val="000000"/>
          <w:sz w:val="28"/>
          <w:szCs w:val="28"/>
          <w:lang w:val="en"/>
        </w:rPr>
        <w:t xml:space="preserve"> іонообмінних технологій для очистки води від іонів важких металів</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22</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 xml:space="preserve">1.2.2 </w:t>
      </w:r>
      <w:r>
        <w:rPr>
          <w:rFonts w:ascii="Times New Roman" w:eastAsia="Times New Roman" w:hAnsi="Times New Roman" w:cs="Times New Roman"/>
          <w:bCs/>
          <w:color w:val="000000"/>
          <w:sz w:val="28"/>
          <w:szCs w:val="28"/>
          <w:lang w:val="en"/>
        </w:rPr>
        <w:t>Застосування природних сорбентів для очищення води від іонів важких металів</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24</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 xml:space="preserve">1.2.3 </w:t>
      </w:r>
      <w:r>
        <w:rPr>
          <w:rFonts w:ascii="Times New Roman" w:eastAsia="Times New Roman" w:hAnsi="Times New Roman" w:cs="Times New Roman"/>
          <w:bCs/>
          <w:color w:val="000000"/>
          <w:sz w:val="28"/>
          <w:szCs w:val="28"/>
          <w:lang w:val="en"/>
        </w:rPr>
        <w:t>Сорбенти на основі магнетиту</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33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Висновки до розділу 1</w:t>
      </w:r>
      <w:r>
        <w:rPr>
          <w:rFonts w:ascii="Times New Roman" w:eastAsia="Times New Roman" w:hAnsi="Times New Roman" w:cs="Times New Roman"/>
          <w:sz w:val="28"/>
          <w:szCs w:val="28"/>
        </w:rPr>
        <w:tab/>
        <w:t>3</w:t>
      </w:r>
      <w:r>
        <w:rPr>
          <w:rFonts w:ascii="Times New Roman" w:eastAsia="Times New Roman" w:hAnsi="Times New Roman" w:cs="Times New Roman"/>
          <w:sz w:val="28"/>
          <w:szCs w:val="28"/>
          <w:lang w:val="ru"/>
        </w:rPr>
        <w:t>8</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b/>
          <w:sz w:val="28"/>
          <w:szCs w:val="28"/>
        </w:rPr>
        <w:t>РОЗДІЛ 2. Об’єкти та методи дослідже</w:t>
      </w:r>
      <w:r>
        <w:rPr>
          <w:rFonts w:ascii="Times New Roman" w:eastAsia="Times New Roman" w:hAnsi="Times New Roman" w:cs="Times New Roman"/>
          <w:b/>
          <w:sz w:val="28"/>
          <w:szCs w:val="28"/>
        </w:rPr>
        <w:t>нь</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 xml:space="preserve">2.1 </w:t>
      </w:r>
      <w:r>
        <w:rPr>
          <w:rFonts w:ascii="Times New Roman" w:eastAsia="Times New Roman" w:hAnsi="Times New Roman" w:cs="Times New Roman"/>
          <w:sz w:val="28"/>
          <w:szCs w:val="28"/>
          <w:lang w:val="ru"/>
        </w:rPr>
        <w:t>Об</w:t>
      </w:r>
      <w:r>
        <w:rPr>
          <w:rFonts w:ascii="Times New Roman" w:eastAsia="Times New Roman" w:hAnsi="Times New Roman" w:cs="Times New Roman"/>
          <w:sz w:val="28"/>
          <w:szCs w:val="28"/>
          <w:lang w:val="ru"/>
        </w:rPr>
        <w:t>’єкти</w:t>
      </w:r>
      <w:r>
        <w:rPr>
          <w:rFonts w:ascii="Times New Roman" w:eastAsia="Times New Roman" w:hAnsi="Times New Roman" w:cs="Times New Roman"/>
          <w:sz w:val="28"/>
          <w:szCs w:val="28"/>
        </w:rPr>
        <w:t xml:space="preserve"> дослідження</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2.1</w:t>
      </w:r>
      <w:r>
        <w:rPr>
          <w:rFonts w:ascii="Times New Roman" w:eastAsia="Times New Roman" w:hAnsi="Times New Roman" w:cs="Times New Roman"/>
          <w:sz w:val="28"/>
          <w:szCs w:val="28"/>
          <w:lang w:val="ru"/>
        </w:rPr>
        <w:t>.1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
        </w:rPr>
        <w:t>Водні середовища</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2.1</w:t>
      </w:r>
      <w:r>
        <w:rPr>
          <w:rFonts w:ascii="Times New Roman" w:eastAsia="Times New Roman" w:hAnsi="Times New Roman" w:cs="Times New Roman"/>
          <w:sz w:val="28"/>
          <w:szCs w:val="28"/>
          <w:lang w:val="ru"/>
        </w:rPr>
        <w:t>.2</w:t>
      </w:r>
      <w:r>
        <w:rPr>
          <w:rFonts w:ascii="Times New Roman" w:eastAsia="Times New Roman" w:hAnsi="Times New Roman" w:cs="Times New Roman"/>
          <w:sz w:val="28"/>
          <w:szCs w:val="28"/>
        </w:rPr>
        <w:t xml:space="preserve"> </w:t>
      </w:r>
      <w:r>
        <w:rPr>
          <w:rFonts w:ascii="Times New Roman" w:hAnsi="Times New Roman" w:cs="Times New Roman"/>
          <w:sz w:val="28"/>
          <w:szCs w:val="28"/>
          <w:lang w:val="ru"/>
        </w:rPr>
        <w:t>Використані іонообмінні та нанфоільтраційні матеріали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2.1</w:t>
      </w:r>
      <w:r>
        <w:rPr>
          <w:rFonts w:ascii="Times New Roman" w:eastAsia="Times New Roman" w:hAnsi="Times New Roman" w:cs="Times New Roman"/>
          <w:sz w:val="28"/>
          <w:szCs w:val="28"/>
          <w:lang w:val="ru"/>
        </w:rPr>
        <w:t>.3</w:t>
      </w:r>
      <w:r>
        <w:rPr>
          <w:rFonts w:ascii="Times New Roman" w:eastAsia="Times New Roman" w:hAnsi="Times New Roman" w:cs="Times New Roman"/>
          <w:sz w:val="28"/>
          <w:szCs w:val="28"/>
        </w:rPr>
        <w:t xml:space="preserve"> </w:t>
      </w:r>
      <w:r>
        <w:rPr>
          <w:rFonts w:ascii="Times New Roman" w:hAnsi="Times New Roman" w:cs="Times New Roman"/>
          <w:sz w:val="28"/>
          <w:szCs w:val="28"/>
          <w:lang w:val="ru"/>
        </w:rPr>
        <w:t>Прилади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
        </w:rPr>
        <w:t>2</w:t>
      </w:r>
      <w:r>
        <w:rPr>
          <w:rFonts w:ascii="Times New Roman" w:eastAsia="Times New Roman" w:hAnsi="Times New Roman" w:cs="Times New Roman"/>
          <w:sz w:val="28"/>
          <w:szCs w:val="28"/>
        </w:rPr>
        <w:t xml:space="preserve"> </w:t>
      </w:r>
      <w:r>
        <w:rPr>
          <w:rFonts w:ascii="Times New Roman" w:hAnsi="Times New Roman"/>
          <w:bCs/>
          <w:sz w:val="28"/>
          <w:szCs w:val="28"/>
        </w:rPr>
        <w:t>Вилучення йонів важких металів з розведених розчинів методом іонного обміну</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42</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
        </w:rPr>
        <w:t xml:space="preserve">3 </w:t>
      </w:r>
      <w:r>
        <w:rPr>
          <w:rFonts w:ascii="Times New Roman" w:hAnsi="Times New Roman"/>
          <w:sz w:val="28"/>
          <w:szCs w:val="28"/>
        </w:rPr>
        <w:t xml:space="preserve">Вилучення йонів важких металів з розведених розчинів методом </w:t>
      </w:r>
      <w:r>
        <w:rPr>
          <w:rFonts w:ascii="Times New Roman" w:hAnsi="Times New Roman"/>
          <w:sz w:val="28"/>
          <w:szCs w:val="28"/>
          <w:lang w:val="ru"/>
        </w:rPr>
        <w:t>нанофільтрації</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2.</w:t>
      </w:r>
      <w:r>
        <w:rPr>
          <w:rFonts w:ascii="Times New Roman" w:hAnsi="Times New Roman"/>
          <w:bCs/>
          <w:sz w:val="28"/>
          <w:szCs w:val="28"/>
          <w:lang w:val="ru"/>
        </w:rPr>
        <w:t xml:space="preserve">4 </w:t>
      </w:r>
      <w:r>
        <w:rPr>
          <w:rFonts w:ascii="Times New Roman" w:hAnsi="Times New Roman"/>
          <w:bCs/>
          <w:sz w:val="28"/>
          <w:szCs w:val="28"/>
        </w:rPr>
        <w:t xml:space="preserve">Вилучення йонів важких металів з розведених розчинів </w:t>
      </w:r>
      <w:r>
        <w:rPr>
          <w:rFonts w:ascii="Times New Roman" w:hAnsi="Times New Roman"/>
          <w:bCs/>
          <w:sz w:val="28"/>
          <w:szCs w:val="28"/>
          <w:lang w:val="ru"/>
        </w:rPr>
        <w:t>шляхом</w:t>
      </w:r>
      <w:r>
        <w:rPr>
          <w:rFonts w:ascii="Times New Roman" w:hAnsi="Times New Roman"/>
          <w:bCs/>
          <w:sz w:val="28"/>
          <w:szCs w:val="28"/>
          <w:lang w:val="ru"/>
        </w:rPr>
        <w:t xml:space="preserve"> на магнетиті</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
        </w:rPr>
        <w:t>5 Приготування магнетиту</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w:t>
      </w:r>
      <w:r>
        <w:rPr>
          <w:rFonts w:ascii="Times New Roman" w:eastAsia="Times New Roman" w:hAnsi="Times New Roman" w:cs="Times New Roman"/>
          <w:sz w:val="28"/>
          <w:szCs w:val="28"/>
        </w:rPr>
        <w:t>4</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
        </w:rPr>
        <w:t>5.1 Приготування магнетиту 2:1</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w:t>
      </w:r>
      <w:r>
        <w:rPr>
          <w:rFonts w:ascii="Times New Roman" w:eastAsia="Times New Roman" w:hAnsi="Times New Roman" w:cs="Times New Roman"/>
          <w:sz w:val="28"/>
          <w:szCs w:val="28"/>
        </w:rPr>
        <w:t>4</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
        </w:rPr>
        <w:t xml:space="preserve">5.2 Приготування магнетиту </w:t>
      </w:r>
      <w:r>
        <w:rPr>
          <w:rFonts w:ascii="Times New Roman" w:eastAsia="Times New Roman" w:hAnsi="Times New Roman" w:cs="Times New Roman"/>
          <w:sz w:val="28"/>
          <w:szCs w:val="28"/>
          <w:lang w:val="ru"/>
        </w:rPr>
        <w:t>1:1</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w:t>
      </w:r>
      <w:r>
        <w:rPr>
          <w:rFonts w:ascii="Times New Roman" w:eastAsia="Times New Roman" w:hAnsi="Times New Roman" w:cs="Times New Roman"/>
          <w:sz w:val="28"/>
          <w:szCs w:val="28"/>
        </w:rPr>
        <w:t>4</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w:t>
      </w:r>
      <w:r>
        <w:rPr>
          <w:rFonts w:ascii="Times New Roman" w:hAnsi="Times New Roman"/>
          <w:bCs/>
          <w:sz w:val="28"/>
          <w:szCs w:val="28"/>
          <w:lang w:val="ru"/>
        </w:rPr>
        <w:t>5.3 Приготування магнетиту 2:1, модифікованого Na</w:t>
      </w:r>
      <w:r>
        <w:rPr>
          <w:rFonts w:ascii="Times New Roman" w:hAnsi="Times New Roman"/>
          <w:bCs/>
          <w:sz w:val="28"/>
          <w:szCs w:val="28"/>
          <w:vertAlign w:val="subscript"/>
          <w:lang w:val="ru"/>
        </w:rPr>
        <w:t>2</w:t>
      </w:r>
      <w:r>
        <w:rPr>
          <w:rFonts w:ascii="Times New Roman" w:hAnsi="Times New Roman"/>
          <w:bCs/>
          <w:sz w:val="28"/>
          <w:szCs w:val="28"/>
          <w:lang w:val="ru"/>
        </w:rPr>
        <w:t>S</w:t>
      </w:r>
      <w:r>
        <w:rPr>
          <w:rFonts w:ascii="Times New Roman" w:eastAsia="Times New Roman" w:hAnsi="Times New Roman" w:cs="Times New Roman"/>
          <w:sz w:val="28"/>
          <w:szCs w:val="28"/>
        </w:rPr>
        <w:tab/>
        <w:t>4</w:t>
      </w:r>
      <w:r>
        <w:rPr>
          <w:rFonts w:ascii="Times New Roman" w:eastAsia="Times New Roman" w:hAnsi="Times New Roman" w:cs="Times New Roman"/>
          <w:sz w:val="28"/>
          <w:szCs w:val="28"/>
          <w:lang w:val="ru"/>
        </w:rPr>
        <w:t>5</w:t>
      </w:r>
    </w:p>
    <w:p w:rsidR="00F1629C" w:rsidRDefault="00E671D2">
      <w:pPr>
        <w:tabs>
          <w:tab w:val="left" w:pos="284"/>
          <w:tab w:val="left" w:leader="dot" w:pos="9072"/>
          <w:tab w:val="left" w:leader="dot" w:pos="9639"/>
        </w:tabs>
        <w:spacing w:line="276" w:lineRule="auto"/>
        <w:jc w:val="both"/>
        <w:rPr>
          <w:rFonts w:ascii="Times New Roman" w:eastAsia="等?" w:hAnsi="Times New Roman"/>
          <w:bCs/>
          <w:sz w:val="28"/>
          <w:szCs w:val="28"/>
          <w:lang w:val="ru"/>
        </w:rPr>
      </w:pPr>
      <w:r>
        <w:rPr>
          <w:rFonts w:ascii="Times New Roman" w:eastAsia="Times New Roman" w:hAnsi="Times New Roman" w:cs="Times New Roman"/>
          <w:sz w:val="28"/>
          <w:szCs w:val="28"/>
        </w:rPr>
        <w:t>2.</w:t>
      </w:r>
      <w:r>
        <w:rPr>
          <w:rStyle w:val="af0"/>
          <w:rFonts w:ascii="Times New Roman" w:hAnsi="Times New Roman"/>
          <w:b w:val="0"/>
          <w:bCs/>
          <w:i w:val="0"/>
          <w:color w:val="000000"/>
          <w:sz w:val="28"/>
          <w:szCs w:val="28"/>
          <w:lang w:val="ru"/>
        </w:rPr>
        <w:t>6</w:t>
      </w:r>
      <w:r>
        <w:rPr>
          <w:rStyle w:val="af0"/>
          <w:rFonts w:ascii="Times New Roman" w:hAnsi="Times New Roman"/>
          <w:b w:val="0"/>
          <w:bCs/>
          <w:i w:val="0"/>
          <w:color w:val="000000"/>
          <w:sz w:val="28"/>
          <w:szCs w:val="28"/>
        </w:rPr>
        <w:t xml:space="preserve"> </w:t>
      </w:r>
      <w:r>
        <w:rPr>
          <w:rFonts w:ascii="Times New Roman" w:eastAsia="等?" w:hAnsi="Times New Roman"/>
          <w:bCs/>
          <w:sz w:val="28"/>
          <w:szCs w:val="28"/>
        </w:rPr>
        <w:t>Методи аналізу</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45</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r>
      <w:r>
        <w:rPr>
          <w:rFonts w:ascii="Times New Roman" w:eastAsia="Times New Roman" w:hAnsi="Times New Roman" w:cs="Times New Roman"/>
          <w:sz w:val="28"/>
          <w:szCs w:val="28"/>
        </w:rPr>
        <w:t>2.</w:t>
      </w:r>
      <w:r>
        <w:rPr>
          <w:rFonts w:ascii="Times New Roman" w:hAnsi="Times New Roman"/>
          <w:bCs/>
          <w:sz w:val="28"/>
          <w:szCs w:val="28"/>
          <w:lang w:val="ru"/>
        </w:rPr>
        <w:t>6</w:t>
      </w:r>
      <w:r>
        <w:rPr>
          <w:rFonts w:ascii="Times New Roman" w:hAnsi="Times New Roman"/>
          <w:bCs/>
          <w:sz w:val="28"/>
          <w:szCs w:val="28"/>
        </w:rPr>
        <w:t>.</w:t>
      </w:r>
      <w:r>
        <w:rPr>
          <w:rFonts w:ascii="Times New Roman" w:hAnsi="Times New Roman"/>
          <w:bCs/>
          <w:sz w:val="28"/>
          <w:szCs w:val="28"/>
        </w:rPr>
        <w:t>1</w:t>
      </w:r>
      <w:r>
        <w:rPr>
          <w:rFonts w:ascii="Times New Roman" w:hAnsi="Times New Roman"/>
          <w:bCs/>
          <w:sz w:val="28"/>
          <w:szCs w:val="28"/>
        </w:rPr>
        <w:t xml:space="preserve"> Методика визначення лужності, кислотності та жорсткості</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45</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rPr>
      </w:pPr>
      <w:r>
        <w:rPr>
          <w:rFonts w:ascii="Times New Roman" w:hAnsi="Times New Roman"/>
          <w:bCs/>
          <w:sz w:val="28"/>
          <w:szCs w:val="28"/>
          <w:lang w:val="ru"/>
        </w:rPr>
        <w:lastRenderedPageBreak/>
        <w:tab/>
      </w:r>
      <w:r>
        <w:rPr>
          <w:rFonts w:ascii="Times New Roman" w:hAnsi="Times New Roman"/>
          <w:bCs/>
          <w:sz w:val="28"/>
          <w:szCs w:val="28"/>
        </w:rPr>
        <w:t>2.</w:t>
      </w:r>
      <w:r>
        <w:rPr>
          <w:rFonts w:ascii="Times New Roman" w:hAnsi="Times New Roman"/>
          <w:bCs/>
          <w:sz w:val="28"/>
          <w:szCs w:val="28"/>
          <w:lang w:val="ru"/>
        </w:rPr>
        <w:t>6</w:t>
      </w:r>
      <w:r>
        <w:rPr>
          <w:rFonts w:ascii="Times New Roman" w:hAnsi="Times New Roman"/>
          <w:bCs/>
          <w:sz w:val="28"/>
          <w:szCs w:val="28"/>
        </w:rPr>
        <w:t>.</w:t>
      </w:r>
      <w:r>
        <w:rPr>
          <w:rFonts w:ascii="Times New Roman" w:hAnsi="Times New Roman"/>
          <w:bCs/>
          <w:sz w:val="28"/>
          <w:szCs w:val="28"/>
        </w:rPr>
        <w:t>2</w:t>
      </w:r>
      <w:r>
        <w:rPr>
          <w:rFonts w:ascii="Times New Roman" w:hAnsi="Times New Roman"/>
          <w:bCs/>
          <w:sz w:val="28"/>
          <w:szCs w:val="28"/>
        </w:rPr>
        <w:t xml:space="preserve"> Методика визначення </w:t>
      </w:r>
      <w:r>
        <w:rPr>
          <w:rFonts w:ascii="Times New Roman" w:hAnsi="Times New Roman"/>
          <w:bCs/>
          <w:sz w:val="28"/>
          <w:szCs w:val="28"/>
        </w:rPr>
        <w:t>концентрації важких металів</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w:t>
      </w:r>
      <w:r>
        <w:rPr>
          <w:rFonts w:ascii="Times New Roman" w:eastAsia="Times New Roman" w:hAnsi="Times New Roman" w:cs="Times New Roman"/>
          <w:sz w:val="28"/>
          <w:szCs w:val="28"/>
        </w:rPr>
        <w:t>7</w:t>
      </w:r>
    </w:p>
    <w:p w:rsidR="00F1629C" w:rsidRDefault="00E671D2">
      <w:pPr>
        <w:tabs>
          <w:tab w:val="left" w:pos="0"/>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b/>
          <w:sz w:val="28"/>
          <w:szCs w:val="28"/>
        </w:rPr>
        <w:t xml:space="preserve">РОЗДІЛ 3. Обговорення результатів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48</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3</w:t>
      </w:r>
      <w:r>
        <w:rPr>
          <w:rFonts w:ascii="Times New Roman" w:eastAsia="Times New Roman" w:hAnsi="Times New Roman" w:cs="Times New Roman"/>
          <w:sz w:val="28"/>
          <w:szCs w:val="28"/>
        </w:rPr>
        <w:t>.</w:t>
      </w:r>
      <w:r>
        <w:rPr>
          <w:rFonts w:ascii="Times New Roman" w:hAnsi="Times New Roman" w:cs="Times New Roman"/>
          <w:bCs/>
          <w:iCs/>
          <w:sz w:val="28"/>
          <w:szCs w:val="28"/>
          <w:lang w:val="ru"/>
        </w:rPr>
        <w:t xml:space="preserve">1 Оцінка ефективності вилучення іонів міді з води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48</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hAnsi="Times New Roman" w:cs="Times New Roman"/>
          <w:bCs/>
          <w:iCs/>
          <w:sz w:val="28"/>
          <w:szCs w:val="28"/>
          <w:lang w:val="ru"/>
        </w:rPr>
        <w:t xml:space="preserve">1.1 Оцінка ефективності нанофільтраційного вилучення іонів міді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bCs/>
          <w:iCs/>
          <w:sz w:val="28"/>
          <w:szCs w:val="28"/>
          <w:lang w:val="ru"/>
        </w:rPr>
        <w:t>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48</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hAnsi="Times New Roman" w:cs="Times New Roman"/>
          <w:bCs/>
          <w:iCs/>
          <w:sz w:val="28"/>
          <w:szCs w:val="28"/>
          <w:lang w:val="ru"/>
        </w:rPr>
        <w:t>1.2 Оцінка ефективності іонообмінного вилучення іонів міді 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51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hAnsi="Times New Roman" w:cs="Times New Roman"/>
          <w:bCs/>
          <w:iCs/>
          <w:sz w:val="28"/>
          <w:szCs w:val="28"/>
          <w:lang w:val="ru"/>
        </w:rPr>
        <w:t>1.3 Оцінка ефективності вилучення іонів міді з в</w:t>
      </w:r>
      <w:r>
        <w:rPr>
          <w:rFonts w:ascii="Times New Roman" w:hAnsi="Times New Roman" w:cs="Times New Roman"/>
          <w:bCs/>
          <w:iCs/>
          <w:sz w:val="28"/>
          <w:szCs w:val="28"/>
          <w:lang w:val="ru"/>
        </w:rPr>
        <w:t>оди за допомогою сорбції на магнетиті</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62</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2</w:t>
      </w:r>
      <w:r>
        <w:rPr>
          <w:rFonts w:ascii="Times New Roman" w:hAnsi="Times New Roman" w:cs="Times New Roman"/>
          <w:bCs/>
          <w:iCs/>
          <w:sz w:val="28"/>
          <w:szCs w:val="28"/>
          <w:lang w:val="ru"/>
        </w:rPr>
        <w:t xml:space="preserve"> Оцінка ефективності вилучення іонів свинцю з води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71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2</w:t>
      </w:r>
      <w:r>
        <w:rPr>
          <w:rFonts w:ascii="Times New Roman" w:hAnsi="Times New Roman" w:cs="Times New Roman"/>
          <w:bCs/>
          <w:iCs/>
          <w:sz w:val="28"/>
          <w:szCs w:val="28"/>
          <w:lang w:val="ru"/>
        </w:rPr>
        <w:t>.1 Оцінка ефективності нанофільтраційного вилучення іонів свинцю 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71</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2</w:t>
      </w:r>
      <w:r>
        <w:rPr>
          <w:rFonts w:ascii="Times New Roman" w:hAnsi="Times New Roman" w:cs="Times New Roman"/>
          <w:bCs/>
          <w:iCs/>
          <w:sz w:val="28"/>
          <w:szCs w:val="28"/>
          <w:lang w:val="ru"/>
        </w:rPr>
        <w:t xml:space="preserve">.2 Оцінка ефективності іонообмінного вилучення іонів свинцю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bCs/>
          <w:iCs/>
          <w:sz w:val="28"/>
          <w:szCs w:val="28"/>
          <w:lang w:val="ru"/>
        </w:rPr>
        <w:t>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72</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3</w:t>
      </w:r>
      <w:r>
        <w:rPr>
          <w:rFonts w:ascii="Times New Roman" w:hAnsi="Times New Roman" w:cs="Times New Roman"/>
          <w:bCs/>
          <w:iCs/>
          <w:sz w:val="28"/>
          <w:szCs w:val="28"/>
          <w:lang w:val="ru"/>
        </w:rPr>
        <w:t xml:space="preserve"> Оцінка ефективності вилучення іонів нікелю з води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76</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3</w:t>
      </w:r>
      <w:r>
        <w:rPr>
          <w:rFonts w:ascii="Times New Roman" w:hAnsi="Times New Roman" w:cs="Times New Roman"/>
          <w:bCs/>
          <w:iCs/>
          <w:sz w:val="28"/>
          <w:szCs w:val="28"/>
          <w:lang w:val="ru"/>
        </w:rPr>
        <w:t xml:space="preserve">.1 Оцінка ефективності нанофільтраційного вилучення іонів нікелю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bCs/>
          <w:iCs/>
          <w:sz w:val="28"/>
          <w:szCs w:val="28"/>
          <w:lang w:val="ru"/>
        </w:rPr>
        <w:t>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76</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3</w:t>
      </w:r>
      <w:r>
        <w:rPr>
          <w:rFonts w:ascii="Times New Roman" w:hAnsi="Times New Roman" w:cs="Times New Roman"/>
          <w:bCs/>
          <w:iCs/>
          <w:sz w:val="28"/>
          <w:szCs w:val="28"/>
          <w:lang w:val="ru"/>
        </w:rPr>
        <w:t xml:space="preserve">.2 Оцінка ефективності іонообмінного вилучення іонів нікелю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bCs/>
          <w:iCs/>
          <w:sz w:val="28"/>
          <w:szCs w:val="28"/>
          <w:lang w:val="ru"/>
        </w:rPr>
        <w:t>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78</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4</w:t>
      </w:r>
      <w:r>
        <w:rPr>
          <w:rFonts w:ascii="Times New Roman" w:hAnsi="Times New Roman" w:cs="Times New Roman"/>
          <w:bCs/>
          <w:iCs/>
          <w:sz w:val="28"/>
          <w:szCs w:val="28"/>
          <w:lang w:val="ru"/>
        </w:rPr>
        <w:t xml:space="preserve"> Оцінка ефективності вилучення іонів кадмію з води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80</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4</w:t>
      </w:r>
      <w:r>
        <w:rPr>
          <w:rFonts w:ascii="Times New Roman" w:hAnsi="Times New Roman" w:cs="Times New Roman"/>
          <w:bCs/>
          <w:iCs/>
          <w:sz w:val="28"/>
          <w:szCs w:val="28"/>
          <w:lang w:val="ru"/>
        </w:rPr>
        <w:t xml:space="preserve">.1 Оцінка ефективності нанофільтраційного вилучення іонів кадмію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bCs/>
          <w:iCs/>
          <w:sz w:val="28"/>
          <w:szCs w:val="28"/>
          <w:lang w:val="ru"/>
        </w:rPr>
        <w:t>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4</w:t>
      </w:r>
      <w:r>
        <w:rPr>
          <w:rFonts w:ascii="Times New Roman" w:hAnsi="Times New Roman" w:cs="Times New Roman"/>
          <w:bCs/>
          <w:iCs/>
          <w:sz w:val="28"/>
          <w:szCs w:val="28"/>
          <w:lang w:val="ru"/>
        </w:rPr>
        <w:t>.2 Оцінка ефективності іонообмінного вилучення іонів кадмію 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83</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5</w:t>
      </w:r>
      <w:r>
        <w:rPr>
          <w:rFonts w:ascii="Times New Roman" w:hAnsi="Times New Roman" w:cs="Times New Roman"/>
          <w:bCs/>
          <w:iCs/>
          <w:sz w:val="28"/>
          <w:szCs w:val="28"/>
          <w:lang w:val="ru"/>
        </w:rPr>
        <w:t xml:space="preserve"> Оцінка ефективності вилучення іонів цинку з води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85</w:t>
      </w:r>
    </w:p>
    <w:p w:rsidR="00F1629C" w:rsidRDefault="00E671D2">
      <w:pPr>
        <w:tabs>
          <w:tab w:val="left" w:pos="284"/>
          <w:tab w:val="left" w:leader="dot" w:pos="9072"/>
          <w:tab w:val="left" w:leader="dot" w:pos="9639"/>
        </w:tabs>
        <w:spacing w:line="276" w:lineRule="auto"/>
        <w:jc w:val="both"/>
        <w:rPr>
          <w:rFonts w:ascii="Times New Roman" w:hAnsi="Times New Roman" w:cs="Times New Roman"/>
          <w:bCs/>
          <w:iCs/>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5</w:t>
      </w:r>
      <w:r>
        <w:rPr>
          <w:rFonts w:ascii="Times New Roman" w:hAnsi="Times New Roman" w:cs="Times New Roman"/>
          <w:bCs/>
          <w:iCs/>
          <w:sz w:val="28"/>
          <w:szCs w:val="28"/>
          <w:lang w:val="ru"/>
        </w:rPr>
        <w:t xml:space="preserve">.1 Оцінка ефективності нанофільтраційного вилучення іонів цинку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bCs/>
          <w:iCs/>
          <w:sz w:val="28"/>
          <w:szCs w:val="28"/>
          <w:lang w:val="ru"/>
        </w:rPr>
        <w:t>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85</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
        </w:rPr>
        <w:tab/>
        <w:t>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
        </w:rPr>
        <w:t>5</w:t>
      </w:r>
      <w:r>
        <w:rPr>
          <w:rFonts w:ascii="Times New Roman" w:hAnsi="Times New Roman" w:cs="Times New Roman"/>
          <w:bCs/>
          <w:iCs/>
          <w:sz w:val="28"/>
          <w:szCs w:val="28"/>
          <w:lang w:val="ru"/>
        </w:rPr>
        <w:t>.2 Оцінка ефективності іонообмінного вилучення іонів цинку з води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87</w:t>
      </w:r>
    </w:p>
    <w:p w:rsidR="00F1629C" w:rsidRDefault="00E671D2">
      <w:pPr>
        <w:tabs>
          <w:tab w:val="left" w:pos="284"/>
          <w:tab w:val="left" w:leader="dot" w:pos="9072"/>
          <w:tab w:val="left" w:leader="dot" w:pos="9639"/>
        </w:tabs>
        <w:spacing w:line="276" w:lineRule="auto"/>
        <w:ind w:left="284" w:hanging="284"/>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rPr>
        <w:t>Висновки до розділу 3</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89</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b/>
          <w:sz w:val="28"/>
          <w:szCs w:val="28"/>
        </w:rPr>
        <w:t>РОЗДІЛ 4. Стартап проект</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91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sz w:val="28"/>
          <w:szCs w:val="28"/>
          <w:lang w:val="ru-RU"/>
        </w:rPr>
        <w:lastRenderedPageBreak/>
        <w:t>4</w:t>
      </w:r>
      <w:r>
        <w:rPr>
          <w:rFonts w:ascii="Times New Roman" w:eastAsia="Times New Roman" w:hAnsi="Times New Roman" w:cs="Times New Roman"/>
          <w:sz w:val="28"/>
          <w:szCs w:val="28"/>
        </w:rPr>
        <w:t>.1 Опис ідеї стартап-проекту</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91</w:t>
      </w:r>
    </w:p>
    <w:p w:rsidR="00F1629C" w:rsidRDefault="00E671D2">
      <w:pPr>
        <w:tabs>
          <w:tab w:val="left" w:pos="284"/>
          <w:tab w:val="left" w:leader="dot" w:pos="9072"/>
          <w:tab w:val="left" w:leader="dot" w:pos="9639"/>
        </w:tabs>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4.2 Визначення сильних,  слабких та  нейтральних  характеристик ідеї </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 xml:space="preserve">проекту </w:t>
      </w:r>
      <w:r>
        <w:rPr>
          <w:rFonts w:ascii="Times New Roman" w:hAnsi="Times New Roman" w:cs="Times New Roman"/>
          <w:sz w:val="28"/>
          <w:szCs w:val="28"/>
        </w:rPr>
        <w:tab/>
      </w:r>
      <w:r>
        <w:rPr>
          <w:rFonts w:ascii="Times New Roman" w:hAnsi="Times New Roman" w:cs="Times New Roman"/>
          <w:sz w:val="28"/>
          <w:szCs w:val="28"/>
          <w:lang w:val="ru"/>
        </w:rPr>
        <w:t>91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 xml:space="preserve">4.3 Технологічна здійсненність ідеї проекту </w:t>
      </w:r>
      <w:r>
        <w:rPr>
          <w:rFonts w:ascii="Times New Roman" w:hAnsi="Times New Roman" w:cs="Times New Roman"/>
          <w:sz w:val="28"/>
          <w:szCs w:val="28"/>
        </w:rPr>
        <w:tab/>
      </w:r>
      <w:r>
        <w:rPr>
          <w:rFonts w:ascii="Times New Roman" w:hAnsi="Times New Roman" w:cs="Times New Roman"/>
          <w:sz w:val="28"/>
          <w:szCs w:val="28"/>
          <w:lang w:val="ru"/>
        </w:rPr>
        <w:t>92</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4.4 Характеристика потенційних клієнтів</w:t>
      </w:r>
      <w:r>
        <w:rPr>
          <w:rFonts w:ascii="Times New Roman" w:hAnsi="Times New Roman" w:cs="Times New Roman"/>
          <w:sz w:val="28"/>
          <w:szCs w:val="28"/>
        </w:rPr>
        <w:tab/>
      </w:r>
      <w:r>
        <w:rPr>
          <w:rFonts w:ascii="Times New Roman" w:hAnsi="Times New Roman" w:cs="Times New Roman"/>
          <w:sz w:val="28"/>
          <w:szCs w:val="28"/>
          <w:lang w:val="ru"/>
        </w:rPr>
        <w:t>92</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4.5 Фактори загроз</w:t>
      </w:r>
      <w:r>
        <w:rPr>
          <w:rFonts w:ascii="Times New Roman" w:hAnsi="Times New Roman" w:cs="Times New Roman"/>
          <w:sz w:val="28"/>
          <w:szCs w:val="28"/>
        </w:rPr>
        <w:tab/>
      </w:r>
      <w:r>
        <w:rPr>
          <w:rFonts w:ascii="Times New Roman" w:hAnsi="Times New Roman" w:cs="Times New Roman"/>
          <w:sz w:val="28"/>
          <w:szCs w:val="28"/>
          <w:lang w:val="ru"/>
        </w:rPr>
        <w:t>93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4.6 Фактори можливостей</w:t>
      </w:r>
      <w:r>
        <w:rPr>
          <w:rFonts w:ascii="Times New Roman" w:hAnsi="Times New Roman" w:cs="Times New Roman"/>
          <w:sz w:val="28"/>
          <w:szCs w:val="28"/>
        </w:rPr>
        <w:tab/>
      </w:r>
      <w:r>
        <w:rPr>
          <w:rFonts w:ascii="Times New Roman" w:hAnsi="Times New Roman" w:cs="Times New Roman"/>
          <w:sz w:val="28"/>
          <w:szCs w:val="28"/>
          <w:lang w:val="ru"/>
        </w:rPr>
        <w:t>94</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4.7 Ступеневий аналіз конкуренції на ринку</w:t>
      </w:r>
      <w:r>
        <w:rPr>
          <w:rFonts w:ascii="Times New Roman" w:hAnsi="Times New Roman" w:cs="Times New Roman"/>
          <w:sz w:val="28"/>
          <w:szCs w:val="28"/>
        </w:rPr>
        <w:tab/>
      </w:r>
      <w:r>
        <w:rPr>
          <w:rFonts w:ascii="Times New Roman" w:hAnsi="Times New Roman" w:cs="Times New Roman"/>
          <w:sz w:val="28"/>
          <w:szCs w:val="28"/>
          <w:lang w:val="ru"/>
        </w:rPr>
        <w:t>95</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4.8 Аналіз конкуренції в галузі за М. Портером</w:t>
      </w:r>
      <w:r>
        <w:rPr>
          <w:rFonts w:ascii="Times New Roman" w:hAnsi="Times New Roman" w:cs="Times New Roman"/>
          <w:sz w:val="28"/>
          <w:szCs w:val="28"/>
        </w:rPr>
        <w:tab/>
      </w:r>
      <w:r>
        <w:rPr>
          <w:rFonts w:ascii="Times New Roman" w:hAnsi="Times New Roman" w:cs="Times New Roman"/>
          <w:sz w:val="28"/>
          <w:szCs w:val="28"/>
          <w:lang w:val="ru"/>
        </w:rPr>
        <w:t>96</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4.9 Обгрунтування факторів конкурентоспроможності</w:t>
      </w:r>
      <w:r>
        <w:rPr>
          <w:rFonts w:ascii="Times New Roman" w:hAnsi="Times New Roman" w:cs="Times New Roman"/>
          <w:sz w:val="28"/>
          <w:szCs w:val="28"/>
        </w:rPr>
        <w:tab/>
      </w:r>
      <w:r>
        <w:rPr>
          <w:rFonts w:ascii="Times New Roman" w:hAnsi="Times New Roman" w:cs="Times New Roman"/>
          <w:sz w:val="28"/>
          <w:szCs w:val="28"/>
          <w:lang w:val="ru"/>
        </w:rPr>
        <w:t>97</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4.10 SWOT – аналіз стартап-проекту</w:t>
      </w:r>
      <w:r>
        <w:rPr>
          <w:rFonts w:ascii="Times New Roman" w:hAnsi="Times New Roman" w:cs="Times New Roman"/>
          <w:sz w:val="28"/>
          <w:szCs w:val="28"/>
        </w:rPr>
        <w:tab/>
      </w:r>
      <w:r>
        <w:rPr>
          <w:rFonts w:ascii="Times New Roman" w:hAnsi="Times New Roman" w:cs="Times New Roman"/>
          <w:sz w:val="28"/>
          <w:szCs w:val="28"/>
          <w:lang w:val="ru"/>
        </w:rPr>
        <w:t>97</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4.11 Вибір цільових груп потенційних споживачів</w:t>
      </w:r>
      <w:r>
        <w:rPr>
          <w:rFonts w:ascii="Times New Roman" w:hAnsi="Times New Roman" w:cs="Times New Roman"/>
          <w:sz w:val="28"/>
          <w:szCs w:val="28"/>
        </w:rPr>
        <w:tab/>
      </w:r>
      <w:r>
        <w:rPr>
          <w:rFonts w:ascii="Times New Roman" w:hAnsi="Times New Roman" w:cs="Times New Roman"/>
          <w:sz w:val="28"/>
          <w:szCs w:val="28"/>
          <w:lang w:val="ru"/>
        </w:rPr>
        <w:t>98</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4.12 Визначенн</w:t>
      </w:r>
      <w:r>
        <w:rPr>
          <w:rFonts w:ascii="Times New Roman" w:hAnsi="Times New Roman" w:cs="Times New Roman"/>
          <w:sz w:val="28"/>
          <w:szCs w:val="28"/>
        </w:rPr>
        <w:t>я базової стратегії конкурентної поведінки</w:t>
      </w:r>
      <w:r>
        <w:rPr>
          <w:rFonts w:ascii="Times New Roman" w:hAnsi="Times New Roman" w:cs="Times New Roman"/>
          <w:sz w:val="28"/>
          <w:szCs w:val="28"/>
        </w:rPr>
        <w:tab/>
      </w:r>
      <w:r>
        <w:rPr>
          <w:rFonts w:ascii="Times New Roman" w:hAnsi="Times New Roman" w:cs="Times New Roman"/>
          <w:sz w:val="28"/>
          <w:szCs w:val="28"/>
          <w:lang w:val="ru"/>
        </w:rPr>
        <w:t>98</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4.13 Визначення</w:t>
      </w:r>
      <w:r>
        <w:t xml:space="preserve"> </w:t>
      </w:r>
      <w:r>
        <w:rPr>
          <w:rFonts w:ascii="Times New Roman" w:hAnsi="Times New Roman" w:cs="Times New Roman"/>
          <w:sz w:val="28"/>
          <w:szCs w:val="28"/>
        </w:rPr>
        <w:t>стратегії позиціонування</w:t>
      </w:r>
      <w:r>
        <w:rPr>
          <w:rFonts w:ascii="Times New Roman" w:hAnsi="Times New Roman" w:cs="Times New Roman"/>
          <w:sz w:val="28"/>
          <w:szCs w:val="28"/>
        </w:rPr>
        <w:tab/>
      </w:r>
      <w:r>
        <w:rPr>
          <w:rFonts w:ascii="Times New Roman" w:hAnsi="Times New Roman" w:cs="Times New Roman"/>
          <w:sz w:val="28"/>
          <w:szCs w:val="28"/>
          <w:lang w:val="ru"/>
        </w:rPr>
        <w:t>99</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4.14 Визначення ключових переваг концепції потенційного товару</w:t>
      </w:r>
      <w:r>
        <w:rPr>
          <w:rFonts w:ascii="Times New Roman" w:hAnsi="Times New Roman" w:cs="Times New Roman"/>
          <w:sz w:val="28"/>
          <w:szCs w:val="28"/>
        </w:rPr>
        <w:tab/>
      </w:r>
      <w:r>
        <w:rPr>
          <w:rFonts w:ascii="Times New Roman" w:hAnsi="Times New Roman" w:cs="Times New Roman"/>
          <w:sz w:val="28"/>
          <w:szCs w:val="28"/>
          <w:lang w:val="ru"/>
        </w:rPr>
        <w:t>99</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4.15 Опис трьох рівнів моделі товару</w:t>
      </w:r>
      <w:r>
        <w:rPr>
          <w:rFonts w:ascii="Times New Roman" w:hAnsi="Times New Roman" w:cs="Times New Roman"/>
          <w:sz w:val="28"/>
          <w:szCs w:val="28"/>
        </w:rPr>
        <w:tab/>
      </w:r>
      <w:r>
        <w:rPr>
          <w:rFonts w:ascii="Times New Roman" w:hAnsi="Times New Roman" w:cs="Times New Roman"/>
          <w:sz w:val="28"/>
          <w:szCs w:val="28"/>
          <w:lang w:val="ru"/>
        </w:rPr>
        <w:t>100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4.16 Визначення  меж встановлення ціни</w:t>
      </w:r>
      <w:r>
        <w:rPr>
          <w:rFonts w:ascii="Times New Roman" w:hAnsi="Times New Roman" w:cs="Times New Roman"/>
          <w:sz w:val="28"/>
          <w:szCs w:val="28"/>
        </w:rPr>
        <w:tab/>
      </w:r>
      <w:r>
        <w:rPr>
          <w:rFonts w:ascii="Times New Roman" w:hAnsi="Times New Roman" w:cs="Times New Roman"/>
          <w:sz w:val="28"/>
          <w:szCs w:val="28"/>
          <w:lang w:val="ru"/>
        </w:rPr>
        <w:t>100</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 xml:space="preserve">4.17 Формування </w:t>
      </w:r>
      <w:r>
        <w:rPr>
          <w:rFonts w:ascii="Times New Roman" w:hAnsi="Times New Roman" w:cs="Times New Roman"/>
          <w:sz w:val="28"/>
          <w:szCs w:val="28"/>
        </w:rPr>
        <w:t>системи збуту</w:t>
      </w:r>
      <w:r>
        <w:rPr>
          <w:rFonts w:ascii="Times New Roman" w:hAnsi="Times New Roman" w:cs="Times New Roman"/>
          <w:sz w:val="28"/>
          <w:szCs w:val="28"/>
        </w:rPr>
        <w:tab/>
      </w:r>
      <w:r>
        <w:rPr>
          <w:rFonts w:ascii="Times New Roman" w:hAnsi="Times New Roman" w:cs="Times New Roman"/>
          <w:sz w:val="28"/>
          <w:szCs w:val="28"/>
          <w:lang w:val="ru"/>
        </w:rPr>
        <w:t>101</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hAnsi="Times New Roman" w:cs="Times New Roman"/>
          <w:sz w:val="28"/>
          <w:szCs w:val="28"/>
        </w:rPr>
        <w:t>Висновки до розділу 4</w:t>
      </w:r>
      <w:r>
        <w:rPr>
          <w:rFonts w:ascii="Times New Roman" w:hAnsi="Times New Roman" w:cs="Times New Roman"/>
          <w:sz w:val="28"/>
          <w:szCs w:val="28"/>
        </w:rPr>
        <w:tab/>
      </w:r>
      <w:r>
        <w:rPr>
          <w:rFonts w:ascii="Times New Roman" w:hAnsi="Times New Roman" w:cs="Times New Roman"/>
          <w:sz w:val="28"/>
          <w:szCs w:val="28"/>
          <w:lang w:val="ru"/>
        </w:rPr>
        <w:t>102</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103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sz w:val="28"/>
          <w:szCs w:val="28"/>
          <w:lang w:val="ru"/>
        </w:rPr>
      </w:pPr>
      <w:r>
        <w:rPr>
          <w:rFonts w:ascii="Times New Roman" w:eastAsia="Times New Roman" w:hAnsi="Times New Roman" w:cs="Times New Roman"/>
          <w:b/>
          <w:sz w:val="28"/>
          <w:szCs w:val="28"/>
        </w:rPr>
        <w:t>Список використаної літератури</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105</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b/>
          <w:bCs/>
          <w:sz w:val="28"/>
          <w:szCs w:val="28"/>
          <w:lang w:val="ru"/>
        </w:rPr>
      </w:pPr>
      <w:r>
        <w:rPr>
          <w:rFonts w:ascii="Times New Roman" w:eastAsia="Times New Roman" w:hAnsi="Times New Roman" w:cs="Times New Roman"/>
          <w:b/>
          <w:sz w:val="28"/>
          <w:szCs w:val="28"/>
          <w:lang w:val="ru"/>
        </w:rPr>
        <w:t>Додаток</w:t>
      </w:r>
      <w:r>
        <w:rPr>
          <w:rFonts w:ascii="Times New Roman" w:eastAsia="Times New Roman" w:hAnsi="Times New Roman" w:cs="Times New Roman"/>
          <w:b/>
          <w:sz w:val="28"/>
          <w:szCs w:val="28"/>
          <w:lang w:val="ru"/>
        </w:rPr>
        <w:t xml:space="preserve"> А</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115</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b/>
          <w:bCs/>
          <w:sz w:val="28"/>
          <w:szCs w:val="28"/>
          <w:lang w:val="ru"/>
        </w:rPr>
      </w:pPr>
      <w:r>
        <w:rPr>
          <w:rFonts w:ascii="Times New Roman" w:eastAsia="Times New Roman" w:hAnsi="Times New Roman" w:cs="Times New Roman"/>
          <w:b/>
          <w:sz w:val="28"/>
          <w:szCs w:val="28"/>
          <w:lang w:val="ru"/>
        </w:rPr>
        <w:t>Додаток</w:t>
      </w:r>
      <w:r>
        <w:rPr>
          <w:rFonts w:ascii="Times New Roman" w:eastAsia="Times New Roman" w:hAnsi="Times New Roman" w:cs="Times New Roman"/>
          <w:b/>
          <w:sz w:val="28"/>
          <w:szCs w:val="28"/>
          <w:lang w:val="ru"/>
        </w:rPr>
        <w:t xml:space="preserve"> Б</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119</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b/>
          <w:bCs/>
          <w:sz w:val="28"/>
          <w:szCs w:val="28"/>
          <w:lang w:val="ru"/>
        </w:rPr>
      </w:pPr>
      <w:r>
        <w:rPr>
          <w:rFonts w:ascii="Times New Roman" w:eastAsia="Times New Roman" w:hAnsi="Times New Roman" w:cs="Times New Roman"/>
          <w:b/>
          <w:sz w:val="28"/>
          <w:szCs w:val="28"/>
          <w:lang w:val="ru"/>
        </w:rPr>
        <w:t>Додаток</w:t>
      </w:r>
      <w:r>
        <w:rPr>
          <w:rFonts w:ascii="Times New Roman" w:eastAsia="Times New Roman" w:hAnsi="Times New Roman" w:cs="Times New Roman"/>
          <w:b/>
          <w:sz w:val="28"/>
          <w:szCs w:val="28"/>
          <w:lang w:val="ru"/>
        </w:rPr>
        <w:t xml:space="preserve"> В</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123</w:t>
      </w:r>
    </w:p>
    <w:p w:rsidR="00F1629C" w:rsidRDefault="00E671D2">
      <w:pPr>
        <w:tabs>
          <w:tab w:val="left" w:pos="284"/>
          <w:tab w:val="left" w:leader="dot" w:pos="9072"/>
          <w:tab w:val="left" w:leader="dot" w:pos="9639"/>
        </w:tabs>
        <w:spacing w:line="276" w:lineRule="auto"/>
        <w:jc w:val="both"/>
        <w:rPr>
          <w:rFonts w:ascii="Times New Roman" w:eastAsia="Times New Roman" w:hAnsi="Times New Roman" w:cs="Times New Roman"/>
          <w:b/>
          <w:bCs/>
          <w:sz w:val="28"/>
          <w:szCs w:val="28"/>
          <w:lang w:val="ru"/>
        </w:rPr>
      </w:pPr>
      <w:r>
        <w:rPr>
          <w:rFonts w:ascii="Times New Roman" w:eastAsia="Times New Roman" w:hAnsi="Times New Roman" w:cs="Times New Roman"/>
          <w:b/>
          <w:sz w:val="28"/>
          <w:szCs w:val="28"/>
          <w:lang w:val="ru"/>
        </w:rPr>
        <w:t>Додаток</w:t>
      </w:r>
      <w:r>
        <w:rPr>
          <w:rFonts w:ascii="Times New Roman" w:eastAsia="Times New Roman" w:hAnsi="Times New Roman" w:cs="Times New Roman"/>
          <w:b/>
          <w:sz w:val="28"/>
          <w:szCs w:val="28"/>
          <w:lang w:val="ru"/>
        </w:rPr>
        <w:t xml:space="preserve"> Г</w:t>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ru"/>
        </w:rPr>
        <w:t>127</w:t>
      </w:r>
    </w:p>
    <w:p w:rsidR="00F1629C" w:rsidRDefault="00E671D2">
      <w:pPr>
        <w:rPr>
          <w:b/>
        </w:rPr>
      </w:pPr>
      <w:r>
        <w:rPr>
          <w:b/>
        </w:rPr>
        <w:br w:type="page"/>
      </w:r>
    </w:p>
    <w:p w:rsidR="00F1629C" w:rsidRDefault="00E671D2">
      <w:pPr>
        <w:pStyle w:val="a5"/>
        <w:tabs>
          <w:tab w:val="left" w:pos="284"/>
        </w:tabs>
        <w:spacing w:line="360" w:lineRule="auto"/>
        <w:jc w:val="center"/>
        <w:rPr>
          <w:b/>
        </w:rPr>
      </w:pPr>
      <w:r>
        <w:rPr>
          <w:b/>
        </w:rPr>
        <w:lastRenderedPageBreak/>
        <w:t>ВСТУП</w:t>
      </w:r>
    </w:p>
    <w:p w:rsidR="00F1629C" w:rsidRDefault="00F1629C">
      <w:pPr>
        <w:pStyle w:val="a5"/>
        <w:tabs>
          <w:tab w:val="left" w:pos="284"/>
        </w:tabs>
        <w:spacing w:line="360" w:lineRule="auto"/>
        <w:jc w:val="center"/>
        <w:rPr>
          <w:b/>
        </w:rPr>
      </w:pPr>
    </w:p>
    <w:p w:rsidR="00F1629C" w:rsidRDefault="00E671D2">
      <w:pPr>
        <w:pStyle w:val="af4"/>
        <w:tabs>
          <w:tab w:val="left" w:pos="284"/>
        </w:tabs>
        <w:spacing w:line="360" w:lineRule="auto"/>
        <w:ind w:left="0" w:firstLine="0"/>
        <w:jc w:val="both"/>
        <w:rPr>
          <w:sz w:val="28"/>
          <w:szCs w:val="28"/>
          <w:lang w:val="ru"/>
        </w:rPr>
      </w:pPr>
      <w:r>
        <w:rPr>
          <w:sz w:val="28"/>
          <w:szCs w:val="28"/>
          <w:lang w:val="ru"/>
        </w:rPr>
        <w:tab/>
        <w:t xml:space="preserve">Важкі метали є природними компонентами земної кори і існування нашої планети без них неможливо. У </w:t>
      </w:r>
      <w:r>
        <w:rPr>
          <w:sz w:val="28"/>
          <w:szCs w:val="28"/>
          <w:lang w:val="ru"/>
        </w:rPr>
        <w:t>незначній мірі вони потрапляють в наші органи через їжу, питну воду та повітря. В якості мікроелементів деякі важкі метали (наприклад, мідь, селен, цинк) мають важливе значення для підтримки метаболізму в організмі людини. Однак у більш високих концентраці</w:t>
      </w:r>
      <w:r>
        <w:rPr>
          <w:sz w:val="28"/>
          <w:szCs w:val="28"/>
          <w:lang w:val="ru"/>
        </w:rPr>
        <w:t>ях вони можуть призвести до отруєння. Отруєння важкими металами може спричинити, наприклад, забруднення питної води (наприклад, через свинцеві труби), високі концентрації важких металів у навколишньому повітрі біля джерел викидів або надходження їх через х</w:t>
      </w:r>
      <w:r>
        <w:rPr>
          <w:sz w:val="28"/>
          <w:szCs w:val="28"/>
          <w:lang w:val="ru"/>
        </w:rPr>
        <w:t>арчовий ланцюг.</w:t>
      </w:r>
    </w:p>
    <w:p w:rsidR="00F1629C" w:rsidRDefault="00E671D2">
      <w:pPr>
        <w:pStyle w:val="af4"/>
        <w:tabs>
          <w:tab w:val="left" w:pos="284"/>
        </w:tabs>
        <w:spacing w:line="360" w:lineRule="auto"/>
        <w:ind w:left="0" w:firstLine="0"/>
        <w:jc w:val="both"/>
        <w:rPr>
          <w:sz w:val="28"/>
          <w:szCs w:val="28"/>
          <w:lang w:val="ru"/>
        </w:rPr>
      </w:pPr>
      <w:r>
        <w:rPr>
          <w:sz w:val="28"/>
          <w:szCs w:val="28"/>
          <w:lang w:val="ru"/>
        </w:rPr>
        <w:tab/>
        <w:t>Важкі метали небезпечні тим, що вони схильні до біоакумуляції. Біоакумуляція означає збільшення концентрації хімічної речовини в біологічному організмі з часом, порівняно з концентрацією хімічної речовини в навколишньому середовищі. Сполук</w:t>
      </w:r>
      <w:r>
        <w:rPr>
          <w:sz w:val="28"/>
          <w:szCs w:val="28"/>
          <w:lang w:val="ru"/>
        </w:rPr>
        <w:t>и накопичуються в організмі під час їх надходження та зберігаються у ньому довше, ніж руйнуються (метаболізуються) або виводяться з організму.</w:t>
      </w:r>
    </w:p>
    <w:p w:rsidR="00F1629C" w:rsidRDefault="00E671D2">
      <w:pPr>
        <w:pStyle w:val="af4"/>
        <w:tabs>
          <w:tab w:val="left" w:pos="284"/>
        </w:tabs>
        <w:spacing w:line="360" w:lineRule="auto"/>
        <w:ind w:left="0" w:firstLine="0"/>
        <w:jc w:val="both"/>
        <w:rPr>
          <w:sz w:val="28"/>
          <w:szCs w:val="28"/>
          <w:lang w:val="ru"/>
        </w:rPr>
      </w:pPr>
      <w:r>
        <w:rPr>
          <w:sz w:val="28"/>
          <w:szCs w:val="28"/>
          <w:lang w:val="ru"/>
        </w:rPr>
        <w:tab/>
        <w:t>Тому, навіть у низьких концентраціях важкі метали можуть спричинити серйозні токсичні та шкідливі наслідки для о</w:t>
      </w:r>
      <w:r>
        <w:rPr>
          <w:sz w:val="28"/>
          <w:szCs w:val="28"/>
          <w:lang w:val="ru"/>
        </w:rPr>
        <w:t>рганізму та навколишнього середовища. Всесвітня організація охорони здоров'я (ВООЗ) обмежила концентрацію важких металів. Наприклад, у питній воді максимально допустима межа концентрації міді пропонується як 1,5 мг/дм</w:t>
      </w:r>
      <w:r>
        <w:rPr>
          <w:sz w:val="28"/>
          <w:szCs w:val="28"/>
          <w:vertAlign w:val="superscript"/>
          <w:lang w:val="ru"/>
        </w:rPr>
        <w:t>3</w:t>
      </w:r>
      <w:r>
        <w:rPr>
          <w:sz w:val="28"/>
          <w:szCs w:val="28"/>
          <w:lang w:val="ru"/>
        </w:rPr>
        <w:t xml:space="preserve">, коли граничні концентрації металів, </w:t>
      </w:r>
      <w:r>
        <w:rPr>
          <w:sz w:val="28"/>
          <w:szCs w:val="28"/>
          <w:lang w:val="ru"/>
        </w:rPr>
        <w:t>що містять небезпечні відходи, різні. Для видалення важких металів застосовуються іонообміне вилучення, фільтрація через мембрани, хімічне осадження, особливо наразі набувають популярності методи адсорбції. В основному, техніка адсорбції є одним із найбіль</w:t>
      </w:r>
      <w:r>
        <w:rPr>
          <w:sz w:val="28"/>
          <w:szCs w:val="28"/>
          <w:lang w:val="ru"/>
        </w:rPr>
        <w:t>ш перспективних методів через її простоту, нетоксичність, економічну ефективність та доступність для видалення токсичних важких металів з водного середовища.</w:t>
      </w:r>
    </w:p>
    <w:p w:rsidR="00F1629C" w:rsidRDefault="00E671D2">
      <w:pPr>
        <w:pStyle w:val="af4"/>
        <w:tabs>
          <w:tab w:val="left" w:pos="284"/>
        </w:tabs>
        <w:spacing w:line="360" w:lineRule="auto"/>
        <w:ind w:left="0" w:firstLine="0"/>
        <w:jc w:val="both"/>
        <w:rPr>
          <w:sz w:val="28"/>
          <w:szCs w:val="28"/>
          <w:lang w:val="ru"/>
        </w:rPr>
      </w:pPr>
      <w:r>
        <w:rPr>
          <w:sz w:val="28"/>
          <w:szCs w:val="28"/>
          <w:lang w:val="ru"/>
        </w:rPr>
        <w:tab/>
        <w:t>Тому, метою даної роботи була оцінка ефективності трьох основних методів вилучення іонів важких м</w:t>
      </w:r>
      <w:r>
        <w:rPr>
          <w:sz w:val="28"/>
          <w:szCs w:val="28"/>
          <w:lang w:val="ru"/>
        </w:rPr>
        <w:t xml:space="preserve">еталів з води: іонного обміну, нанофільтрації та </w:t>
      </w:r>
      <w:r>
        <w:rPr>
          <w:sz w:val="28"/>
          <w:szCs w:val="28"/>
          <w:lang w:val="ru"/>
        </w:rPr>
        <w:lastRenderedPageBreak/>
        <w:t>адсорбції. Для досягнення цієї мети необхідно було виконати наступні завдання:</w:t>
      </w:r>
    </w:p>
    <w:p w:rsidR="00F1629C" w:rsidRDefault="00E671D2">
      <w:pPr>
        <w:pStyle w:val="af4"/>
        <w:numPr>
          <w:ilvl w:val="0"/>
          <w:numId w:val="1"/>
        </w:numPr>
        <w:tabs>
          <w:tab w:val="clear" w:pos="420"/>
          <w:tab w:val="left" w:pos="284"/>
        </w:tabs>
        <w:spacing w:line="360" w:lineRule="auto"/>
        <w:jc w:val="both"/>
        <w:rPr>
          <w:sz w:val="28"/>
          <w:szCs w:val="28"/>
          <w:lang w:val="ru"/>
        </w:rPr>
      </w:pPr>
      <w:r>
        <w:rPr>
          <w:sz w:val="28"/>
          <w:szCs w:val="28"/>
          <w:lang w:val="ru"/>
        </w:rPr>
        <w:t>Оцінити</w:t>
      </w:r>
      <w:r>
        <w:rPr>
          <w:sz w:val="28"/>
          <w:szCs w:val="28"/>
          <w:lang w:val="ru"/>
        </w:rPr>
        <w:t xml:space="preserve"> ефективність вилучення важких металів з води методом</w:t>
      </w:r>
      <w:r>
        <w:rPr>
          <w:sz w:val="28"/>
          <w:szCs w:val="28"/>
          <w:lang w:val="ru"/>
        </w:rPr>
        <w:t xml:space="preserve"> </w:t>
      </w:r>
      <w:r>
        <w:rPr>
          <w:sz w:val="28"/>
          <w:szCs w:val="28"/>
          <w:lang w:val="ru"/>
        </w:rPr>
        <w:t xml:space="preserve">нанофільтрації; </w:t>
      </w:r>
    </w:p>
    <w:p w:rsidR="00F1629C" w:rsidRDefault="00E671D2">
      <w:pPr>
        <w:pStyle w:val="af4"/>
        <w:numPr>
          <w:ilvl w:val="0"/>
          <w:numId w:val="1"/>
        </w:numPr>
        <w:tabs>
          <w:tab w:val="clear" w:pos="420"/>
          <w:tab w:val="left" w:pos="284"/>
        </w:tabs>
        <w:spacing w:line="360" w:lineRule="auto"/>
        <w:jc w:val="both"/>
        <w:rPr>
          <w:sz w:val="28"/>
          <w:szCs w:val="28"/>
          <w:lang w:val="ru"/>
        </w:rPr>
      </w:pPr>
      <w:r>
        <w:rPr>
          <w:sz w:val="28"/>
          <w:szCs w:val="28"/>
          <w:lang w:val="ru"/>
        </w:rPr>
        <w:t>Оцінити доцільність використання комплеусоутворююч</w:t>
      </w:r>
      <w:r>
        <w:rPr>
          <w:sz w:val="28"/>
          <w:szCs w:val="28"/>
          <w:lang w:val="ru"/>
        </w:rPr>
        <w:t xml:space="preserve">их реагентів для підвищення ефективності процесу нанофільтрації; </w:t>
      </w:r>
    </w:p>
    <w:p w:rsidR="00F1629C" w:rsidRDefault="00E671D2">
      <w:pPr>
        <w:pStyle w:val="af4"/>
        <w:numPr>
          <w:ilvl w:val="0"/>
          <w:numId w:val="1"/>
        </w:numPr>
        <w:tabs>
          <w:tab w:val="clear" w:pos="420"/>
          <w:tab w:val="left" w:pos="284"/>
        </w:tabs>
        <w:spacing w:line="360" w:lineRule="auto"/>
        <w:jc w:val="both"/>
        <w:rPr>
          <w:sz w:val="28"/>
          <w:szCs w:val="28"/>
          <w:lang w:val="ru"/>
        </w:rPr>
      </w:pPr>
      <w:r>
        <w:rPr>
          <w:sz w:val="28"/>
          <w:szCs w:val="28"/>
          <w:lang w:val="ru"/>
        </w:rPr>
        <w:t xml:space="preserve">Встановити залежність ступеню вилучення іонів важких металів з води від форми іонообмінного матеріалу та складу самої води; </w:t>
      </w:r>
    </w:p>
    <w:p w:rsidR="00F1629C" w:rsidRDefault="00E671D2">
      <w:pPr>
        <w:pStyle w:val="af4"/>
        <w:numPr>
          <w:ilvl w:val="0"/>
          <w:numId w:val="1"/>
        </w:numPr>
        <w:tabs>
          <w:tab w:val="clear" w:pos="420"/>
          <w:tab w:val="left" w:pos="284"/>
        </w:tabs>
        <w:spacing w:line="360" w:lineRule="auto"/>
        <w:jc w:val="both"/>
        <w:rPr>
          <w:sz w:val="28"/>
          <w:szCs w:val="28"/>
          <w:lang w:val="ru"/>
        </w:rPr>
      </w:pPr>
      <w:r>
        <w:rPr>
          <w:sz w:val="28"/>
          <w:szCs w:val="28"/>
          <w:lang w:val="ru"/>
        </w:rPr>
        <w:t xml:space="preserve">Оцінити вплив постійної та тимчасової жорсткості на ефективність </w:t>
      </w:r>
      <w:r>
        <w:rPr>
          <w:sz w:val="28"/>
          <w:szCs w:val="28"/>
          <w:lang w:val="ru"/>
        </w:rPr>
        <w:t xml:space="preserve">іонообмінного очищення води від іонів важких металів; </w:t>
      </w:r>
    </w:p>
    <w:p w:rsidR="00F1629C" w:rsidRDefault="00E671D2">
      <w:pPr>
        <w:pStyle w:val="af4"/>
        <w:numPr>
          <w:ilvl w:val="0"/>
          <w:numId w:val="1"/>
        </w:numPr>
        <w:tabs>
          <w:tab w:val="clear" w:pos="420"/>
          <w:tab w:val="left" w:pos="284"/>
        </w:tabs>
        <w:spacing w:line="360" w:lineRule="auto"/>
        <w:jc w:val="both"/>
        <w:rPr>
          <w:sz w:val="28"/>
          <w:szCs w:val="28"/>
          <w:lang w:val="ru"/>
        </w:rPr>
      </w:pPr>
      <w:r>
        <w:rPr>
          <w:sz w:val="28"/>
          <w:szCs w:val="28"/>
          <w:lang w:val="ru"/>
        </w:rPr>
        <w:t>Дослідити ефективність сорбційних методів очищення води від іонів важких металів</w:t>
      </w:r>
      <w:r>
        <w:rPr>
          <w:sz w:val="28"/>
          <w:szCs w:val="28"/>
        </w:rPr>
        <w:t>.</w:t>
      </w:r>
    </w:p>
    <w:p w:rsidR="00F1629C" w:rsidRDefault="00F1629C">
      <w:pPr>
        <w:pStyle w:val="af4"/>
        <w:tabs>
          <w:tab w:val="left" w:pos="284"/>
        </w:tabs>
        <w:spacing w:line="360" w:lineRule="auto"/>
        <w:ind w:left="0" w:firstLine="0"/>
        <w:jc w:val="both"/>
        <w:rPr>
          <w:sz w:val="28"/>
          <w:szCs w:val="28"/>
          <w:lang w:val="ru"/>
        </w:rPr>
      </w:pPr>
    </w:p>
    <w:p w:rsidR="00F1629C" w:rsidRDefault="00F1629C">
      <w:pPr>
        <w:pStyle w:val="af4"/>
        <w:tabs>
          <w:tab w:val="left" w:pos="284"/>
        </w:tabs>
        <w:spacing w:line="360" w:lineRule="auto"/>
        <w:ind w:left="0" w:firstLine="0"/>
        <w:jc w:val="both"/>
        <w:rPr>
          <w:sz w:val="28"/>
          <w:szCs w:val="28"/>
          <w:lang w:val="ru"/>
        </w:rPr>
      </w:pPr>
    </w:p>
    <w:p w:rsidR="00F1629C" w:rsidRDefault="00F1629C">
      <w:pPr>
        <w:tabs>
          <w:tab w:val="left" w:pos="284"/>
        </w:tabs>
        <w:spacing w:line="360" w:lineRule="auto"/>
        <w:ind w:firstLine="709"/>
        <w:jc w:val="both"/>
        <w:rPr>
          <w:rFonts w:ascii="Times New Roman" w:hAnsi="Times New Roman" w:cs="Times New Roman"/>
          <w:sz w:val="28"/>
          <w:szCs w:val="28"/>
        </w:rPr>
      </w:pPr>
    </w:p>
    <w:p w:rsidR="00F1629C" w:rsidRDefault="00F1629C">
      <w:pPr>
        <w:tabs>
          <w:tab w:val="left" w:pos="284"/>
        </w:tabs>
        <w:spacing w:line="360" w:lineRule="auto"/>
        <w:ind w:firstLine="709"/>
        <w:jc w:val="both"/>
        <w:rPr>
          <w:rFonts w:ascii="Times New Roman" w:hAnsi="Times New Roman" w:cs="Times New Roman"/>
          <w:sz w:val="28"/>
          <w:szCs w:val="28"/>
        </w:rPr>
      </w:pPr>
    </w:p>
    <w:p w:rsidR="00F1629C" w:rsidRDefault="00E671D2">
      <w:pPr>
        <w:tabs>
          <w:tab w:val="left" w:pos="284"/>
        </w:tabs>
        <w:spacing w:line="360" w:lineRule="auto"/>
        <w:jc w:val="both"/>
        <w:rPr>
          <w:rFonts w:ascii="Times New Roman" w:hAnsi="Times New Roman" w:cs="Times New Roman"/>
          <w:sz w:val="28"/>
          <w:szCs w:val="28"/>
        </w:rPr>
      </w:pPr>
      <w:r>
        <w:rPr>
          <w:rFonts w:ascii="Times New Roman" w:hAnsi="Times New Roman" w:cs="Times New Roman"/>
          <w:sz w:val="28"/>
          <w:szCs w:val="28"/>
        </w:rPr>
        <w:br w:type="page"/>
      </w:r>
    </w:p>
    <w:p w:rsidR="00F1629C" w:rsidRDefault="00E671D2">
      <w:pPr>
        <w:tabs>
          <w:tab w:val="left" w:pos="284"/>
        </w:tabs>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lastRenderedPageBreak/>
        <w:t>Розділ 1</w:t>
      </w:r>
    </w:p>
    <w:p w:rsidR="00F1629C" w:rsidRDefault="00E671D2">
      <w:pPr>
        <w:snapToGrid w:val="0"/>
        <w:spacing w:after="0" w:line="360" w:lineRule="auto"/>
        <w:jc w:val="center"/>
        <w:rPr>
          <w:rFonts w:ascii="Times New Roman" w:hAnsi="Times New Roman" w:cs="Times New Roman"/>
          <w:b/>
          <w:color w:val="000000"/>
          <w:sz w:val="28"/>
          <w:szCs w:val="28"/>
          <w:lang w:val="en"/>
        </w:rPr>
      </w:pPr>
      <w:r>
        <w:rPr>
          <w:rFonts w:ascii="Times New Roman" w:hAnsi="Times New Roman" w:cs="Times New Roman"/>
          <w:b/>
          <w:color w:val="000000"/>
          <w:sz w:val="28"/>
          <w:szCs w:val="28"/>
          <w:lang w:val="en"/>
        </w:rPr>
        <w:t>ВИКОРИСТАННЯ</w:t>
      </w:r>
      <w:r>
        <w:rPr>
          <w:rFonts w:ascii="Times New Roman" w:hAnsi="Times New Roman" w:cs="Times New Roman"/>
          <w:b/>
          <w:color w:val="000000"/>
          <w:sz w:val="28"/>
          <w:szCs w:val="28"/>
          <w:lang w:val="en"/>
        </w:rPr>
        <w:t xml:space="preserve"> </w:t>
      </w:r>
      <w:r>
        <w:rPr>
          <w:rFonts w:ascii="Times New Roman" w:hAnsi="Times New Roman" w:cs="Times New Roman"/>
          <w:b/>
          <w:color w:val="000000"/>
          <w:sz w:val="28"/>
          <w:szCs w:val="28"/>
          <w:lang w:val="ru"/>
        </w:rPr>
        <w:t>ФІЗИКО-ХІМІЧНИХ</w:t>
      </w:r>
      <w:r>
        <w:rPr>
          <w:rFonts w:ascii="Times New Roman" w:hAnsi="Times New Roman" w:cs="Times New Roman"/>
          <w:b/>
          <w:color w:val="000000"/>
          <w:sz w:val="28"/>
          <w:szCs w:val="28"/>
          <w:lang w:val="en"/>
        </w:rPr>
        <w:t xml:space="preserve"> МЕТОДІВ ДЛЯ ОЧИЩЕННЯ ВОДИ</w:t>
      </w:r>
    </w:p>
    <w:p w:rsidR="00F1629C" w:rsidRDefault="00F1629C">
      <w:pPr>
        <w:snapToGrid w:val="0"/>
        <w:spacing w:after="0" w:line="360" w:lineRule="auto"/>
        <w:jc w:val="center"/>
        <w:rPr>
          <w:rFonts w:ascii="Times New Roman" w:hAnsi="Times New Roman" w:cs="Times New Roman"/>
          <w:b/>
          <w:color w:val="000000"/>
          <w:sz w:val="28"/>
          <w:szCs w:val="28"/>
          <w:lang w:val="en"/>
        </w:rPr>
      </w:pPr>
    </w:p>
    <w:p w:rsidR="00F1629C" w:rsidRDefault="00E671D2">
      <w:pPr>
        <w:snapToGrid w:val="0"/>
        <w:spacing w:line="360" w:lineRule="auto"/>
        <w:jc w:val="both"/>
        <w:rPr>
          <w:rFonts w:ascii="Times New Roman" w:hAnsi="Times New Roman" w:cs="Times New Roman"/>
          <w:sz w:val="28"/>
          <w:szCs w:val="28"/>
          <w:lang w:val="en"/>
        </w:rPr>
      </w:pPr>
      <w:r>
        <w:rPr>
          <w:rFonts w:ascii="Times New Roman" w:hAnsi="Times New Roman" w:cs="Times New Roman"/>
          <w:color w:val="000000"/>
          <w:sz w:val="28"/>
          <w:szCs w:val="28"/>
        </w:rPr>
        <w:tab/>
      </w:r>
      <w:r>
        <w:rPr>
          <w:rFonts w:ascii="Times New Roman" w:hAnsi="Times New Roman" w:cs="Times New Roman"/>
          <w:sz w:val="28"/>
          <w:szCs w:val="28"/>
          <w:lang w:val="en"/>
        </w:rPr>
        <w:t xml:space="preserve">Важкі метали на сьогоднішній день є одним з </w:t>
      </w:r>
      <w:r>
        <w:rPr>
          <w:rFonts w:ascii="Times New Roman" w:hAnsi="Times New Roman" w:cs="Times New Roman"/>
          <w:sz w:val="28"/>
          <w:szCs w:val="28"/>
          <w:lang w:val="en"/>
        </w:rPr>
        <w:t>основних факторів забруднення гідросфери. Важкі метали приймають безпосередню участь у біологічному колооберті речовин, збільшуючи свою концентрацію в десятки разів з переходом на кожний наступний трофічний рівень [1, 2], що робить їх в рази більш небезпеч</w:t>
      </w:r>
      <w:r>
        <w:rPr>
          <w:rFonts w:ascii="Times New Roman" w:hAnsi="Times New Roman" w:cs="Times New Roman"/>
          <w:sz w:val="28"/>
          <w:szCs w:val="28"/>
          <w:lang w:val="en"/>
        </w:rPr>
        <w:t>ними для людини. Перевищення концентрацій у воді, що використовується для поливу сільськогосподарських угідь спричинює підвищення їх вмісту у сільськогосподарських культурах, а особливо у зернових, що, хоча і не завдає суттєвих перепон у рості останніх, ал</w:t>
      </w:r>
      <w:r>
        <w:rPr>
          <w:rFonts w:ascii="Times New Roman" w:hAnsi="Times New Roman" w:cs="Times New Roman"/>
          <w:sz w:val="28"/>
          <w:szCs w:val="28"/>
          <w:lang w:val="en"/>
        </w:rPr>
        <w:t>е спричинює отруєння людей, що вживають їх у їжу. Ситуація погіршується кумулятивним ефектом, адже важкі метали вкрай важко виводяться з організму, що викликає не тільки отруєння, а й онкологічні захворювання, як це було в Японії з масовим отруєнням населе</w:t>
      </w:r>
      <w:r>
        <w:rPr>
          <w:rFonts w:ascii="Times New Roman" w:hAnsi="Times New Roman" w:cs="Times New Roman"/>
          <w:sz w:val="28"/>
          <w:szCs w:val="28"/>
          <w:lang w:val="en"/>
        </w:rPr>
        <w:t>ння ртуттю, що надходила до їх організмів з водоростів [3]. Вміст важких металів практично в усіх поверхневих водоймах України перевищує гранично допустимі концентрації, більше того, страждають також підземні водоносні горизонти, у тому числі артезіанські,</w:t>
      </w:r>
      <w:r>
        <w:rPr>
          <w:rFonts w:ascii="Times New Roman" w:hAnsi="Times New Roman" w:cs="Times New Roman"/>
          <w:sz w:val="28"/>
          <w:szCs w:val="28"/>
          <w:lang w:val="en"/>
        </w:rPr>
        <w:t xml:space="preserve"> вміст, наприклад, кадмію в яких досягає 16 мкг/дм</w:t>
      </w:r>
      <w:r>
        <w:rPr>
          <w:rFonts w:ascii="Times New Roman" w:hAnsi="Times New Roman" w:cs="Times New Roman"/>
          <w:sz w:val="28"/>
          <w:szCs w:val="28"/>
          <w:vertAlign w:val="superscript"/>
          <w:lang w:val="en"/>
        </w:rPr>
        <w:t>3</w:t>
      </w:r>
      <w:r>
        <w:rPr>
          <w:rFonts w:ascii="Times New Roman" w:hAnsi="Times New Roman" w:cs="Times New Roman"/>
          <w:sz w:val="28"/>
          <w:szCs w:val="28"/>
          <w:lang w:val="en"/>
        </w:rPr>
        <w:t>, при тому що кадмій, згідно ДСанПіНу у питній воді повинен бути відстуній взагалі [4].</w:t>
      </w:r>
    </w:p>
    <w:p w:rsidR="00F1629C" w:rsidRDefault="00E671D2">
      <w:pPr>
        <w:snapToGrid w:val="0"/>
        <w:spacing w:line="360" w:lineRule="auto"/>
        <w:ind w:firstLine="700"/>
        <w:jc w:val="both"/>
        <w:rPr>
          <w:rFonts w:ascii="Times New Roman" w:hAnsi="Times New Roman" w:cs="Times New Roman"/>
          <w:sz w:val="28"/>
          <w:szCs w:val="28"/>
          <w:lang w:val="en"/>
        </w:rPr>
      </w:pPr>
      <w:r>
        <w:rPr>
          <w:rFonts w:ascii="Times New Roman" w:hAnsi="Times New Roman" w:cs="Times New Roman"/>
          <w:sz w:val="28"/>
          <w:szCs w:val="28"/>
          <w:lang w:val="en"/>
        </w:rPr>
        <w:t>У поверхневих водоймах особливу небезпеку зумовлюють донні відкладення, що відіграють особливу роль у міграції важких</w:t>
      </w:r>
      <w:r>
        <w:rPr>
          <w:rFonts w:ascii="Times New Roman" w:hAnsi="Times New Roman" w:cs="Times New Roman"/>
          <w:sz w:val="28"/>
          <w:szCs w:val="28"/>
          <w:lang w:val="en"/>
        </w:rPr>
        <w:t xml:space="preserve"> металів у поверхневих водоймах і найбільш інтенсивно утворюються на водосховищах. Верхній, найбільш активний, шар донних відкладень (до 10 см) регулює форму перебування важких металів у воді, що змінюється у широких межах в залежності від гідрологічного с</w:t>
      </w:r>
      <w:r>
        <w:rPr>
          <w:rFonts w:ascii="Times New Roman" w:hAnsi="Times New Roman" w:cs="Times New Roman"/>
          <w:sz w:val="28"/>
          <w:szCs w:val="28"/>
          <w:lang w:val="en"/>
        </w:rPr>
        <w:t xml:space="preserve">езону, створюючи або окисні, або відновні властивості [5]. Окислювальні умови у водному екосистемі переважають у весняний період (Eh = +240 мВ), коли спостерігається підвищений вміст </w:t>
      </w:r>
      <w:r>
        <w:rPr>
          <w:rFonts w:ascii="Times New Roman" w:hAnsi="Times New Roman" w:cs="Times New Roman"/>
          <w:sz w:val="28"/>
          <w:szCs w:val="28"/>
          <w:lang w:val="en"/>
        </w:rPr>
        <w:lastRenderedPageBreak/>
        <w:t>розчиненого кисню у воді. У літньо-осінній період за рахунок зниження кон</w:t>
      </w:r>
      <w:r>
        <w:rPr>
          <w:rFonts w:ascii="Times New Roman" w:hAnsi="Times New Roman" w:cs="Times New Roman"/>
          <w:sz w:val="28"/>
          <w:szCs w:val="28"/>
          <w:lang w:val="en"/>
        </w:rPr>
        <w:t xml:space="preserve">центрації розчиненого кисню і його інтенсивного витрачання на біохімічні процеси в поверхневому шарі донних відкладень можуть встановлюватися відновлювальні умови. При цьому Fe, Zn, Cu, Ni, Cd, Pb відрізняються максимальною кумулятивною здатністю та вкрай </w:t>
      </w:r>
      <w:r>
        <w:rPr>
          <w:rFonts w:ascii="Times New Roman" w:hAnsi="Times New Roman" w:cs="Times New Roman"/>
          <w:sz w:val="28"/>
          <w:szCs w:val="28"/>
          <w:lang w:val="en"/>
        </w:rPr>
        <w:t>високою токсичністю [6, 7].</w:t>
      </w:r>
    </w:p>
    <w:p w:rsidR="00F1629C" w:rsidRDefault="00E671D2">
      <w:pPr>
        <w:snapToGrid w:val="0"/>
        <w:spacing w:line="360" w:lineRule="auto"/>
        <w:ind w:firstLine="700"/>
        <w:jc w:val="both"/>
        <w:rPr>
          <w:rFonts w:ascii="Times New Roman" w:hAnsi="Times New Roman" w:cs="Times New Roman"/>
          <w:color w:val="000000"/>
          <w:sz w:val="28"/>
          <w:szCs w:val="28"/>
          <w:lang w:val="en"/>
        </w:rPr>
      </w:pPr>
      <w:r>
        <w:rPr>
          <w:rFonts w:ascii="Times New Roman" w:hAnsi="Times New Roman" w:cs="Times New Roman"/>
          <w:sz w:val="28"/>
          <w:szCs w:val="28"/>
          <w:lang w:val="en"/>
        </w:rPr>
        <w:t>Тому пошук ефективних, екологічно та економічно вигідних методів очистки води від такого роду сполук стає пріорітетним у справі забезпечення населення якісною питною водою.</w:t>
      </w:r>
    </w:p>
    <w:p w:rsidR="00F1629C" w:rsidRDefault="00E671D2">
      <w:pPr>
        <w:pStyle w:val="af4"/>
        <w:snapToGrid w:val="0"/>
        <w:spacing w:line="360" w:lineRule="auto"/>
        <w:ind w:left="709" w:firstLine="0"/>
        <w:jc w:val="both"/>
        <w:rPr>
          <w:b/>
          <w:color w:val="000000"/>
          <w:sz w:val="28"/>
          <w:szCs w:val="28"/>
        </w:rPr>
      </w:pPr>
      <w:r>
        <w:rPr>
          <w:b/>
          <w:color w:val="000000"/>
          <w:sz w:val="28"/>
          <w:szCs w:val="28"/>
          <w:lang w:val="en"/>
        </w:rPr>
        <w:t xml:space="preserve">1.1 </w:t>
      </w:r>
      <w:r>
        <w:rPr>
          <w:b/>
          <w:color w:val="000000"/>
          <w:sz w:val="28"/>
          <w:szCs w:val="28"/>
          <w:lang w:val="en"/>
        </w:rPr>
        <w:t>Контроль</w:t>
      </w:r>
      <w:r>
        <w:rPr>
          <w:b/>
          <w:color w:val="000000"/>
          <w:sz w:val="28"/>
          <w:szCs w:val="28"/>
          <w:lang w:val="en"/>
        </w:rPr>
        <w:t xml:space="preserve"> вмісту важких металів у воді</w:t>
      </w:r>
    </w:p>
    <w:p w:rsidR="00F1629C" w:rsidRDefault="00E671D2">
      <w:pPr>
        <w:pStyle w:val="af4"/>
        <w:snapToGrid w:val="0"/>
        <w:spacing w:line="360" w:lineRule="auto"/>
        <w:ind w:left="0"/>
        <w:jc w:val="both"/>
        <w:rPr>
          <w:color w:val="000000"/>
          <w:sz w:val="28"/>
          <w:szCs w:val="28"/>
          <w:lang w:val="en"/>
        </w:rPr>
      </w:pPr>
      <w:r>
        <w:rPr>
          <w:color w:val="000000"/>
          <w:sz w:val="28"/>
          <w:szCs w:val="28"/>
        </w:rPr>
        <w:tab/>
      </w:r>
      <w:r>
        <w:rPr>
          <w:color w:val="000000"/>
          <w:sz w:val="28"/>
          <w:szCs w:val="28"/>
          <w:lang w:val="en"/>
        </w:rPr>
        <w:t>Проблеми</w:t>
      </w:r>
      <w:r>
        <w:rPr>
          <w:color w:val="000000"/>
          <w:sz w:val="28"/>
          <w:szCs w:val="28"/>
          <w:lang w:val="en"/>
        </w:rPr>
        <w:t xml:space="preserve"> контролю важких металів у воді набувають усе більшого поширення на території України через те, що при визначенні вмісту важких металів у воді перевага надається фотометричним та колориметричним методам хімічного аналізу. Проте точність фотоколориметричних</w:t>
      </w:r>
      <w:r>
        <w:rPr>
          <w:color w:val="000000"/>
          <w:sz w:val="28"/>
          <w:szCs w:val="28"/>
          <w:lang w:val="en"/>
        </w:rPr>
        <w:t xml:space="preserve"> методів є достатньою для визначення лише основних типів металів, таких як Fe, Cu, Zn. Проте, при визначенні слідових концентрацій навіть цих металів, як і мікроконцентрацій кадмію, нікелю або свинцю, фотоколориметричні методи не дають достатньої точності </w:t>
      </w:r>
      <w:r>
        <w:rPr>
          <w:color w:val="000000"/>
          <w:sz w:val="28"/>
          <w:szCs w:val="28"/>
          <w:lang w:val="en"/>
        </w:rPr>
        <w:t>вимірювань. У зв’язку з цим, розроблюються нові, більш прийнятні методи визначення слідових концентрацій важких металів у водних середовищах. На заході на сьогоднішній день все більшої популярності набувають методи біологічного аналізу стану водойм[8], най</w:t>
      </w:r>
      <w:r>
        <w:rPr>
          <w:color w:val="000000"/>
          <w:sz w:val="28"/>
          <w:szCs w:val="28"/>
          <w:lang w:val="en"/>
        </w:rPr>
        <w:t xml:space="preserve">більш поширеним з яких є аналіз з використанням tetrahymena pyriformis [9,10]. На теренах країн СНД такі методи поширення не набули, проте наразі існує система моніторингу гідросфери, що забезпечує контроль основних показників води, проте більшість важких </w:t>
      </w:r>
      <w:r>
        <w:rPr>
          <w:color w:val="000000"/>
          <w:sz w:val="28"/>
          <w:szCs w:val="28"/>
          <w:lang w:val="en"/>
        </w:rPr>
        <w:t>металів все ще залишаються “захованими” для даних методів аналізу і потребують значного переобладнання для забезпечення належного контролю [11]. Тому для визначення вмісту важких металів у воді питного призначення сьогодні, в основному, використовуються ме</w:t>
      </w:r>
      <w:r>
        <w:rPr>
          <w:color w:val="000000"/>
          <w:sz w:val="28"/>
          <w:szCs w:val="28"/>
          <w:lang w:val="en"/>
        </w:rPr>
        <w:t>тоди концентрування. До основних методів розділення-концентрування відносяться:</w:t>
      </w:r>
    </w:p>
    <w:p w:rsidR="00F1629C" w:rsidRDefault="00E671D2">
      <w:pPr>
        <w:pStyle w:val="af4"/>
        <w:numPr>
          <w:ilvl w:val="0"/>
          <w:numId w:val="2"/>
        </w:numPr>
        <w:snapToGrid w:val="0"/>
        <w:spacing w:line="360" w:lineRule="auto"/>
        <w:jc w:val="both"/>
        <w:rPr>
          <w:color w:val="000000"/>
          <w:sz w:val="28"/>
          <w:szCs w:val="28"/>
          <w:lang w:val="en"/>
        </w:rPr>
      </w:pPr>
      <w:r>
        <w:rPr>
          <w:color w:val="000000"/>
          <w:sz w:val="28"/>
          <w:szCs w:val="28"/>
          <w:lang w:val="en"/>
        </w:rPr>
        <w:t>Хроматографічні</w:t>
      </w:r>
    </w:p>
    <w:p w:rsidR="00F1629C" w:rsidRDefault="00E671D2">
      <w:pPr>
        <w:pStyle w:val="af4"/>
        <w:numPr>
          <w:ilvl w:val="0"/>
          <w:numId w:val="2"/>
        </w:numPr>
        <w:snapToGrid w:val="0"/>
        <w:spacing w:line="360" w:lineRule="auto"/>
        <w:jc w:val="both"/>
        <w:rPr>
          <w:color w:val="000000"/>
          <w:sz w:val="28"/>
          <w:szCs w:val="28"/>
          <w:lang w:val="en"/>
        </w:rPr>
      </w:pPr>
      <w:r>
        <w:rPr>
          <w:color w:val="000000"/>
          <w:sz w:val="28"/>
          <w:szCs w:val="28"/>
          <w:lang w:val="en"/>
        </w:rPr>
        <w:lastRenderedPageBreak/>
        <w:t>Екстракційні</w:t>
      </w:r>
    </w:p>
    <w:p w:rsidR="00F1629C" w:rsidRDefault="00E671D2">
      <w:pPr>
        <w:pStyle w:val="af4"/>
        <w:numPr>
          <w:ilvl w:val="0"/>
          <w:numId w:val="2"/>
        </w:numPr>
        <w:snapToGrid w:val="0"/>
        <w:spacing w:line="360" w:lineRule="auto"/>
        <w:jc w:val="both"/>
        <w:rPr>
          <w:color w:val="000000"/>
          <w:sz w:val="28"/>
          <w:szCs w:val="28"/>
          <w:lang w:val="en"/>
        </w:rPr>
      </w:pPr>
      <w:r>
        <w:rPr>
          <w:color w:val="000000"/>
          <w:sz w:val="28"/>
          <w:szCs w:val="28"/>
          <w:lang w:val="en"/>
        </w:rPr>
        <w:t>Сорбційні</w:t>
      </w:r>
    </w:p>
    <w:p w:rsidR="00F1629C" w:rsidRDefault="00E671D2">
      <w:pPr>
        <w:pStyle w:val="af4"/>
        <w:numPr>
          <w:ilvl w:val="0"/>
          <w:numId w:val="2"/>
        </w:numPr>
        <w:snapToGrid w:val="0"/>
        <w:spacing w:line="360" w:lineRule="auto"/>
        <w:jc w:val="both"/>
        <w:rPr>
          <w:color w:val="000000"/>
          <w:sz w:val="28"/>
          <w:szCs w:val="28"/>
          <w:lang w:val="en"/>
        </w:rPr>
      </w:pPr>
      <w:r>
        <w:rPr>
          <w:color w:val="000000"/>
          <w:sz w:val="28"/>
          <w:szCs w:val="28"/>
          <w:lang w:val="en"/>
        </w:rPr>
        <w:t>Гібридні методи</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 xml:space="preserve">В останні роки найбільший інтерес в області хроматографії викликають методи рідинної хроматографії, у тому числі </w:t>
      </w:r>
      <w:r>
        <w:rPr>
          <w:color w:val="000000"/>
          <w:sz w:val="28"/>
          <w:szCs w:val="28"/>
          <w:lang w:val="en"/>
        </w:rPr>
        <w:t>високошвидкісної, з використанням монолітних колонок. Тонкошарова хроматографія, в свою чергу також продовжує розвиватися, підвищуючи свою ефективність та все більше “автоматизуючись”.</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А от екстракційні методи поступаються своїми позиціями сорбційним. Так,</w:t>
      </w:r>
      <w:r>
        <w:rPr>
          <w:color w:val="000000"/>
          <w:sz w:val="28"/>
          <w:szCs w:val="28"/>
          <w:lang w:val="en"/>
        </w:rPr>
        <w:t xml:space="preserve"> є тенденція до мініатюризації сорбційного аналізу. Наприклад, мікрокількості більшості важких металів при аналізі води концентрують у вигляді гідрофобних комплексів на поверхні фторопластових капілярів, з подальшою їх десорбцією 20-50 мм</w:t>
      </w:r>
      <w:r>
        <w:rPr>
          <w:color w:val="000000"/>
          <w:sz w:val="28"/>
          <w:szCs w:val="28"/>
          <w:vertAlign w:val="superscript"/>
          <w:lang w:val="en"/>
        </w:rPr>
        <w:t>3</w:t>
      </w:r>
      <w:r>
        <w:rPr>
          <w:color w:val="000000"/>
          <w:sz w:val="28"/>
          <w:szCs w:val="28"/>
          <w:lang w:val="en"/>
        </w:rPr>
        <w:t xml:space="preserve"> органічного розч</w:t>
      </w:r>
      <w:r>
        <w:rPr>
          <w:color w:val="000000"/>
          <w:sz w:val="28"/>
          <w:szCs w:val="28"/>
          <w:lang w:val="en"/>
        </w:rPr>
        <w:t>иннику з подальшим аналізом за допомогою атомно-адсорбційної спектрометрії. Цей та подібні методи забезпечують значне зменшення часу на аналіз, витрати реагентів та розчинників, а також високі значення точності аналізу [12, 13].</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Сорбційне концентрування за</w:t>
      </w:r>
      <w:r>
        <w:rPr>
          <w:color w:val="000000"/>
          <w:sz w:val="28"/>
          <w:szCs w:val="28"/>
          <w:lang w:val="en"/>
        </w:rPr>
        <w:t xml:space="preserve"> допомогою полімерних комплексоутворюючих сорбентів характеризується високим ступенем концентрування, простотою у виконанні і зручністю для подальшого визначення досліджуваних елементів різними методами аналізу. Це дозволяє використовувати доступне на сьог</w:t>
      </w:r>
      <w:r>
        <w:rPr>
          <w:color w:val="000000"/>
          <w:sz w:val="28"/>
          <w:szCs w:val="28"/>
          <w:lang w:val="en"/>
        </w:rPr>
        <w:t>одні обладнання, а також знизити загальну вартість аналізу [14].</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Перспективність сорбційних методів концентрації важких металів доводиться тим, що на сьогодні розроблено методику визначення міді, цинку, кадмію і свинцю у водах складного фонового складу з в</w:t>
      </w:r>
      <w:r>
        <w:rPr>
          <w:color w:val="000000"/>
          <w:sz w:val="28"/>
          <w:szCs w:val="28"/>
          <w:lang w:val="en"/>
        </w:rPr>
        <w:t>икористанням сорбенту Ant-АМБ-2COOH. Межі виявлення металів при якому з використанням доступних методів аналізу сягають 0,5 мкг/дм</w:t>
      </w:r>
      <w:r>
        <w:rPr>
          <w:color w:val="000000"/>
          <w:sz w:val="28"/>
          <w:szCs w:val="28"/>
          <w:vertAlign w:val="superscript"/>
          <w:lang w:val="en"/>
        </w:rPr>
        <w:t>3</w:t>
      </w:r>
      <w:r>
        <w:rPr>
          <w:color w:val="000000"/>
          <w:sz w:val="28"/>
          <w:szCs w:val="28"/>
          <w:lang w:val="en"/>
        </w:rPr>
        <w:t xml:space="preserve"> [15, 16].</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Причиною такого інтересу до собрційних методів концентрування важких металів є постійний дефіцит потужного дорогог</w:t>
      </w:r>
      <w:r>
        <w:rPr>
          <w:color w:val="000000"/>
          <w:sz w:val="28"/>
          <w:szCs w:val="28"/>
          <w:lang w:val="en"/>
        </w:rPr>
        <w:t xml:space="preserve">о устаткування для прямого інструментального аналізу. Сорбційне концентрування - недорогий метод; він </w:t>
      </w:r>
      <w:r>
        <w:rPr>
          <w:color w:val="000000"/>
          <w:sz w:val="28"/>
          <w:szCs w:val="28"/>
          <w:lang w:val="en"/>
        </w:rPr>
        <w:lastRenderedPageBreak/>
        <w:t>зазвичай забезпечує хорошу вибірковість поділу, високі коефіцієнти концентрування; їм відносно легко керувати, для його здійснення не потрібно високих тем</w:t>
      </w:r>
      <w:r>
        <w:rPr>
          <w:color w:val="000000"/>
          <w:sz w:val="28"/>
          <w:szCs w:val="28"/>
          <w:lang w:val="en"/>
        </w:rPr>
        <w:t>ператур і складних приладів, концентрування легко автоматизувати. Тому сорбційні методи зручні також в польових умовах.</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 xml:space="preserve">Усе більшого поширення набувають полімерні сорбенти. На сьогодні у багатьох науково-дослідних інститутах світу проводяться систематичні </w:t>
      </w:r>
      <w:r>
        <w:rPr>
          <w:color w:val="000000"/>
          <w:sz w:val="28"/>
          <w:szCs w:val="28"/>
          <w:lang w:val="en"/>
        </w:rPr>
        <w:t>дослідження, спрямовані на розробку способів синтезу комплексо-утворюючих сорбентів на основі полімерних органічних матриць з хімічно закріпленими функціональними групами, призначених для виборчого вилучення благородних, рідкісних та інших металів [17]. Кр</w:t>
      </w:r>
      <w:r>
        <w:rPr>
          <w:color w:val="000000"/>
          <w:sz w:val="28"/>
          <w:szCs w:val="28"/>
          <w:lang w:val="en"/>
        </w:rPr>
        <w:t>ім цього ведеться розробка нових хелатних сорбентів, їх застосування для сорбційно-спектроскопічного визначення іонів важких металів [18].</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Не менш почесне місце при визначенні важких металів посідають потенціометричні методи аналізу. Найбільш важливими кри</w:t>
      </w:r>
      <w:r>
        <w:rPr>
          <w:color w:val="000000"/>
          <w:sz w:val="28"/>
          <w:szCs w:val="28"/>
          <w:lang w:val="en"/>
        </w:rPr>
        <w:t>теріями при виборі відповідного методу визначення слідових кількостей речовин є чутливість, точність, відтворюваність і вибірковість аналізу. Велике практичне значення мають також такі характеристики методів, як підготовка проб і стандартів, вартість облад</w:t>
      </w:r>
      <w:r>
        <w:rPr>
          <w:color w:val="000000"/>
          <w:sz w:val="28"/>
          <w:szCs w:val="28"/>
          <w:lang w:val="en"/>
        </w:rPr>
        <w:t>нання та тривалість аналізу і потенціометрія задовольняє усі ці вимоги. Потенціометричні методи аналізу засновані на визначенні залежності між електрохімічним потенціалом індикаторного електрода, зануреного в досліджуваний розчин і концентрацією визначуван</w:t>
      </w:r>
      <w:r>
        <w:rPr>
          <w:color w:val="000000"/>
          <w:sz w:val="28"/>
          <w:szCs w:val="28"/>
          <w:lang w:val="en"/>
        </w:rPr>
        <w:t>ої речовини в цьому розчині. Ця залежність описується рівнянням Нернста. У розведених розчинах коефіцієнти активності іонів близькі до одиниці, а активність близька до концентрації, тому можна користуватися рівнянням Нернста в концентраційній формі [19, 20</w:t>
      </w:r>
      <w:r>
        <w:rPr>
          <w:color w:val="000000"/>
          <w:sz w:val="28"/>
          <w:szCs w:val="28"/>
          <w:lang w:val="en"/>
        </w:rPr>
        <w:t>].</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У роботі [21] розглядалася можливість застосування твердого композитного електрода (ТКЕ), що складається з суміші поліетилену і технічного вуглецю, як сенсор при прямому потенциометричному визначенні окисно-відновного потенціалу пари Fe</w:t>
      </w:r>
      <w:r>
        <w:rPr>
          <w:color w:val="000000"/>
          <w:sz w:val="28"/>
          <w:szCs w:val="28"/>
          <w:vertAlign w:val="superscript"/>
          <w:lang w:val="en"/>
        </w:rPr>
        <w:t>3+</w:t>
      </w:r>
      <w:r>
        <w:rPr>
          <w:color w:val="000000"/>
          <w:sz w:val="28"/>
          <w:szCs w:val="28"/>
          <w:lang w:val="en"/>
        </w:rPr>
        <w:t>/Fe</w:t>
      </w:r>
      <w:r>
        <w:rPr>
          <w:color w:val="000000"/>
          <w:sz w:val="28"/>
          <w:szCs w:val="28"/>
          <w:vertAlign w:val="superscript"/>
          <w:lang w:val="en"/>
        </w:rPr>
        <w:t>2+</w:t>
      </w:r>
      <w:r>
        <w:rPr>
          <w:color w:val="000000"/>
          <w:sz w:val="28"/>
          <w:szCs w:val="28"/>
          <w:lang w:val="en"/>
        </w:rPr>
        <w:t xml:space="preserve"> в модельн</w:t>
      </w:r>
      <w:r>
        <w:rPr>
          <w:color w:val="000000"/>
          <w:sz w:val="28"/>
          <w:szCs w:val="28"/>
          <w:lang w:val="en"/>
        </w:rPr>
        <w:t xml:space="preserve">их розчинах і для непрямого потенціометричного визначення деяких важких металів </w:t>
      </w:r>
      <w:r>
        <w:rPr>
          <w:color w:val="000000"/>
          <w:sz w:val="28"/>
          <w:szCs w:val="28"/>
          <w:lang w:val="en"/>
        </w:rPr>
        <w:lastRenderedPageBreak/>
        <w:t>осаджувальним титруванням. Застосовуваний сенсор по найбільш поширених класифікаціях відноситься до твердих структурованих об'ємних двокомпонентних електродів. Провідна фаза ро</w:t>
      </w:r>
      <w:r>
        <w:rPr>
          <w:color w:val="000000"/>
          <w:sz w:val="28"/>
          <w:szCs w:val="28"/>
          <w:lang w:val="en"/>
        </w:rPr>
        <w:t>зподілена у вигляді об'ємних ланцюжків в непровідній фазі, тим самим забезпечуючи незмінність функцій електрода при оновленні поверхні. Потенціометричне титрування проводили на рН-метрі в режимі вимірювання е.р.с.; діапазон виміру від -1999 до +1999 мВ. Ти</w:t>
      </w:r>
      <w:r>
        <w:rPr>
          <w:color w:val="000000"/>
          <w:sz w:val="28"/>
          <w:szCs w:val="28"/>
          <w:lang w:val="en"/>
        </w:rPr>
        <w:t>трований розчин поміщали в скляну на 50 мл, титрант дозували по 0,04-0,2 см</w:t>
      </w:r>
      <w:r>
        <w:rPr>
          <w:color w:val="000000"/>
          <w:sz w:val="28"/>
          <w:szCs w:val="28"/>
          <w:vertAlign w:val="superscript"/>
          <w:lang w:val="en"/>
        </w:rPr>
        <w:t>3</w:t>
      </w:r>
      <w:r>
        <w:rPr>
          <w:color w:val="000000"/>
          <w:sz w:val="28"/>
          <w:szCs w:val="28"/>
          <w:lang w:val="en"/>
        </w:rPr>
        <w:t xml:space="preserve"> пневматичною напівмікробюреткою на 10 мл. Після кожної добавки титранту і перемішування розчину магнітною мішалкою вичікували певний часовий інтервал після чого записували величин</w:t>
      </w:r>
      <w:r>
        <w:rPr>
          <w:color w:val="000000"/>
          <w:sz w:val="28"/>
          <w:szCs w:val="28"/>
          <w:lang w:val="en"/>
        </w:rPr>
        <w:t>у досягнутого рівноважного потенціалу. У роботі використовували індикаторний твердий вуглецевмісний композитний електрод, а також електрод платиновий високотемпературний ЕПШ-1 в парі з хлорсрібним електродом порівняння ЕВЛ 1 МОЗ. Електродний ланцюг замикал</w:t>
      </w:r>
      <w:r>
        <w:rPr>
          <w:color w:val="000000"/>
          <w:sz w:val="28"/>
          <w:szCs w:val="28"/>
          <w:lang w:val="en"/>
        </w:rPr>
        <w:t>и електролітичним ключем, заповненим 10%-им розчином KNO</w:t>
      </w:r>
      <w:r>
        <w:rPr>
          <w:color w:val="000000"/>
          <w:sz w:val="28"/>
          <w:szCs w:val="28"/>
          <w:vertAlign w:val="subscript"/>
          <w:lang w:val="en"/>
        </w:rPr>
        <w:t>3</w:t>
      </w:r>
      <w:r>
        <w:rPr>
          <w:color w:val="000000"/>
          <w:sz w:val="28"/>
          <w:szCs w:val="28"/>
          <w:lang w:val="en"/>
        </w:rPr>
        <w:t>. Для підвищення точності і надійності результатів визначення криві титрування обробляли методом фрагментарної лінеаризації. Для аналізу можливості використання ТКЕ, як індикаторних електродів, при п</w:t>
      </w:r>
      <w:r>
        <w:rPr>
          <w:color w:val="000000"/>
          <w:sz w:val="28"/>
          <w:szCs w:val="28"/>
          <w:lang w:val="en"/>
        </w:rPr>
        <w:t>рямому потенціометричному визначенні потенціалу окисно-відновної пари Fe</w:t>
      </w:r>
      <w:r>
        <w:rPr>
          <w:color w:val="000000"/>
          <w:sz w:val="28"/>
          <w:szCs w:val="28"/>
          <w:vertAlign w:val="superscript"/>
          <w:lang w:val="en"/>
        </w:rPr>
        <w:t>3+</w:t>
      </w:r>
      <w:r>
        <w:rPr>
          <w:color w:val="000000"/>
          <w:sz w:val="28"/>
          <w:szCs w:val="28"/>
          <w:lang w:val="en"/>
        </w:rPr>
        <w:t>/Fe</w:t>
      </w:r>
      <w:r>
        <w:rPr>
          <w:color w:val="000000"/>
          <w:sz w:val="28"/>
          <w:szCs w:val="28"/>
          <w:vertAlign w:val="superscript"/>
          <w:lang w:val="en"/>
        </w:rPr>
        <w:t>2+</w:t>
      </w:r>
      <w:r>
        <w:rPr>
          <w:color w:val="000000"/>
          <w:sz w:val="28"/>
          <w:szCs w:val="28"/>
          <w:lang w:val="en"/>
        </w:rPr>
        <w:t>, було проведено дослідження ряду розчинів різної концентрації з співвідношенням компонентів Fe</w:t>
      </w:r>
      <w:r>
        <w:rPr>
          <w:color w:val="000000"/>
          <w:sz w:val="28"/>
          <w:szCs w:val="28"/>
          <w:vertAlign w:val="superscript"/>
          <w:lang w:val="en"/>
        </w:rPr>
        <w:t>3+</w:t>
      </w:r>
      <w:r>
        <w:rPr>
          <w:color w:val="000000"/>
          <w:sz w:val="28"/>
          <w:szCs w:val="28"/>
          <w:lang w:val="en"/>
        </w:rPr>
        <w:t>/Fe</w:t>
      </w:r>
      <w:r>
        <w:rPr>
          <w:color w:val="000000"/>
          <w:sz w:val="28"/>
          <w:szCs w:val="28"/>
          <w:vertAlign w:val="superscript"/>
          <w:lang w:val="en"/>
        </w:rPr>
        <w:t>2+</w:t>
      </w:r>
      <w:r>
        <w:rPr>
          <w:color w:val="000000"/>
          <w:sz w:val="28"/>
          <w:szCs w:val="28"/>
          <w:lang w:val="en"/>
        </w:rPr>
        <w:t xml:space="preserve"> 10:1. Порівнювалися величини рівноважних потенціалів, отримані з використа</w:t>
      </w:r>
      <w:r>
        <w:rPr>
          <w:color w:val="000000"/>
          <w:sz w:val="28"/>
          <w:szCs w:val="28"/>
          <w:lang w:val="en"/>
        </w:rPr>
        <w:t>нням в якості індикаторних електродів, платинового електрода ЕПШ-1 і ТКЕ. За результатами досліду величини рівноважних потенціалів, отримані на ТКЕ близькі до значень, отриманих на платиновому електроді, і похибка вимірювань, як правило, не перевищує 2,15%</w:t>
      </w:r>
      <w:r>
        <w:rPr>
          <w:color w:val="000000"/>
          <w:sz w:val="28"/>
          <w:szCs w:val="28"/>
          <w:lang w:val="en"/>
        </w:rPr>
        <w:t>, що дає можливість суттєво скоротити вартість потенціометричного аналізу, відкриваючи більші перспективи до розвитку цього напрямку.</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Основна складність в роботі з розведеними розчинами, тобто з розчинами з низькими концентраціями іонів важких металів, - в</w:t>
      </w:r>
      <w:r>
        <w:rPr>
          <w:color w:val="000000"/>
          <w:sz w:val="28"/>
          <w:szCs w:val="28"/>
          <w:lang w:val="en"/>
        </w:rPr>
        <w:t xml:space="preserve">рахувати рівноважні процеси, які при низьких концентраціях визначених речовин надають заважає </w:t>
      </w:r>
      <w:r>
        <w:rPr>
          <w:color w:val="000000"/>
          <w:sz w:val="28"/>
          <w:szCs w:val="28"/>
          <w:lang w:val="en"/>
        </w:rPr>
        <w:lastRenderedPageBreak/>
        <w:t>вплив на контроль концентрації. У роботі [22] підтверджено, що гідроліз слід враховувати при приготуванні розбавлених розчинів Ме (II) з концентрацією менше 1 • 1</w:t>
      </w:r>
      <w:r>
        <w:rPr>
          <w:color w:val="000000"/>
          <w:sz w:val="28"/>
          <w:szCs w:val="28"/>
          <w:lang w:val="en"/>
        </w:rPr>
        <w:t>0-5 моль/дм</w:t>
      </w:r>
      <w:r>
        <w:rPr>
          <w:color w:val="000000"/>
          <w:sz w:val="28"/>
          <w:szCs w:val="28"/>
          <w:vertAlign w:val="superscript"/>
          <w:lang w:val="en"/>
        </w:rPr>
        <w:t>3</w:t>
      </w:r>
      <w:r>
        <w:rPr>
          <w:color w:val="000000"/>
          <w:sz w:val="28"/>
          <w:szCs w:val="28"/>
          <w:lang w:val="en"/>
        </w:rPr>
        <w:t xml:space="preserve">, а також запропонована методика розрахунку ступеня гідролізу міді (II), цинку (II), свинцю (II), яку можна використовувати для інших важких металів. </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 xml:space="preserve">З огляду на те, що вода природних джерел є електролітом, для визначення її якості найбільш </w:t>
      </w:r>
      <w:r>
        <w:rPr>
          <w:color w:val="000000"/>
          <w:sz w:val="28"/>
          <w:szCs w:val="28"/>
          <w:lang w:val="en"/>
        </w:rPr>
        <w:t>перспективним стало використання електрохімічних методів аналізу. Ці методи характеризуються високою чутливістю, вибірковістю, здатністю фіксувати широкий спектр хімічних елементів в різних матрицях. Один з них - метод інверсійної хронопотенціометрії (ІХП)</w:t>
      </w:r>
      <w:r>
        <w:rPr>
          <w:color w:val="000000"/>
          <w:sz w:val="28"/>
          <w:szCs w:val="28"/>
          <w:lang w:val="en"/>
        </w:rPr>
        <w:t>, який широко використовується в практиці лабораторних вимірювань в Україні.</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Принцип методу ІХП полягає у вимірюванні часу розчинення Me</w:t>
      </w:r>
      <w:r>
        <w:rPr>
          <w:color w:val="000000"/>
          <w:sz w:val="28"/>
          <w:szCs w:val="28"/>
          <w:vertAlign w:val="superscript"/>
          <w:lang w:val="en"/>
        </w:rPr>
        <w:t>n+</w:t>
      </w:r>
      <w:r>
        <w:rPr>
          <w:color w:val="000000"/>
          <w:sz w:val="28"/>
          <w:szCs w:val="28"/>
          <w:lang w:val="en"/>
        </w:rPr>
        <w:t xml:space="preserve"> з поверхні індикаторного електрода, який був попередньо сконцентрований на ньому під час електролізу.</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 xml:space="preserve">При реалізації </w:t>
      </w:r>
      <w:r>
        <w:rPr>
          <w:color w:val="000000"/>
          <w:sz w:val="28"/>
          <w:szCs w:val="28"/>
          <w:lang w:val="en"/>
        </w:rPr>
        <w:t xml:space="preserve">методу ІХП використовують двухелектродну електрохімічну комірку (індикаторний і порівняльний електроди, хімічний штатив для закріплення електродів, електролізер з пробою і магнітну мішалку), блок управління і комп'ютер. За допомогою спеціально розробленої </w:t>
      </w:r>
      <w:r>
        <w:rPr>
          <w:color w:val="000000"/>
          <w:sz w:val="28"/>
          <w:szCs w:val="28"/>
          <w:lang w:val="en"/>
        </w:rPr>
        <w:t>комп'ютерної програми в блоці управління формується необхідний потенціал, який подається на електроди, регулюється робота магнітної мішалки, зчитуються і передаються на комп'ютер дані інверсії для розрахунку концентрації елементів.</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 xml:space="preserve">Весь процес вимірювання </w:t>
      </w:r>
      <w:r>
        <w:rPr>
          <w:color w:val="000000"/>
          <w:sz w:val="28"/>
          <w:szCs w:val="28"/>
          <w:lang w:val="en"/>
        </w:rPr>
        <w:t>концентрації ТМ автоматизований на комп'ютері. Для вимірювання концентрації Pb і Cu використовують фоновий розчин 2М HCl, а для Zn і Cd - 1М аміачний буфер. У разі якщо вміст елемента в електролізері вище верхньої межі діапазону визначення, то таку пробу р</w:t>
      </w:r>
      <w:r>
        <w:rPr>
          <w:color w:val="000000"/>
          <w:sz w:val="28"/>
          <w:szCs w:val="28"/>
          <w:lang w:val="en"/>
        </w:rPr>
        <w:t>озбавляють фоновим розчином до необхідного рівня концентрації.</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Як правило, визначення концентрації ТМ в пробі виконують для кожного елемента окремо. Це викликано різним рівнем ГДК елементів в об'єктах довкілля (різним значенням τ</w:t>
      </w:r>
      <w:r>
        <w:rPr>
          <w:color w:val="000000"/>
          <w:sz w:val="28"/>
          <w:szCs w:val="28"/>
          <w:vertAlign w:val="subscript"/>
          <w:lang w:val="en"/>
        </w:rPr>
        <w:t>k</w:t>
      </w:r>
      <w:r>
        <w:rPr>
          <w:color w:val="000000"/>
          <w:sz w:val="28"/>
          <w:szCs w:val="28"/>
          <w:lang w:val="en"/>
        </w:rPr>
        <w:t xml:space="preserve"> при вимірюванні часу інве</w:t>
      </w:r>
      <w:r>
        <w:rPr>
          <w:color w:val="000000"/>
          <w:sz w:val="28"/>
          <w:szCs w:val="28"/>
          <w:lang w:val="en"/>
        </w:rPr>
        <w:t xml:space="preserve">рсії) і використанням </w:t>
      </w:r>
      <w:r>
        <w:rPr>
          <w:color w:val="000000"/>
          <w:sz w:val="28"/>
          <w:szCs w:val="28"/>
          <w:lang w:val="en"/>
        </w:rPr>
        <w:lastRenderedPageBreak/>
        <w:t>багатьох фонових розчинів. За отриманими значеннями потенціалів інверсії автоматично будується крива розчинності або хронопотенціограмма інверсії. Хронопотенціограмма є функцією потенціалу інверсії в часі.</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На основі розробленого метод</w:t>
      </w:r>
      <w:r>
        <w:rPr>
          <w:color w:val="000000"/>
          <w:sz w:val="28"/>
          <w:szCs w:val="28"/>
          <w:lang w:val="en"/>
        </w:rPr>
        <w:t>у ІХП спільно з ТОВ "Міріада" (М.Київ) та Міжнародним науково-навчальним центром інформаційних технологій і систем НАН України сконструйований і розроблений прилад М-ХА1000-5.</w:t>
      </w:r>
    </w:p>
    <w:p w:rsidR="00F1629C" w:rsidRDefault="00E671D2">
      <w:pPr>
        <w:pStyle w:val="af4"/>
        <w:snapToGrid w:val="0"/>
        <w:spacing w:line="360" w:lineRule="auto"/>
        <w:ind w:left="0" w:firstLine="700"/>
        <w:contextualSpacing/>
        <w:jc w:val="both"/>
        <w:rPr>
          <w:color w:val="000000"/>
          <w:sz w:val="28"/>
          <w:szCs w:val="28"/>
          <w:lang w:val="en"/>
        </w:rPr>
      </w:pPr>
      <w:r>
        <w:rPr>
          <w:color w:val="000000"/>
          <w:sz w:val="28"/>
          <w:szCs w:val="28"/>
          <w:lang w:val="en"/>
        </w:rPr>
        <w:t>Аналізатор М-ХА1000-5 - повнофункціональний прилад, який призначений для комплек</w:t>
      </w:r>
      <w:r>
        <w:rPr>
          <w:color w:val="000000"/>
          <w:sz w:val="28"/>
          <w:szCs w:val="28"/>
          <w:lang w:val="en"/>
        </w:rPr>
        <w:t>сного аналізу низьких і наднизьких концентрацій електрохімічних активних речовин в рідких середовищах на твердих електродах з використанням методу ІХП. Чутливість даного приладу для Pb, Cu, Zn, Cd становить 0,001 мкг/см</w:t>
      </w:r>
      <w:r>
        <w:rPr>
          <w:color w:val="000000"/>
          <w:sz w:val="28"/>
          <w:szCs w:val="28"/>
          <w:vertAlign w:val="superscript"/>
          <w:lang w:val="en"/>
        </w:rPr>
        <w:t xml:space="preserve">3 </w:t>
      </w:r>
      <w:r>
        <w:rPr>
          <w:color w:val="000000"/>
          <w:sz w:val="28"/>
          <w:szCs w:val="28"/>
          <w:lang w:val="en"/>
        </w:rPr>
        <w:t>[23].</w:t>
      </w:r>
    </w:p>
    <w:p w:rsidR="00F1629C" w:rsidRDefault="00F1629C">
      <w:pPr>
        <w:snapToGrid w:val="0"/>
        <w:spacing w:after="0" w:line="360" w:lineRule="auto"/>
        <w:ind w:firstLine="851"/>
        <w:jc w:val="both"/>
        <w:rPr>
          <w:rFonts w:ascii="Times New Roman" w:hAnsi="Times New Roman" w:cs="Times New Roman"/>
          <w:color w:val="000000"/>
          <w:sz w:val="28"/>
          <w:szCs w:val="28"/>
        </w:rPr>
      </w:pPr>
    </w:p>
    <w:p w:rsidR="00F1629C" w:rsidRDefault="00E671D2">
      <w:pPr>
        <w:pStyle w:val="af4"/>
        <w:snapToGrid w:val="0"/>
        <w:spacing w:line="360" w:lineRule="auto"/>
        <w:ind w:left="709" w:firstLine="0"/>
        <w:jc w:val="both"/>
        <w:rPr>
          <w:b/>
          <w:color w:val="000000"/>
          <w:sz w:val="28"/>
          <w:szCs w:val="28"/>
        </w:rPr>
      </w:pPr>
      <w:r>
        <w:rPr>
          <w:b/>
          <w:color w:val="000000"/>
          <w:sz w:val="28"/>
          <w:szCs w:val="28"/>
          <w:lang w:val="en"/>
        </w:rPr>
        <w:t xml:space="preserve">1.2 </w:t>
      </w:r>
      <w:r>
        <w:rPr>
          <w:b/>
          <w:color w:val="000000"/>
          <w:sz w:val="28"/>
          <w:szCs w:val="28"/>
          <w:lang w:val="en"/>
        </w:rPr>
        <w:t>Основні</w:t>
      </w:r>
      <w:r>
        <w:rPr>
          <w:b/>
          <w:color w:val="000000"/>
          <w:sz w:val="28"/>
          <w:szCs w:val="28"/>
          <w:lang w:val="en"/>
        </w:rPr>
        <w:t xml:space="preserve"> с</w:t>
      </w:r>
      <w:r>
        <w:rPr>
          <w:b/>
          <w:color w:val="000000"/>
          <w:sz w:val="28"/>
          <w:szCs w:val="28"/>
          <w:lang w:val="en"/>
        </w:rPr>
        <w:t>пособи</w:t>
      </w:r>
      <w:r>
        <w:rPr>
          <w:b/>
          <w:color w:val="000000"/>
          <w:sz w:val="28"/>
          <w:szCs w:val="28"/>
          <w:lang w:val="en"/>
        </w:rPr>
        <w:t xml:space="preserve"> вилученн</w:t>
      </w:r>
      <w:r>
        <w:rPr>
          <w:b/>
          <w:color w:val="000000"/>
          <w:sz w:val="28"/>
          <w:szCs w:val="28"/>
          <w:lang w:val="en"/>
        </w:rPr>
        <w:t>я важких металів з води</w:t>
      </w:r>
    </w:p>
    <w:p w:rsidR="00F1629C" w:rsidRDefault="00E671D2">
      <w:pPr>
        <w:pStyle w:val="af4"/>
        <w:snapToGrid w:val="0"/>
        <w:spacing w:line="360" w:lineRule="auto"/>
        <w:ind w:left="0"/>
        <w:jc w:val="both"/>
        <w:rPr>
          <w:color w:val="000000"/>
          <w:sz w:val="28"/>
          <w:szCs w:val="28"/>
        </w:rPr>
      </w:pPr>
      <w:r>
        <w:rPr>
          <w:color w:val="000000"/>
          <w:sz w:val="28"/>
          <w:szCs w:val="28"/>
        </w:rPr>
        <w:tab/>
      </w:r>
      <w:r>
        <w:rPr>
          <w:color w:val="000000"/>
          <w:sz w:val="28"/>
          <w:szCs w:val="28"/>
        </w:rPr>
        <w:t>Основними забруднюючими речовинами,</w:t>
      </w:r>
      <w:r>
        <w:rPr>
          <w:color w:val="000000"/>
          <w:sz w:val="28"/>
          <w:szCs w:val="28"/>
          <w:lang w:val="en"/>
        </w:rPr>
        <w:t xml:space="preserve"> що </w:t>
      </w:r>
      <w:r>
        <w:rPr>
          <w:color w:val="000000"/>
          <w:sz w:val="28"/>
          <w:szCs w:val="28"/>
        </w:rPr>
        <w:t xml:space="preserve">містяться в стічних водах </w:t>
      </w:r>
      <w:r>
        <w:rPr>
          <w:color w:val="000000"/>
          <w:sz w:val="28"/>
          <w:szCs w:val="28"/>
          <w:lang w:val="en"/>
        </w:rPr>
        <w:t>промислових підприємств</w:t>
      </w:r>
      <w:r>
        <w:rPr>
          <w:color w:val="000000"/>
          <w:sz w:val="28"/>
          <w:szCs w:val="28"/>
        </w:rPr>
        <w:t xml:space="preserve"> є іони</w:t>
      </w:r>
      <w:r>
        <w:rPr>
          <w:color w:val="000000"/>
          <w:sz w:val="28"/>
          <w:szCs w:val="28"/>
          <w:lang w:val="en"/>
        </w:rPr>
        <w:t xml:space="preserve"> </w:t>
      </w:r>
      <w:r>
        <w:rPr>
          <w:color w:val="000000"/>
          <w:sz w:val="28"/>
          <w:szCs w:val="28"/>
        </w:rPr>
        <w:t>важких металів. Важкі метали відносяться</w:t>
      </w:r>
    </w:p>
    <w:p w:rsidR="00F1629C" w:rsidRDefault="00E671D2">
      <w:pPr>
        <w:pStyle w:val="af4"/>
        <w:snapToGrid w:val="0"/>
        <w:spacing w:line="360" w:lineRule="auto"/>
        <w:ind w:left="0"/>
        <w:jc w:val="both"/>
        <w:rPr>
          <w:color w:val="000000"/>
          <w:sz w:val="28"/>
          <w:szCs w:val="28"/>
        </w:rPr>
      </w:pPr>
      <w:r>
        <w:rPr>
          <w:color w:val="000000"/>
          <w:sz w:val="28"/>
          <w:szCs w:val="28"/>
        </w:rPr>
        <w:t>до пріоритетних забруднюючих речовин,</w:t>
      </w:r>
      <w:r>
        <w:rPr>
          <w:color w:val="000000"/>
          <w:sz w:val="28"/>
          <w:szCs w:val="28"/>
          <w:lang w:val="en"/>
        </w:rPr>
        <w:t xml:space="preserve"> </w:t>
      </w:r>
      <w:r>
        <w:rPr>
          <w:color w:val="000000"/>
          <w:sz w:val="28"/>
          <w:szCs w:val="28"/>
        </w:rPr>
        <w:t>спостереження за якими обов'язкові у всіх</w:t>
      </w:r>
      <w:r>
        <w:rPr>
          <w:color w:val="000000"/>
          <w:sz w:val="28"/>
          <w:szCs w:val="28"/>
          <w:lang w:val="en"/>
        </w:rPr>
        <w:t xml:space="preserve"> </w:t>
      </w:r>
      <w:r>
        <w:rPr>
          <w:color w:val="000000"/>
          <w:sz w:val="28"/>
          <w:szCs w:val="28"/>
        </w:rPr>
        <w:t xml:space="preserve">середовищах. </w:t>
      </w:r>
      <w:r>
        <w:rPr>
          <w:color w:val="000000"/>
          <w:sz w:val="28"/>
          <w:szCs w:val="28"/>
        </w:rPr>
        <w:t>Перш за все, представляють інтерес</w:t>
      </w:r>
      <w:r>
        <w:rPr>
          <w:color w:val="000000"/>
          <w:sz w:val="28"/>
          <w:szCs w:val="28"/>
          <w:lang w:val="en"/>
        </w:rPr>
        <w:t xml:space="preserve"> </w:t>
      </w:r>
      <w:r>
        <w:rPr>
          <w:color w:val="000000"/>
          <w:sz w:val="28"/>
          <w:szCs w:val="28"/>
        </w:rPr>
        <w:t>ті метали, які найбільшою мірою</w:t>
      </w:r>
      <w:r>
        <w:rPr>
          <w:color w:val="000000"/>
          <w:sz w:val="28"/>
          <w:szCs w:val="28"/>
          <w:lang w:val="en"/>
        </w:rPr>
        <w:t xml:space="preserve"> </w:t>
      </w:r>
      <w:r>
        <w:rPr>
          <w:color w:val="000000"/>
          <w:sz w:val="28"/>
          <w:szCs w:val="28"/>
        </w:rPr>
        <w:t>забруднюють природу, зважаючи на використання їх в</w:t>
      </w:r>
      <w:r>
        <w:rPr>
          <w:color w:val="000000"/>
          <w:sz w:val="28"/>
          <w:szCs w:val="28"/>
          <w:lang w:val="en"/>
        </w:rPr>
        <w:t xml:space="preserve"> </w:t>
      </w:r>
      <w:r>
        <w:rPr>
          <w:color w:val="000000"/>
          <w:sz w:val="28"/>
          <w:szCs w:val="28"/>
        </w:rPr>
        <w:t>значних обсягах в виробнич</w:t>
      </w:r>
      <w:r>
        <w:rPr>
          <w:color w:val="000000"/>
          <w:sz w:val="28"/>
          <w:szCs w:val="28"/>
          <w:lang w:val="en"/>
        </w:rPr>
        <w:t xml:space="preserve">ій </w:t>
      </w:r>
      <w:r>
        <w:rPr>
          <w:color w:val="000000"/>
          <w:sz w:val="28"/>
          <w:szCs w:val="28"/>
        </w:rPr>
        <w:t>діяльності, і в результаті накопичення в</w:t>
      </w:r>
      <w:r>
        <w:rPr>
          <w:color w:val="000000"/>
          <w:sz w:val="28"/>
          <w:szCs w:val="28"/>
          <w:lang w:val="en"/>
        </w:rPr>
        <w:t xml:space="preserve"> </w:t>
      </w:r>
      <w:r>
        <w:rPr>
          <w:color w:val="000000"/>
          <w:sz w:val="28"/>
          <w:szCs w:val="28"/>
        </w:rPr>
        <w:t>зовнішньому середовищі становлять серйозну небезпеку</w:t>
      </w:r>
      <w:r>
        <w:rPr>
          <w:color w:val="000000"/>
          <w:sz w:val="28"/>
          <w:szCs w:val="28"/>
          <w:lang w:val="en"/>
        </w:rPr>
        <w:t xml:space="preserve"> </w:t>
      </w:r>
      <w:r>
        <w:rPr>
          <w:color w:val="000000"/>
          <w:sz w:val="28"/>
          <w:szCs w:val="28"/>
        </w:rPr>
        <w:t>з точки зору їх</w:t>
      </w:r>
      <w:r>
        <w:rPr>
          <w:color w:val="000000"/>
          <w:sz w:val="28"/>
          <w:szCs w:val="28"/>
        </w:rPr>
        <w:t xml:space="preserve"> біологічної активності</w:t>
      </w:r>
      <w:r>
        <w:rPr>
          <w:color w:val="000000"/>
          <w:sz w:val="28"/>
          <w:szCs w:val="28"/>
          <w:lang w:val="en"/>
        </w:rPr>
        <w:t xml:space="preserve"> </w:t>
      </w:r>
      <w:r>
        <w:rPr>
          <w:color w:val="000000"/>
          <w:sz w:val="28"/>
          <w:szCs w:val="28"/>
        </w:rPr>
        <w:t>і токсичних властивостей. До таких металів</w:t>
      </w:r>
      <w:r>
        <w:rPr>
          <w:color w:val="000000"/>
          <w:sz w:val="28"/>
          <w:szCs w:val="28"/>
          <w:lang w:val="en"/>
        </w:rPr>
        <w:t xml:space="preserve"> </w:t>
      </w:r>
      <w:r>
        <w:rPr>
          <w:color w:val="000000"/>
          <w:sz w:val="28"/>
          <w:szCs w:val="28"/>
        </w:rPr>
        <w:t>можна віднести нікель (II), хром (III) і (VI), цинк</w:t>
      </w:r>
      <w:r>
        <w:rPr>
          <w:color w:val="000000"/>
          <w:sz w:val="28"/>
          <w:szCs w:val="28"/>
          <w:lang w:val="en"/>
        </w:rPr>
        <w:t xml:space="preserve"> </w:t>
      </w:r>
      <w:r>
        <w:rPr>
          <w:color w:val="000000"/>
          <w:sz w:val="28"/>
          <w:szCs w:val="28"/>
        </w:rPr>
        <w:t>(II), мідь (II), кадмій (II) і ін.</w:t>
      </w:r>
      <w:r>
        <w:rPr>
          <w:color w:val="000000"/>
          <w:sz w:val="28"/>
          <w:szCs w:val="28"/>
          <w:lang w:val="en"/>
        </w:rPr>
        <w:t xml:space="preserve"> </w:t>
      </w:r>
      <w:r>
        <w:rPr>
          <w:color w:val="000000"/>
          <w:sz w:val="28"/>
          <w:szCs w:val="28"/>
        </w:rPr>
        <w:t>Серед сучасних методів, що забезпечують</w:t>
      </w:r>
      <w:r>
        <w:rPr>
          <w:color w:val="000000"/>
          <w:sz w:val="28"/>
          <w:szCs w:val="28"/>
          <w:lang w:val="en"/>
        </w:rPr>
        <w:t xml:space="preserve"> </w:t>
      </w:r>
      <w:r>
        <w:rPr>
          <w:color w:val="000000"/>
          <w:sz w:val="28"/>
          <w:szCs w:val="28"/>
        </w:rPr>
        <w:t>ефективну очистку стічних вод від</w:t>
      </w:r>
      <w:r>
        <w:rPr>
          <w:color w:val="000000"/>
          <w:sz w:val="28"/>
          <w:szCs w:val="28"/>
          <w:lang w:val="en"/>
        </w:rPr>
        <w:t xml:space="preserve"> </w:t>
      </w:r>
      <w:r>
        <w:rPr>
          <w:color w:val="000000"/>
          <w:sz w:val="28"/>
          <w:szCs w:val="28"/>
        </w:rPr>
        <w:t>різних забруднюючих речовин,</w:t>
      </w:r>
      <w:r>
        <w:rPr>
          <w:color w:val="000000"/>
          <w:sz w:val="28"/>
          <w:szCs w:val="28"/>
        </w:rPr>
        <w:t xml:space="preserve"> в тому числі</w:t>
      </w:r>
      <w:r>
        <w:rPr>
          <w:color w:val="000000"/>
          <w:sz w:val="28"/>
          <w:szCs w:val="28"/>
          <w:lang w:val="en"/>
        </w:rPr>
        <w:t xml:space="preserve"> </w:t>
      </w:r>
      <w:r>
        <w:rPr>
          <w:color w:val="000000"/>
          <w:sz w:val="28"/>
          <w:szCs w:val="28"/>
        </w:rPr>
        <w:t>і іонів важких металів, особлива роль належить</w:t>
      </w:r>
      <w:r>
        <w:rPr>
          <w:color w:val="000000"/>
          <w:sz w:val="28"/>
          <w:szCs w:val="28"/>
          <w:lang w:val="en"/>
        </w:rPr>
        <w:t xml:space="preserve"> </w:t>
      </w:r>
      <w:r>
        <w:rPr>
          <w:color w:val="000000"/>
          <w:sz w:val="28"/>
          <w:szCs w:val="28"/>
        </w:rPr>
        <w:t>фізико-хімічни</w:t>
      </w:r>
      <w:r>
        <w:rPr>
          <w:color w:val="000000"/>
          <w:sz w:val="28"/>
          <w:szCs w:val="28"/>
          <w:lang w:val="en"/>
        </w:rPr>
        <w:t>м</w:t>
      </w:r>
      <w:r>
        <w:rPr>
          <w:color w:val="000000"/>
          <w:sz w:val="28"/>
          <w:szCs w:val="28"/>
        </w:rPr>
        <w:t xml:space="preserve"> технологі</w:t>
      </w:r>
      <w:r>
        <w:rPr>
          <w:color w:val="000000"/>
          <w:sz w:val="28"/>
          <w:szCs w:val="28"/>
          <w:lang w:val="en"/>
        </w:rPr>
        <w:t>ям</w:t>
      </w:r>
      <w:r>
        <w:rPr>
          <w:color w:val="000000"/>
          <w:sz w:val="28"/>
          <w:szCs w:val="28"/>
        </w:rPr>
        <w:t>.</w:t>
      </w:r>
      <w:r>
        <w:rPr>
          <w:color w:val="000000"/>
          <w:sz w:val="28"/>
          <w:szCs w:val="28"/>
          <w:lang w:val="en"/>
        </w:rPr>
        <w:t xml:space="preserve"> </w:t>
      </w:r>
      <w:r>
        <w:rPr>
          <w:color w:val="000000"/>
          <w:sz w:val="28"/>
          <w:szCs w:val="28"/>
        </w:rPr>
        <w:t>У міру накопичення і вдосконалення</w:t>
      </w:r>
    </w:p>
    <w:p w:rsidR="00F1629C" w:rsidRDefault="00E671D2">
      <w:pPr>
        <w:pStyle w:val="af4"/>
        <w:snapToGrid w:val="0"/>
        <w:spacing w:line="360" w:lineRule="auto"/>
        <w:ind w:left="0"/>
        <w:jc w:val="both"/>
        <w:rPr>
          <w:color w:val="000000"/>
          <w:sz w:val="28"/>
          <w:szCs w:val="28"/>
          <w:lang w:val="en"/>
        </w:rPr>
      </w:pPr>
      <w:r>
        <w:rPr>
          <w:color w:val="000000"/>
          <w:sz w:val="28"/>
          <w:szCs w:val="28"/>
        </w:rPr>
        <w:t>арсеналу засобів фізико-хімічної обробки</w:t>
      </w:r>
      <w:r>
        <w:rPr>
          <w:color w:val="000000"/>
          <w:sz w:val="28"/>
          <w:szCs w:val="28"/>
          <w:lang w:val="en"/>
        </w:rPr>
        <w:t xml:space="preserve"> </w:t>
      </w:r>
      <w:r>
        <w:rPr>
          <w:color w:val="000000"/>
          <w:sz w:val="28"/>
          <w:szCs w:val="28"/>
        </w:rPr>
        <w:t>води, розширення кола вирішуваних завдань</w:t>
      </w:r>
      <w:r>
        <w:rPr>
          <w:color w:val="000000"/>
          <w:sz w:val="28"/>
          <w:szCs w:val="28"/>
          <w:lang w:val="en"/>
        </w:rPr>
        <w:t xml:space="preserve"> </w:t>
      </w:r>
      <w:r>
        <w:rPr>
          <w:color w:val="000000"/>
          <w:sz w:val="28"/>
          <w:szCs w:val="28"/>
        </w:rPr>
        <w:t>виявлена можливість створення комплексних</w:t>
      </w:r>
      <w:r>
        <w:rPr>
          <w:color w:val="000000"/>
          <w:sz w:val="28"/>
          <w:szCs w:val="28"/>
          <w:lang w:val="en"/>
        </w:rPr>
        <w:t xml:space="preserve"> </w:t>
      </w:r>
      <w:r>
        <w:rPr>
          <w:color w:val="000000"/>
          <w:sz w:val="28"/>
          <w:szCs w:val="28"/>
        </w:rPr>
        <w:t>технол</w:t>
      </w:r>
      <w:r>
        <w:rPr>
          <w:color w:val="000000"/>
          <w:sz w:val="28"/>
          <w:szCs w:val="28"/>
        </w:rPr>
        <w:t>огічних процесів з функціональної</w:t>
      </w:r>
      <w:r>
        <w:rPr>
          <w:color w:val="000000"/>
          <w:sz w:val="28"/>
          <w:szCs w:val="28"/>
          <w:lang w:val="en"/>
        </w:rPr>
        <w:t xml:space="preserve"> </w:t>
      </w:r>
      <w:r>
        <w:rPr>
          <w:color w:val="000000"/>
          <w:sz w:val="28"/>
          <w:szCs w:val="28"/>
        </w:rPr>
        <w:t>спеціалізацією їх окремих ланок.</w:t>
      </w:r>
      <w:r>
        <w:rPr>
          <w:color w:val="000000"/>
          <w:sz w:val="28"/>
          <w:szCs w:val="28"/>
          <w:lang w:val="en"/>
        </w:rPr>
        <w:t xml:space="preserve"> </w:t>
      </w:r>
      <w:r>
        <w:rPr>
          <w:color w:val="000000"/>
          <w:sz w:val="28"/>
          <w:szCs w:val="28"/>
        </w:rPr>
        <w:t>В даний час фізико-хімічні</w:t>
      </w:r>
      <w:r>
        <w:rPr>
          <w:color w:val="000000"/>
          <w:sz w:val="28"/>
          <w:szCs w:val="28"/>
          <w:lang w:val="en"/>
        </w:rPr>
        <w:t xml:space="preserve"> </w:t>
      </w:r>
      <w:r>
        <w:rPr>
          <w:color w:val="000000"/>
          <w:sz w:val="28"/>
          <w:szCs w:val="28"/>
        </w:rPr>
        <w:t>технології поширені в області очищення</w:t>
      </w:r>
      <w:r>
        <w:rPr>
          <w:color w:val="000000"/>
          <w:sz w:val="28"/>
          <w:szCs w:val="28"/>
          <w:lang w:val="en"/>
        </w:rPr>
        <w:t xml:space="preserve"> </w:t>
      </w:r>
      <w:r>
        <w:rPr>
          <w:color w:val="000000"/>
          <w:sz w:val="28"/>
          <w:szCs w:val="28"/>
        </w:rPr>
        <w:t xml:space="preserve">природних і </w:t>
      </w:r>
      <w:r>
        <w:rPr>
          <w:color w:val="000000"/>
          <w:sz w:val="28"/>
          <w:szCs w:val="28"/>
        </w:rPr>
        <w:lastRenderedPageBreak/>
        <w:t>стічних вод, маючи незаперечні</w:t>
      </w:r>
      <w:r>
        <w:rPr>
          <w:color w:val="000000"/>
          <w:sz w:val="28"/>
          <w:szCs w:val="28"/>
          <w:lang w:val="en"/>
        </w:rPr>
        <w:t xml:space="preserve"> </w:t>
      </w:r>
      <w:r>
        <w:rPr>
          <w:color w:val="000000"/>
          <w:sz w:val="28"/>
          <w:szCs w:val="28"/>
        </w:rPr>
        <w:t>переваги при вирішенні багатьох</w:t>
      </w:r>
      <w:r>
        <w:rPr>
          <w:color w:val="000000"/>
          <w:sz w:val="28"/>
          <w:szCs w:val="28"/>
          <w:lang w:val="en"/>
        </w:rPr>
        <w:t xml:space="preserve"> </w:t>
      </w:r>
      <w:r>
        <w:rPr>
          <w:color w:val="000000"/>
          <w:sz w:val="28"/>
          <w:szCs w:val="28"/>
        </w:rPr>
        <w:t>задач забезпечення чистоти навколишнього середов</w:t>
      </w:r>
      <w:r>
        <w:rPr>
          <w:color w:val="000000"/>
          <w:sz w:val="28"/>
          <w:szCs w:val="28"/>
        </w:rPr>
        <w:t>ища</w:t>
      </w:r>
      <w:r>
        <w:rPr>
          <w:color w:val="000000"/>
          <w:sz w:val="28"/>
          <w:szCs w:val="28"/>
          <w:lang w:val="en"/>
        </w:rPr>
        <w:t xml:space="preserve"> [24]</w:t>
      </w:r>
      <w:r>
        <w:rPr>
          <w:color w:val="000000"/>
          <w:sz w:val="28"/>
          <w:szCs w:val="28"/>
        </w:rPr>
        <w:t>.</w:t>
      </w:r>
      <w:r>
        <w:rPr>
          <w:color w:val="000000"/>
          <w:sz w:val="28"/>
          <w:szCs w:val="28"/>
          <w:lang w:val="en"/>
        </w:rPr>
        <w:t xml:space="preserve"> </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 xml:space="preserve">Широке поширення серед физико-хімічних методів отримало очищення стічних вод з використанням коагулянтів і флокулянтів. В якості  коагулянтів використовують солі алюмінію, заліза або їх суміші. При очищенні стічних вод від іонів важких металів </w:t>
      </w:r>
      <w:r>
        <w:rPr>
          <w:color w:val="000000"/>
          <w:sz w:val="28"/>
          <w:szCs w:val="28"/>
          <w:lang w:val="en"/>
        </w:rPr>
        <w:t>застосовують сульфат алюмінію Al</w:t>
      </w:r>
      <w:r>
        <w:rPr>
          <w:color w:val="000000"/>
          <w:sz w:val="28"/>
          <w:szCs w:val="28"/>
          <w:vertAlign w:val="subscript"/>
          <w:lang w:val="en"/>
        </w:rPr>
        <w:t>2</w:t>
      </w:r>
      <w:r>
        <w:rPr>
          <w:color w:val="000000"/>
          <w:sz w:val="28"/>
          <w:szCs w:val="28"/>
          <w:lang w:val="en"/>
        </w:rPr>
        <w:t>(SO</w:t>
      </w:r>
      <w:r>
        <w:rPr>
          <w:color w:val="000000"/>
          <w:sz w:val="28"/>
          <w:szCs w:val="28"/>
          <w:vertAlign w:val="subscript"/>
          <w:lang w:val="en"/>
        </w:rPr>
        <w:t>4</w:t>
      </w:r>
      <w:r>
        <w:rPr>
          <w:color w:val="000000"/>
          <w:sz w:val="28"/>
          <w:szCs w:val="28"/>
          <w:lang w:val="en"/>
        </w:rPr>
        <w:t>)</w:t>
      </w:r>
      <w:r>
        <w:rPr>
          <w:color w:val="000000"/>
          <w:sz w:val="28"/>
          <w:szCs w:val="28"/>
          <w:vertAlign w:val="subscript"/>
          <w:lang w:val="en"/>
        </w:rPr>
        <w:t>3</w:t>
      </w:r>
      <w:r>
        <w:rPr>
          <w:color w:val="000000"/>
          <w:sz w:val="28"/>
          <w:szCs w:val="28"/>
          <w:lang w:val="en"/>
        </w:rPr>
        <w:t>·18H</w:t>
      </w:r>
      <w:r>
        <w:rPr>
          <w:color w:val="000000"/>
          <w:sz w:val="28"/>
          <w:szCs w:val="28"/>
          <w:vertAlign w:val="subscript"/>
          <w:lang w:val="en"/>
        </w:rPr>
        <w:t>2</w:t>
      </w:r>
      <w:r>
        <w:rPr>
          <w:color w:val="000000"/>
          <w:sz w:val="28"/>
          <w:szCs w:val="28"/>
          <w:lang w:val="en"/>
        </w:rPr>
        <w:t>O; алюмінат натрію NaAlO</w:t>
      </w:r>
      <w:r>
        <w:rPr>
          <w:color w:val="000000"/>
          <w:sz w:val="28"/>
          <w:szCs w:val="28"/>
          <w:vertAlign w:val="subscript"/>
          <w:lang w:val="en"/>
        </w:rPr>
        <w:t>2</w:t>
      </w:r>
      <w:r>
        <w:rPr>
          <w:color w:val="000000"/>
          <w:sz w:val="28"/>
          <w:szCs w:val="28"/>
          <w:lang w:val="en"/>
        </w:rPr>
        <w:t>; гидроксохлорид алюмінію Al(OH)</w:t>
      </w:r>
      <w:r>
        <w:rPr>
          <w:color w:val="000000"/>
          <w:sz w:val="28"/>
          <w:szCs w:val="28"/>
          <w:vertAlign w:val="subscript"/>
          <w:lang w:val="en"/>
        </w:rPr>
        <w:t>5</w:t>
      </w:r>
      <w:r>
        <w:rPr>
          <w:color w:val="000000"/>
          <w:sz w:val="28"/>
          <w:szCs w:val="28"/>
          <w:lang w:val="en"/>
        </w:rPr>
        <w:t>Cl; тетраоксосульфати алюмінію-калію і алюмінію-амонію (галун алюмокалієвий і аміачний). З перерахованих коагулянтів найбільш поширений сульфат алюмінію і</w:t>
      </w:r>
      <w:r>
        <w:rPr>
          <w:color w:val="000000"/>
          <w:sz w:val="28"/>
          <w:szCs w:val="28"/>
          <w:lang w:val="en"/>
        </w:rPr>
        <w:t xml:space="preserve"> алюмінат натрію. На процес коагуляції істотно впливає сольовий склад води. Аніони слабких кислот зумовлюють ємність буфера, сприяючи гідролізу коагулянту. Катіони можуть змінювати заряд колоїдних частинок. Наприклад, в жорстких водах негативно заряджені к</w:t>
      </w:r>
      <w:r>
        <w:rPr>
          <w:color w:val="000000"/>
          <w:sz w:val="28"/>
          <w:szCs w:val="28"/>
          <w:lang w:val="en"/>
        </w:rPr>
        <w:t>олоїди за рахунок адсорбції іонів кальцію і магнію можуть набувати позитивного заряду. При значеннях рН &gt; 7 цей заряд може нейтралізуватися іонами SO</w:t>
      </w:r>
      <w:r>
        <w:rPr>
          <w:color w:val="000000"/>
          <w:sz w:val="28"/>
          <w:szCs w:val="28"/>
          <w:vertAlign w:val="subscript"/>
          <w:lang w:val="en"/>
        </w:rPr>
        <w:t>4</w:t>
      </w:r>
      <w:r>
        <w:rPr>
          <w:color w:val="000000"/>
          <w:sz w:val="28"/>
          <w:szCs w:val="28"/>
          <w:lang w:val="en"/>
        </w:rPr>
        <w:t xml:space="preserve"> з сірчанокислого алюмінію, а іон алюмінію буде повністю гидролизоваться до Al(OH)</w:t>
      </w:r>
      <w:r>
        <w:rPr>
          <w:color w:val="000000"/>
          <w:sz w:val="28"/>
          <w:szCs w:val="28"/>
          <w:vertAlign w:val="subscript"/>
          <w:lang w:val="en"/>
        </w:rPr>
        <w:t>3</w:t>
      </w:r>
      <w:r>
        <w:rPr>
          <w:color w:val="000000"/>
          <w:sz w:val="28"/>
          <w:szCs w:val="28"/>
          <w:lang w:val="en"/>
        </w:rPr>
        <w:t>. доза коагулянту в цьо</w:t>
      </w:r>
      <w:r>
        <w:rPr>
          <w:color w:val="000000"/>
          <w:sz w:val="28"/>
          <w:szCs w:val="28"/>
          <w:lang w:val="en"/>
        </w:rPr>
        <w:t>му випадку буде менше, ніж при коагуляції негативно заряджених частинок. Отже, іон-партнер SO</w:t>
      </w:r>
      <w:r>
        <w:rPr>
          <w:color w:val="000000"/>
          <w:sz w:val="28"/>
          <w:szCs w:val="28"/>
          <w:vertAlign w:val="subscript"/>
          <w:lang w:val="en"/>
        </w:rPr>
        <w:t xml:space="preserve">4 </w:t>
      </w:r>
      <w:r>
        <w:rPr>
          <w:color w:val="000000"/>
          <w:sz w:val="28"/>
          <w:szCs w:val="28"/>
          <w:lang w:val="en"/>
        </w:rPr>
        <w:t>демонструє істотний вплив на процес коагуляції в водах з підвищеною жорсткістю. З додаванням в воду коагулянту у частинок відбувається стиснення подвійного елект</w:t>
      </w:r>
      <w:r>
        <w:rPr>
          <w:color w:val="000000"/>
          <w:sz w:val="28"/>
          <w:szCs w:val="28"/>
          <w:lang w:val="en"/>
        </w:rPr>
        <w:t>ричного шару, що сприяє зближенню їх на таку відстань, при якій проявляються міжмолекулярні сили тяжіння і частки укрупнюються.  З солей заліза в якості коагулянтів для очищення стічних вод від іонів важких металів використовують сульфати заліза Fe</w:t>
      </w:r>
      <w:r>
        <w:rPr>
          <w:color w:val="000000"/>
          <w:sz w:val="28"/>
          <w:szCs w:val="28"/>
          <w:vertAlign w:val="subscript"/>
          <w:lang w:val="en"/>
        </w:rPr>
        <w:t>2</w:t>
      </w:r>
      <w:r>
        <w:rPr>
          <w:color w:val="000000"/>
          <w:sz w:val="28"/>
          <w:szCs w:val="28"/>
          <w:lang w:val="en"/>
        </w:rPr>
        <w:t>(SO</w:t>
      </w:r>
      <w:r>
        <w:rPr>
          <w:color w:val="000000"/>
          <w:sz w:val="28"/>
          <w:szCs w:val="28"/>
          <w:vertAlign w:val="subscript"/>
          <w:lang w:val="en"/>
        </w:rPr>
        <w:t>4</w:t>
      </w:r>
      <w:r>
        <w:rPr>
          <w:color w:val="000000"/>
          <w:sz w:val="28"/>
          <w:szCs w:val="28"/>
          <w:lang w:val="en"/>
        </w:rPr>
        <w:t>)</w:t>
      </w:r>
      <w:r>
        <w:rPr>
          <w:color w:val="000000"/>
          <w:sz w:val="28"/>
          <w:szCs w:val="28"/>
          <w:vertAlign w:val="subscript"/>
          <w:lang w:val="en"/>
        </w:rPr>
        <w:t>3</w:t>
      </w:r>
      <w:r>
        <w:rPr>
          <w:color w:val="000000"/>
          <w:sz w:val="28"/>
          <w:szCs w:val="28"/>
          <w:lang w:val="en"/>
        </w:rPr>
        <w:t>·</w:t>
      </w:r>
      <w:r>
        <w:rPr>
          <w:color w:val="000000"/>
          <w:sz w:val="28"/>
          <w:szCs w:val="28"/>
          <w:lang w:val="en"/>
        </w:rPr>
        <w:t>2H</w:t>
      </w:r>
      <w:r>
        <w:rPr>
          <w:color w:val="000000"/>
          <w:sz w:val="28"/>
          <w:szCs w:val="28"/>
          <w:vertAlign w:val="subscript"/>
          <w:lang w:val="en"/>
        </w:rPr>
        <w:t>2</w:t>
      </w:r>
      <w:r>
        <w:rPr>
          <w:color w:val="000000"/>
          <w:sz w:val="28"/>
          <w:szCs w:val="28"/>
          <w:lang w:val="en"/>
        </w:rPr>
        <w:t>O, Fe(SO</w:t>
      </w:r>
      <w:r>
        <w:rPr>
          <w:color w:val="000000"/>
          <w:sz w:val="28"/>
          <w:szCs w:val="28"/>
          <w:vertAlign w:val="subscript"/>
          <w:lang w:val="en"/>
        </w:rPr>
        <w:t>4</w:t>
      </w:r>
      <w:r>
        <w:rPr>
          <w:color w:val="000000"/>
          <w:sz w:val="28"/>
          <w:szCs w:val="28"/>
          <w:lang w:val="en"/>
        </w:rPr>
        <w:t>)</w:t>
      </w:r>
      <w:r>
        <w:rPr>
          <w:color w:val="000000"/>
          <w:sz w:val="28"/>
          <w:szCs w:val="28"/>
          <w:vertAlign w:val="subscript"/>
          <w:lang w:val="en"/>
        </w:rPr>
        <w:t>3</w:t>
      </w:r>
      <w:r>
        <w:rPr>
          <w:color w:val="000000"/>
          <w:sz w:val="28"/>
          <w:szCs w:val="28"/>
          <w:lang w:val="en"/>
        </w:rPr>
        <w:t>·3H2O, FeSO</w:t>
      </w:r>
      <w:r>
        <w:rPr>
          <w:color w:val="000000"/>
          <w:sz w:val="28"/>
          <w:szCs w:val="28"/>
          <w:vertAlign w:val="subscript"/>
          <w:lang w:val="en"/>
        </w:rPr>
        <w:t>4</w:t>
      </w:r>
      <w:r>
        <w:rPr>
          <w:color w:val="000000"/>
          <w:sz w:val="28"/>
          <w:szCs w:val="28"/>
          <w:lang w:val="en"/>
        </w:rPr>
        <w:t>·7H</w:t>
      </w:r>
      <w:r>
        <w:rPr>
          <w:color w:val="000000"/>
          <w:sz w:val="28"/>
          <w:szCs w:val="28"/>
          <w:vertAlign w:val="subscript"/>
          <w:lang w:val="en"/>
        </w:rPr>
        <w:t>2</w:t>
      </w:r>
      <w:r>
        <w:rPr>
          <w:color w:val="000000"/>
          <w:sz w:val="28"/>
          <w:szCs w:val="28"/>
          <w:lang w:val="en"/>
        </w:rPr>
        <w:t>O, а також хлорне залізо FeCl</w:t>
      </w:r>
      <w:r>
        <w:rPr>
          <w:color w:val="000000"/>
          <w:sz w:val="28"/>
          <w:szCs w:val="28"/>
          <w:vertAlign w:val="subscript"/>
          <w:lang w:val="en"/>
        </w:rPr>
        <w:t>3</w:t>
      </w:r>
      <w:r>
        <w:rPr>
          <w:color w:val="000000"/>
          <w:sz w:val="28"/>
          <w:szCs w:val="28"/>
          <w:lang w:val="en"/>
        </w:rPr>
        <w:t>. Найкраще очищення відбувається при використанні солей тривалентного заліза [25].</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Сорбційні методи очищення стічних вод поряд з високою ефективністю, відносяться до найбільш екологічно чистих мет</w:t>
      </w:r>
      <w:r>
        <w:rPr>
          <w:color w:val="000000"/>
          <w:sz w:val="28"/>
          <w:szCs w:val="28"/>
          <w:lang w:val="en"/>
        </w:rPr>
        <w:t xml:space="preserve">одів. Основним критерієм при виборі матеріалу для доочищення стічних вод є його сорбційні якості, пориста структура і економічність. </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lastRenderedPageBreak/>
        <w:t>Найбільш популярними при очищенні стічних вод від іонів важких металів визнані вуглецеві сорбенти, кремнезем, торф і проду</w:t>
      </w:r>
      <w:r>
        <w:rPr>
          <w:color w:val="000000"/>
          <w:sz w:val="28"/>
          <w:szCs w:val="28"/>
          <w:lang w:val="en"/>
        </w:rPr>
        <w:t>кти його переробки, золи, карбонатвмісні техногенні відходи та ін.</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Різні марки активного вугілля сорбують іони важких металів, виявляючи при цьому різну поглинальну здатність. Основним фактором, що визначає ефективність сорбції, є величина рН. Максимум сор</w:t>
      </w:r>
      <w:r>
        <w:rPr>
          <w:color w:val="000000"/>
          <w:sz w:val="28"/>
          <w:szCs w:val="28"/>
          <w:lang w:val="en"/>
        </w:rPr>
        <w:t>бції досягається при рН 4, тобто процес проходить до утворення продуктів гідролізу. Гранульоване активоване вугілля, насичене нітрогуміновою кислотою, володіє високою поглинальною здатністю по відношенню до іонів важких металів. Для доочистки стічних вод в</w:t>
      </w:r>
      <w:r>
        <w:rPr>
          <w:color w:val="000000"/>
          <w:sz w:val="28"/>
          <w:szCs w:val="28"/>
          <w:lang w:val="en"/>
        </w:rPr>
        <w:t>ід іонів важких металів при вихідних концентраціях до 10 мг/дм</w:t>
      </w:r>
      <w:r>
        <w:rPr>
          <w:color w:val="000000"/>
          <w:sz w:val="28"/>
          <w:szCs w:val="28"/>
          <w:vertAlign w:val="superscript"/>
          <w:lang w:val="en"/>
        </w:rPr>
        <w:t xml:space="preserve">3 </w:t>
      </w:r>
      <w:r>
        <w:rPr>
          <w:color w:val="000000"/>
          <w:sz w:val="28"/>
          <w:szCs w:val="28"/>
          <w:lang w:val="en"/>
        </w:rPr>
        <w:t>вельми перспективними реагентами є ксантогенати крохмалю.</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Здатністю сорбувати іони важких металів з розчинів володіють вугілля, отримані при спалюванні твердих органічних відходів, зокрема, ві</w:t>
      </w:r>
      <w:r>
        <w:rPr>
          <w:color w:val="000000"/>
          <w:sz w:val="28"/>
          <w:szCs w:val="28"/>
          <w:lang w:val="en"/>
        </w:rPr>
        <w:t>дходів виробництва цукру з тростини, а також відходи гідролізного лігніну [26]. Високої ефективності очищення стічних вод від іонів свинцю (II) вдається досягти при використанні модифікованих базальтових сорбентів.</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 xml:space="preserve">Сорбційні методи економічно вигідні лише </w:t>
      </w:r>
      <w:r>
        <w:rPr>
          <w:color w:val="000000"/>
          <w:sz w:val="28"/>
          <w:szCs w:val="28"/>
          <w:lang w:val="en"/>
        </w:rPr>
        <w:t>за умови багаторазового використання сорбентів. Після регенерації сорбентів утворюється велика кількість високотоксичних і висококонцентрованих елюатів, які необхідно піддавати додатковому знешкодженню та утилізації. Крім того виникає проблема і з утилізац</w:t>
      </w:r>
      <w:r>
        <w:rPr>
          <w:color w:val="000000"/>
          <w:sz w:val="28"/>
          <w:szCs w:val="28"/>
          <w:lang w:val="en"/>
        </w:rPr>
        <w:t>ії відпрацьованого сорбційної матеріалу. Тому все більшу увагу привертають методи очищення, засновані на іонному обміні з використанням природних і синтетичних матеріалів, що дозволяють не тільки вилучати іони важких металів із стічних вод, а й повторно ви</w:t>
      </w:r>
      <w:r>
        <w:rPr>
          <w:color w:val="000000"/>
          <w:sz w:val="28"/>
          <w:szCs w:val="28"/>
          <w:lang w:val="en"/>
        </w:rPr>
        <w:t>користовувати стічні води в оборотному водопостачанні. До неорганічних синтетичних іонітів відносяться силікагелі, пермутіти, важкорозчинні оксиди і гідроксиди деяких металів (алюмінію, хрому, цирконію та ін.). катіонообмінні властивості, наприклад, силіка</w:t>
      </w:r>
      <w:r>
        <w:rPr>
          <w:color w:val="000000"/>
          <w:sz w:val="28"/>
          <w:szCs w:val="28"/>
          <w:lang w:val="en"/>
        </w:rPr>
        <w:t xml:space="preserve">гелю, обумовлені обміном іонів водню гідроксильних груп на катіони металів, які проявляються в лужному середовищі. Катіонообмінними властивостями володіють і пермутіти, одержувані сплавом з'єднань, що містять </w:t>
      </w:r>
      <w:r>
        <w:rPr>
          <w:color w:val="000000"/>
          <w:sz w:val="28"/>
          <w:szCs w:val="28"/>
          <w:lang w:val="en"/>
        </w:rPr>
        <w:lastRenderedPageBreak/>
        <w:t>алюміній і кремній.</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Органічні природні іоніти -</w:t>
      </w:r>
      <w:r>
        <w:rPr>
          <w:color w:val="000000"/>
          <w:sz w:val="28"/>
          <w:szCs w:val="28"/>
          <w:lang w:val="en"/>
        </w:rPr>
        <w:t xml:space="preserve"> це гумінові кислоти грунтів і вугілля. вони виявляють слабокислотні властивості. Для посилення кислотних властивостей і обмінної ємності вугілля подрібнюють і сульфурують в надлишку олеума. Сульфовуглі є дешевими поліелектролітами, що містять сильно-і сла</w:t>
      </w:r>
      <w:r>
        <w:rPr>
          <w:color w:val="000000"/>
          <w:sz w:val="28"/>
          <w:szCs w:val="28"/>
          <w:lang w:val="en"/>
        </w:rPr>
        <w:t>бокислотні групи. До недоліків таких іонітів слід віднести їх малі хімічну стійкість і механічну міцність зерен, а також невелику обмінну ємність, особливо в нейтральних середовищах.</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 xml:space="preserve">До органічних штучних іонітів відносяться іонообмінні смоли з розвиненою </w:t>
      </w:r>
      <w:r>
        <w:rPr>
          <w:color w:val="000000"/>
          <w:sz w:val="28"/>
          <w:szCs w:val="28"/>
          <w:lang w:val="en"/>
        </w:rPr>
        <w:t>поверхнею, що набувають все більшого практичного значення для очищення стічних вод, в тому числі і від іонів важких металів. Синтетичні іонообмінні смоли представляють собою високомолекулярні сполуки, вуглеводневі радикали яких утворюють просторову сітку з</w:t>
      </w:r>
      <w:r>
        <w:rPr>
          <w:color w:val="000000"/>
          <w:sz w:val="28"/>
          <w:szCs w:val="28"/>
          <w:lang w:val="en"/>
        </w:rPr>
        <w:t xml:space="preserve"> фіксованими на ній іонообмінними функціональними групами.</w:t>
      </w:r>
    </w:p>
    <w:p w:rsidR="00F1629C" w:rsidRDefault="00E671D2">
      <w:pPr>
        <w:pStyle w:val="af4"/>
        <w:snapToGrid w:val="0"/>
        <w:spacing w:line="360" w:lineRule="auto"/>
        <w:ind w:left="0" w:firstLine="700"/>
        <w:jc w:val="both"/>
        <w:rPr>
          <w:color w:val="000000"/>
          <w:sz w:val="28"/>
          <w:szCs w:val="28"/>
          <w:lang w:val="en"/>
        </w:rPr>
      </w:pPr>
      <w:r>
        <w:rPr>
          <w:color w:val="000000"/>
          <w:sz w:val="28"/>
          <w:szCs w:val="28"/>
          <w:lang w:val="en"/>
        </w:rPr>
        <w:t>Електрохімічні методи зарекомендували себе як ефективні та прогресивні технології очищення води. Установки по реалізації цих методів досить компактні, високопродуктивні, процеси управління та експл</w:t>
      </w:r>
      <w:r>
        <w:rPr>
          <w:color w:val="000000"/>
          <w:sz w:val="28"/>
          <w:szCs w:val="28"/>
          <w:lang w:val="en"/>
        </w:rPr>
        <w:t>уатації порівняно просто автоматизуються. Найбільшого поширення набули електрокоагуляція, електрофлотація і гальванокоагуляція. Основою цих методів є теорія електрохімічних процесів, пов'язаних з анодним розчиненням електродів, з механізмом електродних про</w:t>
      </w:r>
      <w:r>
        <w:rPr>
          <w:color w:val="000000"/>
          <w:sz w:val="28"/>
          <w:szCs w:val="28"/>
          <w:lang w:val="en"/>
        </w:rPr>
        <w:t>цесів під дією електричного струму, електролітичними властивостями води і очищенням розчинів при їх електролізі, а також з фізико-хімічними процесами, що протікають при цьому в обсязі цих систем. Всі ці процеси мають відмінності, залежать від багатьох техн</w:t>
      </w:r>
      <w:r>
        <w:rPr>
          <w:color w:val="000000"/>
          <w:sz w:val="28"/>
          <w:szCs w:val="28"/>
          <w:lang w:val="en"/>
        </w:rPr>
        <w:t>ічних і технологічних факторів і вимагають тривалих науково-дослідних робіт і вивчення наявного досвіду їх впровадження [27].</w:t>
      </w:r>
    </w:p>
    <w:p w:rsidR="00F1629C" w:rsidRDefault="00F1629C">
      <w:pPr>
        <w:pStyle w:val="af4"/>
        <w:snapToGrid w:val="0"/>
        <w:spacing w:line="360" w:lineRule="auto"/>
        <w:ind w:left="0"/>
        <w:jc w:val="both"/>
        <w:rPr>
          <w:color w:val="000000"/>
          <w:sz w:val="28"/>
          <w:szCs w:val="28"/>
          <w:lang w:val="en"/>
        </w:rPr>
      </w:pPr>
    </w:p>
    <w:p w:rsidR="00F1629C" w:rsidRDefault="00E671D2">
      <w:pPr>
        <w:pStyle w:val="af4"/>
        <w:snapToGrid w:val="0"/>
        <w:spacing w:line="360" w:lineRule="auto"/>
        <w:ind w:left="0" w:firstLine="700"/>
        <w:jc w:val="both"/>
        <w:rPr>
          <w:b/>
          <w:color w:val="000000"/>
          <w:sz w:val="28"/>
          <w:szCs w:val="28"/>
          <w:lang w:val="en"/>
        </w:rPr>
      </w:pPr>
      <w:r>
        <w:rPr>
          <w:b/>
          <w:color w:val="000000"/>
          <w:sz w:val="28"/>
          <w:szCs w:val="28"/>
          <w:lang w:val="en"/>
        </w:rPr>
        <w:t xml:space="preserve">1.2.1 </w:t>
      </w:r>
      <w:r>
        <w:rPr>
          <w:b/>
          <w:color w:val="000000"/>
          <w:sz w:val="28"/>
          <w:szCs w:val="28"/>
          <w:lang w:val="en"/>
        </w:rPr>
        <w:t>Застосування</w:t>
      </w:r>
      <w:r>
        <w:rPr>
          <w:b/>
          <w:color w:val="000000"/>
          <w:sz w:val="28"/>
          <w:szCs w:val="28"/>
          <w:lang w:val="en"/>
        </w:rPr>
        <w:t xml:space="preserve"> іонообмінних технологій для очистки води від іонів важких металів</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Іонообмінне очищення стічних вод від іонів </w:t>
      </w:r>
      <w:r>
        <w:rPr>
          <w:bCs/>
          <w:color w:val="000000"/>
          <w:sz w:val="28"/>
          <w:szCs w:val="28"/>
          <w:lang w:val="en"/>
        </w:rPr>
        <w:t xml:space="preserve">важких металів набуває все </w:t>
      </w:r>
      <w:r>
        <w:rPr>
          <w:bCs/>
          <w:color w:val="000000"/>
          <w:sz w:val="28"/>
          <w:szCs w:val="28"/>
          <w:lang w:val="en"/>
        </w:rPr>
        <w:lastRenderedPageBreak/>
        <w:t>більшого поширення. З економічної точки зору найбільш доцільна іонообмінне очищення не загального стоку гальванічного виробництва, а стічних вод, що утворюються в окремих технологічних процесах і операціях і містять якомога менше</w:t>
      </w:r>
      <w:r>
        <w:rPr>
          <w:bCs/>
          <w:color w:val="000000"/>
          <w:sz w:val="28"/>
          <w:szCs w:val="28"/>
          <w:lang w:val="en"/>
        </w:rPr>
        <w:t xml:space="preserve"> металів і кислот. В цьому випадку переробка і повернення у виробництво концентрованих розчинів, що утворюються при регенерації іонітів і містять різні хімічні продукти, викликає найменші труднощі.</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Іонообмінні методи регенерації дозволяють не тільки повніс</w:t>
      </w:r>
      <w:r>
        <w:rPr>
          <w:bCs/>
          <w:color w:val="000000"/>
          <w:sz w:val="28"/>
          <w:szCs w:val="28"/>
          <w:lang w:val="en"/>
        </w:rPr>
        <w:t>тю вилучати кольорові, важкі і рідкісні метали з відпрацьованих розчинів, але також отримувати продукти регенерації у вигляді чистих солей металів, придатних для повторного використання у виробництві з метою коригування працюючих електролітів. Крім того, о</w:t>
      </w:r>
      <w:r>
        <w:rPr>
          <w:bCs/>
          <w:color w:val="000000"/>
          <w:sz w:val="28"/>
          <w:szCs w:val="28"/>
          <w:lang w:val="en"/>
        </w:rPr>
        <w:t>держувана після іонообмінної обробки очищена вода в більшості випадків без додаткової обробки може бути використана в якості оборотної. Таким чином, використання іонообмінних методів з метою регенерації металів дозволяє досягти практично безвідходної техно</w:t>
      </w:r>
      <w:r>
        <w:rPr>
          <w:bCs/>
          <w:color w:val="000000"/>
          <w:sz w:val="28"/>
          <w:szCs w:val="28"/>
          <w:lang w:val="en"/>
        </w:rPr>
        <w:t>логії в гальванічних виробництвах.</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При оборотності іонного обміну процеси сорбції та десорбції є взаємопов'язаними. Умови, що впливають на процес сорбції, впливають і на процес десорбції, тобто визначають легкість і повноту десорбції іонів з катіоніту розч</w:t>
      </w:r>
      <w:r>
        <w:rPr>
          <w:bCs/>
          <w:color w:val="000000"/>
          <w:sz w:val="28"/>
          <w:szCs w:val="28"/>
          <w:lang w:val="en"/>
        </w:rPr>
        <w:t>ином того чи іншого електроліту, витрату і ступінь використання регенеруючого розчину. Швидкість і повнота вимивання визначається не тільки властивостями сорбованого іона (заряд, розмір, ступінь гідратації, здатність утворювати комплексні іони), а й власти</w:t>
      </w:r>
      <w:r>
        <w:rPr>
          <w:bCs/>
          <w:color w:val="000000"/>
          <w:sz w:val="28"/>
          <w:szCs w:val="28"/>
          <w:lang w:val="en"/>
        </w:rPr>
        <w:t>востями іонів солі або кислоти елюата, його іонообмінною спорідненістю до іоніту даного типу, його концентрації [28].</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Важливим фактором також є те, що іонна сила розчину спричинює істотний вплив на вибірковість іонного обміну за рахунок екранування функціо</w:t>
      </w:r>
      <w:r>
        <w:rPr>
          <w:bCs/>
          <w:color w:val="000000"/>
          <w:sz w:val="28"/>
          <w:szCs w:val="28"/>
          <w:lang w:val="en"/>
        </w:rPr>
        <w:t>нальних груп сорбенту іонами фонового електроліту, зниження активності іонів і набухання обмінників, а також зміни гідратації іонів [29].</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Велика частина виконаних до теперішнього часу теоретичних і прикладних робіт для опису іонообмінних рівноваг базується</w:t>
      </w:r>
      <w:r>
        <w:rPr>
          <w:bCs/>
          <w:color w:val="000000"/>
          <w:sz w:val="28"/>
          <w:szCs w:val="28"/>
          <w:lang w:val="en"/>
        </w:rPr>
        <w:t xml:space="preserve"> в основному на </w:t>
      </w:r>
      <w:r>
        <w:rPr>
          <w:bCs/>
          <w:color w:val="000000"/>
          <w:sz w:val="28"/>
          <w:szCs w:val="28"/>
          <w:lang w:val="en"/>
        </w:rPr>
        <w:lastRenderedPageBreak/>
        <w:t xml:space="preserve">інформації, отриманої при дослідженні процесу обміну водню на іони лужних і лужно-земельних металів на сульфостірольних катіонітах. Наявні літературні дані не дозволяють уявити закономірності обміну іонів важких металів на катіоніті КУ-2-8 </w:t>
      </w:r>
      <w:r>
        <w:rPr>
          <w:bCs/>
          <w:color w:val="000000"/>
          <w:sz w:val="28"/>
          <w:szCs w:val="28"/>
          <w:lang w:val="en"/>
        </w:rPr>
        <w:t xml:space="preserve">в натрієвої формі, що необхідно для розрахунку іонообмінних промислових установок. У зв'язку з цим в кожному конкретному випадку, особливо при використанні іонітів для очищення промислових розчинів складного сольового складу, необхідно проводити підбір та </w:t>
      </w:r>
      <w:r>
        <w:rPr>
          <w:bCs/>
          <w:color w:val="000000"/>
          <w:sz w:val="28"/>
          <w:szCs w:val="28"/>
          <w:lang w:val="en"/>
        </w:rPr>
        <w:t>детальне вивчення умов і закономірностей процесу сорбції [30, 31].</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Проте світ іонообмінних матеріалів розширюється і автор роботи [32] пропонує нові типи іонообмінної смоли Lewatit CNP 80 (слабокислотні) і Lewatit TP 207 (слабокислотні і хелатоутворюючі). </w:t>
      </w:r>
      <w:r>
        <w:rPr>
          <w:bCs/>
          <w:color w:val="000000"/>
          <w:sz w:val="28"/>
          <w:szCs w:val="28"/>
          <w:lang w:val="en"/>
        </w:rPr>
        <w:t>Оптимальний діапазон рН для іонного обміну вищевказаних іонів металів на Lewatit CNP 80 і Lewatit TP 207 становив 7,0-9,0 і 4,5-5,5 відповідно. Виходячи з експериментальних даних, кількість сорбованих іонів металу на грам сухої речовини розраховували як 4,</w:t>
      </w:r>
      <w:r>
        <w:rPr>
          <w:bCs/>
          <w:color w:val="000000"/>
          <w:sz w:val="28"/>
          <w:szCs w:val="28"/>
          <w:lang w:val="en"/>
        </w:rPr>
        <w:t>1, 4,6, 4,7, 4,8 і 4,7 ммоль/г сухої смоли для Pb, Cu, Zn, Cd, і Ni відповідно. Селективність збільшилася в ряду: Cd &gt; Pb &gt; Cu &gt; Ni &gt; Zn. Отримані результати показали, що слабокислотна смола Lewatit CNP 80 показала кращу продуктивність, ніж смола Lewatit T</w:t>
      </w:r>
      <w:r>
        <w:rPr>
          <w:bCs/>
          <w:color w:val="000000"/>
          <w:sz w:val="28"/>
          <w:szCs w:val="28"/>
          <w:lang w:val="en"/>
        </w:rPr>
        <w:t>P 207 для видалення важких металів.</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 роботі [33] запропоновано використовувати іонообмінну смолу Аквален-2 для вилучення іонів міді та свинцю як з пом’яшеною води, так і з жорсткої. А для вилучення міді з сильнорозведених розчинів доцільно використовувати</w:t>
      </w:r>
      <w:r>
        <w:rPr>
          <w:bCs/>
          <w:color w:val="000000"/>
          <w:sz w:val="28"/>
          <w:szCs w:val="28"/>
          <w:lang w:val="en"/>
        </w:rPr>
        <w:t xml:space="preserve"> катіоніт DOWEX G-26, що забезпечує ефективність очистки на рівні 99,7 % для розчинів з вихідною концентрацією Cu</w:t>
      </w:r>
      <w:r>
        <w:rPr>
          <w:bCs/>
          <w:color w:val="000000"/>
          <w:sz w:val="28"/>
          <w:szCs w:val="28"/>
          <w:vertAlign w:val="superscript"/>
          <w:lang w:val="en"/>
        </w:rPr>
        <w:t>2+</w:t>
      </w:r>
      <w:r>
        <w:rPr>
          <w:bCs/>
          <w:color w:val="000000"/>
          <w:sz w:val="28"/>
          <w:szCs w:val="28"/>
          <w:lang w:val="en"/>
        </w:rPr>
        <w:t xml:space="preserve"> 0,5-0,7 мг/дм</w:t>
      </w:r>
      <w:r>
        <w:rPr>
          <w:bCs/>
          <w:color w:val="000000"/>
          <w:sz w:val="28"/>
          <w:szCs w:val="28"/>
          <w:vertAlign w:val="superscript"/>
          <w:lang w:val="en"/>
        </w:rPr>
        <w:t>3</w:t>
      </w:r>
      <w:r>
        <w:rPr>
          <w:bCs/>
          <w:color w:val="000000"/>
          <w:sz w:val="28"/>
          <w:szCs w:val="28"/>
          <w:lang w:val="en"/>
        </w:rPr>
        <w:t>.</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Для вилучення кадмію, нікелю, свинцю та цинку також широко використовуються іонообмінні методи, що забезпечують ефективне оч</w:t>
      </w:r>
      <w:r>
        <w:rPr>
          <w:bCs/>
          <w:color w:val="000000"/>
          <w:sz w:val="28"/>
          <w:szCs w:val="28"/>
          <w:lang w:val="en"/>
        </w:rPr>
        <w:t>ищення води, особливо за використання іоніту DOWEX MAC-3 [35].</w:t>
      </w:r>
    </w:p>
    <w:p w:rsidR="00F1629C" w:rsidRDefault="00F1629C">
      <w:pPr>
        <w:pStyle w:val="af4"/>
        <w:snapToGrid w:val="0"/>
        <w:spacing w:line="360" w:lineRule="auto"/>
        <w:ind w:left="0" w:firstLine="700"/>
        <w:contextualSpacing/>
        <w:jc w:val="both"/>
        <w:rPr>
          <w:b/>
          <w:color w:val="000000"/>
          <w:sz w:val="28"/>
          <w:szCs w:val="28"/>
          <w:lang w:val="en"/>
        </w:rPr>
      </w:pPr>
    </w:p>
    <w:p w:rsidR="00F1629C" w:rsidRDefault="00E671D2">
      <w:pPr>
        <w:pStyle w:val="af4"/>
        <w:snapToGrid w:val="0"/>
        <w:spacing w:line="360" w:lineRule="auto"/>
        <w:ind w:left="0" w:firstLine="700"/>
        <w:contextualSpacing/>
        <w:jc w:val="both"/>
        <w:rPr>
          <w:b/>
          <w:color w:val="000000"/>
          <w:sz w:val="28"/>
          <w:szCs w:val="28"/>
          <w:lang w:val="en"/>
        </w:rPr>
      </w:pPr>
      <w:r>
        <w:rPr>
          <w:b/>
          <w:color w:val="000000"/>
          <w:sz w:val="28"/>
          <w:szCs w:val="28"/>
          <w:lang w:val="en"/>
        </w:rPr>
        <w:t>1.2.2 Застосування природних сорбентів для очищення води від іонів важких металів</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Практично повсюдно застосовується сьогодні реагентний метод </w:t>
      </w:r>
      <w:r>
        <w:rPr>
          <w:bCs/>
          <w:color w:val="000000"/>
          <w:sz w:val="28"/>
          <w:szCs w:val="28"/>
          <w:lang w:val="en"/>
        </w:rPr>
        <w:lastRenderedPageBreak/>
        <w:t>очищення, що не забезпечує досягнення допустимих к</w:t>
      </w:r>
      <w:r>
        <w:rPr>
          <w:bCs/>
          <w:color w:val="000000"/>
          <w:sz w:val="28"/>
          <w:szCs w:val="28"/>
          <w:lang w:val="en"/>
        </w:rPr>
        <w:t xml:space="preserve">онцентрацій. Все це обумовлює необхідність розробки і реалізації сучасних технологій, що дозволяють забезпечити високу ефективність очищення, а також можливість створення замкнутих циклів водоспоживання. Сорбційне вилучення важких металів з води є одним з </w:t>
      </w:r>
      <w:r>
        <w:rPr>
          <w:bCs/>
          <w:color w:val="000000"/>
          <w:sz w:val="28"/>
          <w:szCs w:val="28"/>
          <w:lang w:val="en"/>
        </w:rPr>
        <w:t>ефективних методів доочищення стоків різних виробництв. Для вилучення катіонів металів все більше застосування знаходять сорбенти з природних матеріалів (крейдяні і глинисті породи, цеоліти, пісок, торфи, деревна тирса). Погано утилізовані рослинні відходи</w:t>
      </w:r>
      <w:r>
        <w:rPr>
          <w:bCs/>
          <w:color w:val="000000"/>
          <w:sz w:val="28"/>
          <w:szCs w:val="28"/>
          <w:lang w:val="en"/>
        </w:rPr>
        <w:t xml:space="preserve"> агропромислового комплексу (лушпиння, порожні стручки, шкаралупа) є перспективними природними матеріалами для отримання вуглецевих сорбентів. Основне практичне завдання полягає в підборі місцевих матеріалів, що мають невисоку вартість, але достатню глибин</w:t>
      </w:r>
      <w:r>
        <w:rPr>
          <w:bCs/>
          <w:color w:val="000000"/>
          <w:sz w:val="28"/>
          <w:szCs w:val="28"/>
          <w:lang w:val="en"/>
        </w:rPr>
        <w:t>у очищення. Місцеві природні сорбенти в десятки разів дешевше штучних, тому їх використання в процесі очищення води дозволяє виключити стадію регенерації сорбенту. До того ж сорбційні властивості природних матеріалів можна істотно збільшити шляхом хімічног</w:t>
      </w:r>
      <w:r>
        <w:rPr>
          <w:bCs/>
          <w:color w:val="000000"/>
          <w:sz w:val="28"/>
          <w:szCs w:val="28"/>
          <w:lang w:val="en"/>
        </w:rPr>
        <w:t>о або фізичного впливу [36].</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Наразі проводиться маса досліджень щодо пошуку нових сорбентів для вилучення важких металів з води. У лабораторних умовах проведені серії експериментів по дослідженню імобілізуючої здатності природних і модифікованих глин і тор</w:t>
      </w:r>
      <w:r>
        <w:rPr>
          <w:bCs/>
          <w:color w:val="000000"/>
          <w:sz w:val="28"/>
          <w:szCs w:val="28"/>
          <w:lang w:val="en"/>
        </w:rPr>
        <w:t>фів. Встановлено, що дані сорбенти володіють значною сорбційною ємністю і надійною консервуючою здатністю по відношенню до елементів-токсикантів, що дозволяє використовувати ці матеріали при створенні геохімічних бар'єрів для очищення техногенних стоків [3</w:t>
      </w:r>
      <w:r>
        <w:rPr>
          <w:bCs/>
          <w:color w:val="000000"/>
          <w:sz w:val="28"/>
          <w:szCs w:val="28"/>
          <w:lang w:val="en"/>
        </w:rPr>
        <w:t>7].</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Важлива робота по цій темі була виконана авторами роботи [38]. Вони запропонували активоване вугілля з відпрацьованих коротких конопляних волокон в якості адсорбенту для видалення іонів металів і пестицидів з водних середовищ.</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Адсорбція іонів міді і </w:t>
      </w:r>
      <w:r>
        <w:rPr>
          <w:bCs/>
          <w:color w:val="000000"/>
          <w:sz w:val="28"/>
          <w:szCs w:val="28"/>
          <w:lang w:val="en"/>
        </w:rPr>
        <w:t xml:space="preserve">свинцю на чайних відходах з водних розчинів була вивчена авторами роботи [39] для можливості порівняння з альтернативними </w:t>
      </w:r>
      <w:r>
        <w:rPr>
          <w:bCs/>
          <w:color w:val="000000"/>
          <w:sz w:val="28"/>
          <w:szCs w:val="28"/>
          <w:lang w:val="en"/>
        </w:rPr>
        <w:lastRenderedPageBreak/>
        <w:t xml:space="preserve">загальнодоступними абсорбентами. Були проведені періодичні експерименти для визначення факторів, що впливають на адсорбцію і кінетику </w:t>
      </w:r>
      <w:r>
        <w:rPr>
          <w:bCs/>
          <w:color w:val="000000"/>
          <w:sz w:val="28"/>
          <w:szCs w:val="28"/>
          <w:lang w:val="en"/>
        </w:rPr>
        <w:t>процесу. Чайні відходи здатні зв'язувати помітні кількості Pb і Cu з водних розчинів. Адсорбційна здатність була максимальною в діапазоні рН розчину 5-6. Максимальне поглинання металу 48 та 65 мг/г спостерігали для Cu і Pb відповідно. Pb показав більш висо</w:t>
      </w:r>
      <w:r>
        <w:rPr>
          <w:bCs/>
          <w:color w:val="000000"/>
          <w:sz w:val="28"/>
          <w:szCs w:val="28"/>
          <w:lang w:val="en"/>
        </w:rPr>
        <w:t>ку спорідненість і швидкість адсорбції в порівнянні з Cu при всіх умовах експерименту. Кінетичні дослідження показали, що поглинання Pb і Cu було швидким, при цьому 90 або більше відсотків адсорбції відбувалися протягом перших 15-20 хвилин часу контакту. Б</w:t>
      </w:r>
      <w:r>
        <w:rPr>
          <w:bCs/>
          <w:color w:val="000000"/>
          <w:sz w:val="28"/>
          <w:szCs w:val="28"/>
          <w:lang w:val="en"/>
        </w:rPr>
        <w:t>ільш висока швидкість адсорбції і ємність спостерігалися для більш дрібних частинок адсорбенту.</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[40] використовували шрот, отриманий в результаті обробки лишайника роду Evernia prunastri органічним розчинником ацетон: хлороформ (1:1), в апараті Со</w:t>
      </w:r>
      <w:r>
        <w:rPr>
          <w:bCs/>
          <w:color w:val="000000"/>
          <w:sz w:val="28"/>
          <w:szCs w:val="28"/>
          <w:lang w:val="en"/>
        </w:rPr>
        <w:t>кслета з метою вилучення низькомолекулярних компонентів (уснінової кислоти). Як виявилося, карбоксильная кислотність шроту Evernia prunastri (0,62) практично в 2 рази перевищує відповідні значення для шроту Cladonia Sylvatica і целюлози і володіє здатністю</w:t>
      </w:r>
      <w:r>
        <w:rPr>
          <w:bCs/>
          <w:color w:val="000000"/>
          <w:sz w:val="28"/>
          <w:szCs w:val="28"/>
          <w:lang w:val="en"/>
        </w:rPr>
        <w:t xml:space="preserve"> до ефективного вилучення свинцю зі стічних вод.</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[41] наводяться результати випробувань нового адсорбенту СЦЛ-1для очищення води від домішок важких металів, зокрема, двовалентних катіонів міді, цинку і заліза. Адсорбент готували шляхом взаємодії в</w:t>
      </w:r>
      <w:r>
        <w:rPr>
          <w:bCs/>
          <w:color w:val="000000"/>
          <w:sz w:val="28"/>
          <w:szCs w:val="28"/>
          <w:lang w:val="en"/>
        </w:rPr>
        <w:t>ологого каоліну (Al</w:t>
      </w:r>
      <w:r>
        <w:rPr>
          <w:bCs/>
          <w:color w:val="000000"/>
          <w:sz w:val="28"/>
          <w:szCs w:val="28"/>
          <w:vertAlign w:val="subscript"/>
          <w:lang w:val="en"/>
        </w:rPr>
        <w:t>2</w:t>
      </w:r>
      <w:r>
        <w:rPr>
          <w:bCs/>
          <w:color w:val="000000"/>
          <w:sz w:val="28"/>
          <w:szCs w:val="28"/>
          <w:lang w:val="en"/>
        </w:rPr>
        <w:t>О</w:t>
      </w:r>
      <w:r>
        <w:rPr>
          <w:bCs/>
          <w:color w:val="000000"/>
          <w:sz w:val="28"/>
          <w:szCs w:val="28"/>
          <w:vertAlign w:val="subscript"/>
          <w:lang w:val="en"/>
        </w:rPr>
        <w:t>3</w:t>
      </w:r>
      <w:r>
        <w:rPr>
          <w:bCs/>
          <w:color w:val="000000"/>
          <w:sz w:val="28"/>
          <w:szCs w:val="28"/>
          <w:lang w:val="en"/>
        </w:rPr>
        <w:t>∙ 2SiO</w:t>
      </w:r>
      <w:r>
        <w:rPr>
          <w:bCs/>
          <w:color w:val="000000"/>
          <w:sz w:val="28"/>
          <w:szCs w:val="28"/>
          <w:vertAlign w:val="subscript"/>
          <w:lang w:val="en"/>
        </w:rPr>
        <w:t>2</w:t>
      </w:r>
      <w:r>
        <w:rPr>
          <w:bCs/>
          <w:color w:val="000000"/>
          <w:sz w:val="28"/>
          <w:szCs w:val="28"/>
          <w:lang w:val="en"/>
        </w:rPr>
        <w:t>∙2H</w:t>
      </w:r>
      <w:r>
        <w:rPr>
          <w:bCs/>
          <w:color w:val="000000"/>
          <w:sz w:val="28"/>
          <w:szCs w:val="28"/>
          <w:vertAlign w:val="subscript"/>
          <w:lang w:val="en"/>
        </w:rPr>
        <w:t>2</w:t>
      </w:r>
      <w:r>
        <w:rPr>
          <w:bCs/>
          <w:color w:val="000000"/>
          <w:sz w:val="28"/>
          <w:szCs w:val="28"/>
          <w:lang w:val="en"/>
        </w:rPr>
        <w:t>О) як сполучного, з продуктом, одержуваним при термічному розкладанні лляної костри протягом 40 хв при температурі 600 °C. Колір адсорбенту світло-сірий, стабільний при денному світлі і штучному освітленні. Співвідношення м</w:t>
      </w:r>
      <w:r>
        <w:rPr>
          <w:bCs/>
          <w:color w:val="000000"/>
          <w:sz w:val="28"/>
          <w:szCs w:val="28"/>
          <w:lang w:val="en"/>
        </w:rPr>
        <w:t>іж каоліном і продуктом розкладання льнокостри (мас.,%) становить 30-40: 70-60.</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Робота [42] присвячена використанню листя різних видів дерев в якості сорбційних матеріалів для видалення іонів важких металів з водних середовищ. У роботі показано, що максима</w:t>
      </w:r>
      <w:r>
        <w:rPr>
          <w:bCs/>
          <w:color w:val="000000"/>
          <w:sz w:val="28"/>
          <w:szCs w:val="28"/>
          <w:lang w:val="en"/>
        </w:rPr>
        <w:t xml:space="preserve">льна сорбційна здатність для більшості дерев досягається при рівні pH 4-7, але в рідкісних випадках, зокрема для видалення </w:t>
      </w:r>
      <w:r>
        <w:rPr>
          <w:bCs/>
          <w:color w:val="000000"/>
          <w:sz w:val="28"/>
          <w:szCs w:val="28"/>
          <w:lang w:val="en"/>
        </w:rPr>
        <w:lastRenderedPageBreak/>
        <w:t>Cr (VI), при pH 2. В основному,  сорбенти на основі листяного опаду використовуються для очищення води від іонів Cd (II), Cr (VI), Cu</w:t>
      </w:r>
      <w:r>
        <w:rPr>
          <w:bCs/>
          <w:color w:val="000000"/>
          <w:sz w:val="28"/>
          <w:szCs w:val="28"/>
          <w:lang w:val="en"/>
        </w:rPr>
        <w:t xml:space="preserve"> (II) і Pb (II).</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Біосорбція важких металів метаболічно неактивною неживою біомасою мікробного або рослинного походження є інноваційною та альтернативною технологією видалення цих забруднювачів з водного розчину. Завдяки унікальному хімічному складу біомаса</w:t>
      </w:r>
      <w:r>
        <w:rPr>
          <w:bCs/>
          <w:color w:val="000000"/>
          <w:sz w:val="28"/>
          <w:szCs w:val="28"/>
          <w:lang w:val="en"/>
        </w:rPr>
        <w:t xml:space="preserve"> ізолює іони металів, утворюючи комплекси металів з розчину, і усуває необхідність підтримувати особливі умови, що підтримують зростання. Біомаса Aspergillus niger, Penicillium chrysogenum, Rhizopus nigricans, Ascophyllum nodosum, Sargassum natans, Chlorel</w:t>
      </w:r>
      <w:r>
        <w:rPr>
          <w:bCs/>
          <w:color w:val="000000"/>
          <w:sz w:val="28"/>
          <w:szCs w:val="28"/>
          <w:lang w:val="en"/>
        </w:rPr>
        <w:t>la fusca, Oscillatoria anguistissima, Bacillus firmus і Streptomyces sp. мають найвищу адсорбційну здатність по металам в діапазоні від 5 до 641 мг</w:t>
      </w:r>
      <w:r>
        <w:rPr>
          <w:bCs/>
          <w:color w:val="000000"/>
          <w:sz w:val="28"/>
          <w:szCs w:val="28"/>
          <w:vertAlign w:val="superscript"/>
          <w:lang w:val="en"/>
        </w:rPr>
        <w:t>(-1)</w:t>
      </w:r>
      <w:r>
        <w:rPr>
          <w:bCs/>
          <w:color w:val="000000"/>
          <w:sz w:val="28"/>
          <w:szCs w:val="28"/>
          <w:lang w:val="en"/>
        </w:rPr>
        <w:t xml:space="preserve"> в основному для Pb, Zn, Cd, Cr, Cu і Ni. Біомаса, отримана як побічний продукт процесів бродіння, демонс</w:t>
      </w:r>
      <w:r>
        <w:rPr>
          <w:bCs/>
          <w:color w:val="000000"/>
          <w:sz w:val="28"/>
          <w:szCs w:val="28"/>
          <w:lang w:val="en"/>
        </w:rPr>
        <w:t>трує великий потенціал для прийняття економічної системи вилучення металів [43].</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 роботі [44] була визначена максимальна ємність для адсорбції Pb</w:t>
      </w:r>
      <w:r>
        <w:rPr>
          <w:bCs/>
          <w:color w:val="000000"/>
          <w:sz w:val="28"/>
          <w:szCs w:val="28"/>
          <w:vertAlign w:val="superscript"/>
          <w:lang w:val="en"/>
        </w:rPr>
        <w:t>2+</w:t>
      </w:r>
      <w:r>
        <w:rPr>
          <w:bCs/>
          <w:color w:val="000000"/>
          <w:sz w:val="28"/>
          <w:szCs w:val="28"/>
          <w:lang w:val="en"/>
        </w:rPr>
        <w:t>, Ni</w:t>
      </w:r>
      <w:r>
        <w:rPr>
          <w:bCs/>
          <w:color w:val="000000"/>
          <w:sz w:val="28"/>
          <w:szCs w:val="28"/>
          <w:vertAlign w:val="superscript"/>
          <w:lang w:val="en"/>
        </w:rPr>
        <w:t>2+</w:t>
      </w:r>
      <w:r>
        <w:rPr>
          <w:bCs/>
          <w:color w:val="000000"/>
          <w:sz w:val="28"/>
          <w:szCs w:val="28"/>
          <w:lang w:val="en"/>
        </w:rPr>
        <w:t xml:space="preserve"> і Cu</w:t>
      </w:r>
      <w:r>
        <w:rPr>
          <w:bCs/>
          <w:color w:val="000000"/>
          <w:sz w:val="28"/>
          <w:szCs w:val="28"/>
          <w:vertAlign w:val="superscript"/>
          <w:lang w:val="en"/>
        </w:rPr>
        <w:t>2+</w:t>
      </w:r>
      <w:r>
        <w:rPr>
          <w:bCs/>
          <w:color w:val="000000"/>
          <w:sz w:val="28"/>
          <w:szCs w:val="28"/>
          <w:lang w:val="en"/>
        </w:rPr>
        <w:t xml:space="preserve"> хрізаліди шовкопряда (SC). Використовували неочищені хрізаліди шовкопряда (SC</w:t>
      </w:r>
      <w:r>
        <w:rPr>
          <w:bCs/>
          <w:color w:val="000000"/>
          <w:sz w:val="28"/>
          <w:szCs w:val="28"/>
          <w:vertAlign w:val="subscript"/>
          <w:lang w:val="en"/>
        </w:rPr>
        <w:t>r</w:t>
      </w:r>
      <w:r>
        <w:rPr>
          <w:bCs/>
          <w:color w:val="000000"/>
          <w:sz w:val="28"/>
          <w:szCs w:val="28"/>
          <w:lang w:val="en"/>
        </w:rPr>
        <w:t>) і хрізаліди пі</w:t>
      </w:r>
      <w:r>
        <w:rPr>
          <w:bCs/>
          <w:color w:val="000000"/>
          <w:sz w:val="28"/>
          <w:szCs w:val="28"/>
          <w:lang w:val="en"/>
        </w:rPr>
        <w:t>сля кислотної промивки (SC</w:t>
      </w:r>
      <w:r>
        <w:rPr>
          <w:bCs/>
          <w:color w:val="000000"/>
          <w:sz w:val="28"/>
          <w:szCs w:val="28"/>
          <w:vertAlign w:val="subscript"/>
          <w:lang w:val="en"/>
        </w:rPr>
        <w:t>w</w:t>
      </w:r>
      <w:r>
        <w:rPr>
          <w:bCs/>
          <w:color w:val="000000"/>
          <w:sz w:val="28"/>
          <w:szCs w:val="28"/>
          <w:lang w:val="en"/>
        </w:rPr>
        <w:t>). Хітин (CT), екстрагований з SC, і хітозан (CS), з 85% деацетилювання, використовували в якості контрольних зразків. Адсорбційні випробування показали, що всі вивчені адсорбенти показали відмінні показники по видаленню металів.</w:t>
      </w:r>
      <w:r>
        <w:rPr>
          <w:bCs/>
          <w:color w:val="000000"/>
          <w:sz w:val="28"/>
          <w:szCs w:val="28"/>
          <w:lang w:val="en"/>
        </w:rPr>
        <w:t xml:space="preserve"> Вибір найбільш доцільного адсорбенту пов'язаний з його ефективністю видалення конкретного металу. Досліджувані матеріали представили різні інтенсивності адсорбції металу наступним чином:  Ni</w:t>
      </w:r>
      <w:r>
        <w:rPr>
          <w:bCs/>
          <w:color w:val="000000"/>
          <w:sz w:val="28"/>
          <w:szCs w:val="28"/>
          <w:vertAlign w:val="superscript"/>
          <w:lang w:val="en"/>
        </w:rPr>
        <w:t xml:space="preserve">2+ </w:t>
      </w:r>
      <w:r>
        <w:rPr>
          <w:bCs/>
          <w:color w:val="000000"/>
          <w:sz w:val="28"/>
          <w:szCs w:val="28"/>
          <w:lang w:val="en"/>
        </w:rPr>
        <w:t>&gt; Cu</w:t>
      </w:r>
      <w:r>
        <w:rPr>
          <w:bCs/>
          <w:color w:val="000000"/>
          <w:sz w:val="28"/>
          <w:szCs w:val="28"/>
          <w:vertAlign w:val="superscript"/>
          <w:lang w:val="en"/>
        </w:rPr>
        <w:t xml:space="preserve">2+ </w:t>
      </w:r>
      <w:r>
        <w:rPr>
          <w:bCs/>
          <w:color w:val="000000"/>
          <w:sz w:val="28"/>
          <w:szCs w:val="28"/>
          <w:lang w:val="en"/>
        </w:rPr>
        <w:t>&gt; Pb</w:t>
      </w:r>
      <w:r>
        <w:rPr>
          <w:bCs/>
          <w:color w:val="000000"/>
          <w:sz w:val="28"/>
          <w:szCs w:val="28"/>
          <w:vertAlign w:val="superscript"/>
          <w:lang w:val="en"/>
        </w:rPr>
        <w:t>2+</w:t>
      </w:r>
      <w:r>
        <w:rPr>
          <w:bCs/>
          <w:color w:val="000000"/>
          <w:sz w:val="28"/>
          <w:szCs w:val="28"/>
          <w:lang w:val="en"/>
        </w:rPr>
        <w:t xml:space="preserve"> для SC</w:t>
      </w:r>
      <w:r>
        <w:rPr>
          <w:bCs/>
          <w:color w:val="000000"/>
          <w:sz w:val="28"/>
          <w:szCs w:val="28"/>
          <w:vertAlign w:val="subscript"/>
          <w:lang w:val="en"/>
        </w:rPr>
        <w:t>r</w:t>
      </w:r>
      <w:r>
        <w:rPr>
          <w:bCs/>
          <w:color w:val="000000"/>
          <w:sz w:val="28"/>
          <w:szCs w:val="28"/>
          <w:lang w:val="en"/>
        </w:rPr>
        <w:t>; Pb</w:t>
      </w:r>
      <w:r>
        <w:rPr>
          <w:bCs/>
          <w:color w:val="000000"/>
          <w:sz w:val="28"/>
          <w:szCs w:val="28"/>
          <w:vertAlign w:val="superscript"/>
          <w:lang w:val="en"/>
        </w:rPr>
        <w:t xml:space="preserve">2+ </w:t>
      </w:r>
      <w:r>
        <w:rPr>
          <w:bCs/>
          <w:color w:val="000000"/>
          <w:sz w:val="28"/>
          <w:szCs w:val="28"/>
          <w:lang w:val="en"/>
        </w:rPr>
        <w:t>&gt; Cu</w:t>
      </w:r>
      <w:r>
        <w:rPr>
          <w:bCs/>
          <w:color w:val="000000"/>
          <w:sz w:val="28"/>
          <w:szCs w:val="28"/>
          <w:vertAlign w:val="superscript"/>
          <w:lang w:val="en"/>
        </w:rPr>
        <w:t xml:space="preserve">2+ </w:t>
      </w:r>
      <w:r>
        <w:rPr>
          <w:bCs/>
          <w:color w:val="000000"/>
          <w:sz w:val="28"/>
          <w:szCs w:val="28"/>
          <w:lang w:val="en"/>
        </w:rPr>
        <w:t>&gt; Ni</w:t>
      </w:r>
      <w:r>
        <w:rPr>
          <w:bCs/>
          <w:color w:val="000000"/>
          <w:sz w:val="28"/>
          <w:szCs w:val="28"/>
          <w:vertAlign w:val="superscript"/>
          <w:lang w:val="en"/>
        </w:rPr>
        <w:t>2+</w:t>
      </w:r>
      <w:r>
        <w:rPr>
          <w:bCs/>
          <w:color w:val="000000"/>
          <w:sz w:val="28"/>
          <w:szCs w:val="28"/>
          <w:lang w:val="en"/>
        </w:rPr>
        <w:t xml:space="preserve"> для SC</w:t>
      </w:r>
      <w:r>
        <w:rPr>
          <w:bCs/>
          <w:color w:val="000000"/>
          <w:sz w:val="28"/>
          <w:szCs w:val="28"/>
          <w:vertAlign w:val="subscript"/>
          <w:lang w:val="en"/>
        </w:rPr>
        <w:t>w</w:t>
      </w:r>
      <w:r>
        <w:rPr>
          <w:bCs/>
          <w:color w:val="000000"/>
          <w:sz w:val="28"/>
          <w:szCs w:val="28"/>
          <w:lang w:val="en"/>
        </w:rPr>
        <w:t>; Ni</w:t>
      </w:r>
      <w:r>
        <w:rPr>
          <w:bCs/>
          <w:color w:val="000000"/>
          <w:sz w:val="28"/>
          <w:szCs w:val="28"/>
          <w:vertAlign w:val="superscript"/>
          <w:lang w:val="en"/>
        </w:rPr>
        <w:t>2+</w:t>
      </w:r>
      <w:r>
        <w:rPr>
          <w:bCs/>
          <w:color w:val="000000"/>
          <w:sz w:val="28"/>
          <w:szCs w:val="28"/>
          <w:lang w:val="en"/>
        </w:rPr>
        <w:t xml:space="preserve"> &gt; Cu</w:t>
      </w:r>
      <w:r>
        <w:rPr>
          <w:bCs/>
          <w:color w:val="000000"/>
          <w:sz w:val="28"/>
          <w:szCs w:val="28"/>
          <w:vertAlign w:val="superscript"/>
          <w:lang w:val="en"/>
        </w:rPr>
        <w:t>2+</w:t>
      </w:r>
      <w:r>
        <w:rPr>
          <w:bCs/>
          <w:color w:val="000000"/>
          <w:sz w:val="28"/>
          <w:szCs w:val="28"/>
          <w:lang w:val="en"/>
        </w:rPr>
        <w:t xml:space="preserve"> &gt; Pb</w:t>
      </w:r>
      <w:r>
        <w:rPr>
          <w:bCs/>
          <w:color w:val="000000"/>
          <w:sz w:val="28"/>
          <w:szCs w:val="28"/>
          <w:vertAlign w:val="superscript"/>
          <w:lang w:val="en"/>
        </w:rPr>
        <w:t>2+</w:t>
      </w:r>
      <w:r>
        <w:rPr>
          <w:bCs/>
          <w:color w:val="000000"/>
          <w:sz w:val="28"/>
          <w:szCs w:val="28"/>
          <w:lang w:val="en"/>
        </w:rPr>
        <w:t xml:space="preserve"> для СТ; Cu</w:t>
      </w:r>
      <w:r>
        <w:rPr>
          <w:bCs/>
          <w:color w:val="000000"/>
          <w:sz w:val="28"/>
          <w:szCs w:val="28"/>
          <w:vertAlign w:val="superscript"/>
          <w:lang w:val="en"/>
        </w:rPr>
        <w:t>2+</w:t>
      </w:r>
      <w:r>
        <w:rPr>
          <w:bCs/>
          <w:color w:val="000000"/>
          <w:sz w:val="28"/>
          <w:szCs w:val="28"/>
          <w:lang w:val="en"/>
        </w:rPr>
        <w:t xml:space="preserve"> &gt; Pb</w:t>
      </w:r>
      <w:r>
        <w:rPr>
          <w:bCs/>
          <w:color w:val="000000"/>
          <w:sz w:val="28"/>
          <w:szCs w:val="28"/>
          <w:vertAlign w:val="superscript"/>
          <w:lang w:val="en"/>
        </w:rPr>
        <w:t>2+</w:t>
      </w:r>
      <w:r>
        <w:rPr>
          <w:bCs/>
          <w:color w:val="000000"/>
          <w:sz w:val="28"/>
          <w:szCs w:val="28"/>
          <w:lang w:val="en"/>
        </w:rPr>
        <w:t xml:space="preserve"> &gt; Ni</w:t>
      </w:r>
      <w:r>
        <w:rPr>
          <w:bCs/>
          <w:color w:val="000000"/>
          <w:sz w:val="28"/>
          <w:szCs w:val="28"/>
          <w:vertAlign w:val="superscript"/>
          <w:lang w:val="en"/>
        </w:rPr>
        <w:t>2+</w:t>
      </w:r>
      <w:r>
        <w:rPr>
          <w:bCs/>
          <w:color w:val="000000"/>
          <w:sz w:val="28"/>
          <w:szCs w:val="28"/>
          <w:lang w:val="en"/>
        </w:rPr>
        <w:t xml:space="preserve"> для CS.</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 роботі [45] досліджено біосорбція Cu (II) апельсиновою кіркою, яка була хімічно модифікована гідроксидом натрію і хлоридом кальцію. Оцінювали вплив температури, часу контакту, початкової концентрації іонів метал</w:t>
      </w:r>
      <w:r>
        <w:rPr>
          <w:bCs/>
          <w:color w:val="000000"/>
          <w:sz w:val="28"/>
          <w:szCs w:val="28"/>
          <w:lang w:val="en"/>
        </w:rPr>
        <w:t xml:space="preserve">ів і pH на біосорбції іонів Cu (II). Результати показують, що процес біосорбції іонів Cu (II) хімічно обробленою апельсиновою кіркою можливий і досить ефективний. Рівновага добре описується рівнянням Ленгмюра з максимальною ємністю </w:t>
      </w:r>
      <w:r>
        <w:rPr>
          <w:bCs/>
          <w:color w:val="000000"/>
          <w:sz w:val="28"/>
          <w:szCs w:val="28"/>
          <w:lang w:val="en"/>
        </w:rPr>
        <w:lastRenderedPageBreak/>
        <w:t xml:space="preserve">біосорбції для Cu (II), </w:t>
      </w:r>
      <w:r>
        <w:rPr>
          <w:bCs/>
          <w:color w:val="000000"/>
          <w:sz w:val="28"/>
          <w:szCs w:val="28"/>
          <w:lang w:val="en"/>
        </w:rPr>
        <w:t xml:space="preserve">що дорівнює 72,73 мг/г, і виявлено, що кінетика відповідає кінетиці біосорбції типу псевдо-другого порядку. При підвищенні температури від 16 до 60 °С ефективність біосорбції міді знижується. Навантажений біосорбент регенерують з використанням розчину HCl </w:t>
      </w:r>
      <w:r>
        <w:rPr>
          <w:bCs/>
          <w:color w:val="000000"/>
          <w:sz w:val="28"/>
          <w:szCs w:val="28"/>
          <w:lang w:val="en"/>
        </w:rPr>
        <w:t>для багаторазового використання протягом п'яти раз з невеликою втратою біосорбційних здатностей.</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У статті [46] розглядається новий спосіб отримання нановуглецевих пов'язаних полімерних нанокомпозитів (NCPC) з використанням нановуглецевих колоїдів (NCC) і </w:t>
      </w:r>
      <w:r>
        <w:rPr>
          <w:bCs/>
          <w:color w:val="000000"/>
          <w:sz w:val="28"/>
          <w:szCs w:val="28"/>
          <w:lang w:val="en"/>
        </w:rPr>
        <w:t>поліетиленіміну (PEI) для очищення води від іонів важких металів. Встановлено, что NCPC має сорбційну здатність 4,0-5,7 ммоль/г при рН 6 для більшості іонів двовалентних металів. Відсоток сорбції Zn</w:t>
      </w:r>
      <w:r>
        <w:rPr>
          <w:bCs/>
          <w:color w:val="000000"/>
          <w:sz w:val="28"/>
          <w:szCs w:val="28"/>
          <w:vertAlign w:val="superscript"/>
          <w:lang w:val="en"/>
        </w:rPr>
        <w:t>2+</w:t>
      </w:r>
      <w:r>
        <w:rPr>
          <w:bCs/>
          <w:color w:val="000000"/>
          <w:sz w:val="28"/>
          <w:szCs w:val="28"/>
          <w:lang w:val="en"/>
        </w:rPr>
        <w:t>, Cd</w:t>
      </w:r>
      <w:r>
        <w:rPr>
          <w:bCs/>
          <w:color w:val="000000"/>
          <w:sz w:val="28"/>
          <w:szCs w:val="28"/>
          <w:vertAlign w:val="superscript"/>
          <w:lang w:val="en"/>
        </w:rPr>
        <w:t>2+</w:t>
      </w:r>
      <w:r>
        <w:rPr>
          <w:bCs/>
          <w:color w:val="000000"/>
          <w:sz w:val="28"/>
          <w:szCs w:val="28"/>
          <w:lang w:val="en"/>
        </w:rPr>
        <w:t>, Cu</w:t>
      </w:r>
      <w:r>
        <w:rPr>
          <w:bCs/>
          <w:color w:val="000000"/>
          <w:sz w:val="28"/>
          <w:szCs w:val="28"/>
          <w:vertAlign w:val="superscript"/>
          <w:lang w:val="en"/>
        </w:rPr>
        <w:t>2+</w:t>
      </w:r>
      <w:r>
        <w:rPr>
          <w:bCs/>
          <w:color w:val="000000"/>
          <w:sz w:val="28"/>
          <w:szCs w:val="28"/>
          <w:lang w:val="en"/>
        </w:rPr>
        <w:t>, Hg</w:t>
      </w:r>
      <w:r>
        <w:rPr>
          <w:bCs/>
          <w:color w:val="000000"/>
          <w:sz w:val="28"/>
          <w:szCs w:val="28"/>
          <w:vertAlign w:val="superscript"/>
          <w:lang w:val="en"/>
        </w:rPr>
        <w:t>2+</w:t>
      </w:r>
      <w:r>
        <w:rPr>
          <w:bCs/>
          <w:color w:val="000000"/>
          <w:sz w:val="28"/>
          <w:szCs w:val="28"/>
          <w:lang w:val="en"/>
        </w:rPr>
        <w:t>, Ni</w:t>
      </w:r>
      <w:r>
        <w:rPr>
          <w:bCs/>
          <w:color w:val="000000"/>
          <w:sz w:val="28"/>
          <w:szCs w:val="28"/>
          <w:vertAlign w:val="superscript"/>
          <w:lang w:val="en"/>
        </w:rPr>
        <w:t>2+</w:t>
      </w:r>
      <w:r>
        <w:rPr>
          <w:bCs/>
          <w:color w:val="000000"/>
          <w:sz w:val="28"/>
          <w:szCs w:val="28"/>
          <w:lang w:val="en"/>
        </w:rPr>
        <w:t>, Cr</w:t>
      </w:r>
      <w:r>
        <w:rPr>
          <w:bCs/>
          <w:color w:val="000000"/>
          <w:sz w:val="28"/>
          <w:szCs w:val="28"/>
          <w:vertAlign w:val="superscript"/>
          <w:lang w:val="en"/>
        </w:rPr>
        <w:t>6+</w:t>
      </w:r>
      <w:r>
        <w:rPr>
          <w:bCs/>
          <w:color w:val="000000"/>
          <w:sz w:val="28"/>
          <w:szCs w:val="28"/>
          <w:lang w:val="en"/>
        </w:rPr>
        <w:t xml:space="preserve"> іонів становить не нижче </w:t>
      </w:r>
      <w:r>
        <w:rPr>
          <w:bCs/>
          <w:color w:val="000000"/>
          <w:sz w:val="28"/>
          <w:szCs w:val="28"/>
          <w:lang w:val="en"/>
        </w:rPr>
        <w:t>99%.</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В роботах [47, 48] досліджено адсорбцію іонів свинцю (з водного розчину Pb(AcO)</w:t>
      </w:r>
      <w:r>
        <w:rPr>
          <w:bCs/>
          <w:color w:val="000000"/>
          <w:sz w:val="28"/>
          <w:szCs w:val="28"/>
          <w:vertAlign w:val="subscript"/>
          <w:lang w:val="en"/>
        </w:rPr>
        <w:t>2</w:t>
      </w:r>
      <w:r>
        <w:rPr>
          <w:bCs/>
          <w:color w:val="000000"/>
          <w:sz w:val="28"/>
          <w:szCs w:val="28"/>
          <w:lang w:val="en"/>
        </w:rPr>
        <w:t>) активованими вугіллям (АВ) на основі бурого вугілля Олександрійського родовища (Україна). АВ отримані нагріванням (800 ° С, 1 год) вугілля, просоченого гідроксидом калію</w:t>
      </w:r>
      <w:r>
        <w:rPr>
          <w:bCs/>
          <w:color w:val="000000"/>
          <w:sz w:val="28"/>
          <w:szCs w:val="28"/>
          <w:lang w:val="en"/>
        </w:rPr>
        <w:t xml:space="preserve"> при масовому співвідношенні КОН/вугілля до 2 г/г. Вивчено кінетику процесу і отримані ізотерми адсорбції іонів Pb</w:t>
      </w:r>
      <w:r>
        <w:rPr>
          <w:bCs/>
          <w:color w:val="000000"/>
          <w:sz w:val="28"/>
          <w:szCs w:val="28"/>
          <w:vertAlign w:val="superscript"/>
          <w:lang w:val="en"/>
        </w:rPr>
        <w:t>2+</w:t>
      </w:r>
      <w:r>
        <w:rPr>
          <w:bCs/>
          <w:color w:val="000000"/>
          <w:sz w:val="28"/>
          <w:szCs w:val="28"/>
          <w:lang w:val="en"/>
        </w:rPr>
        <w:t xml:space="preserve"> для області початкових концентрацій солі 0.001-0.1 моль/дм</w:t>
      </w:r>
      <w:r>
        <w:rPr>
          <w:bCs/>
          <w:color w:val="000000"/>
          <w:sz w:val="28"/>
          <w:szCs w:val="28"/>
          <w:vertAlign w:val="superscript"/>
          <w:lang w:val="en"/>
        </w:rPr>
        <w:t>3</w:t>
      </w:r>
      <w:r>
        <w:rPr>
          <w:bCs/>
          <w:color w:val="000000"/>
          <w:sz w:val="28"/>
          <w:szCs w:val="28"/>
          <w:lang w:val="en"/>
        </w:rPr>
        <w:t>. Дані по адсорбції зіставлені з адсорбційною активністю промислового адсорбенту</w:t>
      </w:r>
      <w:r>
        <w:rPr>
          <w:bCs/>
          <w:color w:val="000000"/>
          <w:sz w:val="28"/>
          <w:szCs w:val="28"/>
          <w:lang w:val="en"/>
        </w:rPr>
        <w:t xml:space="preserve"> марки ОУ-Б.</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[49] пропонується поглинання шестивалентного хрому (Cr (VI)) з водних розчинів на активованому вугіллі, отриманому з деревини. Випробувані два активованих вугілля: активоване вугілля KOH і комерційне активоване вугілля H</w:t>
      </w:r>
      <w:r>
        <w:rPr>
          <w:bCs/>
          <w:color w:val="000000"/>
          <w:sz w:val="28"/>
          <w:szCs w:val="28"/>
          <w:vertAlign w:val="subscript"/>
          <w:lang w:val="en"/>
        </w:rPr>
        <w:t>3</w:t>
      </w:r>
      <w:r>
        <w:rPr>
          <w:bCs/>
          <w:color w:val="000000"/>
          <w:sz w:val="28"/>
          <w:szCs w:val="28"/>
          <w:lang w:val="en"/>
        </w:rPr>
        <w:t>PO</w:t>
      </w:r>
      <w:r>
        <w:rPr>
          <w:bCs/>
          <w:color w:val="000000"/>
          <w:sz w:val="28"/>
          <w:szCs w:val="28"/>
          <w:vertAlign w:val="subscript"/>
          <w:lang w:val="en"/>
        </w:rPr>
        <w:t>4</w:t>
      </w:r>
      <w:r>
        <w:rPr>
          <w:bCs/>
          <w:color w:val="000000"/>
          <w:sz w:val="28"/>
          <w:szCs w:val="28"/>
          <w:lang w:val="en"/>
        </w:rPr>
        <w:t xml:space="preserve"> (Acticarb</w:t>
      </w:r>
      <w:r>
        <w:rPr>
          <w:bCs/>
          <w:color w:val="000000"/>
          <w:sz w:val="28"/>
          <w:szCs w:val="28"/>
          <w:lang w:val="en"/>
        </w:rPr>
        <w:t>one CXV). В роботі показано, що адсорбція Cr (VI) максимальна при найнижчих значеннях pH (pH 3) і збільшується з температурою для обох адсорбентів. KOH-активоване вугілля демонструє більш високу здатність до адсорбції Cr (VI), ніж актікарбон.</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Серед відході</w:t>
      </w:r>
      <w:r>
        <w:rPr>
          <w:bCs/>
          <w:color w:val="000000"/>
          <w:sz w:val="28"/>
          <w:szCs w:val="28"/>
          <w:lang w:val="en"/>
        </w:rPr>
        <w:t xml:space="preserve">в лігноцелюлозного походження привертає увагу кизилова кісточка, що отримується при переробці ягід кизилу, широко розповсюдженого в Україні. Раніше була показана ефективність переробки даної сировини </w:t>
      </w:r>
      <w:r>
        <w:rPr>
          <w:bCs/>
          <w:color w:val="000000"/>
          <w:sz w:val="28"/>
          <w:szCs w:val="28"/>
          <w:lang w:val="en"/>
        </w:rPr>
        <w:lastRenderedPageBreak/>
        <w:t xml:space="preserve">шляхом проведення карбонізації з подальшим активуванням </w:t>
      </w:r>
      <w:r>
        <w:rPr>
          <w:bCs/>
          <w:color w:val="000000"/>
          <w:sz w:val="28"/>
          <w:szCs w:val="28"/>
          <w:lang w:val="en"/>
        </w:rPr>
        <w:t>парою, в результаті якого були отримані високопористі сорбційні матеріали з питомою поверхнею по БЕТ, що досягає 1600 м</w:t>
      </w:r>
      <w:r>
        <w:rPr>
          <w:bCs/>
          <w:color w:val="000000"/>
          <w:sz w:val="28"/>
          <w:szCs w:val="28"/>
          <w:vertAlign w:val="superscript"/>
          <w:lang w:val="en"/>
        </w:rPr>
        <w:t>2</w:t>
      </w:r>
      <w:r>
        <w:rPr>
          <w:bCs/>
          <w:color w:val="000000"/>
          <w:sz w:val="28"/>
          <w:szCs w:val="28"/>
          <w:lang w:val="en"/>
        </w:rPr>
        <w:t>/г. При переробці лігноцелюлозних відходів часто використовують хімічне активування ортофосфорної кислотою, яке дозволяє підвищити однор</w:t>
      </w:r>
      <w:r>
        <w:rPr>
          <w:bCs/>
          <w:color w:val="000000"/>
          <w:sz w:val="28"/>
          <w:szCs w:val="28"/>
          <w:lang w:val="en"/>
        </w:rPr>
        <w:t>ідність вугілля, знизити температуру процесу і зробити технологію переробки енергозберігаючою. Метою роботи [50] є отримання високопористого активованого вугілля з кізілової кісточки шляхом хімічного активування ортофосфорною кислотою, дослідження характер</w:t>
      </w:r>
      <w:r>
        <w:rPr>
          <w:bCs/>
          <w:color w:val="000000"/>
          <w:sz w:val="28"/>
          <w:szCs w:val="28"/>
          <w:lang w:val="en"/>
        </w:rPr>
        <w:t>истик пористої структури отриманих матеріалів, а також визначення їх сорбційної здатності по відношенню до метиленового блакитного і іонів важких металів.</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Кадмій присутній у воді в розчиненому вигляді (Сульфат, хлорид, нітрат кадмію) і у зваженому вигляді </w:t>
      </w:r>
      <w:r>
        <w:rPr>
          <w:bCs/>
          <w:color w:val="000000"/>
          <w:sz w:val="28"/>
          <w:szCs w:val="28"/>
          <w:lang w:val="en"/>
        </w:rPr>
        <w:t>в складі органо-мінеральних комплексів. Стоки рудозбагачувальних фабрик, заводів з виробництва кольорових металів, хімічних та інших промислових підприємств вносять в наш час основний внесок в скиди кадмію в природу. На утримання кадмію у воді істотно впли</w:t>
      </w:r>
      <w:r>
        <w:rPr>
          <w:bCs/>
          <w:color w:val="000000"/>
          <w:sz w:val="28"/>
          <w:szCs w:val="28"/>
          <w:lang w:val="en"/>
        </w:rPr>
        <w:t>ває pH середовища, а також сорбційні процеси. Поступаючи в прісні водойми і моря, розчинений кадмій осідає і накопичується в донних опадах. Токсична дія кадмію проявляється вже при дуже низьких концентраціях. Його надлишок пригнічує синтез ДНК, білків і ну</w:t>
      </w:r>
      <w:r>
        <w:rPr>
          <w:bCs/>
          <w:color w:val="000000"/>
          <w:sz w:val="28"/>
          <w:szCs w:val="28"/>
          <w:lang w:val="en"/>
        </w:rPr>
        <w:t>клеїнових кислот, впливає на активність ферментів, порушує засвоєння і обмін інших мікроелементів (Zn, Cu, Se, Fe), що може викликати їх дефіцит. Природними джерелами надходження кадмію в організм служать їжа (90-95%), вода (5-10%) і повітря (приблизно 1%)</w:t>
      </w:r>
      <w:r>
        <w:rPr>
          <w:bCs/>
          <w:color w:val="000000"/>
          <w:sz w:val="28"/>
          <w:szCs w:val="28"/>
          <w:lang w:val="en"/>
        </w:rPr>
        <w:t>. ГДК для питної води по кадмію становить 0,01 мг/дм</w:t>
      </w:r>
      <w:r>
        <w:rPr>
          <w:bCs/>
          <w:color w:val="000000"/>
          <w:sz w:val="28"/>
          <w:szCs w:val="28"/>
          <w:vertAlign w:val="superscript"/>
          <w:lang w:val="en"/>
        </w:rPr>
        <w:t>3</w:t>
      </w:r>
      <w:r>
        <w:rPr>
          <w:bCs/>
          <w:color w:val="000000"/>
          <w:sz w:val="28"/>
          <w:szCs w:val="28"/>
          <w:lang w:val="en"/>
        </w:rPr>
        <w:t>. Для тривалого зрошення всіх грунтів і сільськогосподарських водойм - 0,005 мг/дм</w:t>
      </w:r>
      <w:r>
        <w:rPr>
          <w:bCs/>
          <w:color w:val="000000"/>
          <w:sz w:val="28"/>
          <w:szCs w:val="28"/>
          <w:vertAlign w:val="superscript"/>
          <w:lang w:val="en"/>
        </w:rPr>
        <w:t>3</w:t>
      </w:r>
      <w:r>
        <w:rPr>
          <w:bCs/>
          <w:color w:val="000000"/>
          <w:sz w:val="28"/>
          <w:szCs w:val="28"/>
          <w:lang w:val="en"/>
        </w:rPr>
        <w:t>. Крім того, смертельна доза для людини становить 150 мг/кг маси через 1,5 год. Смертельна доза для собак - 150-600 мг /</w:t>
      </w:r>
      <w:r>
        <w:rPr>
          <w:bCs/>
          <w:color w:val="000000"/>
          <w:sz w:val="28"/>
          <w:szCs w:val="28"/>
          <w:lang w:val="en"/>
        </w:rPr>
        <w:t xml:space="preserve"> кг, мишей - 50-100 мг / кг, кроликів - 300-500 мг / кг маси. Вміст кадмію в крові і сечі в концентрації більше 0,02 мг/дм</w:t>
      </w:r>
      <w:r>
        <w:rPr>
          <w:bCs/>
          <w:color w:val="000000"/>
          <w:sz w:val="28"/>
          <w:szCs w:val="28"/>
          <w:vertAlign w:val="superscript"/>
          <w:lang w:val="en"/>
        </w:rPr>
        <w:t xml:space="preserve">3 </w:t>
      </w:r>
      <w:r>
        <w:rPr>
          <w:bCs/>
          <w:color w:val="000000"/>
          <w:sz w:val="28"/>
          <w:szCs w:val="28"/>
          <w:lang w:val="en"/>
        </w:rPr>
        <w:t>служить доказом його надходження в організм в токсичних дозах. Він здатний накопичуватися в печінці, нирках, підшлунковій і щитовидн</w:t>
      </w:r>
      <w:r>
        <w:rPr>
          <w:bCs/>
          <w:color w:val="000000"/>
          <w:sz w:val="28"/>
          <w:szCs w:val="28"/>
          <w:lang w:val="en"/>
        </w:rPr>
        <w:t>ій залозах. Негативний вплив металу позначається і на рослинах: концентрація кадмію у воді 28 мг/дм</w:t>
      </w:r>
      <w:r>
        <w:rPr>
          <w:bCs/>
          <w:color w:val="000000"/>
          <w:sz w:val="28"/>
          <w:szCs w:val="28"/>
          <w:vertAlign w:val="superscript"/>
          <w:lang w:val="en"/>
        </w:rPr>
        <w:t>3</w:t>
      </w:r>
      <w:r>
        <w:rPr>
          <w:bCs/>
          <w:color w:val="000000"/>
          <w:sz w:val="28"/>
          <w:szCs w:val="28"/>
          <w:lang w:val="en"/>
        </w:rPr>
        <w:t xml:space="preserve"> при поливі </w:t>
      </w:r>
      <w:r>
        <w:rPr>
          <w:bCs/>
          <w:color w:val="000000"/>
          <w:sz w:val="28"/>
          <w:szCs w:val="28"/>
          <w:lang w:val="en"/>
        </w:rPr>
        <w:lastRenderedPageBreak/>
        <w:t>заподіює шкоду цукровому буряку, а вміст металу в концентрації 50 мг/дм</w:t>
      </w:r>
      <w:r>
        <w:rPr>
          <w:bCs/>
          <w:color w:val="000000"/>
          <w:sz w:val="28"/>
          <w:szCs w:val="28"/>
          <w:vertAlign w:val="superscript"/>
          <w:lang w:val="en"/>
        </w:rPr>
        <w:t>3</w:t>
      </w:r>
      <w:r>
        <w:rPr>
          <w:bCs/>
          <w:color w:val="000000"/>
          <w:sz w:val="28"/>
          <w:szCs w:val="28"/>
          <w:lang w:val="en"/>
        </w:rPr>
        <w:t xml:space="preserve"> є токсичним для рослин. Негативний ефект впливу спостерігається також н</w:t>
      </w:r>
      <w:r>
        <w:rPr>
          <w:bCs/>
          <w:color w:val="000000"/>
          <w:sz w:val="28"/>
          <w:szCs w:val="28"/>
          <w:lang w:val="en"/>
        </w:rPr>
        <w:t>а очисні споруди і підприємства. Так, концентрація кадмію в 1-5 мг/дм</w:t>
      </w:r>
      <w:r>
        <w:rPr>
          <w:bCs/>
          <w:color w:val="000000"/>
          <w:sz w:val="28"/>
          <w:szCs w:val="28"/>
          <w:vertAlign w:val="superscript"/>
          <w:lang w:val="en"/>
        </w:rPr>
        <w:t xml:space="preserve">3 </w:t>
      </w:r>
      <w:r>
        <w:rPr>
          <w:bCs/>
          <w:color w:val="000000"/>
          <w:sz w:val="28"/>
          <w:szCs w:val="28"/>
          <w:lang w:val="en"/>
        </w:rPr>
        <w:t>шкідливо діє на очисні споруди каналізації, а 5,2 мг/дм</w:t>
      </w:r>
      <w:r>
        <w:rPr>
          <w:bCs/>
          <w:color w:val="000000"/>
          <w:sz w:val="28"/>
          <w:szCs w:val="28"/>
          <w:vertAlign w:val="superscript"/>
          <w:lang w:val="en"/>
        </w:rPr>
        <w:t>3</w:t>
      </w:r>
      <w:r>
        <w:rPr>
          <w:bCs/>
          <w:color w:val="000000"/>
          <w:sz w:val="28"/>
          <w:szCs w:val="28"/>
          <w:lang w:val="en"/>
        </w:rPr>
        <w:t xml:space="preserve"> знижує ефект очищення стоків на фільтрах-перколяторах. У водопровідній системі навіть після осадження і фільтрування води вміст </w:t>
      </w:r>
      <w:r>
        <w:rPr>
          <w:bCs/>
          <w:color w:val="000000"/>
          <w:sz w:val="28"/>
          <w:szCs w:val="28"/>
          <w:lang w:val="en"/>
        </w:rPr>
        <w:t>кадмію знижується лише на 60%.</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При біологічному очищенні з стічних вод видаляється від 30 до 80% кадмію. Хімічне очищення стічних вод від кадмію здійснюється з додаванням лугу. на підприємствах кольорової металургії ефект очищення стічних вод від кадмію ва</w:t>
      </w:r>
      <w:r>
        <w:rPr>
          <w:bCs/>
          <w:color w:val="000000"/>
          <w:sz w:val="28"/>
          <w:szCs w:val="28"/>
          <w:lang w:val="en"/>
        </w:rPr>
        <w:t>пном досягає 98,93%. Ефект очищення стічних вод від кадмію зворотним осмосом становить 98-99%, адсорбцією активним вугіллям - 99,7%, осадженням, висвітленням і фільтруванням через пісок вдається знизити вміст кадмію від 0,7 до 0,08 мг/дм</w:t>
      </w:r>
      <w:r>
        <w:rPr>
          <w:bCs/>
          <w:color w:val="000000"/>
          <w:sz w:val="28"/>
          <w:szCs w:val="28"/>
          <w:vertAlign w:val="superscript"/>
          <w:lang w:val="en"/>
        </w:rPr>
        <w:t>3</w:t>
      </w:r>
      <w:r>
        <w:rPr>
          <w:bCs/>
          <w:color w:val="000000"/>
          <w:sz w:val="28"/>
          <w:szCs w:val="28"/>
          <w:lang w:val="en"/>
        </w:rPr>
        <w:t>. В роботі [51] на</w:t>
      </w:r>
      <w:r>
        <w:rPr>
          <w:bCs/>
          <w:color w:val="000000"/>
          <w:sz w:val="28"/>
          <w:szCs w:val="28"/>
          <w:lang w:val="en"/>
        </w:rPr>
        <w:t>ведені способи отримання модифікованих сорбентів. Вивчено адсорбцію кадмію на сорбентах СВ-1-А2 і СВ-1-А3. А також виявлено можливість очищення води від іонів кадмію з використанням даних сорбентів. Розроблені сорбенти можна використовувати для отримання п</w:t>
      </w:r>
      <w:r>
        <w:rPr>
          <w:bCs/>
          <w:color w:val="000000"/>
          <w:sz w:val="28"/>
          <w:szCs w:val="28"/>
          <w:lang w:val="en"/>
        </w:rPr>
        <w:t>итної води, призначеної для пиття, приготування їжі та використання в господарсько-технічних цілях, в мережі господарсько-питного водопостачання і в локальних водоочисних спорудах.</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Актуальним завданням технології очищення стічних вод є розробка нових типів</w:t>
      </w:r>
      <w:r>
        <w:rPr>
          <w:bCs/>
          <w:color w:val="000000"/>
          <w:sz w:val="28"/>
          <w:szCs w:val="28"/>
          <w:lang w:val="en"/>
        </w:rPr>
        <w:t xml:space="preserve"> сорбентів, які найбільш повно задовольняють економічним, технологічним і екологічним вимогам. </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З огляду на той факт, що важкі метали мають високу спорідненість до атомів сірки, утворюючи стійкі нерозчинні сульфіди і комплексні сполуки з сіркоорганічними л</w:t>
      </w:r>
      <w:r>
        <w:rPr>
          <w:bCs/>
          <w:color w:val="000000"/>
          <w:sz w:val="28"/>
          <w:szCs w:val="28"/>
          <w:lang w:val="en"/>
        </w:rPr>
        <w:t>ігандами, перспективним є створення сорбентів на основі сіркоорганічних полімерів. В роботі [52] був запропонований такого типу сорбент, що отримується шляхом поліконденсації хлорорганічних відходів виробництва епіхлоргідріна з полісульфідом натрію (Na</w:t>
      </w:r>
      <w:r>
        <w:rPr>
          <w:bCs/>
          <w:color w:val="000000"/>
          <w:sz w:val="28"/>
          <w:szCs w:val="28"/>
          <w:vertAlign w:val="subscript"/>
          <w:lang w:val="en"/>
        </w:rPr>
        <w:t>2</w:t>
      </w:r>
      <w:r>
        <w:rPr>
          <w:bCs/>
          <w:color w:val="000000"/>
          <w:sz w:val="28"/>
          <w:szCs w:val="28"/>
          <w:lang w:val="en"/>
        </w:rPr>
        <w:t>Sn)</w:t>
      </w:r>
      <w:r>
        <w:rPr>
          <w:bCs/>
          <w:color w:val="000000"/>
          <w:sz w:val="28"/>
          <w:szCs w:val="28"/>
          <w:lang w:val="en"/>
        </w:rPr>
        <w:t xml:space="preserve"> на поверхні частинок нафтококсу, використовуваних для гранулоутворення. В ході поліконденсації утворюються сферичні гранули розміром 1,5-5 мм, для яких </w:t>
      </w:r>
      <w:r>
        <w:rPr>
          <w:bCs/>
          <w:color w:val="000000"/>
          <w:sz w:val="28"/>
          <w:szCs w:val="28"/>
          <w:lang w:val="en"/>
        </w:rPr>
        <w:lastRenderedPageBreak/>
        <w:t>визначена сорбційна ємність (Zn</w:t>
      </w:r>
      <w:r>
        <w:rPr>
          <w:bCs/>
          <w:color w:val="000000"/>
          <w:sz w:val="28"/>
          <w:szCs w:val="28"/>
          <w:vertAlign w:val="superscript"/>
          <w:lang w:val="en"/>
        </w:rPr>
        <w:t>2+</w:t>
      </w:r>
      <w:r>
        <w:rPr>
          <w:bCs/>
          <w:color w:val="000000"/>
          <w:sz w:val="28"/>
          <w:szCs w:val="28"/>
          <w:lang w:val="en"/>
        </w:rPr>
        <w:t xml:space="preserve"> до 74 мг/г, Cd</w:t>
      </w:r>
      <w:r>
        <w:rPr>
          <w:bCs/>
          <w:color w:val="000000"/>
          <w:sz w:val="28"/>
          <w:szCs w:val="28"/>
          <w:vertAlign w:val="superscript"/>
          <w:lang w:val="en"/>
        </w:rPr>
        <w:t>2+</w:t>
      </w:r>
      <w:r>
        <w:rPr>
          <w:bCs/>
          <w:color w:val="000000"/>
          <w:sz w:val="28"/>
          <w:szCs w:val="28"/>
          <w:lang w:val="en"/>
        </w:rPr>
        <w:t xml:space="preserve"> до 31 мг/г, Hg</w:t>
      </w:r>
      <w:r>
        <w:rPr>
          <w:bCs/>
          <w:color w:val="000000"/>
          <w:sz w:val="28"/>
          <w:szCs w:val="28"/>
          <w:vertAlign w:val="superscript"/>
          <w:lang w:val="en"/>
        </w:rPr>
        <w:t>2+</w:t>
      </w:r>
      <w:r>
        <w:rPr>
          <w:bCs/>
          <w:color w:val="000000"/>
          <w:sz w:val="28"/>
          <w:szCs w:val="28"/>
          <w:lang w:val="en"/>
        </w:rPr>
        <w:t xml:space="preserve"> до 152 мг/г і Cu</w:t>
      </w:r>
      <w:r>
        <w:rPr>
          <w:bCs/>
          <w:color w:val="000000"/>
          <w:sz w:val="28"/>
          <w:szCs w:val="28"/>
          <w:vertAlign w:val="superscript"/>
          <w:lang w:val="en"/>
        </w:rPr>
        <w:t>2+</w:t>
      </w:r>
      <w:r>
        <w:rPr>
          <w:bCs/>
          <w:color w:val="000000"/>
          <w:sz w:val="28"/>
          <w:szCs w:val="28"/>
          <w:lang w:val="en"/>
        </w:rPr>
        <w:t xml:space="preserve"> до 25 мг/г).</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Рослинні відходи такі, як лузга соняшника, вівса, гречки, рису в своєму хімічному складі містять целюлозу (до 30%) і лігнін (до 25%), тобто речовини, які здатні здійснювати процеси фізичної сорбції та хемосорбції.</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Лушпиння соняшнику являє собою доступний б</w:t>
      </w:r>
      <w:r>
        <w:rPr>
          <w:bCs/>
          <w:color w:val="000000"/>
          <w:sz w:val="28"/>
          <w:szCs w:val="28"/>
          <w:lang w:val="en"/>
        </w:rPr>
        <w:t>агатотоннажний відхід з невисокою вартістю, тому є перспективною сировиною для отримання різних продуктів - меланіну, сорбційних матеріалів. Для екстракційного виділення меланіну з лузги соняшнику проводиться її обробка 0,1-0,5М розчином лугу (гідроксиду н</w:t>
      </w:r>
      <w:r>
        <w:rPr>
          <w:bCs/>
          <w:color w:val="000000"/>
          <w:sz w:val="28"/>
          <w:szCs w:val="28"/>
          <w:lang w:val="en"/>
        </w:rPr>
        <w:t>атрію) у вібраційній установці. Використання в якості екстрагента розчину гідроксиду натрію підвищує розчинність меланоідного компонента, при цьому так само відбувається розщеплення нерозчинного комплексу біополімерів: целлюлозалігнін-геміцелюлози з виділе</w:t>
      </w:r>
      <w:r>
        <w:rPr>
          <w:bCs/>
          <w:color w:val="000000"/>
          <w:sz w:val="28"/>
          <w:szCs w:val="28"/>
          <w:lang w:val="en"/>
        </w:rPr>
        <w:t xml:space="preserve">нням водорозчинних полісахаридів. Відходи, що залишилися після вилучення меланіну з лузги можуть бути використані в якості сорбентів для видалення іонів металів, так як проведена екстракційна обробка видаляє водорозчинні і лугорозчинні речовини. Видалення </w:t>
      </w:r>
      <w:r>
        <w:rPr>
          <w:bCs/>
          <w:color w:val="000000"/>
          <w:sz w:val="28"/>
          <w:szCs w:val="28"/>
          <w:lang w:val="en"/>
        </w:rPr>
        <w:t xml:space="preserve">цих речовин дозволяє функціональним групам лігніну стати більш доступними для іонів, отже, інтенсифікувати процес хемосорбції. </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Наявність лужного середовища так само сприяє збільшенню сорбційної здатності матеріалу по іонів металів, їх видалення відбуваєть</w:t>
      </w:r>
      <w:r>
        <w:rPr>
          <w:bCs/>
          <w:color w:val="000000"/>
          <w:sz w:val="28"/>
          <w:szCs w:val="28"/>
          <w:lang w:val="en"/>
        </w:rPr>
        <w:t>ся за рахунок утворення гідроксидів, які залишаються в порах адсорбенту (целюлози) і не вимагають спеціального виділення [53].</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[54] досліджено ефективність сорбційного вилучення Cu(II), Co (II), Cd (II), Ni (II), Pb (II), Zn (II) і Mn (II) з індив</w:t>
      </w:r>
      <w:r>
        <w:rPr>
          <w:bCs/>
          <w:color w:val="000000"/>
          <w:sz w:val="28"/>
          <w:szCs w:val="28"/>
          <w:lang w:val="en"/>
        </w:rPr>
        <w:t>ідуальних і багатокомпонентних водних розчинів цинк-алюмінієвим шаруватим подвійним гідроксидом , інтеркальованих [Fe(CN)</w:t>
      </w:r>
      <w:r>
        <w:rPr>
          <w:bCs/>
          <w:color w:val="000000"/>
          <w:sz w:val="28"/>
          <w:szCs w:val="28"/>
          <w:vertAlign w:val="subscript"/>
          <w:lang w:val="en"/>
        </w:rPr>
        <w:t>6</w:t>
      </w:r>
      <w:r>
        <w:rPr>
          <w:bCs/>
          <w:color w:val="000000"/>
          <w:sz w:val="28"/>
          <w:szCs w:val="28"/>
          <w:lang w:val="en"/>
        </w:rPr>
        <w:t>] - іонами. На підставі отриманих результатів і даних літератури зроблено висновок, що сорбція іонів важких металів (II) з водних розч</w:t>
      </w:r>
      <w:r>
        <w:rPr>
          <w:bCs/>
          <w:color w:val="000000"/>
          <w:sz w:val="28"/>
          <w:szCs w:val="28"/>
          <w:lang w:val="en"/>
        </w:rPr>
        <w:t>инів на зазначеному сорбенті обумовлена декількома механізмами сорбції: комплексоутворення, іонним обміном і осадженням гідроксидів металів. Автором роботи [54] зроблено висновок, що цинк-</w:t>
      </w:r>
      <w:r>
        <w:rPr>
          <w:bCs/>
          <w:color w:val="000000"/>
          <w:sz w:val="28"/>
          <w:szCs w:val="28"/>
          <w:lang w:val="en"/>
        </w:rPr>
        <w:lastRenderedPageBreak/>
        <w:t>алюмінієвий шаруватий подвійний гідроксид є найбільш ефективним і се</w:t>
      </w:r>
      <w:r>
        <w:rPr>
          <w:bCs/>
          <w:color w:val="000000"/>
          <w:sz w:val="28"/>
          <w:szCs w:val="28"/>
          <w:lang w:val="en"/>
        </w:rPr>
        <w:t>лективним для вилучення Cu (II) з водних розчинів.</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Авторами роботи [55] виявлено, що природна глина має високу ємністю по іонах цинку і міді і може бути використана як сорбент для групового концентрування при аналізі та очищення водних розчинів від іонів ц</w:t>
      </w:r>
      <w:r>
        <w:rPr>
          <w:bCs/>
          <w:color w:val="000000"/>
          <w:sz w:val="28"/>
          <w:szCs w:val="28"/>
          <w:lang w:val="en"/>
        </w:rPr>
        <w:t>инку і міді.</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Сорбційні матеріали на основі глинистих порід знаходять все більше застосування для групового концентрування при аналізі та очищення природних і стічних вод від токсичних неорганічних і органічних домішок, в тому числі від радіоактивних ізотоп</w:t>
      </w:r>
      <w:r>
        <w:rPr>
          <w:bCs/>
          <w:color w:val="000000"/>
          <w:sz w:val="28"/>
          <w:szCs w:val="28"/>
          <w:lang w:val="en"/>
        </w:rPr>
        <w:t>ів. Використання таких сорбентів обумовлено досить високою ємністю та селективністю.</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В даний час для очищення вод від важких металів все більше застосування знаходять глинисті породи, які характеризуються значною ємністю, хімічної стійкістю, вибірковістю, </w:t>
      </w:r>
      <w:r>
        <w:rPr>
          <w:bCs/>
          <w:color w:val="000000"/>
          <w:sz w:val="28"/>
          <w:szCs w:val="28"/>
          <w:lang w:val="en"/>
        </w:rPr>
        <w:t>іонообмінними властивостями, низькою вартістю і доступністю. Сорбційна активність бентонітових глин визначається, в першу чергу, наявністю в їх складі породоутворюючого мінералу монтморилоніту. Залежно від хімічного складу виділяють велику кількість різнов</w:t>
      </w:r>
      <w:r>
        <w:rPr>
          <w:bCs/>
          <w:color w:val="000000"/>
          <w:sz w:val="28"/>
          <w:szCs w:val="28"/>
          <w:lang w:val="en"/>
        </w:rPr>
        <w:t xml:space="preserve">идів монтмориллонита: Na-монтморіллоніт, Ca-монтморилоніт, Mg-монтморилоніт, феррімонтморіллоніт (Fe), Ni-монтморилоніт і т.д. Більшою іонообмінною активністю володіють глини, що містять Na-монтморилоніт. Особливістю глин на основі Ca-монтмориллонита є їх </w:t>
      </w:r>
      <w:r>
        <w:rPr>
          <w:bCs/>
          <w:color w:val="000000"/>
          <w:sz w:val="28"/>
          <w:szCs w:val="28"/>
          <w:lang w:val="en"/>
        </w:rPr>
        <w:t>слабке розбухання, що дозволяє їх використовувати в якості фільтруючого матеріалу при очищенні вод від важких металів, стверджує автор роботи [56].</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З огляду на це, у роботі [57] досліджено застосування монтморилоніту, модифікованого ПЕІ, для вилучення іоні</w:t>
      </w:r>
      <w:r>
        <w:rPr>
          <w:bCs/>
          <w:color w:val="000000"/>
          <w:sz w:val="28"/>
          <w:szCs w:val="28"/>
          <w:lang w:val="en"/>
        </w:rPr>
        <w:t>в важких металів із водних розчинів і встановлено, що такий композиційний сорбент є перспективним для очистки стічних вод зі значеннями рН &gt; 3. Адсорбційна здатність модифікованого монтморилоніту по відношенню до іонів двохвалентних металів зростає в ряду:</w:t>
      </w:r>
      <w:r>
        <w:rPr>
          <w:bCs/>
          <w:color w:val="000000"/>
          <w:sz w:val="28"/>
          <w:szCs w:val="28"/>
          <w:lang w:val="en"/>
        </w:rPr>
        <w:t xml:space="preserve"> Сu(II)&gt; Pb(II)&gt; Ni(II) ≥ Zn(II) &gt; Co(II) ≥Cd(II).</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У роботі [58] також запропоновано новий тип високотемпературного алюмосилікатного адсорбенту, що ефективно видаляє катіони металів з </w:t>
      </w:r>
      <w:r>
        <w:rPr>
          <w:bCs/>
          <w:color w:val="000000"/>
          <w:sz w:val="28"/>
          <w:szCs w:val="28"/>
          <w:lang w:val="en"/>
        </w:rPr>
        <w:lastRenderedPageBreak/>
        <w:t>киплячих водних розчинів, що свідчить про перспективності його застосува</w:t>
      </w:r>
      <w:r>
        <w:rPr>
          <w:bCs/>
          <w:color w:val="000000"/>
          <w:sz w:val="28"/>
          <w:szCs w:val="28"/>
          <w:lang w:val="en"/>
        </w:rPr>
        <w:t>ння для очищення водних середовищ при високих температурах.</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Автор роботи [59] пропонує наступний спосіб підготовки сорбенту на основі цеоліту: пробу подрібнювали в щоковій дробарці, на ситах виділяли фракцію з розмірами 0,25-0,5 мм, відмивали дистильованою</w:t>
      </w:r>
      <w:r>
        <w:rPr>
          <w:bCs/>
          <w:color w:val="000000"/>
          <w:sz w:val="28"/>
          <w:szCs w:val="28"/>
          <w:lang w:val="en"/>
        </w:rPr>
        <w:t xml:space="preserve"> водою декантацією, сушили на повітрі при кімнатній температурі. Наважку сухого цеоліту поміщали в конічні колби, додавали модельні розчини з різною концентрацією кольорових металів в співвідношенні Т:Ж = 1:5, і встановлювали в апарат для струшування на чо</w:t>
      </w:r>
      <w:r>
        <w:rPr>
          <w:bCs/>
          <w:color w:val="000000"/>
          <w:sz w:val="28"/>
          <w:szCs w:val="28"/>
          <w:lang w:val="en"/>
        </w:rPr>
        <w:t>тири години.</w:t>
      </w:r>
    </w:p>
    <w:p w:rsidR="00F1629C" w:rsidRDefault="00E671D2">
      <w:pPr>
        <w:pStyle w:val="af4"/>
        <w:snapToGrid w:val="0"/>
        <w:spacing w:line="360" w:lineRule="auto"/>
        <w:ind w:left="0" w:firstLine="700"/>
        <w:contextualSpacing/>
        <w:jc w:val="both"/>
        <w:rPr>
          <w:b/>
          <w:color w:val="000000"/>
          <w:sz w:val="28"/>
          <w:szCs w:val="28"/>
          <w:lang w:val="en"/>
        </w:rPr>
      </w:pPr>
      <w:r>
        <w:rPr>
          <w:b/>
          <w:color w:val="000000"/>
          <w:sz w:val="28"/>
          <w:szCs w:val="28"/>
          <w:lang w:val="en"/>
        </w:rPr>
        <w:t>1.2.3 Сорбенти на основі магнетиту</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Усе більшого поширення при видаленні іонів важких металів з води набуватють методи, що базуються на використанні сорбентів з магнітними властивостями.</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Так, у роботі [60] було використано нові сорбенти на основі частинок магнетиту, покритих кремнієвими оболонками, які синтезували і тестували при видаленні іонів ртуті з водних розчинів магнітною сепарацією. Дослідження атомної флуоресцентної спектроскопії,</w:t>
      </w:r>
      <w:r>
        <w:rPr>
          <w:bCs/>
          <w:color w:val="000000"/>
          <w:sz w:val="28"/>
          <w:szCs w:val="28"/>
          <w:lang w:val="en"/>
        </w:rPr>
        <w:t xml:space="preserve"> проведені на зразках води, оброблених цими сорбентами, показали, що концентрація іонів металів знижується до значень, менших за нормативні значення для питної води. </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Висока спорідненість адсорбції до іонів ртуті в цих матеріалах пояснювалася прищепленими </w:t>
      </w:r>
      <w:r>
        <w:rPr>
          <w:bCs/>
          <w:color w:val="000000"/>
          <w:sz w:val="28"/>
          <w:szCs w:val="28"/>
          <w:lang w:val="en"/>
        </w:rPr>
        <w:t>на кремнистих доменах групами дитіокарбамату з використанням нового способу модифікації поверхні. Отже, магнітні частинки були покриті аморфними оболонками кремнезему, які включають тіолатні фрагменти за допомогою процесу гідролітичної спільної конденсації</w:t>
      </w:r>
      <w:r>
        <w:rPr>
          <w:bCs/>
          <w:color w:val="000000"/>
          <w:sz w:val="28"/>
          <w:szCs w:val="28"/>
          <w:lang w:val="en"/>
        </w:rPr>
        <w:t xml:space="preserve"> з використанням тетраетоксисилану (TEOS) і силоксидитіокарбамата (SiDTC) як золь-гелевих попередників. Цей одностадійний метод модифікації поверхні частинок магнетиту призвів до утворення сорбентів з великими тіолатними фрагментами, які потім можна було з</w:t>
      </w:r>
      <w:r>
        <w:rPr>
          <w:bCs/>
          <w:color w:val="000000"/>
          <w:sz w:val="28"/>
          <w:szCs w:val="28"/>
          <w:lang w:val="en"/>
        </w:rPr>
        <w:t>ібрати шляхом застосування зовнішнього магнітного поля.</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Ще одним високої ефективності сорбентів з магнітними властивостями є </w:t>
      </w:r>
      <w:r>
        <w:rPr>
          <w:bCs/>
          <w:color w:val="000000"/>
          <w:sz w:val="28"/>
          <w:szCs w:val="28"/>
          <w:lang w:val="en"/>
        </w:rPr>
        <w:lastRenderedPageBreak/>
        <w:t xml:space="preserve">робота [61]. У цій роботі було досліджено сорбцію As (III) і As (V) на різних природних оксидах заліза (гематит, магнетит і гетит) </w:t>
      </w:r>
      <w:r>
        <w:rPr>
          <w:bCs/>
          <w:color w:val="000000"/>
          <w:sz w:val="28"/>
          <w:szCs w:val="28"/>
          <w:lang w:val="en"/>
        </w:rPr>
        <w:t>як функції різних параметрів. Кінетика сорбції трьох оксидів заліза показала, що рівновага досягається менш ніж за 2 дні, а кінетика сорбції вище для гетиту і магнетиту, ніж для гематиту. Найвища сорбція As (III) спостерігалася на поверхні гематиту в усьом</w:t>
      </w:r>
      <w:r>
        <w:rPr>
          <w:bCs/>
          <w:color w:val="000000"/>
          <w:sz w:val="28"/>
          <w:szCs w:val="28"/>
          <w:lang w:val="en"/>
        </w:rPr>
        <w:t>у діапазоні рН порівняно з гетитом і магнетитом. Вивчені в даній роботі природні мінерали мали подібні до синтетичних сорбенты сорбційні ємності по іонах миш'яку.</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Ще одним дослідженням, що проводилося по визначенню ефективності використання магентиту для в</w:t>
      </w:r>
      <w:r>
        <w:rPr>
          <w:bCs/>
          <w:color w:val="000000"/>
          <w:sz w:val="28"/>
          <w:szCs w:val="28"/>
          <w:lang w:val="en"/>
        </w:rPr>
        <w:t>илучення миш’яку з води було [62]. У цьому дослідженні наночастинки магнетиту–маггеміту використовувалися для очищення забрудненої миш'яком води. Дослідження рентгенівської фотоелектронної спектроскопії (XPS) показали наявність миш'яку на поверхні наночаст</w:t>
      </w:r>
      <w:r>
        <w:rPr>
          <w:bCs/>
          <w:color w:val="000000"/>
          <w:sz w:val="28"/>
          <w:szCs w:val="28"/>
          <w:lang w:val="en"/>
        </w:rPr>
        <w:t>инок магнетиту–маггеміту. Теоретичний мультиплетний аналіз суміші магнетит–маггеміт (Fe</w:t>
      </w:r>
      <w:r>
        <w:rPr>
          <w:bCs/>
          <w:color w:val="000000"/>
          <w:sz w:val="28"/>
          <w:szCs w:val="28"/>
          <w:vertAlign w:val="subscript"/>
          <w:lang w:val="en"/>
        </w:rPr>
        <w:t>3</w:t>
      </w:r>
      <w:r>
        <w:rPr>
          <w:bCs/>
          <w:color w:val="000000"/>
          <w:sz w:val="28"/>
          <w:szCs w:val="28"/>
          <w:lang w:val="en"/>
        </w:rPr>
        <w:t>O</w:t>
      </w:r>
      <w:r>
        <w:rPr>
          <w:bCs/>
          <w:color w:val="000000"/>
          <w:sz w:val="28"/>
          <w:szCs w:val="28"/>
          <w:vertAlign w:val="subscript"/>
          <w:lang w:val="en"/>
        </w:rPr>
        <w:t>4</w:t>
      </w:r>
      <w:r>
        <w:rPr>
          <w:bCs/>
          <w:color w:val="000000"/>
          <w:sz w:val="28"/>
          <w:szCs w:val="28"/>
          <w:lang w:val="en"/>
        </w:rPr>
        <w:t>-γFe</w:t>
      </w:r>
      <w:r>
        <w:rPr>
          <w:bCs/>
          <w:color w:val="000000"/>
          <w:sz w:val="28"/>
          <w:szCs w:val="28"/>
          <w:vertAlign w:val="subscript"/>
          <w:lang w:val="en"/>
        </w:rPr>
        <w:t>2</w:t>
      </w:r>
      <w:r>
        <w:rPr>
          <w:bCs/>
          <w:color w:val="000000"/>
          <w:sz w:val="28"/>
          <w:szCs w:val="28"/>
          <w:lang w:val="en"/>
        </w:rPr>
        <w:t>O</w:t>
      </w:r>
      <w:r>
        <w:rPr>
          <w:bCs/>
          <w:color w:val="000000"/>
          <w:sz w:val="28"/>
          <w:szCs w:val="28"/>
          <w:vertAlign w:val="subscript"/>
          <w:lang w:val="en"/>
        </w:rPr>
        <w:t>3</w:t>
      </w:r>
      <w:r>
        <w:rPr>
          <w:bCs/>
          <w:color w:val="000000"/>
          <w:sz w:val="28"/>
          <w:szCs w:val="28"/>
          <w:lang w:val="en"/>
        </w:rPr>
        <w:t xml:space="preserve">) склав 30,8% маггеміту і 69,2% магнетиту. </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Результати показали, що окислювально-відновна реакція відбувалася на поверхні суміші магнетит-маггеміт при введенні</w:t>
      </w:r>
      <w:r>
        <w:rPr>
          <w:bCs/>
          <w:color w:val="000000"/>
          <w:sz w:val="28"/>
          <w:szCs w:val="28"/>
          <w:lang w:val="en"/>
        </w:rPr>
        <w:t xml:space="preserve"> миш'яку. Дослідження показало, що, крім рН, видалення миш'яку з забрудненої води також залежить від часу контакту і початкової концентрації миш'яку. Рівновага досягалося за 3 год у дослідах з 2 мг/дм</w:t>
      </w:r>
      <w:r>
        <w:rPr>
          <w:bCs/>
          <w:color w:val="000000"/>
          <w:sz w:val="28"/>
          <w:szCs w:val="28"/>
          <w:vertAlign w:val="superscript"/>
          <w:lang w:val="en"/>
        </w:rPr>
        <w:t>3</w:t>
      </w:r>
      <w:r>
        <w:rPr>
          <w:bCs/>
          <w:color w:val="000000"/>
          <w:sz w:val="28"/>
          <w:szCs w:val="28"/>
          <w:lang w:val="en"/>
        </w:rPr>
        <w:t xml:space="preserve"> концентрації As (V) і As (III) при рН 6,5. Отримані результати вказують на те, що адсорбція миш'яку пов'язана з утворенням слабких комплексів миш'як-оксид заліза на поверхні магнетиту-маггеміту. У грунтових водах адсорбційна здатність миш'яку наночастинок</w:t>
      </w:r>
      <w:r>
        <w:rPr>
          <w:bCs/>
          <w:color w:val="000000"/>
          <w:sz w:val="28"/>
          <w:szCs w:val="28"/>
          <w:lang w:val="en"/>
        </w:rPr>
        <w:t xml:space="preserve"> магнетиту – маггеміту при кімнатній температурі, розрахована з ізотерми Ленгмюра, становила 80 мкмоль/г, а вільна енергія Гіббса для видалення миш'яку - 35 кДж/моль.</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 xml:space="preserve">Магнетит також успішно використовувався при сорбції з води іонів радіоактивних речовин у </w:t>
      </w:r>
      <w:r>
        <w:rPr>
          <w:bCs/>
          <w:color w:val="000000"/>
          <w:sz w:val="28"/>
          <w:szCs w:val="28"/>
          <w:lang w:val="en"/>
        </w:rPr>
        <w:t xml:space="preserve">роботі [63]. В якості гранульованих сорбентів для </w:t>
      </w:r>
      <w:r>
        <w:rPr>
          <w:bCs/>
          <w:color w:val="000000"/>
          <w:sz w:val="28"/>
          <w:szCs w:val="28"/>
          <w:vertAlign w:val="superscript"/>
          <w:lang w:val="en"/>
        </w:rPr>
        <w:t>137</w:t>
      </w:r>
      <w:r>
        <w:rPr>
          <w:bCs/>
          <w:color w:val="000000"/>
          <w:sz w:val="28"/>
          <w:szCs w:val="28"/>
          <w:lang w:val="en"/>
        </w:rPr>
        <w:t>Cs</w:t>
      </w:r>
      <w:r>
        <w:rPr>
          <w:bCs/>
          <w:color w:val="000000"/>
          <w:sz w:val="28"/>
          <w:szCs w:val="28"/>
          <w:vertAlign w:val="superscript"/>
          <w:lang w:val="en"/>
        </w:rPr>
        <w:t>+</w:t>
      </w:r>
      <w:r>
        <w:rPr>
          <w:bCs/>
          <w:color w:val="000000"/>
          <w:sz w:val="28"/>
          <w:szCs w:val="28"/>
          <w:lang w:val="en"/>
        </w:rPr>
        <w:t xml:space="preserve">, </w:t>
      </w:r>
      <w:r>
        <w:rPr>
          <w:bCs/>
          <w:color w:val="000000"/>
          <w:sz w:val="28"/>
          <w:szCs w:val="28"/>
          <w:vertAlign w:val="superscript"/>
          <w:lang w:val="en"/>
        </w:rPr>
        <w:t>85</w:t>
      </w:r>
      <w:r>
        <w:rPr>
          <w:bCs/>
          <w:color w:val="000000"/>
          <w:sz w:val="28"/>
          <w:szCs w:val="28"/>
          <w:lang w:val="en"/>
        </w:rPr>
        <w:t>Sr</w:t>
      </w:r>
      <w:r>
        <w:rPr>
          <w:bCs/>
          <w:color w:val="000000"/>
          <w:sz w:val="28"/>
          <w:szCs w:val="28"/>
          <w:vertAlign w:val="superscript"/>
          <w:lang w:val="en"/>
        </w:rPr>
        <w:t>2+</w:t>
      </w:r>
      <w:r>
        <w:rPr>
          <w:bCs/>
          <w:color w:val="000000"/>
          <w:sz w:val="28"/>
          <w:szCs w:val="28"/>
          <w:lang w:val="en"/>
        </w:rPr>
        <w:t xml:space="preserve"> і </w:t>
      </w:r>
      <w:r>
        <w:rPr>
          <w:bCs/>
          <w:color w:val="000000"/>
          <w:sz w:val="28"/>
          <w:szCs w:val="28"/>
          <w:vertAlign w:val="superscript"/>
          <w:lang w:val="en"/>
        </w:rPr>
        <w:t>60</w:t>
      </w:r>
      <w:r>
        <w:rPr>
          <w:bCs/>
          <w:color w:val="000000"/>
          <w:sz w:val="28"/>
          <w:szCs w:val="28"/>
          <w:lang w:val="en"/>
        </w:rPr>
        <w:t>Co</w:t>
      </w:r>
      <w:r>
        <w:rPr>
          <w:bCs/>
          <w:color w:val="000000"/>
          <w:sz w:val="28"/>
          <w:szCs w:val="28"/>
          <w:vertAlign w:val="superscript"/>
          <w:lang w:val="en"/>
        </w:rPr>
        <w:t>2+</w:t>
      </w:r>
      <w:r>
        <w:rPr>
          <w:bCs/>
          <w:color w:val="000000"/>
          <w:sz w:val="28"/>
          <w:szCs w:val="28"/>
          <w:lang w:val="en"/>
        </w:rPr>
        <w:t xml:space="preserve"> використовувалися природні магнетит і гематит у концентраціях трассерів у водних розчинах постійного рН (від 2 до 10) при 25 </w:t>
      </w:r>
      <w:r>
        <w:rPr>
          <w:bCs/>
          <w:color w:val="000000"/>
          <w:sz w:val="28"/>
          <w:szCs w:val="28"/>
          <w:lang w:val="en"/>
        </w:rPr>
        <w:lastRenderedPageBreak/>
        <w:t>°С. При рН 6-8 приблизно 50% Cs, 30% Co і 18% Sr видаляли</w:t>
      </w:r>
      <w:r>
        <w:rPr>
          <w:bCs/>
          <w:color w:val="000000"/>
          <w:sz w:val="28"/>
          <w:szCs w:val="28"/>
          <w:lang w:val="en"/>
        </w:rPr>
        <w:t>ся з розчину магнетитом і 78% Co гематитом.</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Суміш магнетиту-гематиту використовували як сорбентний матеріал для видалення деяких іонів важких металів з води в роботі [64]. Досліди проводилися на таких металах як свинець (II), кадмій (II) і хром (III). В ро</w:t>
      </w:r>
      <w:r>
        <w:rPr>
          <w:bCs/>
          <w:color w:val="000000"/>
          <w:sz w:val="28"/>
          <w:szCs w:val="28"/>
          <w:lang w:val="en"/>
        </w:rPr>
        <w:t xml:space="preserve">боті було досліджено та оптимізовано вплив значення рН та часу контакту на процес адсорбції з метою отримання максимально можливої ефективності адсорбції у суміші магнетит-гематит. Також було виявлено, що зразки, отримані методом співосадження, мали кращу </w:t>
      </w:r>
      <w:r>
        <w:rPr>
          <w:bCs/>
          <w:color w:val="000000"/>
          <w:sz w:val="28"/>
          <w:szCs w:val="28"/>
          <w:lang w:val="en"/>
        </w:rPr>
        <w:t>ефективність адсорбції, ніж ті, які отримували іншими методами.</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Ще одним метод модифікації магнетиту запропоновано у роботі [65]. У цій роботі розроблені карбоксилфункціоналізовані наночастинки магнетиту (CMNP) для адсорбції Pb (II), Cd (II) і Cu (II). Хар</w:t>
      </w:r>
      <w:r>
        <w:rPr>
          <w:bCs/>
          <w:color w:val="000000"/>
          <w:sz w:val="28"/>
          <w:szCs w:val="28"/>
          <w:lang w:val="en"/>
        </w:rPr>
        <w:t>актеристику CMNP проводили за допомогою інфрачервоної спектроскопії Фур'є-перетворення, рентгенівської порошкової дифракції та трансмісійної електронної мікроскопії. Дослідження показують, що кінетика адсорбції слідує кінетичній моделі псевдо-другого поряд</w:t>
      </w:r>
      <w:r>
        <w:rPr>
          <w:bCs/>
          <w:color w:val="000000"/>
          <w:sz w:val="28"/>
          <w:szCs w:val="28"/>
          <w:lang w:val="en"/>
        </w:rPr>
        <w:t>ку. Максимальна адсорбційна здатність при 25 °C може досягати (74,63, 45,66, 44,84) мг/г для Pb (II), Cd (II) і Cu (II) відповідно.</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[66] магнітний нанокомпозит (m-NC) готували з нанотрубок галлуазита і магнетиту (Fe3O4) хімічним осадженням і викор</w:t>
      </w:r>
      <w:r>
        <w:rPr>
          <w:bCs/>
          <w:color w:val="000000"/>
          <w:sz w:val="28"/>
          <w:szCs w:val="28"/>
          <w:lang w:val="en"/>
        </w:rPr>
        <w:t>истовували як ефективний сорбент для попередньої концентрації слідових кількостей кадмію (II). Ступінь вилучення кадмію на даному типу сорбенту становила від 96,7 до 100%.</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Подібний результат показано в роботі [67], де наночастинки магнетиту (Fe</w:t>
      </w:r>
      <w:r>
        <w:rPr>
          <w:bCs/>
          <w:color w:val="000000"/>
          <w:sz w:val="28"/>
          <w:szCs w:val="28"/>
          <w:vertAlign w:val="subscript"/>
          <w:lang w:val="en"/>
        </w:rPr>
        <w:t>3</w:t>
      </w:r>
      <w:r>
        <w:rPr>
          <w:bCs/>
          <w:color w:val="000000"/>
          <w:sz w:val="28"/>
          <w:szCs w:val="28"/>
          <w:lang w:val="en"/>
        </w:rPr>
        <w:t>O</w:t>
      </w:r>
      <w:r>
        <w:rPr>
          <w:bCs/>
          <w:color w:val="000000"/>
          <w:sz w:val="28"/>
          <w:szCs w:val="28"/>
          <w:vertAlign w:val="subscript"/>
          <w:lang w:val="en"/>
        </w:rPr>
        <w:t>4</w:t>
      </w:r>
      <w:r>
        <w:rPr>
          <w:bCs/>
          <w:color w:val="000000"/>
          <w:sz w:val="28"/>
          <w:szCs w:val="28"/>
          <w:lang w:val="en"/>
        </w:rPr>
        <w:t>) були по</w:t>
      </w:r>
      <w:r>
        <w:rPr>
          <w:bCs/>
          <w:color w:val="000000"/>
          <w:sz w:val="28"/>
          <w:szCs w:val="28"/>
          <w:lang w:val="en"/>
        </w:rPr>
        <w:t>криті дубильною кислотою для отримання наночастинок (NPs) і показали, що вони є життєздатним сорбентом для попереднього концентрування Cd</w:t>
      </w:r>
      <w:r>
        <w:rPr>
          <w:bCs/>
          <w:color w:val="000000"/>
          <w:sz w:val="28"/>
          <w:szCs w:val="28"/>
          <w:vertAlign w:val="superscript"/>
          <w:lang w:val="en"/>
        </w:rPr>
        <w:t>2+</w:t>
      </w:r>
      <w:r>
        <w:rPr>
          <w:bCs/>
          <w:color w:val="000000"/>
          <w:sz w:val="28"/>
          <w:szCs w:val="28"/>
          <w:lang w:val="en"/>
        </w:rPr>
        <w:t>, Co</w:t>
      </w:r>
      <w:r>
        <w:rPr>
          <w:bCs/>
          <w:color w:val="000000"/>
          <w:sz w:val="28"/>
          <w:szCs w:val="28"/>
          <w:vertAlign w:val="superscript"/>
          <w:lang w:val="en"/>
        </w:rPr>
        <w:t>2+</w:t>
      </w:r>
      <w:r>
        <w:rPr>
          <w:bCs/>
          <w:color w:val="000000"/>
          <w:sz w:val="28"/>
          <w:szCs w:val="28"/>
          <w:lang w:val="en"/>
        </w:rPr>
        <w:t xml:space="preserve"> і Cr</w:t>
      </w:r>
      <w:r>
        <w:rPr>
          <w:bCs/>
          <w:color w:val="000000"/>
          <w:sz w:val="28"/>
          <w:szCs w:val="28"/>
          <w:vertAlign w:val="superscript"/>
          <w:lang w:val="en"/>
        </w:rPr>
        <w:t>3+</w:t>
      </w:r>
      <w:r>
        <w:rPr>
          <w:bCs/>
          <w:color w:val="000000"/>
          <w:sz w:val="28"/>
          <w:szCs w:val="28"/>
          <w:lang w:val="en"/>
        </w:rPr>
        <w:t>. Розмір, морфологію, склад і властивості сорбенту визначалися скануючою електронною мікроскопією, енерг</w:t>
      </w:r>
      <w:r>
        <w:rPr>
          <w:bCs/>
          <w:color w:val="000000"/>
          <w:sz w:val="28"/>
          <w:szCs w:val="28"/>
          <w:lang w:val="en"/>
        </w:rPr>
        <w:t xml:space="preserve">одисперсійним рентгенівським аналізом, магнітометрі вібраційного зразка та FTIR. Їх застосовували для твердофазної екстракції іонів металів зі зразків </w:t>
      </w:r>
      <w:r>
        <w:rPr>
          <w:bCs/>
          <w:color w:val="000000"/>
          <w:sz w:val="28"/>
          <w:szCs w:val="28"/>
          <w:lang w:val="en"/>
        </w:rPr>
        <w:lastRenderedPageBreak/>
        <w:t>води до їх кількісного визначення за допомогою інжекційно-зв'язаної плазмово-емісійної спектрометрії. Мет</w:t>
      </w:r>
      <w:r>
        <w:rPr>
          <w:bCs/>
          <w:color w:val="000000"/>
          <w:sz w:val="28"/>
          <w:szCs w:val="28"/>
          <w:lang w:val="en"/>
        </w:rPr>
        <w:t>од був успішно застосований для вилучення Cd</w:t>
      </w:r>
      <w:r>
        <w:rPr>
          <w:bCs/>
          <w:color w:val="000000"/>
          <w:sz w:val="28"/>
          <w:szCs w:val="28"/>
          <w:vertAlign w:val="superscript"/>
          <w:lang w:val="en"/>
        </w:rPr>
        <w:t>2+</w:t>
      </w:r>
      <w:r>
        <w:rPr>
          <w:bCs/>
          <w:color w:val="000000"/>
          <w:sz w:val="28"/>
          <w:szCs w:val="28"/>
          <w:lang w:val="en"/>
        </w:rPr>
        <w:t>, Co</w:t>
      </w:r>
      <w:r>
        <w:rPr>
          <w:bCs/>
          <w:color w:val="000000"/>
          <w:sz w:val="28"/>
          <w:szCs w:val="28"/>
          <w:vertAlign w:val="superscript"/>
          <w:lang w:val="en"/>
        </w:rPr>
        <w:t>2+</w:t>
      </w:r>
      <w:r>
        <w:rPr>
          <w:bCs/>
          <w:color w:val="000000"/>
          <w:sz w:val="28"/>
          <w:szCs w:val="28"/>
          <w:lang w:val="en"/>
        </w:rPr>
        <w:t xml:space="preserve"> і Cr</w:t>
      </w:r>
      <w:r>
        <w:rPr>
          <w:bCs/>
          <w:color w:val="000000"/>
          <w:sz w:val="28"/>
          <w:szCs w:val="28"/>
          <w:vertAlign w:val="superscript"/>
          <w:lang w:val="en"/>
        </w:rPr>
        <w:t>3+</w:t>
      </w:r>
      <w:r>
        <w:rPr>
          <w:bCs/>
          <w:color w:val="000000"/>
          <w:sz w:val="28"/>
          <w:szCs w:val="28"/>
          <w:lang w:val="en"/>
        </w:rPr>
        <w:t xml:space="preserve"> з водопровідної води, мінеральної та річкової води. Ступінь вилучення коливався в діапазоні від 90 до 99%, що підтверджувало хороші показники методу.</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Згідно статті [68] магнетит також демонструє в</w:t>
      </w:r>
      <w:r>
        <w:rPr>
          <w:bCs/>
          <w:color w:val="000000"/>
          <w:sz w:val="28"/>
          <w:szCs w:val="28"/>
          <w:lang w:val="en"/>
        </w:rPr>
        <w:t>исоку селективність по іонах заліза. Дане дослідження було присвячене видаленню Fe (III) з водного розчину з використанням нанокомпозитів хітозан-магнетит як потенційного сорбенту. Присутність нанорозмірних магнітних частинок всередині нанокомпозитів підтв</w:t>
      </w:r>
      <w:r>
        <w:rPr>
          <w:bCs/>
          <w:color w:val="000000"/>
          <w:sz w:val="28"/>
          <w:szCs w:val="28"/>
          <w:lang w:val="en"/>
        </w:rPr>
        <w:t>ерджувалася аналізом ТЕМ і SAED. В ході дослідження, відповідно до слів автора, було встановлено, що збільшення вмісту хітозану в частинках сорбенту підвищує поглинання Fe (III). Оцінювалися також різні термодинамічні параметри. Також, було виявлено, що пр</w:t>
      </w:r>
      <w:r>
        <w:rPr>
          <w:bCs/>
          <w:color w:val="000000"/>
          <w:sz w:val="28"/>
          <w:szCs w:val="28"/>
          <w:lang w:val="en"/>
        </w:rPr>
        <w:t>исутність іонів Cu</w:t>
      </w:r>
      <w:r>
        <w:rPr>
          <w:bCs/>
          <w:color w:val="000000"/>
          <w:sz w:val="28"/>
          <w:szCs w:val="28"/>
          <w:vertAlign w:val="superscript"/>
          <w:lang w:val="en"/>
        </w:rPr>
        <w:t>2+</w:t>
      </w:r>
      <w:r>
        <w:rPr>
          <w:bCs/>
          <w:color w:val="000000"/>
          <w:sz w:val="28"/>
          <w:szCs w:val="28"/>
          <w:lang w:val="en"/>
        </w:rPr>
        <w:t xml:space="preserve"> в сорбенті знижує поглинання Fe (III).  </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[69] представлено новий сорбент для попереднього концентрування іонів кадмію та свинцю на основі наночастинок магнетиту, функціоналізованих триазином, які були отримані шляхом прямого с</w:t>
      </w:r>
      <w:r>
        <w:rPr>
          <w:bCs/>
          <w:color w:val="000000"/>
          <w:sz w:val="28"/>
          <w:szCs w:val="28"/>
          <w:lang w:val="en"/>
        </w:rPr>
        <w:t>илілювання магнітних наночастинок з 3-амінопропілтріетоксисілан-2,4-біс (3,5-диметилпіразол) триазином. Сорбент застосовували для попереднього концентрування іонів свинцю і кадмію, які потім були кількісно визначені FAAS. Межі виявлення становили 0,7 нг/см</w:t>
      </w:r>
      <w:r>
        <w:rPr>
          <w:bCs/>
          <w:color w:val="000000"/>
          <w:sz w:val="28"/>
          <w:szCs w:val="28"/>
          <w:vertAlign w:val="superscript"/>
          <w:lang w:val="en"/>
        </w:rPr>
        <w:t>3</w:t>
      </w:r>
      <w:r>
        <w:rPr>
          <w:bCs/>
          <w:color w:val="000000"/>
          <w:sz w:val="28"/>
          <w:szCs w:val="28"/>
          <w:lang w:val="en"/>
        </w:rPr>
        <w:t xml:space="preserve"> для іонів Pb (II) і 0,01 нг/см</w:t>
      </w:r>
      <w:r>
        <w:rPr>
          <w:bCs/>
          <w:color w:val="000000"/>
          <w:sz w:val="28"/>
          <w:szCs w:val="28"/>
          <w:vertAlign w:val="superscript"/>
          <w:lang w:val="en"/>
        </w:rPr>
        <w:t>3</w:t>
      </w:r>
      <w:r>
        <w:rPr>
          <w:bCs/>
          <w:color w:val="000000"/>
          <w:sz w:val="28"/>
          <w:szCs w:val="28"/>
          <w:lang w:val="en"/>
        </w:rPr>
        <w:t xml:space="preserve"> для Cd (II). Точність методу підтверджена аналізом сертифікованих еталонних матеріалів NIST 1571 (листя садівника) та NIST 1572 (цитрусові листя). </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роботі [70] в якості сорбентів використовувалися кілька нанопорошків маг</w:t>
      </w:r>
      <w:r>
        <w:rPr>
          <w:bCs/>
          <w:color w:val="000000"/>
          <w:sz w:val="28"/>
          <w:szCs w:val="28"/>
          <w:lang w:val="en"/>
        </w:rPr>
        <w:t>нетиту (Fe3O4), отриманих різними методами. Для виготовлення нанопорошків застосовували три методи: (1) газофазний синтез, (2) хімічне осадження з водного розчину і (3) лазерне розпилення. Використовуючи ці методи, були виготовлені частинки з різними розмі</w:t>
      </w:r>
      <w:r>
        <w:rPr>
          <w:bCs/>
          <w:color w:val="000000"/>
          <w:sz w:val="28"/>
          <w:szCs w:val="28"/>
          <w:lang w:val="en"/>
        </w:rPr>
        <w:t xml:space="preserve">рами і кристалічною структурою. В роботі досліджено вплив розміру частинок і структури нанопорошків на видалення токсичного Cr (VI) з водного розчину, що імітує </w:t>
      </w:r>
      <w:r>
        <w:rPr>
          <w:bCs/>
          <w:color w:val="000000"/>
          <w:sz w:val="28"/>
          <w:szCs w:val="28"/>
          <w:lang w:val="en"/>
        </w:rPr>
        <w:lastRenderedPageBreak/>
        <w:t>підземні води і стічні води з рН = 7,4–7,8 при різних температурах розчину. Показано, що магнет</w:t>
      </w:r>
      <w:r>
        <w:rPr>
          <w:bCs/>
          <w:color w:val="000000"/>
          <w:sz w:val="28"/>
          <w:szCs w:val="28"/>
          <w:lang w:val="en"/>
        </w:rPr>
        <w:t>ит є ефективним сорбентом для видалення Cr (VI) з забруднених природних вод та стічних вод. Встановлено, що сорбція Cr (VI) магнетитом є незворотною і має хемосорбційний характер, і навіть невелике підвищення температури розчину в процесі сорбції різко під</w:t>
      </w:r>
      <w:r>
        <w:rPr>
          <w:bCs/>
          <w:color w:val="000000"/>
          <w:sz w:val="28"/>
          <w:szCs w:val="28"/>
          <w:lang w:val="en"/>
        </w:rPr>
        <w:t>вищує ефективність сорбції.</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2012 році на основі модифікації магнітних частинок оксиду заліза-кремнезему з новою синтезованою базою Шиффа ((Fe</w:t>
      </w:r>
      <w:r>
        <w:rPr>
          <w:bCs/>
          <w:color w:val="000000"/>
          <w:sz w:val="28"/>
          <w:szCs w:val="28"/>
          <w:vertAlign w:val="subscript"/>
          <w:lang w:val="en"/>
        </w:rPr>
        <w:t>3</w:t>
      </w:r>
      <w:r>
        <w:rPr>
          <w:bCs/>
          <w:color w:val="000000"/>
          <w:sz w:val="28"/>
          <w:szCs w:val="28"/>
          <w:lang w:val="en"/>
        </w:rPr>
        <w:t>O</w:t>
      </w:r>
      <w:r>
        <w:rPr>
          <w:bCs/>
          <w:color w:val="000000"/>
          <w:sz w:val="28"/>
          <w:szCs w:val="28"/>
          <w:vertAlign w:val="subscript"/>
          <w:lang w:val="en"/>
        </w:rPr>
        <w:t>4</w:t>
      </w:r>
      <w:r>
        <w:rPr>
          <w:bCs/>
          <w:color w:val="000000"/>
          <w:sz w:val="28"/>
          <w:szCs w:val="28"/>
          <w:lang w:val="en"/>
        </w:rPr>
        <w:t>)/SiO</w:t>
      </w:r>
      <w:r>
        <w:rPr>
          <w:bCs/>
          <w:color w:val="000000"/>
          <w:sz w:val="28"/>
          <w:szCs w:val="28"/>
          <w:vertAlign w:val="subscript"/>
          <w:lang w:val="en"/>
        </w:rPr>
        <w:t>2</w:t>
      </w:r>
      <w:r>
        <w:rPr>
          <w:bCs/>
          <w:color w:val="000000"/>
          <w:sz w:val="28"/>
          <w:szCs w:val="28"/>
          <w:lang w:val="en"/>
        </w:rPr>
        <w:t>) була представлена універсальна і міцна тверда фаза з магнітними властивостями і дуже високою адсорбцій</w:t>
      </w:r>
      <w:r>
        <w:rPr>
          <w:bCs/>
          <w:color w:val="000000"/>
          <w:sz w:val="28"/>
          <w:szCs w:val="28"/>
          <w:lang w:val="en"/>
        </w:rPr>
        <w:t>ною здатністю. Структура отриманого продукту була підтверджена інфрачервоними (FT-IR) спектрами перетворення Фур'є, спектрометрією рентгенівської дифракції (XRD) і електронною мікроскопією (ТЕМ). Автори роботи [71] розробили ефективний і економічно вигідни</w:t>
      </w:r>
      <w:r>
        <w:rPr>
          <w:bCs/>
          <w:color w:val="000000"/>
          <w:sz w:val="28"/>
          <w:szCs w:val="28"/>
          <w:lang w:val="en"/>
        </w:rPr>
        <w:t>й метод попередньої концентрації слідових кількостей Pb (II), Cd (II) і Cu (II) в екологічних і біологічних зразках з використанням цієї нової магнітної твердої фази. Підготовлена магнітна тверда фаза є ідеальним сорбентом, оскільки вона має велику площу п</w:t>
      </w:r>
      <w:r>
        <w:rPr>
          <w:bCs/>
          <w:color w:val="000000"/>
          <w:sz w:val="28"/>
          <w:szCs w:val="28"/>
          <w:lang w:val="en"/>
        </w:rPr>
        <w:t>оверхні, хорошу селективність і може бути легко вилучена з великих обсягів водних розчинів. В оптимальних умовах межа виявлення методу становила 0,14, 0,19 і 0,12 мкг/г для іонів Pb (II), Cd (II) і Cu (II), відповідно. Запропонований метод успішно застосов</w:t>
      </w:r>
      <w:r>
        <w:rPr>
          <w:bCs/>
          <w:color w:val="000000"/>
          <w:sz w:val="28"/>
          <w:szCs w:val="28"/>
          <w:lang w:val="en"/>
        </w:rPr>
        <w:t>аний для аналізу реальних зразків і отримано задовільні результати. Все це вказувало на те, що ця магнітна фаза має великий потенціал в екологічних і біологічних полях.</w:t>
      </w:r>
    </w:p>
    <w:p w:rsidR="00F1629C" w:rsidRDefault="00E671D2">
      <w:pPr>
        <w:pStyle w:val="af4"/>
        <w:snapToGrid w:val="0"/>
        <w:spacing w:line="360" w:lineRule="auto"/>
        <w:ind w:left="0" w:firstLine="700"/>
        <w:contextualSpacing/>
        <w:jc w:val="both"/>
        <w:rPr>
          <w:bCs/>
          <w:color w:val="000000"/>
          <w:sz w:val="28"/>
          <w:szCs w:val="28"/>
          <w:lang w:val="en"/>
        </w:rPr>
      </w:pPr>
      <w:r>
        <w:rPr>
          <w:bCs/>
          <w:color w:val="000000"/>
          <w:sz w:val="28"/>
          <w:szCs w:val="28"/>
          <w:lang w:val="en"/>
        </w:rPr>
        <w:t>У статті [72] описано магнітно-металоорганічну основу (МОФ) типу MIL-101 (Fe)/2-(пропіл</w:t>
      </w:r>
      <w:r>
        <w:rPr>
          <w:bCs/>
          <w:color w:val="000000"/>
          <w:sz w:val="28"/>
          <w:szCs w:val="28"/>
          <w:lang w:val="en"/>
        </w:rPr>
        <w:t>аміно-етил) дитіокарбамат на поверхні наночастинок магнетиту. Показано, що MOF є життєздатним матеріалом для аналізу видоутворення Cr (III) і Cr (VI), оскільки він демонструє селективність по відношенню до Cr (VI) при значеннях рН близько 2,0. Отже, попере</w:t>
      </w:r>
      <w:r>
        <w:rPr>
          <w:bCs/>
          <w:color w:val="000000"/>
          <w:sz w:val="28"/>
          <w:szCs w:val="28"/>
          <w:lang w:val="en"/>
        </w:rPr>
        <w:t xml:space="preserve">днє окислення або відновлення не потрібні. Після оптимізації умов екстракції хром кількісно визначали за допомогою ET-AAS. Метод був перевірений шляхом аналізу двох сертифікованих еталонних матеріалів. Він також успішно </w:t>
      </w:r>
      <w:r>
        <w:rPr>
          <w:bCs/>
          <w:color w:val="000000"/>
          <w:sz w:val="28"/>
          <w:szCs w:val="28"/>
          <w:lang w:val="en"/>
        </w:rPr>
        <w:lastRenderedPageBreak/>
        <w:t>використовувався для швидкого вилуче</w:t>
      </w:r>
      <w:r>
        <w:rPr>
          <w:bCs/>
          <w:color w:val="000000"/>
          <w:sz w:val="28"/>
          <w:szCs w:val="28"/>
          <w:lang w:val="en"/>
        </w:rPr>
        <w:t>ння Cr (III) і Cr (VI) зі зразків води і загального хрому зі зразків чаю.</w:t>
      </w:r>
    </w:p>
    <w:p w:rsidR="00F1629C" w:rsidRDefault="00E671D2">
      <w:pPr>
        <w:spacing w:after="0" w:line="360" w:lineRule="auto"/>
        <w:ind w:firstLine="709"/>
        <w:jc w:val="both"/>
        <w:rPr>
          <w:rFonts w:ascii="Times New Roman" w:eastAsia="Times New Roman" w:hAnsi="Times New Roman" w:cs="Times New Roman"/>
          <w:bCs/>
          <w:color w:val="000000"/>
          <w:sz w:val="28"/>
          <w:szCs w:val="28"/>
          <w:lang w:val="en"/>
        </w:rPr>
      </w:pPr>
      <w:r>
        <w:rPr>
          <w:rFonts w:ascii="Times New Roman" w:eastAsia="Times New Roman" w:hAnsi="Times New Roman" w:cs="Times New Roman"/>
          <w:bCs/>
          <w:color w:val="000000"/>
          <w:sz w:val="28"/>
          <w:szCs w:val="28"/>
          <w:lang w:val="en"/>
        </w:rPr>
        <w:t xml:space="preserve">Взагалі, використання магнітних матеріалів в екстракції твердої фази в останні роки привертає значну увагу з урахуванням багатьох переваг, що випливають з властивостей магнітних </w:t>
      </w:r>
      <w:r>
        <w:rPr>
          <w:rFonts w:ascii="Times New Roman" w:eastAsia="Times New Roman" w:hAnsi="Times New Roman" w:cs="Times New Roman"/>
          <w:bCs/>
          <w:color w:val="000000"/>
          <w:sz w:val="28"/>
          <w:szCs w:val="28"/>
          <w:lang w:val="en"/>
        </w:rPr>
        <w:t>частинок. Методологія вилучення магнітної твердої фази (MSPE) дозволяє подолати такі проблеми, як розділення фаз, що може бути легко виконане шляхом застосування зовнішнього магнітного поля. Використання магнітних частинок в автоматичних системах зростає п</w:t>
      </w:r>
      <w:r>
        <w:rPr>
          <w:rFonts w:ascii="Times New Roman" w:eastAsia="Times New Roman" w:hAnsi="Times New Roman" w:cs="Times New Roman"/>
          <w:bCs/>
          <w:color w:val="000000"/>
          <w:sz w:val="28"/>
          <w:szCs w:val="28"/>
          <w:lang w:val="en"/>
        </w:rPr>
        <w:t>ротягом останніх кількох років, роблячи оперативне функціонування MSPE перспективною технікою в рамках зеленої хімії. Стаття [73] має на меті висвітлити всі останні досягнення в дослідженні нових магнітних матеріалів як сорбентів для попереднього концентру</w:t>
      </w:r>
      <w:r>
        <w:rPr>
          <w:rFonts w:ascii="Times New Roman" w:eastAsia="Times New Roman" w:hAnsi="Times New Roman" w:cs="Times New Roman"/>
          <w:bCs/>
          <w:color w:val="000000"/>
          <w:sz w:val="28"/>
          <w:szCs w:val="28"/>
          <w:lang w:val="en"/>
        </w:rPr>
        <w:t>вання та визначення металів у поєднанні з різними системами виявлення, а також їх впровадження в послідовні інжекційні та мікрофлюїдні системи. Крім того, авторами наведено опис підготовки, характеристики, а також застосування різних типів магнітних матері</w:t>
      </w:r>
      <w:r>
        <w:rPr>
          <w:rFonts w:ascii="Times New Roman" w:eastAsia="Times New Roman" w:hAnsi="Times New Roman" w:cs="Times New Roman"/>
          <w:bCs/>
          <w:color w:val="000000"/>
          <w:sz w:val="28"/>
          <w:szCs w:val="28"/>
          <w:lang w:val="en"/>
        </w:rPr>
        <w:t>алів, а також коментуються заключні зауваження та майбутні тенденції у цьому напрямку.</w:t>
      </w:r>
    </w:p>
    <w:p w:rsidR="00F1629C" w:rsidRDefault="00F1629C">
      <w:pPr>
        <w:spacing w:after="0" w:line="360" w:lineRule="auto"/>
        <w:ind w:firstLine="709"/>
        <w:jc w:val="both"/>
        <w:rPr>
          <w:rFonts w:ascii="Times New Roman" w:eastAsia="Times New Roman" w:hAnsi="Times New Roman" w:cs="Times New Roman"/>
          <w:bCs/>
          <w:color w:val="000000"/>
          <w:sz w:val="28"/>
          <w:szCs w:val="28"/>
          <w:lang w:val="en"/>
        </w:rPr>
      </w:pP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Висновки до розділу 1</w:t>
      </w:r>
    </w:p>
    <w:p w:rsidR="00F1629C" w:rsidRDefault="00F1629C">
      <w:pPr>
        <w:tabs>
          <w:tab w:val="left" w:pos="284"/>
        </w:tabs>
        <w:spacing w:after="0" w:line="360" w:lineRule="auto"/>
        <w:ind w:firstLine="709"/>
        <w:rPr>
          <w:rFonts w:ascii="Times New Roman" w:hAnsi="Times New Roman" w:cs="Times New Roman"/>
          <w:b/>
          <w:sz w:val="28"/>
          <w:szCs w:val="28"/>
        </w:rPr>
      </w:pPr>
    </w:p>
    <w:p w:rsidR="00F1629C" w:rsidRDefault="00E671D2">
      <w:pPr>
        <w:numPr>
          <w:ilvl w:val="0"/>
          <w:numId w:val="3"/>
        </w:numPr>
        <w:snapToGrid w:val="0"/>
        <w:spacing w:after="0" w:line="360" w:lineRule="auto"/>
        <w:jc w:val="both"/>
        <w:rPr>
          <w:rFonts w:ascii="Times New Roman" w:hAnsi="Times New Roman" w:cs="Times New Roman"/>
          <w:sz w:val="28"/>
          <w:szCs w:val="28"/>
          <w:lang w:val="en"/>
        </w:rPr>
      </w:pPr>
      <w:r>
        <w:rPr>
          <w:rFonts w:ascii="Times New Roman" w:hAnsi="Times New Roman" w:cs="Times New Roman"/>
          <w:sz w:val="28"/>
          <w:szCs w:val="28"/>
          <w:lang w:val="en"/>
        </w:rPr>
        <w:t>Важкі</w:t>
      </w:r>
      <w:r>
        <w:rPr>
          <w:rFonts w:ascii="Times New Roman" w:hAnsi="Times New Roman" w:cs="Times New Roman"/>
          <w:sz w:val="28"/>
          <w:szCs w:val="28"/>
          <w:lang w:val="en"/>
        </w:rPr>
        <w:t xml:space="preserve"> метали характеризуються надзвичайно високою токсичністю та кумулятивною здатністю. Особливо небезпечними для водойм є донні відкладення, ко</w:t>
      </w:r>
      <w:r>
        <w:rPr>
          <w:rFonts w:ascii="Times New Roman" w:hAnsi="Times New Roman" w:cs="Times New Roman"/>
          <w:sz w:val="28"/>
          <w:szCs w:val="28"/>
          <w:lang w:val="en"/>
        </w:rPr>
        <w:t>нцентрація важких металів у яких досягає надвисоких значень і обумовлює стан перебування важких металів у воді.</w:t>
      </w:r>
    </w:p>
    <w:p w:rsidR="00F1629C" w:rsidRDefault="00E671D2">
      <w:pPr>
        <w:numPr>
          <w:ilvl w:val="0"/>
          <w:numId w:val="3"/>
        </w:numPr>
        <w:snapToGrid w:val="0"/>
        <w:spacing w:after="0" w:line="360" w:lineRule="auto"/>
        <w:jc w:val="both"/>
        <w:rPr>
          <w:rFonts w:ascii="Times New Roman" w:hAnsi="Times New Roman" w:cs="Times New Roman"/>
          <w:sz w:val="28"/>
          <w:szCs w:val="28"/>
          <w:lang w:val="en"/>
        </w:rPr>
      </w:pPr>
      <w:r>
        <w:rPr>
          <w:rFonts w:ascii="Times New Roman" w:hAnsi="Times New Roman" w:cs="Times New Roman"/>
          <w:sz w:val="28"/>
          <w:szCs w:val="28"/>
          <w:lang w:val="en"/>
        </w:rPr>
        <w:t>Основними способами вилучення важких металів з води на сьогоднішній день є іонний обмін та нанофільтрація, через їх високу селективність та здат</w:t>
      </w:r>
      <w:r>
        <w:rPr>
          <w:rFonts w:ascii="Times New Roman" w:hAnsi="Times New Roman" w:cs="Times New Roman"/>
          <w:sz w:val="28"/>
          <w:szCs w:val="28"/>
          <w:lang w:val="en"/>
        </w:rPr>
        <w:t xml:space="preserve">ність до практично повного вилучення важких металів з води. </w:t>
      </w:r>
    </w:p>
    <w:p w:rsidR="00F1629C" w:rsidRDefault="00E671D2">
      <w:pPr>
        <w:numPr>
          <w:ilvl w:val="0"/>
          <w:numId w:val="3"/>
        </w:numPr>
        <w:snapToGrid w:val="0"/>
        <w:spacing w:after="0" w:line="360" w:lineRule="auto"/>
        <w:jc w:val="both"/>
        <w:rPr>
          <w:rFonts w:ascii="Times New Roman" w:hAnsi="Times New Roman" w:cs="Times New Roman"/>
          <w:sz w:val="28"/>
          <w:szCs w:val="28"/>
          <w:lang w:val="en"/>
        </w:rPr>
      </w:pPr>
      <w:r>
        <w:rPr>
          <w:rFonts w:ascii="Times New Roman" w:hAnsi="Times New Roman" w:cs="Times New Roman"/>
          <w:sz w:val="28"/>
          <w:szCs w:val="28"/>
          <w:lang w:val="en"/>
        </w:rPr>
        <w:t>Наразі, у зв’язку з популяризацією “зеленої хімії” та “зелених” підходів у промисловості взагалі, все більшої привабливості набувають сорбційні методи водоочистки. Так, на заході все більше вчени</w:t>
      </w:r>
      <w:r>
        <w:rPr>
          <w:rFonts w:ascii="Times New Roman" w:hAnsi="Times New Roman" w:cs="Times New Roman"/>
          <w:sz w:val="28"/>
          <w:szCs w:val="28"/>
          <w:lang w:val="en"/>
        </w:rPr>
        <w:t xml:space="preserve">х займаються </w:t>
      </w:r>
      <w:r>
        <w:rPr>
          <w:rFonts w:ascii="Times New Roman" w:hAnsi="Times New Roman" w:cs="Times New Roman"/>
          <w:sz w:val="28"/>
          <w:szCs w:val="28"/>
          <w:lang w:val="en"/>
        </w:rPr>
        <w:lastRenderedPageBreak/>
        <w:t>випробуваннями сорбентів на основі відходів сільського господарства, а також винаходять нові способи обробки та модифікації такого роду сорбентів.</w:t>
      </w:r>
    </w:p>
    <w:p w:rsidR="00F1629C" w:rsidRDefault="00E671D2">
      <w:pPr>
        <w:numPr>
          <w:ilvl w:val="0"/>
          <w:numId w:val="3"/>
        </w:numPr>
        <w:snapToGrid w:val="0"/>
        <w:spacing w:after="0" w:line="360" w:lineRule="auto"/>
        <w:jc w:val="both"/>
        <w:rPr>
          <w:rFonts w:ascii="Times New Roman" w:hAnsi="Times New Roman" w:cs="Times New Roman"/>
          <w:spacing w:val="-8"/>
          <w:sz w:val="28"/>
          <w:szCs w:val="28"/>
        </w:rPr>
      </w:pPr>
      <w:r>
        <w:rPr>
          <w:rFonts w:ascii="Times New Roman" w:hAnsi="Times New Roman" w:cs="Times New Roman"/>
          <w:sz w:val="28"/>
          <w:szCs w:val="28"/>
          <w:lang w:val="en"/>
        </w:rPr>
        <w:t>Проте, найвищою селективністю та ефективністю по вилученню саме високотоксичних та радіоактивних</w:t>
      </w:r>
      <w:r>
        <w:rPr>
          <w:rFonts w:ascii="Times New Roman" w:hAnsi="Times New Roman" w:cs="Times New Roman"/>
          <w:sz w:val="28"/>
          <w:szCs w:val="28"/>
          <w:lang w:val="en"/>
        </w:rPr>
        <w:t xml:space="preserve"> важких металів вирізняються сорбенти з магнітними властивостями. Вони є більш стійкими і придатні навіть до вилучення слідових кількостей важких металів, що ставить їх в один ряд по ефективності з іонним обміном та зворотнім осмосом.</w:t>
      </w:r>
    </w:p>
    <w:p w:rsidR="00F1629C" w:rsidRDefault="00E671D2">
      <w:pPr>
        <w:numPr>
          <w:ilvl w:val="0"/>
          <w:numId w:val="3"/>
        </w:numPr>
        <w:snapToGrid w:val="0"/>
        <w:spacing w:after="0" w:line="360" w:lineRule="auto"/>
        <w:jc w:val="both"/>
        <w:rPr>
          <w:rFonts w:ascii="Times New Roman" w:hAnsi="Times New Roman" w:cs="Times New Roman"/>
          <w:spacing w:val="-8"/>
          <w:sz w:val="28"/>
          <w:szCs w:val="28"/>
        </w:rPr>
      </w:pPr>
      <w:r>
        <w:rPr>
          <w:rFonts w:ascii="Times New Roman" w:hAnsi="Times New Roman" w:cs="Times New Roman"/>
          <w:sz w:val="28"/>
          <w:szCs w:val="28"/>
          <w:lang w:val="en"/>
        </w:rPr>
        <w:t>На даний момент розро</w:t>
      </w:r>
      <w:r>
        <w:rPr>
          <w:rFonts w:ascii="Times New Roman" w:hAnsi="Times New Roman" w:cs="Times New Roman"/>
          <w:sz w:val="28"/>
          <w:szCs w:val="28"/>
          <w:lang w:val="en"/>
        </w:rPr>
        <w:t>блено не так багато способів модифікації сорбентів на основі магнетиту, та не усі важкі метали апробовано саме на таких типах сорбентів. Більшість робіт пов’язані з найбільш токсичними та/або радіоактивними металами, такими як миш’як, стронцій, цезій тощо.</w:t>
      </w:r>
      <w:r>
        <w:rPr>
          <w:rFonts w:ascii="Times New Roman" w:hAnsi="Times New Roman" w:cs="Times New Roman"/>
          <w:sz w:val="28"/>
          <w:szCs w:val="28"/>
          <w:lang w:val="en"/>
        </w:rPr>
        <w:t xml:space="preserve"> А от цинк, нікель, мідь та свинець привернули увагу лише декількох вчених, хоча вони, як раз, характеризуються найбільшою здатністю до кумуляції. </w:t>
      </w:r>
    </w:p>
    <w:p w:rsidR="00F1629C" w:rsidRDefault="00F1629C">
      <w:pPr>
        <w:tabs>
          <w:tab w:val="left" w:pos="284"/>
        </w:tabs>
        <w:spacing w:line="360" w:lineRule="auto"/>
        <w:rPr>
          <w:rFonts w:ascii="Times New Roman" w:hAnsi="Times New Roman" w:cs="Times New Roman"/>
          <w:sz w:val="28"/>
          <w:szCs w:val="28"/>
        </w:rPr>
      </w:pPr>
    </w:p>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br w:type="page"/>
      </w:r>
    </w:p>
    <w:p w:rsidR="00F1629C" w:rsidRDefault="00E671D2">
      <w:pPr>
        <w:tabs>
          <w:tab w:val="left" w:pos="284"/>
        </w:tabs>
        <w:spacing w:after="0" w:line="360" w:lineRule="auto"/>
        <w:ind w:firstLine="567"/>
        <w:jc w:val="center"/>
        <w:rPr>
          <w:rFonts w:ascii="Times New Roman" w:hAnsi="Times New Roman"/>
          <w:b/>
          <w:sz w:val="28"/>
          <w:szCs w:val="28"/>
        </w:rPr>
      </w:pPr>
      <w:r>
        <w:rPr>
          <w:rFonts w:ascii="Times New Roman" w:hAnsi="Times New Roman"/>
          <w:b/>
          <w:sz w:val="28"/>
          <w:szCs w:val="28"/>
        </w:rPr>
        <w:lastRenderedPageBreak/>
        <w:t>РОЗДІЛ 2</w:t>
      </w:r>
    </w:p>
    <w:p w:rsidR="00F1629C" w:rsidRDefault="00E671D2">
      <w:pPr>
        <w:tabs>
          <w:tab w:val="left" w:pos="284"/>
        </w:tabs>
        <w:spacing w:after="0" w:line="360" w:lineRule="auto"/>
        <w:ind w:firstLine="567"/>
        <w:jc w:val="center"/>
        <w:rPr>
          <w:rFonts w:ascii="Times New Roman" w:hAnsi="Times New Roman"/>
          <w:b/>
          <w:sz w:val="28"/>
          <w:szCs w:val="28"/>
        </w:rPr>
      </w:pPr>
      <w:r>
        <w:rPr>
          <w:rFonts w:ascii="Times New Roman" w:hAnsi="Times New Roman"/>
          <w:b/>
          <w:sz w:val="28"/>
          <w:szCs w:val="28"/>
        </w:rPr>
        <w:t>ОБ'ЄКТИ ТА МЕТОДИ ДОСЛІДЖЕНЬ</w:t>
      </w:r>
    </w:p>
    <w:p w:rsidR="00F1629C" w:rsidRDefault="00F1629C">
      <w:pPr>
        <w:pStyle w:val="1"/>
        <w:tabs>
          <w:tab w:val="left" w:pos="284"/>
          <w:tab w:val="left" w:pos="1751"/>
        </w:tabs>
        <w:spacing w:line="360" w:lineRule="auto"/>
        <w:ind w:left="0" w:firstLine="284"/>
        <w:jc w:val="both"/>
      </w:pPr>
      <w:bookmarkStart w:id="1" w:name="_TOC_250001"/>
    </w:p>
    <w:bookmarkEnd w:id="1"/>
    <w:p w:rsidR="00F1629C" w:rsidRDefault="00E671D2">
      <w:pPr>
        <w:snapToGrid w:val="0"/>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2.1 Об’єкти дослідження</w:t>
      </w:r>
    </w:p>
    <w:p w:rsidR="00F1629C" w:rsidRDefault="00E671D2">
      <w:pPr>
        <w:pStyle w:val="af8"/>
        <w:shd w:val="clear" w:color="auto" w:fill="auto"/>
        <w:spacing w:before="0" w:line="360" w:lineRule="auto"/>
        <w:ind w:left="567" w:right="-1"/>
        <w:jc w:val="both"/>
        <w:rPr>
          <w:sz w:val="28"/>
          <w:szCs w:val="28"/>
        </w:rPr>
      </w:pPr>
      <w:r>
        <w:rPr>
          <w:sz w:val="28"/>
          <w:szCs w:val="28"/>
          <w:lang w:val="en"/>
        </w:rPr>
        <w:t xml:space="preserve">2.1.1 </w:t>
      </w:r>
      <w:r>
        <w:rPr>
          <w:sz w:val="28"/>
          <w:szCs w:val="28"/>
        </w:rPr>
        <w:t>Водні середовища:</w:t>
      </w:r>
    </w:p>
    <w:p w:rsidR="00F1629C" w:rsidRDefault="00E671D2">
      <w:pPr>
        <w:pStyle w:val="af8"/>
        <w:shd w:val="clear" w:color="auto" w:fill="auto"/>
        <w:spacing w:before="0" w:line="360" w:lineRule="auto"/>
        <w:ind w:right="-1" w:firstLine="567"/>
        <w:jc w:val="both"/>
        <w:rPr>
          <w:b w:val="0"/>
          <w:sz w:val="28"/>
          <w:szCs w:val="28"/>
          <w:lang w:val="en"/>
        </w:rPr>
      </w:pPr>
      <w:r>
        <w:rPr>
          <w:b w:val="0"/>
          <w:sz w:val="28"/>
          <w:szCs w:val="28"/>
        </w:rPr>
        <w:t xml:space="preserve">В ході проведення </w:t>
      </w:r>
      <w:r>
        <w:rPr>
          <w:b w:val="0"/>
          <w:sz w:val="28"/>
          <w:szCs w:val="28"/>
          <w:lang w:val="ru"/>
        </w:rPr>
        <w:t>дослідів</w:t>
      </w:r>
      <w:r>
        <w:rPr>
          <w:b w:val="0"/>
          <w:sz w:val="28"/>
          <w:szCs w:val="28"/>
          <w:lang w:val="ru"/>
        </w:rPr>
        <w:t xml:space="preserve"> </w:t>
      </w:r>
      <w:r>
        <w:rPr>
          <w:b w:val="0"/>
          <w:sz w:val="28"/>
          <w:szCs w:val="28"/>
        </w:rPr>
        <w:t xml:space="preserve">було використано </w:t>
      </w:r>
      <w:r>
        <w:rPr>
          <w:b w:val="0"/>
          <w:sz w:val="28"/>
          <w:szCs w:val="28"/>
        </w:rPr>
        <w:t xml:space="preserve">модельні </w:t>
      </w:r>
      <w:r>
        <w:rPr>
          <w:b w:val="0"/>
          <w:sz w:val="28"/>
          <w:szCs w:val="28"/>
        </w:rPr>
        <w:t>розчини солей важких металів (Cu</w:t>
      </w:r>
      <w:r>
        <w:rPr>
          <w:b w:val="0"/>
          <w:sz w:val="28"/>
          <w:szCs w:val="28"/>
          <w:vertAlign w:val="superscript"/>
        </w:rPr>
        <w:t>2+</w:t>
      </w:r>
      <w:r>
        <w:rPr>
          <w:b w:val="0"/>
          <w:sz w:val="28"/>
          <w:szCs w:val="28"/>
        </w:rPr>
        <w:t>, Pb</w:t>
      </w:r>
      <w:r>
        <w:rPr>
          <w:b w:val="0"/>
          <w:sz w:val="28"/>
          <w:szCs w:val="28"/>
          <w:vertAlign w:val="superscript"/>
        </w:rPr>
        <w:t>2+</w:t>
      </w:r>
      <w:r>
        <w:rPr>
          <w:b w:val="0"/>
          <w:sz w:val="28"/>
          <w:szCs w:val="28"/>
        </w:rPr>
        <w:t>, Cd</w:t>
      </w:r>
      <w:r>
        <w:rPr>
          <w:b w:val="0"/>
          <w:sz w:val="28"/>
          <w:szCs w:val="28"/>
          <w:vertAlign w:val="superscript"/>
        </w:rPr>
        <w:t>2+</w:t>
      </w:r>
      <w:r>
        <w:rPr>
          <w:b w:val="0"/>
          <w:sz w:val="28"/>
          <w:szCs w:val="28"/>
        </w:rPr>
        <w:t>, Zn</w:t>
      </w:r>
      <w:r>
        <w:rPr>
          <w:b w:val="0"/>
          <w:sz w:val="28"/>
          <w:szCs w:val="28"/>
          <w:vertAlign w:val="superscript"/>
        </w:rPr>
        <w:t>2+</w:t>
      </w:r>
      <w:r>
        <w:rPr>
          <w:b w:val="0"/>
          <w:sz w:val="28"/>
          <w:szCs w:val="28"/>
        </w:rPr>
        <w:t>, Ni</w:t>
      </w:r>
      <w:r>
        <w:rPr>
          <w:b w:val="0"/>
          <w:sz w:val="28"/>
          <w:szCs w:val="28"/>
          <w:vertAlign w:val="superscript"/>
        </w:rPr>
        <w:t>2+</w:t>
      </w:r>
      <w:r>
        <w:rPr>
          <w:b w:val="0"/>
          <w:sz w:val="28"/>
          <w:szCs w:val="28"/>
        </w:rPr>
        <w:t xml:space="preserve">) у </w:t>
      </w:r>
      <w:r>
        <w:rPr>
          <w:b w:val="0"/>
          <w:sz w:val="28"/>
          <w:szCs w:val="28"/>
          <w:lang w:val="ru"/>
        </w:rPr>
        <w:t>дистильованій</w:t>
      </w:r>
      <w:r>
        <w:rPr>
          <w:b w:val="0"/>
          <w:sz w:val="28"/>
          <w:szCs w:val="28"/>
          <w:lang w:val="ru"/>
        </w:rPr>
        <w:t xml:space="preserve"> </w:t>
      </w:r>
      <w:r>
        <w:rPr>
          <w:b w:val="0"/>
          <w:sz w:val="28"/>
          <w:szCs w:val="28"/>
        </w:rPr>
        <w:t xml:space="preserve">та </w:t>
      </w:r>
      <w:r>
        <w:rPr>
          <w:b w:val="0"/>
          <w:sz w:val="28"/>
          <w:szCs w:val="28"/>
          <w:lang w:val="ru"/>
        </w:rPr>
        <w:t>водопровід</w:t>
      </w:r>
      <w:r>
        <w:rPr>
          <w:b w:val="0"/>
          <w:sz w:val="28"/>
          <w:szCs w:val="28"/>
        </w:rPr>
        <w:t>ній воді.</w:t>
      </w:r>
      <w:r>
        <w:rPr>
          <w:b w:val="0"/>
          <w:sz w:val="28"/>
          <w:szCs w:val="28"/>
          <w:lang w:val="en"/>
        </w:rPr>
        <w:t xml:space="preserve"> Характеристики водопровідної води наведено в таблиці 2.</w:t>
      </w:r>
      <w:r>
        <w:rPr>
          <w:b w:val="0"/>
          <w:sz w:val="28"/>
          <w:szCs w:val="28"/>
          <w:lang w:val="ru"/>
        </w:rPr>
        <w:t>1</w:t>
      </w:r>
      <w:r>
        <w:rPr>
          <w:b w:val="0"/>
          <w:sz w:val="28"/>
          <w:szCs w:val="28"/>
          <w:lang w:val="en"/>
        </w:rPr>
        <w:t>.</w:t>
      </w:r>
    </w:p>
    <w:p w:rsidR="00F1629C" w:rsidRDefault="00E671D2">
      <w:pPr>
        <w:pStyle w:val="af8"/>
        <w:shd w:val="clear" w:color="auto" w:fill="auto"/>
        <w:spacing w:before="0" w:line="360" w:lineRule="auto"/>
        <w:ind w:right="-1" w:firstLine="567"/>
        <w:jc w:val="both"/>
        <w:rPr>
          <w:b w:val="0"/>
          <w:sz w:val="28"/>
          <w:szCs w:val="28"/>
        </w:rPr>
      </w:pPr>
      <w:r>
        <w:rPr>
          <w:b w:val="0"/>
          <w:sz w:val="28"/>
          <w:szCs w:val="28"/>
        </w:rPr>
        <w:t>Таблиця 2.</w:t>
      </w:r>
      <w:r>
        <w:rPr>
          <w:b w:val="0"/>
          <w:sz w:val="28"/>
          <w:szCs w:val="28"/>
          <w:lang w:val="en"/>
        </w:rPr>
        <w:t>1</w:t>
      </w:r>
      <w:r>
        <w:rPr>
          <w:b w:val="0"/>
          <w:sz w:val="28"/>
          <w:szCs w:val="28"/>
        </w:rPr>
        <w:t xml:space="preserve"> − Характеристик</w:t>
      </w:r>
      <w:r>
        <w:rPr>
          <w:b w:val="0"/>
          <w:sz w:val="28"/>
          <w:szCs w:val="28"/>
          <w:lang w:val="en"/>
        </w:rPr>
        <w:t>и</w:t>
      </w:r>
      <w:r>
        <w:rPr>
          <w:b w:val="0"/>
          <w:sz w:val="28"/>
          <w:szCs w:val="28"/>
        </w:rPr>
        <w:t xml:space="preserve"> водопровідної води</w:t>
      </w:r>
    </w:p>
    <w:tbl>
      <w:tblPr>
        <w:tblStyle w:val="af3"/>
        <w:tblW w:w="9571" w:type="dxa"/>
        <w:tblLayout w:type="fixed"/>
        <w:tblLook w:val="04A0" w:firstRow="1" w:lastRow="0" w:firstColumn="1" w:lastColumn="0" w:noHBand="0" w:noVBand="1"/>
      </w:tblPr>
      <w:tblGrid>
        <w:gridCol w:w="5055"/>
        <w:gridCol w:w="4516"/>
      </w:tblGrid>
      <w:tr w:rsidR="00F1629C">
        <w:tc>
          <w:tcPr>
            <w:tcW w:w="5055" w:type="dxa"/>
          </w:tcPr>
          <w:p w:rsidR="00F1629C" w:rsidRDefault="00E671D2">
            <w:pPr>
              <w:pStyle w:val="af8"/>
              <w:shd w:val="clear" w:color="auto" w:fill="auto"/>
              <w:spacing w:before="0" w:line="360" w:lineRule="auto"/>
              <w:ind w:right="-1"/>
              <w:jc w:val="both"/>
              <w:rPr>
                <w:b w:val="0"/>
                <w:sz w:val="28"/>
                <w:szCs w:val="28"/>
                <w:lang w:val="en"/>
              </w:rPr>
            </w:pPr>
            <w:r>
              <w:rPr>
                <w:b w:val="0"/>
                <w:sz w:val="28"/>
                <w:szCs w:val="28"/>
                <w:lang w:val="en"/>
              </w:rPr>
              <w:t>Характеристика</w:t>
            </w:r>
          </w:p>
        </w:tc>
        <w:tc>
          <w:tcPr>
            <w:tcW w:w="4516" w:type="dxa"/>
          </w:tcPr>
          <w:p w:rsidR="00F1629C" w:rsidRDefault="00E671D2">
            <w:pPr>
              <w:pStyle w:val="af8"/>
              <w:shd w:val="clear" w:color="auto" w:fill="auto"/>
              <w:spacing w:before="0" w:line="360" w:lineRule="auto"/>
              <w:ind w:right="-1"/>
              <w:jc w:val="both"/>
              <w:rPr>
                <w:b w:val="0"/>
                <w:sz w:val="28"/>
                <w:szCs w:val="28"/>
                <w:lang w:val="en"/>
              </w:rPr>
            </w:pPr>
            <w:r>
              <w:rPr>
                <w:b w:val="0"/>
                <w:sz w:val="28"/>
                <w:szCs w:val="28"/>
                <w:lang w:val="en"/>
              </w:rPr>
              <w:t>Водопровідна вода м. Києва</w:t>
            </w:r>
          </w:p>
        </w:tc>
      </w:tr>
      <w:tr w:rsidR="00F1629C">
        <w:tc>
          <w:tcPr>
            <w:tcW w:w="5055" w:type="dxa"/>
          </w:tcPr>
          <w:p w:rsidR="00F1629C" w:rsidRDefault="00E671D2">
            <w:pPr>
              <w:pStyle w:val="af8"/>
              <w:shd w:val="clear" w:color="auto" w:fill="auto"/>
              <w:spacing w:before="0" w:line="360" w:lineRule="auto"/>
              <w:ind w:right="-1"/>
              <w:jc w:val="both"/>
              <w:rPr>
                <w:b w:val="0"/>
                <w:sz w:val="28"/>
                <w:szCs w:val="28"/>
                <w:lang w:val="en"/>
              </w:rPr>
            </w:pPr>
            <w:r>
              <w:rPr>
                <w:b w:val="0"/>
                <w:sz w:val="28"/>
                <w:szCs w:val="28"/>
                <w:lang w:val="en"/>
              </w:rPr>
              <w:t>Концентрація іонів кадмію, мкг/дм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rPr>
            </w:pPr>
            <w:r>
              <w:rPr>
                <w:b w:val="0"/>
                <w:sz w:val="28"/>
                <w:szCs w:val="28"/>
              </w:rPr>
              <w:t>13,1</w:t>
            </w:r>
            <w:r>
              <w:rPr>
                <w:b w:val="0"/>
                <w:sz w:val="28"/>
                <w:szCs w:val="28"/>
                <w:lang w:val="en"/>
              </w:rPr>
              <w:t xml:space="preserve"> - 13,2</w:t>
            </w:r>
          </w:p>
        </w:tc>
      </w:tr>
      <w:tr w:rsidR="00F1629C">
        <w:tc>
          <w:tcPr>
            <w:tcW w:w="5055" w:type="dxa"/>
          </w:tcPr>
          <w:p w:rsidR="00F1629C" w:rsidRDefault="00E671D2">
            <w:pPr>
              <w:pStyle w:val="af8"/>
              <w:shd w:val="clear" w:color="auto" w:fill="auto"/>
              <w:spacing w:before="0" w:line="360" w:lineRule="auto"/>
              <w:ind w:right="-1"/>
              <w:jc w:val="both"/>
              <w:rPr>
                <w:b w:val="0"/>
                <w:sz w:val="28"/>
                <w:szCs w:val="28"/>
                <w:vertAlign w:val="superscript"/>
                <w:lang w:val="en"/>
              </w:rPr>
            </w:pPr>
            <w:r>
              <w:rPr>
                <w:b w:val="0"/>
                <w:sz w:val="28"/>
                <w:szCs w:val="28"/>
                <w:lang w:val="en"/>
              </w:rPr>
              <w:t>Концентрація іонів нікелю, мкг/дм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lang w:val="en"/>
              </w:rPr>
            </w:pPr>
            <w:r>
              <w:rPr>
                <w:b w:val="0"/>
                <w:sz w:val="28"/>
                <w:szCs w:val="28"/>
                <w:lang w:val="en"/>
              </w:rPr>
              <w:t>18,5 - 18,6</w:t>
            </w:r>
          </w:p>
        </w:tc>
      </w:tr>
      <w:tr w:rsidR="00F1629C">
        <w:tc>
          <w:tcPr>
            <w:tcW w:w="5055" w:type="dxa"/>
          </w:tcPr>
          <w:p w:rsidR="00F1629C" w:rsidRDefault="00E671D2">
            <w:pPr>
              <w:pStyle w:val="af8"/>
              <w:shd w:val="clear" w:color="auto" w:fill="auto"/>
              <w:spacing w:before="0" w:line="360" w:lineRule="auto"/>
              <w:ind w:right="-1"/>
              <w:jc w:val="both"/>
              <w:rPr>
                <w:b w:val="0"/>
                <w:sz w:val="28"/>
                <w:szCs w:val="28"/>
                <w:vertAlign w:val="superscript"/>
                <w:lang w:val="en"/>
              </w:rPr>
            </w:pPr>
            <w:r>
              <w:rPr>
                <w:b w:val="0"/>
                <w:sz w:val="28"/>
                <w:szCs w:val="28"/>
                <w:lang w:val="en"/>
              </w:rPr>
              <w:t>Концентрація іонів міді, мкг/дм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lang w:val="en"/>
              </w:rPr>
            </w:pPr>
            <w:r>
              <w:rPr>
                <w:b w:val="0"/>
                <w:sz w:val="28"/>
                <w:szCs w:val="28"/>
              </w:rPr>
              <w:t>6,0</w:t>
            </w:r>
            <w:r>
              <w:rPr>
                <w:b w:val="0"/>
                <w:sz w:val="28"/>
                <w:szCs w:val="28"/>
                <w:lang w:val="en"/>
              </w:rPr>
              <w:t xml:space="preserve"> - 6,1</w:t>
            </w:r>
          </w:p>
        </w:tc>
      </w:tr>
      <w:tr w:rsidR="00F1629C">
        <w:tc>
          <w:tcPr>
            <w:tcW w:w="5055" w:type="dxa"/>
          </w:tcPr>
          <w:p w:rsidR="00F1629C" w:rsidRDefault="00E671D2">
            <w:pPr>
              <w:pStyle w:val="af8"/>
              <w:shd w:val="clear" w:color="auto" w:fill="auto"/>
              <w:spacing w:before="0" w:line="360" w:lineRule="auto"/>
              <w:ind w:right="-1"/>
              <w:jc w:val="both"/>
              <w:rPr>
                <w:b w:val="0"/>
                <w:sz w:val="28"/>
                <w:szCs w:val="28"/>
                <w:vertAlign w:val="superscript"/>
                <w:lang w:val="en"/>
              </w:rPr>
            </w:pPr>
            <w:r>
              <w:rPr>
                <w:b w:val="0"/>
                <w:sz w:val="28"/>
                <w:szCs w:val="28"/>
                <w:lang w:val="en"/>
              </w:rPr>
              <w:t>Концентрація іонів цинку, мкг/дм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rPr>
            </w:pPr>
            <w:r>
              <w:rPr>
                <w:b w:val="0"/>
                <w:sz w:val="28"/>
                <w:szCs w:val="28"/>
              </w:rPr>
              <w:t>67</w:t>
            </w:r>
            <w:r>
              <w:rPr>
                <w:b w:val="0"/>
                <w:sz w:val="28"/>
                <w:szCs w:val="28"/>
                <w:lang w:val="en"/>
              </w:rPr>
              <w:t xml:space="preserve"> - 67,5</w:t>
            </w:r>
          </w:p>
        </w:tc>
      </w:tr>
      <w:tr w:rsidR="00F1629C">
        <w:tc>
          <w:tcPr>
            <w:tcW w:w="5055" w:type="dxa"/>
          </w:tcPr>
          <w:p w:rsidR="00F1629C" w:rsidRDefault="00E671D2">
            <w:pPr>
              <w:pStyle w:val="af8"/>
              <w:shd w:val="clear" w:color="auto" w:fill="auto"/>
              <w:spacing w:before="0" w:line="360" w:lineRule="auto"/>
              <w:ind w:right="-1"/>
              <w:jc w:val="both"/>
              <w:rPr>
                <w:b w:val="0"/>
                <w:sz w:val="28"/>
                <w:szCs w:val="28"/>
              </w:rPr>
            </w:pPr>
            <w:r>
              <w:rPr>
                <w:b w:val="0"/>
                <w:sz w:val="28"/>
                <w:szCs w:val="28"/>
                <w:lang w:val="en"/>
              </w:rPr>
              <w:t>Концентрація іонів свинцю, мкг/дм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lang w:val="en"/>
              </w:rPr>
            </w:pPr>
            <w:r>
              <w:rPr>
                <w:b w:val="0"/>
                <w:sz w:val="28"/>
                <w:szCs w:val="28"/>
                <w:lang w:val="en"/>
              </w:rPr>
              <w:t xml:space="preserve">0,61 - </w:t>
            </w:r>
            <w:r>
              <w:rPr>
                <w:b w:val="0"/>
                <w:sz w:val="28"/>
                <w:szCs w:val="28"/>
                <w:lang w:val="en"/>
              </w:rPr>
              <w:t>0,62</w:t>
            </w:r>
          </w:p>
        </w:tc>
      </w:tr>
      <w:tr w:rsidR="00F1629C">
        <w:tc>
          <w:tcPr>
            <w:tcW w:w="5055" w:type="dxa"/>
          </w:tcPr>
          <w:p w:rsidR="00F1629C" w:rsidRDefault="00E671D2">
            <w:pPr>
              <w:pStyle w:val="af8"/>
              <w:shd w:val="clear" w:color="auto" w:fill="auto"/>
              <w:spacing w:before="0" w:line="360" w:lineRule="auto"/>
              <w:ind w:right="-1"/>
              <w:jc w:val="both"/>
              <w:rPr>
                <w:b w:val="0"/>
                <w:sz w:val="28"/>
                <w:szCs w:val="28"/>
                <w:vertAlign w:val="superscript"/>
                <w:lang w:val="en"/>
              </w:rPr>
            </w:pPr>
            <w:r>
              <w:rPr>
                <w:b w:val="0"/>
                <w:sz w:val="28"/>
                <w:szCs w:val="28"/>
                <w:lang w:val="en"/>
              </w:rPr>
              <w:t>Жорсткість, мг-екв/дм</w:t>
            </w:r>
            <w:r>
              <w:rPr>
                <w:b w:val="0"/>
                <w:sz w:val="28"/>
                <w:szCs w:val="28"/>
                <w:vertAlign w:val="superscript"/>
                <w:lang w:val="en"/>
              </w:rPr>
              <w:t>3</w:t>
            </w:r>
            <w:r>
              <w:rPr>
                <w:b w:val="0"/>
                <w:sz w:val="28"/>
                <w:szCs w:val="28"/>
                <w:lang w:val="en"/>
              </w:rPr>
              <w:t xml:space="preserve"> </w:t>
            </w:r>
          </w:p>
        </w:tc>
        <w:tc>
          <w:tcPr>
            <w:tcW w:w="4516" w:type="dxa"/>
          </w:tcPr>
          <w:p w:rsidR="00F1629C" w:rsidRDefault="00E671D2">
            <w:pPr>
              <w:pStyle w:val="af8"/>
              <w:shd w:val="clear" w:color="auto" w:fill="auto"/>
              <w:spacing w:before="0" w:line="360" w:lineRule="auto"/>
              <w:ind w:right="-1"/>
              <w:rPr>
                <w:b w:val="0"/>
                <w:sz w:val="28"/>
                <w:szCs w:val="28"/>
                <w:lang w:val="en"/>
              </w:rPr>
            </w:pPr>
            <w:r>
              <w:rPr>
                <w:b w:val="0"/>
                <w:sz w:val="28"/>
                <w:szCs w:val="28"/>
                <w:lang w:val="en"/>
              </w:rPr>
              <w:t>4,3 − 5,2</w:t>
            </w:r>
          </w:p>
        </w:tc>
      </w:tr>
      <w:tr w:rsidR="00F1629C">
        <w:tc>
          <w:tcPr>
            <w:tcW w:w="5055" w:type="dxa"/>
          </w:tcPr>
          <w:p w:rsidR="00F1629C" w:rsidRDefault="00E671D2">
            <w:pPr>
              <w:pStyle w:val="af8"/>
              <w:shd w:val="clear" w:color="auto" w:fill="auto"/>
              <w:spacing w:before="0" w:line="360" w:lineRule="auto"/>
              <w:ind w:right="-1"/>
              <w:jc w:val="both"/>
              <w:rPr>
                <w:b w:val="0"/>
                <w:sz w:val="28"/>
                <w:szCs w:val="28"/>
              </w:rPr>
            </w:pPr>
            <w:r>
              <w:rPr>
                <w:b w:val="0"/>
                <w:sz w:val="28"/>
                <w:szCs w:val="28"/>
                <w:lang w:val="en"/>
              </w:rPr>
              <w:t>Концентрація іонів магнію, мг-екв/дм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lang w:val="en"/>
              </w:rPr>
            </w:pPr>
            <w:r>
              <w:rPr>
                <w:b w:val="0"/>
                <w:sz w:val="28"/>
                <w:szCs w:val="28"/>
              </w:rPr>
              <w:t>0,80 − 1,2</w:t>
            </w:r>
          </w:p>
        </w:tc>
      </w:tr>
      <w:tr w:rsidR="00F1629C">
        <w:tc>
          <w:tcPr>
            <w:tcW w:w="5055" w:type="dxa"/>
          </w:tcPr>
          <w:p w:rsidR="00F1629C" w:rsidRDefault="00E671D2">
            <w:pPr>
              <w:pStyle w:val="af8"/>
              <w:shd w:val="clear" w:color="auto" w:fill="auto"/>
              <w:spacing w:before="0" w:line="360" w:lineRule="auto"/>
              <w:ind w:right="-1"/>
              <w:jc w:val="both"/>
              <w:rPr>
                <w:b w:val="0"/>
                <w:sz w:val="28"/>
                <w:szCs w:val="28"/>
              </w:rPr>
            </w:pPr>
            <w:r>
              <w:rPr>
                <w:b w:val="0"/>
                <w:sz w:val="28"/>
                <w:szCs w:val="28"/>
                <w:lang w:val="en"/>
              </w:rPr>
              <w:t>Концентрація іонів кальцію, мг-екв/дм</w:t>
            </w:r>
            <w:r>
              <w:rPr>
                <w:b w:val="0"/>
                <w:sz w:val="28"/>
                <w:szCs w:val="28"/>
                <w:vertAlign w:val="superscript"/>
                <w:lang w:val="en"/>
              </w:rPr>
              <w:t>3</w:t>
            </w:r>
          </w:p>
        </w:tc>
        <w:tc>
          <w:tcPr>
            <w:tcW w:w="4516" w:type="dxa"/>
          </w:tcPr>
          <w:p w:rsidR="00F1629C" w:rsidRDefault="00E671D2">
            <w:pPr>
              <w:pStyle w:val="af8"/>
              <w:shd w:val="clear" w:color="auto" w:fill="auto"/>
              <w:spacing w:before="0" w:line="360" w:lineRule="auto"/>
              <w:ind w:right="-1"/>
              <w:rPr>
                <w:b w:val="0"/>
                <w:sz w:val="28"/>
                <w:szCs w:val="28"/>
              </w:rPr>
            </w:pPr>
            <w:r>
              <w:rPr>
                <w:b w:val="0"/>
                <w:sz w:val="28"/>
                <w:szCs w:val="28"/>
              </w:rPr>
              <w:t>3,60 − 4,0</w:t>
            </w:r>
          </w:p>
        </w:tc>
      </w:tr>
      <w:tr w:rsidR="00F1629C">
        <w:tc>
          <w:tcPr>
            <w:tcW w:w="5055" w:type="dxa"/>
          </w:tcPr>
          <w:p w:rsidR="00F1629C" w:rsidRDefault="00E671D2">
            <w:pPr>
              <w:pStyle w:val="af8"/>
              <w:shd w:val="clear" w:color="auto" w:fill="auto"/>
              <w:spacing w:before="0" w:line="360" w:lineRule="auto"/>
              <w:ind w:right="-1"/>
              <w:jc w:val="both"/>
              <w:rPr>
                <w:b w:val="0"/>
                <w:sz w:val="28"/>
                <w:szCs w:val="28"/>
                <w:lang w:val="en"/>
              </w:rPr>
            </w:pPr>
            <w:r>
              <w:rPr>
                <w:b w:val="0"/>
                <w:sz w:val="28"/>
                <w:szCs w:val="28"/>
                <w:lang w:val="en"/>
              </w:rPr>
              <w:t>рН, од.</w:t>
            </w:r>
          </w:p>
        </w:tc>
        <w:tc>
          <w:tcPr>
            <w:tcW w:w="4516" w:type="dxa"/>
          </w:tcPr>
          <w:p w:rsidR="00F1629C" w:rsidRDefault="00E671D2">
            <w:pPr>
              <w:pStyle w:val="af8"/>
              <w:shd w:val="clear" w:color="auto" w:fill="auto"/>
              <w:spacing w:before="0" w:line="360" w:lineRule="auto"/>
              <w:ind w:right="-1"/>
              <w:rPr>
                <w:b w:val="0"/>
                <w:sz w:val="28"/>
                <w:szCs w:val="28"/>
              </w:rPr>
            </w:pPr>
            <w:r>
              <w:rPr>
                <w:b w:val="0"/>
                <w:sz w:val="28"/>
                <w:szCs w:val="28"/>
              </w:rPr>
              <w:t>7,10 – 7,80</w:t>
            </w:r>
          </w:p>
        </w:tc>
      </w:tr>
    </w:tbl>
    <w:p w:rsidR="00F1629C" w:rsidRDefault="00F1629C">
      <w:pPr>
        <w:pStyle w:val="af8"/>
        <w:shd w:val="clear" w:color="auto" w:fill="auto"/>
        <w:spacing w:before="0" w:line="360" w:lineRule="auto"/>
        <w:ind w:right="-1" w:firstLine="567"/>
        <w:jc w:val="both"/>
        <w:rPr>
          <w:b w:val="0"/>
          <w:sz w:val="28"/>
          <w:szCs w:val="28"/>
        </w:rPr>
      </w:pPr>
    </w:p>
    <w:p w:rsidR="00F1629C" w:rsidRDefault="00E671D2">
      <w:pPr>
        <w:pStyle w:val="af8"/>
        <w:shd w:val="clear" w:color="auto" w:fill="auto"/>
        <w:spacing w:before="0" w:line="360" w:lineRule="auto"/>
        <w:ind w:left="567" w:right="-1"/>
        <w:contextualSpacing/>
        <w:jc w:val="both"/>
        <w:rPr>
          <w:sz w:val="28"/>
          <w:szCs w:val="28"/>
        </w:rPr>
      </w:pPr>
      <w:r>
        <w:rPr>
          <w:sz w:val="28"/>
          <w:szCs w:val="28"/>
          <w:lang w:val="en"/>
        </w:rPr>
        <w:t xml:space="preserve">2.1.2 </w:t>
      </w:r>
      <w:r>
        <w:rPr>
          <w:sz w:val="28"/>
          <w:szCs w:val="28"/>
          <w:lang w:val="ru"/>
        </w:rPr>
        <w:t>Використані</w:t>
      </w:r>
      <w:r>
        <w:rPr>
          <w:sz w:val="28"/>
          <w:szCs w:val="28"/>
          <w:lang w:val="ru"/>
        </w:rPr>
        <w:t xml:space="preserve"> іонообмінні та нанфоільтраційні матеріали</w:t>
      </w:r>
    </w:p>
    <w:p w:rsidR="00F1629C" w:rsidRDefault="00E671D2">
      <w:pPr>
        <w:pStyle w:val="af4"/>
        <w:numPr>
          <w:ilvl w:val="0"/>
          <w:numId w:val="4"/>
        </w:numPr>
        <w:shd w:val="clear" w:color="auto" w:fill="FFFFFF"/>
        <w:spacing w:line="360" w:lineRule="auto"/>
        <w:ind w:left="0" w:right="-1" w:firstLine="567"/>
        <w:jc w:val="both"/>
        <w:outlineLvl w:val="0"/>
        <w:rPr>
          <w:sz w:val="28"/>
          <w:szCs w:val="28"/>
          <w:shd w:val="clear" w:color="auto" w:fill="FFFFFF"/>
        </w:rPr>
      </w:pPr>
      <w:r>
        <w:rPr>
          <w:bCs/>
          <w:kern w:val="36"/>
          <w:sz w:val="28"/>
          <w:szCs w:val="28"/>
        </w:rPr>
        <w:t>Кат</w:t>
      </w:r>
      <w:r>
        <w:rPr>
          <w:bCs/>
          <w:kern w:val="36"/>
          <w:sz w:val="28"/>
          <w:szCs w:val="28"/>
        </w:rPr>
        <w:t>іоніт</w:t>
      </w:r>
      <w:r>
        <w:rPr>
          <w:bCs/>
          <w:kern w:val="36"/>
          <w:sz w:val="28"/>
          <w:szCs w:val="28"/>
          <w:lang w:val="en"/>
        </w:rPr>
        <w:t xml:space="preserve"> </w:t>
      </w:r>
      <w:r>
        <w:rPr>
          <w:bCs/>
          <w:kern w:val="36"/>
          <w:sz w:val="28"/>
          <w:szCs w:val="28"/>
        </w:rPr>
        <w:t>КУ-2-8</w:t>
      </w:r>
      <w:r>
        <w:rPr>
          <w:bCs/>
          <w:kern w:val="36"/>
          <w:sz w:val="28"/>
          <w:szCs w:val="28"/>
          <w:lang w:val="en"/>
        </w:rPr>
        <w:t xml:space="preserve"> </w:t>
      </w:r>
      <w:r>
        <w:rPr>
          <w:sz w:val="28"/>
          <w:szCs w:val="28"/>
          <w:shd w:val="clear" w:color="auto" w:fill="FFFFFF"/>
        </w:rPr>
        <w:t>– монофункці</w:t>
      </w:r>
      <w:r>
        <w:rPr>
          <w:sz w:val="28"/>
          <w:szCs w:val="28"/>
          <w:shd w:val="clear" w:color="auto" w:fill="FFFFFF"/>
        </w:rPr>
        <w:t>он</w:t>
      </w:r>
      <w:r>
        <w:rPr>
          <w:sz w:val="28"/>
          <w:szCs w:val="28"/>
          <w:shd w:val="clear" w:color="auto" w:fill="FFFFFF"/>
        </w:rPr>
        <w:t xml:space="preserve">альна сильнокислотна </w:t>
      </w:r>
      <w:r>
        <w:rPr>
          <w:sz w:val="28"/>
          <w:szCs w:val="28"/>
          <w:shd w:val="clear" w:color="auto" w:fill="FFFFFF"/>
        </w:rPr>
        <w:t>іон</w:t>
      </w:r>
      <w:r>
        <w:rPr>
          <w:sz w:val="28"/>
          <w:szCs w:val="28"/>
          <w:shd w:val="clear" w:color="auto" w:fill="FFFFFF"/>
        </w:rPr>
        <w:t>ообмінна смола з гелевою структурою.</w:t>
      </w:r>
      <w:r>
        <w:rPr>
          <w:sz w:val="28"/>
          <w:szCs w:val="28"/>
          <w:shd w:val="clear" w:color="auto" w:fill="FFFFFF"/>
          <w:lang w:val="en"/>
        </w:rPr>
        <w:t xml:space="preserve"> </w:t>
      </w:r>
      <w:r>
        <w:rPr>
          <w:sz w:val="28"/>
          <w:szCs w:val="28"/>
        </w:rPr>
        <w:t xml:space="preserve">Являє собою гранули від </w:t>
      </w:r>
      <w:r>
        <w:rPr>
          <w:sz w:val="28"/>
          <w:szCs w:val="28"/>
          <w:shd w:val="clear" w:color="auto" w:fill="FFFFFF"/>
        </w:rPr>
        <w:t>світло-жовтого до темно-коричневого кольору.</w:t>
      </w:r>
      <w:r>
        <w:rPr>
          <w:sz w:val="28"/>
          <w:szCs w:val="28"/>
        </w:rPr>
        <w:t xml:space="preserve"> Виготовлений на основі сополімеру стиролу і дивінілбензолу. </w:t>
      </w:r>
      <w:r>
        <w:rPr>
          <w:sz w:val="28"/>
          <w:szCs w:val="28"/>
          <w:shd w:val="clear" w:color="auto" w:fill="FFFFFF"/>
        </w:rPr>
        <w:t>Містить один вид фіксованих йонів – сульфогруп</w:t>
      </w:r>
      <w:r>
        <w:rPr>
          <w:sz w:val="28"/>
          <w:szCs w:val="28"/>
          <w:shd w:val="clear" w:color="auto" w:fill="FFFFFF"/>
        </w:rPr>
        <w:t>у</w:t>
      </w:r>
      <w:r>
        <w:rPr>
          <w:sz w:val="28"/>
          <w:szCs w:val="28"/>
          <w:shd w:val="clear" w:color="auto" w:fill="FFFFFF"/>
        </w:rPr>
        <w:t>. Основною характер</w:t>
      </w:r>
      <w:r>
        <w:rPr>
          <w:sz w:val="28"/>
          <w:szCs w:val="28"/>
          <w:shd w:val="clear" w:color="auto" w:fill="FFFFFF"/>
        </w:rPr>
        <w:t>истикою катіонітів є присутність у складі кислотних груп, водень яких може обмінюватися на йони металів, що є у розчині</w:t>
      </w:r>
      <w:r>
        <w:rPr>
          <w:sz w:val="28"/>
          <w:szCs w:val="28"/>
          <w:shd w:val="clear" w:color="auto" w:fill="FFFFFF"/>
        </w:rPr>
        <w:t>. Відрізняється механічною міцністю, осмотичною стабільністю та високою хімічною стійкістю до дії лугів, кислот, окислювачів, високих тем</w:t>
      </w:r>
      <w:r>
        <w:rPr>
          <w:sz w:val="28"/>
          <w:szCs w:val="28"/>
          <w:shd w:val="clear" w:color="auto" w:fill="FFFFFF"/>
        </w:rPr>
        <w:t>ператур (110–120°С). Обмінна ємність катіоніту мало залежить від рН середовища.</w:t>
      </w:r>
    </w:p>
    <w:p w:rsidR="00F1629C" w:rsidRDefault="00E671D2">
      <w:pPr>
        <w:pStyle w:val="af4"/>
        <w:numPr>
          <w:ilvl w:val="0"/>
          <w:numId w:val="4"/>
        </w:numPr>
        <w:adjustRightInd w:val="0"/>
        <w:spacing w:line="360" w:lineRule="auto"/>
        <w:ind w:left="0" w:right="-1" w:firstLine="567"/>
        <w:jc w:val="both"/>
        <w:rPr>
          <w:sz w:val="28"/>
          <w:szCs w:val="28"/>
        </w:rPr>
      </w:pPr>
      <w:r>
        <w:rPr>
          <w:rStyle w:val="hps"/>
          <w:sz w:val="28"/>
          <w:szCs w:val="28"/>
        </w:rPr>
        <w:lastRenderedPageBreak/>
        <w:t xml:space="preserve">Катіоніт </w:t>
      </w:r>
      <w:r>
        <w:rPr>
          <w:rStyle w:val="hps"/>
          <w:sz w:val="28"/>
          <w:szCs w:val="28"/>
        </w:rPr>
        <w:t>DOWEX МАС-3</w:t>
      </w:r>
      <w:r>
        <w:rPr>
          <w:sz w:val="28"/>
          <w:szCs w:val="28"/>
        </w:rPr>
        <w:t xml:space="preserve"> –</w:t>
      </w:r>
      <w:r>
        <w:rPr>
          <w:sz w:val="28"/>
          <w:szCs w:val="28"/>
          <w:lang w:val="en"/>
        </w:rPr>
        <w:t xml:space="preserve"> </w:t>
      </w:r>
      <w:r>
        <w:rPr>
          <w:rStyle w:val="hps"/>
          <w:sz w:val="28"/>
          <w:szCs w:val="28"/>
        </w:rPr>
        <w:t>слабоосновний</w:t>
      </w:r>
      <w:r>
        <w:rPr>
          <w:rStyle w:val="hps"/>
          <w:sz w:val="28"/>
          <w:szCs w:val="28"/>
          <w:lang w:val="en"/>
        </w:rPr>
        <w:t xml:space="preserve"> </w:t>
      </w:r>
      <w:r>
        <w:rPr>
          <w:rStyle w:val="hps"/>
          <w:sz w:val="28"/>
          <w:szCs w:val="28"/>
        </w:rPr>
        <w:t xml:space="preserve">катіоніт для промислового використання. </w:t>
      </w:r>
      <w:r>
        <w:rPr>
          <w:sz w:val="28"/>
          <w:szCs w:val="28"/>
        </w:rPr>
        <w:t xml:space="preserve">Матриця – поліакрілат, макропористий. Має карбоксильні функціональні групи </w:t>
      </w:r>
      <w:r>
        <w:rPr>
          <w:sz w:val="28"/>
          <w:szCs w:val="28"/>
          <w:shd w:val="clear" w:color="auto" w:fill="FFFFFF"/>
        </w:rPr>
        <w:t xml:space="preserve">(табл. </w:t>
      </w:r>
      <w:r>
        <w:rPr>
          <w:sz w:val="28"/>
          <w:szCs w:val="28"/>
          <w:shd w:val="clear" w:color="auto" w:fill="FFFFFF"/>
          <w:lang w:val="en"/>
        </w:rPr>
        <w:t>2</w:t>
      </w:r>
      <w:r>
        <w:rPr>
          <w:sz w:val="28"/>
          <w:szCs w:val="28"/>
          <w:shd w:val="clear" w:color="auto" w:fill="FFFFFF"/>
        </w:rPr>
        <w:t>.</w:t>
      </w:r>
      <w:r>
        <w:rPr>
          <w:sz w:val="28"/>
          <w:szCs w:val="28"/>
          <w:shd w:val="clear" w:color="auto" w:fill="FFFFFF"/>
          <w:lang w:val="ru"/>
        </w:rPr>
        <w:t>2</w:t>
      </w:r>
      <w:r>
        <w:rPr>
          <w:sz w:val="28"/>
          <w:szCs w:val="28"/>
          <w:shd w:val="clear" w:color="auto" w:fill="FFFFFF"/>
        </w:rPr>
        <w:t>).</w:t>
      </w:r>
    </w:p>
    <w:p w:rsidR="00F1629C" w:rsidRDefault="00F1629C">
      <w:pPr>
        <w:pStyle w:val="af8"/>
        <w:shd w:val="clear" w:color="auto" w:fill="auto"/>
        <w:spacing w:before="0" w:line="360" w:lineRule="auto"/>
        <w:ind w:right="-1" w:firstLine="567"/>
        <w:jc w:val="left"/>
        <w:rPr>
          <w:b w:val="0"/>
          <w:sz w:val="28"/>
          <w:szCs w:val="28"/>
        </w:rPr>
      </w:pPr>
    </w:p>
    <w:p w:rsidR="00F1629C" w:rsidRDefault="00E671D2">
      <w:pPr>
        <w:pStyle w:val="af8"/>
        <w:shd w:val="clear" w:color="auto" w:fill="auto"/>
        <w:spacing w:before="0" w:line="360" w:lineRule="auto"/>
        <w:ind w:right="-1" w:firstLine="567"/>
        <w:jc w:val="left"/>
        <w:rPr>
          <w:b w:val="0"/>
          <w:sz w:val="28"/>
          <w:szCs w:val="28"/>
        </w:rPr>
      </w:pPr>
      <w:r>
        <w:rPr>
          <w:b w:val="0"/>
          <w:sz w:val="28"/>
          <w:szCs w:val="28"/>
        </w:rPr>
        <w:t xml:space="preserve">Таблиця </w:t>
      </w:r>
      <w:r>
        <w:rPr>
          <w:b w:val="0"/>
          <w:sz w:val="28"/>
          <w:szCs w:val="28"/>
          <w:lang w:val="en"/>
        </w:rPr>
        <w:t>2</w:t>
      </w:r>
      <w:r>
        <w:rPr>
          <w:b w:val="0"/>
          <w:sz w:val="28"/>
          <w:szCs w:val="28"/>
        </w:rPr>
        <w:t>.</w:t>
      </w:r>
      <w:r>
        <w:rPr>
          <w:b w:val="0"/>
          <w:sz w:val="28"/>
          <w:szCs w:val="28"/>
          <w:lang w:val="en"/>
        </w:rPr>
        <w:t>2</w:t>
      </w:r>
      <w:r>
        <w:rPr>
          <w:b w:val="0"/>
          <w:sz w:val="28"/>
          <w:szCs w:val="28"/>
        </w:rPr>
        <w:t xml:space="preserve"> – </w:t>
      </w:r>
      <w:r>
        <w:rPr>
          <w:b w:val="0"/>
          <w:sz w:val="28"/>
          <w:szCs w:val="28"/>
          <w:lang w:eastAsia="ru-RU"/>
        </w:rPr>
        <w:t>Фізико–хімічні показники катіонітів</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95"/>
        <w:gridCol w:w="2126"/>
        <w:gridCol w:w="2126"/>
      </w:tblGrid>
      <w:tr w:rsidR="00F1629C">
        <w:trPr>
          <w:trHeight w:val="331"/>
        </w:trPr>
        <w:tc>
          <w:tcPr>
            <w:tcW w:w="5495" w:type="dxa"/>
          </w:tcPr>
          <w:p w:rsidR="00F1629C" w:rsidRDefault="00E671D2">
            <w:pPr>
              <w:snapToGrid w:val="0"/>
              <w:spacing w:after="0" w:line="360" w:lineRule="auto"/>
              <w:ind w:right="-1"/>
              <w:jc w:val="center"/>
              <w:rPr>
                <w:rFonts w:ascii="Times New Roman" w:hAnsi="Times New Roman"/>
                <w:sz w:val="24"/>
                <w:szCs w:val="24"/>
              </w:rPr>
            </w:pPr>
            <w:r>
              <w:rPr>
                <w:rFonts w:ascii="Times New Roman" w:hAnsi="Times New Roman"/>
                <w:sz w:val="24"/>
                <w:szCs w:val="24"/>
              </w:rPr>
              <w:t>Характе</w:t>
            </w:r>
            <w:r>
              <w:rPr>
                <w:rFonts w:ascii="Times New Roman" w:hAnsi="Times New Roman"/>
                <w:sz w:val="24"/>
                <w:szCs w:val="24"/>
              </w:rPr>
              <w:t>р</w:t>
            </w:r>
            <w:r>
              <w:rPr>
                <w:rFonts w:ascii="Times New Roman" w:hAnsi="Times New Roman"/>
                <w:sz w:val="24"/>
                <w:szCs w:val="24"/>
              </w:rPr>
              <w:t>истика</w:t>
            </w:r>
            <w:r>
              <w:rPr>
                <w:rFonts w:ascii="Times New Roman" w:hAnsi="Times New Roman"/>
                <w:sz w:val="24"/>
                <w:szCs w:val="24"/>
              </w:rPr>
              <w:t xml:space="preserve"> к</w:t>
            </w:r>
            <w:r>
              <w:rPr>
                <w:rFonts w:ascii="Times New Roman" w:hAnsi="Times New Roman"/>
                <w:sz w:val="24"/>
                <w:szCs w:val="24"/>
              </w:rPr>
              <w:t>атіоніт</w:t>
            </w:r>
            <w:r>
              <w:rPr>
                <w:rFonts w:ascii="Times New Roman" w:hAnsi="Times New Roman"/>
                <w:sz w:val="24"/>
                <w:szCs w:val="24"/>
              </w:rPr>
              <w:t>у</w:t>
            </w:r>
          </w:p>
        </w:tc>
        <w:tc>
          <w:tcPr>
            <w:tcW w:w="2126" w:type="dxa"/>
          </w:tcPr>
          <w:p w:rsidR="00F1629C" w:rsidRDefault="00E671D2">
            <w:pPr>
              <w:spacing w:after="0" w:line="360" w:lineRule="auto"/>
              <w:ind w:right="-1"/>
              <w:jc w:val="center"/>
              <w:rPr>
                <w:rFonts w:ascii="Times New Roman" w:hAnsi="Times New Roman"/>
                <w:sz w:val="24"/>
                <w:szCs w:val="24"/>
              </w:rPr>
            </w:pPr>
            <w:r>
              <w:rPr>
                <w:rFonts w:ascii="Times New Roman" w:hAnsi="Times New Roman"/>
                <w:sz w:val="24"/>
                <w:szCs w:val="24"/>
              </w:rPr>
              <w:t>КУ-2-8</w:t>
            </w:r>
          </w:p>
        </w:tc>
        <w:tc>
          <w:tcPr>
            <w:tcW w:w="2126" w:type="dxa"/>
          </w:tcPr>
          <w:p w:rsidR="00F1629C" w:rsidRDefault="00E671D2">
            <w:pPr>
              <w:spacing w:after="0" w:line="360" w:lineRule="auto"/>
              <w:ind w:right="-1"/>
              <w:jc w:val="center"/>
              <w:rPr>
                <w:rFonts w:ascii="Times New Roman" w:hAnsi="Times New Roman"/>
                <w:sz w:val="24"/>
                <w:szCs w:val="24"/>
              </w:rPr>
            </w:pPr>
            <w:r>
              <w:rPr>
                <w:rFonts w:ascii="Times New Roman" w:hAnsi="Times New Roman"/>
                <w:sz w:val="24"/>
                <w:szCs w:val="24"/>
              </w:rPr>
              <w:t>DOWEX MAC-3</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Розмір зерен, мм</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 xml:space="preserve">0,315 </w:t>
            </w:r>
            <w:r>
              <w:rPr>
                <w:b w:val="0"/>
                <w:sz w:val="24"/>
                <w:szCs w:val="24"/>
              </w:rPr>
              <w:t>–</w:t>
            </w:r>
            <w:r>
              <w:rPr>
                <w:b w:val="0"/>
                <w:sz w:val="24"/>
                <w:szCs w:val="24"/>
              </w:rPr>
              <w:t xml:space="preserve"> 1,250</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0,3 – 1,2</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Об'ємна частка робочої фракції,%,</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менше 96</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менше 97,5</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Ефективний розмір зерен, мм</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менше 0,4</w:t>
            </w:r>
            <w:r>
              <w:rPr>
                <w:b w:val="0"/>
                <w:sz w:val="24"/>
                <w:szCs w:val="24"/>
              </w:rPr>
              <w:t>–</w:t>
            </w:r>
            <w:r>
              <w:rPr>
                <w:b w:val="0"/>
                <w:sz w:val="24"/>
                <w:szCs w:val="24"/>
              </w:rPr>
              <w:t>0,55</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менше 0,38</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Коефіцієнт однорідності</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більше 1,7</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більше 1,5</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Масова частка вологи,%</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 xml:space="preserve">48 </w:t>
            </w:r>
            <w:r>
              <w:rPr>
                <w:b w:val="0"/>
                <w:sz w:val="24"/>
                <w:szCs w:val="24"/>
              </w:rPr>
              <w:t>–</w:t>
            </w:r>
            <w:r>
              <w:rPr>
                <w:b w:val="0"/>
                <w:sz w:val="24"/>
                <w:szCs w:val="24"/>
              </w:rPr>
              <w:t xml:space="preserve"> 58</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44 – 50</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vertAlign w:val="superscript"/>
              </w:rPr>
            </w:pPr>
            <w:r>
              <w:rPr>
                <w:b w:val="0"/>
                <w:sz w:val="24"/>
                <w:szCs w:val="24"/>
              </w:rPr>
              <w:t xml:space="preserve">Повна статична обмінна ємність, </w:t>
            </w:r>
            <w:r>
              <w:rPr>
                <w:b w:val="0"/>
                <w:sz w:val="24"/>
                <w:szCs w:val="24"/>
              </w:rPr>
              <w:t>г-екв</w:t>
            </w:r>
            <w:r>
              <w:rPr>
                <w:b w:val="0"/>
                <w:sz w:val="24"/>
                <w:szCs w:val="24"/>
              </w:rPr>
              <w:t>/см</w:t>
            </w:r>
            <w:r>
              <w:rPr>
                <w:b w:val="0"/>
                <w:sz w:val="24"/>
                <w:szCs w:val="24"/>
                <w:vertAlign w:val="superscript"/>
              </w:rPr>
              <w:t>3</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1,8</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2,8</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vertAlign w:val="superscript"/>
              </w:rPr>
            </w:pPr>
            <w:r>
              <w:rPr>
                <w:b w:val="0"/>
                <w:sz w:val="24"/>
                <w:szCs w:val="24"/>
              </w:rPr>
              <w:t>Динамічна обмінна ємність, г</w:t>
            </w:r>
            <w:r>
              <w:rPr>
                <w:b w:val="0"/>
                <w:sz w:val="24"/>
                <w:szCs w:val="24"/>
              </w:rPr>
              <w:t>–</w:t>
            </w:r>
            <w:r>
              <w:rPr>
                <w:b w:val="0"/>
                <w:sz w:val="24"/>
                <w:szCs w:val="24"/>
              </w:rPr>
              <w:t>моль/м</w:t>
            </w:r>
            <w:r>
              <w:rPr>
                <w:b w:val="0"/>
                <w:sz w:val="24"/>
                <w:szCs w:val="24"/>
                <w:vertAlign w:val="superscript"/>
              </w:rPr>
              <w:t>3</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526</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743</w:t>
            </w:r>
          </w:p>
        </w:tc>
      </w:tr>
      <w:tr w:rsidR="00F1629C">
        <w:trPr>
          <w:trHeight w:val="90"/>
        </w:trPr>
        <w:tc>
          <w:tcPr>
            <w:tcW w:w="5495"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Осмотична стабільність,%,</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менше 94,5</w:t>
            </w:r>
          </w:p>
        </w:tc>
        <w:tc>
          <w:tcPr>
            <w:tcW w:w="2126" w:type="dxa"/>
            <w:vAlign w:val="center"/>
          </w:tcPr>
          <w:p w:rsidR="00F1629C" w:rsidRDefault="00E671D2">
            <w:pPr>
              <w:pStyle w:val="af8"/>
              <w:shd w:val="clear" w:color="auto" w:fill="auto"/>
              <w:spacing w:before="0" w:line="360" w:lineRule="auto"/>
              <w:ind w:right="-1"/>
              <w:jc w:val="both"/>
              <w:rPr>
                <w:b w:val="0"/>
                <w:sz w:val="24"/>
                <w:szCs w:val="24"/>
              </w:rPr>
            </w:pPr>
            <w:r>
              <w:rPr>
                <w:b w:val="0"/>
                <w:sz w:val="24"/>
                <w:szCs w:val="24"/>
              </w:rPr>
              <w:t>не менше 92</w:t>
            </w:r>
          </w:p>
        </w:tc>
      </w:tr>
    </w:tbl>
    <w:p w:rsidR="00F1629C" w:rsidRDefault="00F1629C">
      <w:pPr>
        <w:pStyle w:val="af8"/>
        <w:shd w:val="clear" w:color="auto" w:fill="auto"/>
        <w:spacing w:before="0" w:line="360" w:lineRule="auto"/>
        <w:ind w:right="-1"/>
        <w:jc w:val="both"/>
        <w:rPr>
          <w:b w:val="0"/>
          <w:sz w:val="28"/>
          <w:szCs w:val="28"/>
        </w:rPr>
      </w:pPr>
    </w:p>
    <w:p w:rsidR="00F1629C" w:rsidRDefault="00E671D2">
      <w:pPr>
        <w:pStyle w:val="af8"/>
        <w:numPr>
          <w:ilvl w:val="0"/>
          <w:numId w:val="4"/>
        </w:numPr>
        <w:shd w:val="clear" w:color="auto" w:fill="auto"/>
        <w:spacing w:before="0" w:line="360" w:lineRule="auto"/>
        <w:ind w:left="0" w:right="-1" w:firstLine="567"/>
        <w:contextualSpacing/>
        <w:jc w:val="both"/>
        <w:rPr>
          <w:b w:val="0"/>
          <w:sz w:val="28"/>
          <w:szCs w:val="28"/>
        </w:rPr>
      </w:pPr>
      <w:r>
        <w:rPr>
          <w:b w:val="0"/>
          <w:sz w:val="28"/>
          <w:szCs w:val="28"/>
        </w:rPr>
        <w:t xml:space="preserve">Нанофільтраційна мембрана ОПМН–П </w:t>
      </w:r>
      <w:r>
        <w:rPr>
          <w:sz w:val="28"/>
          <w:szCs w:val="28"/>
        </w:rPr>
        <w:t>–</w:t>
      </w:r>
      <w:r>
        <w:rPr>
          <w:b w:val="0"/>
          <w:sz w:val="28"/>
          <w:szCs w:val="28"/>
        </w:rPr>
        <w:t xml:space="preserve">пориста полімерна плівка на поліамідній основі. Відрізняється нетоксичністю, безпечністю у використанні, є важкоспалюваною та експлуатується у широкому діапазона рН (2–12) </w:t>
      </w:r>
    </w:p>
    <w:p w:rsidR="00F1629C" w:rsidRDefault="00F1629C">
      <w:pPr>
        <w:pStyle w:val="af8"/>
        <w:shd w:val="clear" w:color="auto" w:fill="auto"/>
        <w:spacing w:before="0" w:line="240" w:lineRule="auto"/>
        <w:ind w:right="-1" w:firstLine="567"/>
        <w:contextualSpacing/>
        <w:jc w:val="both"/>
        <w:rPr>
          <w:b w:val="0"/>
          <w:sz w:val="28"/>
          <w:szCs w:val="28"/>
        </w:rPr>
      </w:pPr>
    </w:p>
    <w:p w:rsidR="00F1629C" w:rsidRDefault="00E671D2">
      <w:pPr>
        <w:spacing w:after="0" w:line="360" w:lineRule="auto"/>
        <w:ind w:right="-1" w:firstLine="567"/>
        <w:contextualSpacing/>
        <w:rPr>
          <w:rFonts w:ascii="Times New Roman" w:hAnsi="Times New Roman"/>
          <w:sz w:val="28"/>
          <w:szCs w:val="28"/>
        </w:rPr>
      </w:pPr>
      <w:r>
        <w:rPr>
          <w:rStyle w:val="hps"/>
          <w:rFonts w:ascii="Times New Roman" w:hAnsi="Times New Roman"/>
          <w:sz w:val="28"/>
          <w:szCs w:val="28"/>
        </w:rPr>
        <w:t xml:space="preserve">Таблиця </w:t>
      </w:r>
      <w:r>
        <w:rPr>
          <w:rStyle w:val="hps"/>
          <w:rFonts w:ascii="Times New Roman" w:hAnsi="Times New Roman"/>
          <w:sz w:val="28"/>
          <w:szCs w:val="28"/>
          <w:lang w:val="ru"/>
        </w:rPr>
        <w:t>2.3</w:t>
      </w:r>
      <w:r>
        <w:rPr>
          <w:rStyle w:val="hps"/>
          <w:rFonts w:ascii="Times New Roman" w:hAnsi="Times New Roman"/>
          <w:sz w:val="28"/>
          <w:szCs w:val="28"/>
        </w:rPr>
        <w:t xml:space="preserve"> </w:t>
      </w:r>
      <w:r>
        <w:rPr>
          <w:rStyle w:val="hps"/>
          <w:rFonts w:ascii="Times New Roman" w:hAnsi="Times New Roman"/>
          <w:sz w:val="28"/>
          <w:szCs w:val="28"/>
        </w:rPr>
        <w:t>–</w:t>
      </w:r>
      <w:r>
        <w:rPr>
          <w:rStyle w:val="hps"/>
          <w:rFonts w:ascii="Times New Roman" w:hAnsi="Times New Roman"/>
          <w:sz w:val="28"/>
          <w:szCs w:val="28"/>
        </w:rPr>
        <w:t xml:space="preserve"> Основні характе</w:t>
      </w:r>
      <w:r>
        <w:rPr>
          <w:rStyle w:val="hps"/>
          <w:rFonts w:ascii="Times New Roman" w:hAnsi="Times New Roman"/>
          <w:sz w:val="28"/>
          <w:szCs w:val="28"/>
        </w:rPr>
        <w:t>рис</w:t>
      </w:r>
      <w:r>
        <w:rPr>
          <w:rStyle w:val="hps"/>
          <w:rFonts w:ascii="Times New Roman" w:hAnsi="Times New Roman"/>
          <w:sz w:val="28"/>
          <w:szCs w:val="28"/>
        </w:rPr>
        <w:t xml:space="preserve">тики </w:t>
      </w:r>
      <w:r>
        <w:rPr>
          <w:rStyle w:val="hps"/>
          <w:rFonts w:ascii="Times New Roman" w:hAnsi="Times New Roman"/>
          <w:sz w:val="28"/>
          <w:szCs w:val="28"/>
        </w:rPr>
        <w:t xml:space="preserve">мембрани </w:t>
      </w:r>
      <w:r>
        <w:rPr>
          <w:rStyle w:val="hps"/>
          <w:rFonts w:ascii="Times New Roman" w:hAnsi="Times New Roman"/>
          <w:sz w:val="28"/>
          <w:szCs w:val="28"/>
        </w:rPr>
        <w:t>ОПМН–П</w:t>
      </w:r>
    </w:p>
    <w:tbl>
      <w:tblPr>
        <w:tblW w:w="9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04"/>
        <w:gridCol w:w="3356"/>
      </w:tblGrid>
      <w:tr w:rsidR="00F1629C">
        <w:trPr>
          <w:trHeight w:val="90"/>
        </w:trPr>
        <w:tc>
          <w:tcPr>
            <w:tcW w:w="6204" w:type="dxa"/>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Характе</w:t>
            </w:r>
            <w:r>
              <w:rPr>
                <w:rFonts w:ascii="Times New Roman" w:hAnsi="Times New Roman"/>
                <w:sz w:val="24"/>
                <w:szCs w:val="24"/>
              </w:rPr>
              <w:t>рис</w:t>
            </w:r>
            <w:r>
              <w:rPr>
                <w:rFonts w:ascii="Times New Roman" w:hAnsi="Times New Roman"/>
                <w:sz w:val="24"/>
                <w:szCs w:val="24"/>
              </w:rPr>
              <w:t xml:space="preserve">тика </w:t>
            </w:r>
            <w:r>
              <w:rPr>
                <w:rFonts w:ascii="Times New Roman" w:hAnsi="Times New Roman"/>
                <w:sz w:val="24"/>
                <w:szCs w:val="24"/>
              </w:rPr>
              <w:t>мембрани</w:t>
            </w:r>
          </w:p>
        </w:tc>
        <w:tc>
          <w:tcPr>
            <w:tcW w:w="3356" w:type="dxa"/>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Значення</w:t>
            </w:r>
          </w:p>
        </w:tc>
      </w:tr>
      <w:tr w:rsidR="00F1629C">
        <w:trPr>
          <w:trHeight w:val="90"/>
        </w:trPr>
        <w:tc>
          <w:tcPr>
            <w:tcW w:w="6204" w:type="dxa"/>
            <w:vAlign w:val="center"/>
          </w:tcPr>
          <w:p w:rsidR="00F1629C" w:rsidRDefault="00E671D2">
            <w:pPr>
              <w:spacing w:after="0" w:line="360" w:lineRule="auto"/>
              <w:ind w:right="-1"/>
              <w:contextualSpacing/>
              <w:rPr>
                <w:rFonts w:ascii="Times New Roman" w:hAnsi="Times New Roman"/>
                <w:sz w:val="24"/>
                <w:szCs w:val="24"/>
              </w:rPr>
            </w:pPr>
            <w:r>
              <w:rPr>
                <w:rFonts w:ascii="Times New Roman" w:hAnsi="Times New Roman"/>
                <w:sz w:val="24"/>
                <w:szCs w:val="24"/>
              </w:rPr>
              <w:t>Робочий тиск, МПа</w:t>
            </w:r>
          </w:p>
        </w:tc>
        <w:tc>
          <w:tcPr>
            <w:tcW w:w="3356" w:type="dxa"/>
            <w:vAlign w:val="center"/>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1,6</w:t>
            </w:r>
          </w:p>
        </w:tc>
      </w:tr>
      <w:tr w:rsidR="00F1629C">
        <w:trPr>
          <w:trHeight w:val="90"/>
        </w:trPr>
        <w:tc>
          <w:tcPr>
            <w:tcW w:w="6204" w:type="dxa"/>
            <w:vAlign w:val="center"/>
          </w:tcPr>
          <w:p w:rsidR="00F1629C" w:rsidRDefault="00E671D2">
            <w:pPr>
              <w:spacing w:after="0" w:line="360" w:lineRule="auto"/>
              <w:ind w:right="-1"/>
              <w:contextualSpacing/>
              <w:rPr>
                <w:rFonts w:ascii="Times New Roman" w:hAnsi="Times New Roman"/>
                <w:sz w:val="24"/>
                <w:szCs w:val="24"/>
              </w:rPr>
            </w:pPr>
            <w:r>
              <w:rPr>
                <w:rFonts w:ascii="Times New Roman" w:hAnsi="Times New Roman"/>
                <w:sz w:val="24"/>
                <w:szCs w:val="24"/>
              </w:rPr>
              <w:t>Мінімальна продуктивність по фільтрату, дм</w:t>
            </w:r>
            <w:r>
              <w:rPr>
                <w:rFonts w:ascii="Times New Roman" w:hAnsi="Times New Roman"/>
                <w:sz w:val="24"/>
                <w:szCs w:val="24"/>
                <w:vertAlign w:val="superscript"/>
              </w:rPr>
              <w:t>3</w:t>
            </w:r>
            <w:r>
              <w:rPr>
                <w:rFonts w:ascii="Times New Roman" w:hAnsi="Times New Roman"/>
                <w:sz w:val="24"/>
                <w:szCs w:val="24"/>
              </w:rPr>
              <w:t>/(м</w:t>
            </w:r>
            <w:r>
              <w:rPr>
                <w:rFonts w:ascii="Times New Roman" w:hAnsi="Times New Roman"/>
                <w:sz w:val="24"/>
                <w:szCs w:val="24"/>
                <w:vertAlign w:val="superscript"/>
              </w:rPr>
              <w:t xml:space="preserve">2 * </w:t>
            </w:r>
            <w:r>
              <w:rPr>
                <w:rFonts w:ascii="Times New Roman" w:hAnsi="Times New Roman"/>
                <w:sz w:val="24"/>
                <w:szCs w:val="24"/>
              </w:rPr>
              <w:t>год)</w:t>
            </w:r>
          </w:p>
        </w:tc>
        <w:tc>
          <w:tcPr>
            <w:tcW w:w="3356" w:type="dxa"/>
            <w:vAlign w:val="center"/>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100</w:t>
            </w:r>
          </w:p>
        </w:tc>
      </w:tr>
      <w:tr w:rsidR="00F1629C">
        <w:trPr>
          <w:trHeight w:val="90"/>
        </w:trPr>
        <w:tc>
          <w:tcPr>
            <w:tcW w:w="6204" w:type="dxa"/>
            <w:vAlign w:val="center"/>
          </w:tcPr>
          <w:p w:rsidR="00F1629C" w:rsidRDefault="00E671D2">
            <w:pPr>
              <w:spacing w:after="0" w:line="360" w:lineRule="auto"/>
              <w:ind w:right="-1"/>
              <w:contextualSpacing/>
              <w:rPr>
                <w:rFonts w:ascii="Times New Roman" w:hAnsi="Times New Roman"/>
                <w:sz w:val="24"/>
                <w:szCs w:val="24"/>
              </w:rPr>
            </w:pPr>
            <w:r>
              <w:rPr>
                <w:rFonts w:ascii="Times New Roman" w:hAnsi="Times New Roman"/>
                <w:sz w:val="24"/>
                <w:szCs w:val="24"/>
              </w:rPr>
              <w:t>Селективність по 0,2 MgSO</w:t>
            </w:r>
            <w:r>
              <w:rPr>
                <w:rFonts w:ascii="Times New Roman" w:hAnsi="Times New Roman"/>
                <w:sz w:val="24"/>
                <w:szCs w:val="24"/>
                <w:vertAlign w:val="subscript"/>
              </w:rPr>
              <w:t>4</w:t>
            </w:r>
            <w:r>
              <w:rPr>
                <w:rFonts w:ascii="Times New Roman" w:hAnsi="Times New Roman"/>
                <w:sz w:val="24"/>
                <w:szCs w:val="24"/>
              </w:rPr>
              <w:t>, % не менше</w:t>
            </w:r>
          </w:p>
        </w:tc>
        <w:tc>
          <w:tcPr>
            <w:tcW w:w="3356" w:type="dxa"/>
            <w:vAlign w:val="center"/>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98,5</w:t>
            </w:r>
          </w:p>
        </w:tc>
      </w:tr>
      <w:tr w:rsidR="00F1629C">
        <w:trPr>
          <w:trHeight w:val="90"/>
        </w:trPr>
        <w:tc>
          <w:tcPr>
            <w:tcW w:w="6204" w:type="dxa"/>
            <w:vAlign w:val="center"/>
          </w:tcPr>
          <w:p w:rsidR="00F1629C" w:rsidRDefault="00E671D2">
            <w:pPr>
              <w:spacing w:after="0" w:line="360" w:lineRule="auto"/>
              <w:ind w:right="-1"/>
              <w:contextualSpacing/>
              <w:rPr>
                <w:rFonts w:ascii="Times New Roman" w:hAnsi="Times New Roman"/>
                <w:sz w:val="24"/>
                <w:szCs w:val="24"/>
              </w:rPr>
            </w:pPr>
            <w:r>
              <w:rPr>
                <w:rFonts w:ascii="Times New Roman" w:hAnsi="Times New Roman"/>
                <w:sz w:val="24"/>
                <w:szCs w:val="24"/>
              </w:rPr>
              <w:t>Селективність по 0,15% NaCl, % не менше</w:t>
            </w:r>
          </w:p>
        </w:tc>
        <w:tc>
          <w:tcPr>
            <w:tcW w:w="3356" w:type="dxa"/>
            <w:vAlign w:val="center"/>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55</w:t>
            </w:r>
          </w:p>
        </w:tc>
      </w:tr>
      <w:tr w:rsidR="00F1629C">
        <w:trPr>
          <w:trHeight w:val="90"/>
        </w:trPr>
        <w:tc>
          <w:tcPr>
            <w:tcW w:w="6204" w:type="dxa"/>
            <w:vAlign w:val="center"/>
          </w:tcPr>
          <w:p w:rsidR="00F1629C" w:rsidRDefault="00E671D2">
            <w:pPr>
              <w:spacing w:after="0" w:line="360" w:lineRule="auto"/>
              <w:ind w:right="-1"/>
              <w:contextualSpacing/>
              <w:rPr>
                <w:rFonts w:ascii="Times New Roman" w:hAnsi="Times New Roman"/>
                <w:sz w:val="24"/>
                <w:szCs w:val="24"/>
              </w:rPr>
            </w:pPr>
            <w:r>
              <w:rPr>
                <w:rFonts w:ascii="Times New Roman" w:hAnsi="Times New Roman"/>
                <w:sz w:val="24"/>
                <w:szCs w:val="24"/>
              </w:rPr>
              <w:t>Стійкість з Cl, млн</w:t>
            </w:r>
            <w:r>
              <w:rPr>
                <w:rFonts w:ascii="Times New Roman" w:hAnsi="Times New Roman"/>
                <w:sz w:val="24"/>
                <w:szCs w:val="24"/>
                <w:vertAlign w:val="superscript"/>
              </w:rPr>
              <w:t>–1</w:t>
            </w:r>
            <w:r>
              <w:rPr>
                <w:rFonts w:ascii="Times New Roman" w:hAnsi="Times New Roman"/>
                <w:sz w:val="24"/>
                <w:szCs w:val="24"/>
              </w:rPr>
              <w:t>, не менше</w:t>
            </w:r>
          </w:p>
        </w:tc>
        <w:tc>
          <w:tcPr>
            <w:tcW w:w="3356" w:type="dxa"/>
            <w:vAlign w:val="center"/>
          </w:tcPr>
          <w:p w:rsidR="00F1629C" w:rsidRDefault="00E671D2">
            <w:pPr>
              <w:spacing w:after="0" w:line="360" w:lineRule="auto"/>
              <w:ind w:right="-1"/>
              <w:contextualSpacing/>
              <w:jc w:val="center"/>
              <w:rPr>
                <w:rFonts w:ascii="Times New Roman" w:hAnsi="Times New Roman"/>
                <w:sz w:val="24"/>
                <w:szCs w:val="24"/>
              </w:rPr>
            </w:pPr>
            <w:r>
              <w:rPr>
                <w:rFonts w:ascii="Times New Roman" w:hAnsi="Times New Roman"/>
                <w:sz w:val="24"/>
                <w:szCs w:val="24"/>
              </w:rPr>
              <w:t>1</w:t>
            </w:r>
          </w:p>
        </w:tc>
      </w:tr>
    </w:tbl>
    <w:p w:rsidR="00F1629C" w:rsidRDefault="00F1629C">
      <w:pPr>
        <w:pStyle w:val="af8"/>
        <w:shd w:val="clear" w:color="auto" w:fill="auto"/>
        <w:spacing w:before="0" w:line="360" w:lineRule="auto"/>
        <w:ind w:right="-1"/>
        <w:jc w:val="both"/>
        <w:rPr>
          <w:b w:val="0"/>
          <w:sz w:val="28"/>
          <w:szCs w:val="28"/>
        </w:rPr>
      </w:pPr>
    </w:p>
    <w:p w:rsidR="00F1629C" w:rsidRDefault="00E671D2">
      <w:pPr>
        <w:pStyle w:val="af4"/>
        <w:spacing w:line="360" w:lineRule="auto"/>
        <w:ind w:left="567" w:right="-1" w:firstLine="0"/>
        <w:jc w:val="both"/>
        <w:rPr>
          <w:b/>
          <w:sz w:val="28"/>
          <w:szCs w:val="28"/>
        </w:rPr>
      </w:pPr>
      <w:r>
        <w:rPr>
          <w:b/>
          <w:sz w:val="28"/>
          <w:szCs w:val="28"/>
          <w:lang w:val="en"/>
        </w:rPr>
        <w:t xml:space="preserve">2.1.3 </w:t>
      </w:r>
      <w:r>
        <w:rPr>
          <w:b/>
          <w:sz w:val="28"/>
          <w:szCs w:val="28"/>
        </w:rPr>
        <w:t xml:space="preserve">Прилади: </w:t>
      </w:r>
    </w:p>
    <w:p w:rsidR="00F1629C" w:rsidRDefault="00E671D2">
      <w:pPr>
        <w:pStyle w:val="af4"/>
        <w:spacing w:line="360" w:lineRule="auto"/>
        <w:ind w:left="0" w:right="-1" w:firstLine="567"/>
        <w:jc w:val="both"/>
        <w:rPr>
          <w:sz w:val="28"/>
          <w:szCs w:val="28"/>
          <w:lang w:val="en"/>
        </w:rPr>
      </w:pPr>
      <w:r>
        <w:rPr>
          <w:sz w:val="28"/>
          <w:szCs w:val="28"/>
        </w:rPr>
        <w:t>Вимірювання концентрації іонів міді, кадмію, цинку, свинцю та нікелю проводили за допомогою Аналізатора М-ХА 1000-5 при використанні</w:t>
      </w:r>
      <w:r>
        <w:rPr>
          <w:sz w:val="28"/>
          <w:szCs w:val="28"/>
          <w:lang w:val="en"/>
        </w:rPr>
        <w:t xml:space="preserve"> </w:t>
      </w:r>
      <w:r>
        <w:rPr>
          <w:sz w:val="28"/>
          <w:szCs w:val="28"/>
        </w:rPr>
        <w:t>твердотілого електроду, покритого амальгамою ртуті</w:t>
      </w:r>
      <w:r>
        <w:rPr>
          <w:sz w:val="28"/>
          <w:szCs w:val="28"/>
        </w:rPr>
        <w:t>.</w:t>
      </w:r>
      <w:r>
        <w:rPr>
          <w:sz w:val="28"/>
          <w:szCs w:val="28"/>
          <w:lang w:val="en"/>
        </w:rPr>
        <w:t xml:space="preserve"> </w:t>
      </w:r>
    </w:p>
    <w:p w:rsidR="00F1629C" w:rsidRDefault="00E671D2">
      <w:pPr>
        <w:pStyle w:val="af4"/>
        <w:spacing w:line="360" w:lineRule="auto"/>
        <w:ind w:left="0" w:right="-1" w:firstLine="567"/>
        <w:jc w:val="both"/>
        <w:rPr>
          <w:sz w:val="28"/>
          <w:szCs w:val="28"/>
          <w:lang w:val="ru"/>
        </w:rPr>
      </w:pPr>
      <w:r>
        <w:rPr>
          <w:sz w:val="28"/>
          <w:szCs w:val="28"/>
          <w:lang w:val="en"/>
        </w:rPr>
        <w:t>Для вимірювання водневого показнику води користувалися іоном</w:t>
      </w:r>
      <w:r>
        <w:rPr>
          <w:sz w:val="28"/>
          <w:szCs w:val="28"/>
          <w:lang w:val="en"/>
        </w:rPr>
        <w:t xml:space="preserve">іром </w:t>
      </w:r>
      <w:r>
        <w:rPr>
          <w:sz w:val="28"/>
          <w:szCs w:val="28"/>
          <w:lang w:val="en"/>
        </w:rPr>
        <w:lastRenderedPageBreak/>
        <w:t>лабораторним И-160МИ.</w:t>
      </w:r>
      <w:r>
        <w:rPr>
          <w:sz w:val="28"/>
          <w:szCs w:val="28"/>
          <w:lang w:val="ru"/>
        </w:rPr>
        <w:t xml:space="preserve"> </w:t>
      </w:r>
    </w:p>
    <w:p w:rsidR="00F1629C" w:rsidRDefault="00E671D2">
      <w:pPr>
        <w:pStyle w:val="af4"/>
        <w:spacing w:line="360" w:lineRule="auto"/>
        <w:ind w:left="0" w:right="-1" w:firstLine="567"/>
        <w:jc w:val="both"/>
        <w:rPr>
          <w:sz w:val="28"/>
          <w:szCs w:val="28"/>
          <w:lang w:val="ru"/>
        </w:rPr>
      </w:pPr>
      <w:r>
        <w:rPr>
          <w:sz w:val="28"/>
          <w:szCs w:val="28"/>
          <w:lang w:val="ru"/>
        </w:rPr>
        <w:t>Для визначення концентрації міді також було використано лабораторний фотоелектроколориметр КФК-2.</w:t>
      </w:r>
    </w:p>
    <w:p w:rsidR="00F1629C" w:rsidRDefault="00F1629C">
      <w:pPr>
        <w:pStyle w:val="1"/>
        <w:tabs>
          <w:tab w:val="left" w:pos="1751"/>
        </w:tabs>
        <w:snapToGrid w:val="0"/>
        <w:spacing w:line="360" w:lineRule="auto"/>
        <w:ind w:left="0" w:firstLine="709"/>
      </w:pPr>
    </w:p>
    <w:p w:rsidR="00F1629C" w:rsidRDefault="00E671D2">
      <w:pPr>
        <w:spacing w:after="0" w:line="360" w:lineRule="auto"/>
        <w:ind w:right="-1" w:firstLine="567"/>
        <w:rPr>
          <w:rStyle w:val="af0"/>
          <w:rFonts w:ascii="Times New Roman" w:hAnsi="Times New Roman"/>
          <w:b w:val="0"/>
          <w:i w:val="0"/>
          <w:iCs w:val="0"/>
          <w:color w:val="000000"/>
          <w:sz w:val="28"/>
          <w:szCs w:val="28"/>
          <w:lang w:eastAsia="uk-UA"/>
        </w:rPr>
      </w:pPr>
      <w:r>
        <w:rPr>
          <w:rFonts w:ascii="Times New Roman" w:hAnsi="Times New Roman"/>
          <w:b/>
          <w:color w:val="000000"/>
          <w:sz w:val="28"/>
          <w:szCs w:val="28"/>
          <w:lang w:eastAsia="uk-UA"/>
        </w:rPr>
        <w:t>2.</w:t>
      </w:r>
      <w:r>
        <w:rPr>
          <w:rFonts w:ascii="Times New Roman" w:hAnsi="Times New Roman"/>
          <w:b/>
          <w:color w:val="000000"/>
          <w:sz w:val="28"/>
          <w:szCs w:val="28"/>
          <w:lang w:val="en" w:eastAsia="uk-UA"/>
        </w:rPr>
        <w:t>2</w:t>
      </w:r>
      <w:r>
        <w:rPr>
          <w:rFonts w:ascii="Times New Roman" w:hAnsi="Times New Roman"/>
          <w:b/>
          <w:color w:val="000000"/>
          <w:sz w:val="28"/>
          <w:szCs w:val="28"/>
          <w:lang w:eastAsia="uk-UA"/>
        </w:rPr>
        <w:t xml:space="preserve"> </w:t>
      </w:r>
      <w:r>
        <w:rPr>
          <w:rFonts w:ascii="Times New Roman" w:hAnsi="Times New Roman"/>
          <w:b/>
          <w:sz w:val="28"/>
          <w:szCs w:val="28"/>
        </w:rPr>
        <w:t>Вилучення йонів важких металів з розведених розчинів методом іонного обміну</w:t>
      </w:r>
    </w:p>
    <w:p w:rsidR="00F1629C" w:rsidRDefault="00E671D2">
      <w:pPr>
        <w:spacing w:after="0" w:line="360" w:lineRule="auto"/>
        <w:ind w:right="-1" w:firstLine="567"/>
        <w:jc w:val="both"/>
        <w:rPr>
          <w:rFonts w:ascii="Times New Roman" w:hAnsi="Times New Roman"/>
          <w:bCs/>
          <w:sz w:val="28"/>
          <w:szCs w:val="28"/>
        </w:rPr>
      </w:pPr>
      <w:r>
        <w:rPr>
          <w:rFonts w:ascii="Times New Roman" w:hAnsi="Times New Roman"/>
          <w:bCs/>
          <w:sz w:val="28"/>
          <w:szCs w:val="28"/>
        </w:rPr>
        <w:t>При іонообмінному вилученні важких металів в дина</w:t>
      </w:r>
      <w:r>
        <w:rPr>
          <w:rFonts w:ascii="Times New Roman" w:hAnsi="Times New Roman"/>
          <w:bCs/>
          <w:sz w:val="28"/>
          <w:szCs w:val="28"/>
        </w:rPr>
        <w:t>мічних умовах</w:t>
      </w:r>
      <w:r>
        <w:rPr>
          <w:rFonts w:ascii="Times New Roman" w:hAnsi="Times New Roman"/>
          <w:bCs/>
          <w:sz w:val="28"/>
          <w:szCs w:val="28"/>
          <w:lang w:val="en"/>
        </w:rPr>
        <w:t xml:space="preserve"> </w:t>
      </w:r>
      <w:r>
        <w:rPr>
          <w:rFonts w:ascii="Times New Roman" w:hAnsi="Times New Roman"/>
          <w:bCs/>
          <w:sz w:val="28"/>
          <w:szCs w:val="28"/>
        </w:rPr>
        <w:t xml:space="preserve">використовували катіоніти КУ-2-8 та </w:t>
      </w:r>
      <w:r>
        <w:rPr>
          <w:rFonts w:ascii="Times New Roman" w:hAnsi="Times New Roman"/>
          <w:bCs/>
          <w:sz w:val="28"/>
          <w:szCs w:val="28"/>
        </w:rPr>
        <w:t>DOWEXMAC</w:t>
      </w:r>
      <w:r>
        <w:rPr>
          <w:rFonts w:ascii="Times New Roman" w:hAnsi="Times New Roman"/>
          <w:bCs/>
          <w:sz w:val="28"/>
          <w:szCs w:val="28"/>
        </w:rPr>
        <w:t xml:space="preserve">-3 у </w:t>
      </w:r>
      <w:r>
        <w:rPr>
          <w:rFonts w:ascii="Times New Roman" w:hAnsi="Times New Roman"/>
          <w:bCs/>
          <w:sz w:val="28"/>
          <w:szCs w:val="28"/>
        </w:rPr>
        <w:t>H</w:t>
      </w:r>
      <w:r>
        <w:rPr>
          <w:rFonts w:ascii="Times New Roman" w:hAnsi="Times New Roman"/>
          <w:bCs/>
          <w:sz w:val="28"/>
          <w:szCs w:val="28"/>
          <w:vertAlign w:val="superscript"/>
        </w:rPr>
        <w:t>+</w:t>
      </w:r>
      <w:r>
        <w:rPr>
          <w:rFonts w:ascii="Times New Roman" w:hAnsi="Times New Roman"/>
          <w:bCs/>
          <w:sz w:val="28"/>
          <w:szCs w:val="28"/>
        </w:rPr>
        <w:t xml:space="preserve">– та </w:t>
      </w:r>
      <w:r>
        <w:rPr>
          <w:rFonts w:ascii="Times New Roman" w:hAnsi="Times New Roman"/>
          <w:bCs/>
          <w:sz w:val="28"/>
          <w:szCs w:val="28"/>
        </w:rPr>
        <w:t>Na</w:t>
      </w:r>
      <w:r>
        <w:rPr>
          <w:rFonts w:ascii="Times New Roman" w:hAnsi="Times New Roman"/>
          <w:bCs/>
          <w:sz w:val="28"/>
          <w:szCs w:val="28"/>
          <w:vertAlign w:val="superscript"/>
        </w:rPr>
        <w:t>+</w:t>
      </w:r>
      <w:r>
        <w:rPr>
          <w:rFonts w:ascii="Times New Roman" w:hAnsi="Times New Roman"/>
          <w:bCs/>
          <w:sz w:val="28"/>
          <w:szCs w:val="28"/>
        </w:rPr>
        <w:t>–формах.Розчини солей важких металів пропускалися через шар іонообмінної смоли об’ємом 10–20 см</w:t>
      </w:r>
      <w:r>
        <w:rPr>
          <w:rFonts w:ascii="Times New Roman" w:hAnsi="Times New Roman"/>
          <w:bCs/>
          <w:sz w:val="28"/>
          <w:szCs w:val="28"/>
          <w:vertAlign w:val="superscript"/>
        </w:rPr>
        <w:t>3</w:t>
      </w:r>
      <w:r>
        <w:rPr>
          <w:rFonts w:ascii="Times New Roman" w:hAnsi="Times New Roman"/>
          <w:bCs/>
          <w:sz w:val="28"/>
          <w:szCs w:val="28"/>
        </w:rPr>
        <w:t xml:space="preserve"> при витраті розчину 0,6–0,9 дм</w:t>
      </w:r>
      <w:r>
        <w:rPr>
          <w:rFonts w:ascii="Times New Roman" w:hAnsi="Times New Roman"/>
          <w:bCs/>
          <w:sz w:val="28"/>
          <w:szCs w:val="28"/>
          <w:vertAlign w:val="superscript"/>
        </w:rPr>
        <w:t>3</w:t>
      </w:r>
      <w:r>
        <w:rPr>
          <w:rFonts w:ascii="Times New Roman" w:hAnsi="Times New Roman"/>
          <w:bCs/>
          <w:sz w:val="28"/>
          <w:szCs w:val="28"/>
        </w:rPr>
        <w:t xml:space="preserve">/год. </w:t>
      </w:r>
      <w:r>
        <w:rPr>
          <w:rFonts w:ascii="Times New Roman" w:hAnsi="Times New Roman"/>
          <w:bCs/>
          <w:sz w:val="28"/>
          <w:szCs w:val="28"/>
        </w:rPr>
        <w:t xml:space="preserve">Діаметр колонки </w:t>
      </w:r>
      <w:r>
        <w:rPr>
          <w:rFonts w:ascii="Times New Roman" w:hAnsi="Times New Roman"/>
          <w:bCs/>
          <w:sz w:val="28"/>
          <w:szCs w:val="28"/>
        </w:rPr>
        <w:t>становив</w:t>
      </w:r>
      <w:r>
        <w:rPr>
          <w:rFonts w:ascii="Times New Roman" w:hAnsi="Times New Roman"/>
          <w:bCs/>
          <w:sz w:val="28"/>
          <w:szCs w:val="28"/>
        </w:rPr>
        <w:t xml:space="preserve"> 2 см, а об’єм розчинів для фільтрування складав 0,5–1 дм</w:t>
      </w:r>
      <w:r>
        <w:rPr>
          <w:rFonts w:ascii="Times New Roman" w:hAnsi="Times New Roman"/>
          <w:bCs/>
          <w:sz w:val="28"/>
          <w:szCs w:val="28"/>
          <w:vertAlign w:val="superscript"/>
        </w:rPr>
        <w:t>3</w:t>
      </w:r>
      <w:r>
        <w:rPr>
          <w:rFonts w:ascii="Times New Roman" w:hAnsi="Times New Roman"/>
          <w:bCs/>
          <w:sz w:val="28"/>
          <w:szCs w:val="28"/>
        </w:rPr>
        <w:t>.</w:t>
      </w:r>
    </w:p>
    <w:p w:rsidR="00F1629C" w:rsidRDefault="00E671D2">
      <w:pPr>
        <w:spacing w:after="0" w:line="360" w:lineRule="auto"/>
        <w:ind w:right="-1" w:firstLine="567"/>
        <w:jc w:val="both"/>
        <w:rPr>
          <w:rFonts w:ascii="Times New Roman" w:hAnsi="Times New Roman"/>
          <w:bCs/>
          <w:sz w:val="28"/>
          <w:szCs w:val="28"/>
        </w:rPr>
      </w:pPr>
      <w:r>
        <w:rPr>
          <w:rFonts w:ascii="Times New Roman" w:hAnsi="Times New Roman"/>
          <w:bCs/>
          <w:sz w:val="28"/>
          <w:szCs w:val="28"/>
        </w:rPr>
        <w:t>Концентрація важких металів в модельних розчинах складала 10</w:t>
      </w:r>
      <w:r>
        <w:rPr>
          <w:rFonts w:ascii="Times New Roman" w:hAnsi="Times New Roman"/>
          <w:bCs/>
          <w:sz w:val="28"/>
          <w:szCs w:val="28"/>
          <w:vertAlign w:val="superscript"/>
        </w:rPr>
        <w:t>3</w:t>
      </w:r>
      <w:r>
        <w:rPr>
          <w:rFonts w:ascii="Times New Roman" w:hAnsi="Times New Roman"/>
          <w:bCs/>
          <w:sz w:val="28"/>
          <w:szCs w:val="28"/>
        </w:rPr>
        <w:t>–10</w:t>
      </w:r>
      <w:r>
        <w:rPr>
          <w:rFonts w:ascii="Times New Roman" w:hAnsi="Times New Roman"/>
          <w:bCs/>
          <w:sz w:val="28"/>
          <w:szCs w:val="28"/>
          <w:vertAlign w:val="superscript"/>
        </w:rPr>
        <w:t>6</w:t>
      </w:r>
      <w:r>
        <w:rPr>
          <w:rFonts w:ascii="Times New Roman" w:hAnsi="Times New Roman"/>
          <w:bCs/>
          <w:sz w:val="28"/>
          <w:szCs w:val="28"/>
        </w:rPr>
        <w:t xml:space="preserve"> мкг/дм</w:t>
      </w:r>
      <w:r>
        <w:rPr>
          <w:rFonts w:ascii="Times New Roman" w:hAnsi="Times New Roman"/>
          <w:bCs/>
          <w:sz w:val="28"/>
          <w:szCs w:val="28"/>
          <w:vertAlign w:val="superscript"/>
        </w:rPr>
        <w:t>3</w:t>
      </w:r>
      <w:r>
        <w:rPr>
          <w:rFonts w:ascii="Times New Roman" w:hAnsi="Times New Roman"/>
          <w:bCs/>
          <w:sz w:val="28"/>
          <w:szCs w:val="28"/>
        </w:rPr>
        <w:t xml:space="preserve"> по йонах міді, 0,1–100 мкг/дм</w:t>
      </w:r>
      <w:r>
        <w:rPr>
          <w:rFonts w:ascii="Times New Roman" w:hAnsi="Times New Roman"/>
          <w:bCs/>
          <w:sz w:val="28"/>
          <w:szCs w:val="28"/>
          <w:vertAlign w:val="superscript"/>
        </w:rPr>
        <w:t>3</w:t>
      </w:r>
      <w:r>
        <w:rPr>
          <w:rFonts w:ascii="Times New Roman" w:hAnsi="Times New Roman"/>
          <w:bCs/>
          <w:sz w:val="28"/>
          <w:szCs w:val="28"/>
        </w:rPr>
        <w:t xml:space="preserve"> по йонах свинцю, 1000–30000 та 0,01–100 мкг/дм</w:t>
      </w:r>
      <w:r>
        <w:rPr>
          <w:rFonts w:ascii="Times New Roman" w:hAnsi="Times New Roman"/>
          <w:bCs/>
          <w:sz w:val="28"/>
          <w:szCs w:val="28"/>
          <w:vertAlign w:val="superscript"/>
        </w:rPr>
        <w:t>3</w:t>
      </w:r>
      <w:r>
        <w:rPr>
          <w:rFonts w:ascii="Times New Roman" w:hAnsi="Times New Roman"/>
          <w:bCs/>
          <w:sz w:val="28"/>
          <w:szCs w:val="28"/>
        </w:rPr>
        <w:t xml:space="preserve"> по йонах міді, 900–1240 мкг/дм</w:t>
      </w:r>
      <w:r>
        <w:rPr>
          <w:rFonts w:ascii="Times New Roman" w:hAnsi="Times New Roman"/>
          <w:bCs/>
          <w:sz w:val="28"/>
          <w:szCs w:val="28"/>
          <w:vertAlign w:val="superscript"/>
        </w:rPr>
        <w:t>3</w:t>
      </w:r>
      <w:r>
        <w:rPr>
          <w:rFonts w:ascii="Times New Roman" w:hAnsi="Times New Roman"/>
          <w:bCs/>
          <w:sz w:val="28"/>
          <w:szCs w:val="28"/>
        </w:rPr>
        <w:t xml:space="preserve"> по йонах ци</w:t>
      </w:r>
      <w:r>
        <w:rPr>
          <w:rFonts w:ascii="Times New Roman" w:hAnsi="Times New Roman"/>
          <w:bCs/>
          <w:sz w:val="28"/>
          <w:szCs w:val="28"/>
        </w:rPr>
        <w:t>нку, 880–1340 мкг/дм</w:t>
      </w:r>
      <w:r>
        <w:rPr>
          <w:rFonts w:ascii="Times New Roman" w:hAnsi="Times New Roman"/>
          <w:bCs/>
          <w:sz w:val="28"/>
          <w:szCs w:val="28"/>
          <w:vertAlign w:val="superscript"/>
        </w:rPr>
        <w:t>3</w:t>
      </w:r>
      <w:r>
        <w:rPr>
          <w:rFonts w:ascii="Times New Roman" w:hAnsi="Times New Roman"/>
          <w:bCs/>
          <w:sz w:val="28"/>
          <w:szCs w:val="28"/>
        </w:rPr>
        <w:t xml:space="preserve"> по кадмію та 1225–1600 мкг/дм</w:t>
      </w:r>
      <w:r>
        <w:rPr>
          <w:rFonts w:ascii="Times New Roman" w:hAnsi="Times New Roman"/>
          <w:bCs/>
          <w:sz w:val="28"/>
          <w:szCs w:val="28"/>
          <w:vertAlign w:val="superscript"/>
        </w:rPr>
        <w:t>3</w:t>
      </w:r>
      <w:r>
        <w:rPr>
          <w:rFonts w:ascii="Times New Roman" w:hAnsi="Times New Roman"/>
          <w:bCs/>
          <w:sz w:val="28"/>
          <w:szCs w:val="28"/>
        </w:rPr>
        <w:t xml:space="preserve"> по йонах нікелю.</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Повну обмінну динамічну ємність (ПОДЄ, м</w:t>
      </w:r>
      <w:r>
        <w:rPr>
          <w:rFonts w:ascii="Times New Roman" w:hAnsi="Times New Roman"/>
          <w:color w:val="000000"/>
          <w:sz w:val="28"/>
          <w:szCs w:val="28"/>
        </w:rPr>
        <w:t>г-екв</w:t>
      </w:r>
      <w:r>
        <w:rPr>
          <w:rFonts w:ascii="Times New Roman" w:hAnsi="Times New Roman"/>
          <w:color w:val="000000"/>
          <w:sz w:val="28"/>
          <w:szCs w:val="28"/>
        </w:rPr>
        <w:t>/см</w:t>
      </w:r>
      <w:r>
        <w:rPr>
          <w:rFonts w:ascii="Times New Roman" w:hAnsi="Times New Roman"/>
          <w:color w:val="000000"/>
          <w:sz w:val="28"/>
          <w:szCs w:val="28"/>
          <w:vertAlign w:val="superscript"/>
        </w:rPr>
        <w:t>3</w:t>
      </w:r>
      <w:r>
        <w:rPr>
          <w:rFonts w:ascii="Times New Roman" w:hAnsi="Times New Roman"/>
          <w:color w:val="000000"/>
          <w:sz w:val="28"/>
          <w:szCs w:val="28"/>
        </w:rPr>
        <w:t>) та</w:t>
      </w:r>
      <w:r>
        <w:rPr>
          <w:rFonts w:ascii="Times New Roman" w:hAnsi="Times New Roman"/>
          <w:sz w:val="28"/>
          <w:szCs w:val="28"/>
        </w:rPr>
        <w:t>обмінну динамічну ємність до проскоку (ОДЄ)</w:t>
      </w:r>
      <w:r>
        <w:rPr>
          <w:rFonts w:ascii="Times New Roman" w:hAnsi="Times New Roman"/>
          <w:color w:val="000000"/>
          <w:sz w:val="28"/>
          <w:szCs w:val="28"/>
        </w:rPr>
        <w:t>іоніт</w:t>
      </w:r>
      <w:r>
        <w:rPr>
          <w:rFonts w:ascii="Times New Roman" w:hAnsi="Times New Roman"/>
          <w:color w:val="000000"/>
          <w:sz w:val="28"/>
          <w:szCs w:val="28"/>
        </w:rPr>
        <w:t>у визначали за формулами:</w:t>
      </w:r>
    </w:p>
    <w:p w:rsidR="00F1629C" w:rsidRDefault="00F1629C">
      <w:pPr>
        <w:spacing w:after="0" w:line="240" w:lineRule="auto"/>
        <w:ind w:right="-1" w:firstLine="567"/>
        <w:jc w:val="both"/>
        <w:rPr>
          <w:rFonts w:ascii="Times New Roman" w:hAnsi="Times New Roman"/>
          <w:color w:val="000000"/>
          <w:sz w:val="28"/>
          <w:szCs w:val="28"/>
        </w:rPr>
      </w:pPr>
    </w:p>
    <w:p w:rsidR="00F1629C" w:rsidRDefault="00E671D2">
      <w:pPr>
        <w:spacing w:after="0" w:line="360" w:lineRule="auto"/>
        <w:ind w:right="-1" w:firstLine="709"/>
        <w:jc w:val="both"/>
        <w:rPr>
          <w:rFonts w:ascii="Times New Roman" w:eastAsia="等?" w:hAnsi="Times New Roman"/>
          <w:sz w:val="28"/>
          <w:szCs w:val="28"/>
        </w:rPr>
      </w:pPr>
      <w:r>
        <w:rPr>
          <w:rFonts w:ascii="Times New Roman" w:hAnsi="Times New Roman"/>
          <w:sz w:val="28"/>
          <w:szCs w:val="28"/>
        </w:rPr>
        <w:t>ПОДЄ=</w:t>
      </w:r>
      <w:r>
        <w:rPr>
          <w:rFonts w:ascii="Times New Roman" w:hAnsi="Times New Roman"/>
          <w:color w:val="000000" w:themeColor="text1"/>
          <w:sz w:val="28"/>
          <w:szCs w:val="28"/>
        </w:rPr>
        <w:t>V</w:t>
      </w:r>
      <w:r>
        <w:rPr>
          <w:rFonts w:ascii="Times New Roman" w:hAnsi="Times New Roman"/>
          <w:color w:val="000000" w:themeColor="text1"/>
          <w:sz w:val="28"/>
          <w:szCs w:val="28"/>
          <w:vertAlign w:val="subscript"/>
        </w:rPr>
        <w:t>п</w:t>
      </w:r>
      <w:r>
        <w:rPr>
          <w:rFonts w:ascii="Times New Roman" w:hAnsi="Times New Roman"/>
          <w:color w:val="000000" w:themeColor="text1"/>
          <w:sz w:val="28"/>
          <w:szCs w:val="28"/>
        </w:rPr>
        <w:t>*n*</w:t>
      </w:r>
      <w:r>
        <w:rPr>
          <w:rFonts w:ascii="Times New Roman" w:hAnsi="Times New Roman"/>
          <w:color w:val="000000" w:themeColor="text1"/>
          <w:sz w:val="28"/>
          <w:szCs w:val="28"/>
        </w:rPr>
        <w:t>(C</w:t>
      </w:r>
      <w:r>
        <w:rPr>
          <w:rFonts w:ascii="Times New Roman" w:hAnsi="Times New Roman"/>
          <w:color w:val="000000" w:themeColor="text1"/>
          <w:sz w:val="28"/>
          <w:szCs w:val="28"/>
          <w:vertAlign w:val="subscript"/>
        </w:rPr>
        <w:t>поч</w:t>
      </w:r>
      <w:r>
        <w:rPr>
          <w:rFonts w:ascii="Times New Roman" w:hAnsi="Times New Roman"/>
          <w:color w:val="000000" w:themeColor="text1"/>
          <w:sz w:val="28"/>
          <w:szCs w:val="28"/>
        </w:rPr>
        <w:t xml:space="preserve"> – С</w:t>
      </w:r>
      <w:r>
        <w:rPr>
          <w:rFonts w:ascii="Times New Roman" w:hAnsi="Times New Roman"/>
          <w:color w:val="000000" w:themeColor="text1"/>
          <w:sz w:val="28"/>
          <w:szCs w:val="28"/>
          <w:vertAlign w:val="subscript"/>
        </w:rPr>
        <w:t>і</w:t>
      </w:r>
      <w:r>
        <w:rPr>
          <w:rFonts w:ascii="Times New Roman" w:hAnsi="Times New Roman"/>
          <w:color w:val="000000" w:themeColor="text1"/>
          <w:sz w:val="28"/>
          <w:szCs w:val="28"/>
        </w:rPr>
        <w:t>)/ V</w:t>
      </w:r>
      <w:r>
        <w:rPr>
          <w:rFonts w:ascii="Times New Roman" w:hAnsi="Times New Roman"/>
          <w:color w:val="000000" w:themeColor="text1"/>
          <w:sz w:val="28"/>
          <w:szCs w:val="28"/>
          <w:vertAlign w:val="subscript"/>
        </w:rPr>
        <w:t>i</w:t>
      </w:r>
      <w:r>
        <w:rPr>
          <w:rFonts w:ascii="Times New Roman" w:eastAsia="等?" w:hAnsi="Times New Roman"/>
          <w:sz w:val="28"/>
          <w:szCs w:val="28"/>
        </w:rPr>
        <w:t>,</w:t>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t>(</w:t>
      </w:r>
      <w:r>
        <w:rPr>
          <w:rFonts w:ascii="Times New Roman" w:eastAsia="等?" w:hAnsi="Times New Roman"/>
          <w:sz w:val="28"/>
          <w:szCs w:val="28"/>
          <w:lang w:val="ru"/>
        </w:rPr>
        <w:t>2</w:t>
      </w:r>
      <w:r>
        <w:rPr>
          <w:rFonts w:ascii="Times New Roman" w:eastAsia="等?" w:hAnsi="Times New Roman"/>
          <w:sz w:val="28"/>
          <w:szCs w:val="28"/>
        </w:rPr>
        <w:t>.1)</w:t>
      </w:r>
    </w:p>
    <w:p w:rsidR="00F1629C" w:rsidRDefault="00E671D2">
      <w:pPr>
        <w:spacing w:after="0" w:line="360" w:lineRule="auto"/>
        <w:ind w:right="-1" w:firstLine="709"/>
        <w:jc w:val="both"/>
        <w:rPr>
          <w:rFonts w:ascii="Times New Roman" w:eastAsia="等?" w:hAnsi="Times New Roman"/>
          <w:sz w:val="28"/>
          <w:szCs w:val="28"/>
        </w:rPr>
      </w:pPr>
      <w:r>
        <w:rPr>
          <w:rFonts w:ascii="Times New Roman" w:hAnsi="Times New Roman"/>
          <w:sz w:val="28"/>
          <w:szCs w:val="28"/>
        </w:rPr>
        <w:t>ОДЄ=</w:t>
      </w:r>
      <w:r>
        <w:rPr>
          <w:rFonts w:ascii="Times New Roman" w:hAnsi="Times New Roman"/>
          <w:color w:val="000000" w:themeColor="text1"/>
          <w:sz w:val="28"/>
          <w:szCs w:val="28"/>
        </w:rPr>
        <w:t>V</w:t>
      </w:r>
      <w:r>
        <w:rPr>
          <w:rFonts w:ascii="Times New Roman" w:hAnsi="Times New Roman"/>
          <w:color w:val="000000" w:themeColor="text1"/>
          <w:sz w:val="28"/>
          <w:szCs w:val="28"/>
          <w:vertAlign w:val="subscript"/>
        </w:rPr>
        <w:t xml:space="preserve">р </w:t>
      </w:r>
      <w:r>
        <w:rPr>
          <w:rFonts w:ascii="Times New Roman" w:hAnsi="Times New Roman"/>
          <w:color w:val="000000" w:themeColor="text1"/>
          <w:sz w:val="28"/>
          <w:szCs w:val="28"/>
        </w:rPr>
        <w:t>* (С</w:t>
      </w:r>
      <w:r>
        <w:rPr>
          <w:rFonts w:ascii="Times New Roman" w:hAnsi="Times New Roman"/>
          <w:color w:val="000000" w:themeColor="text1"/>
          <w:sz w:val="28"/>
          <w:szCs w:val="28"/>
          <w:vertAlign w:val="subscript"/>
        </w:rPr>
        <w:t>поч</w:t>
      </w:r>
      <w:r>
        <w:rPr>
          <w:rFonts w:ascii="Times New Roman" w:hAnsi="Times New Roman"/>
          <w:color w:val="000000" w:themeColor="text1"/>
          <w:sz w:val="28"/>
          <w:szCs w:val="28"/>
        </w:rPr>
        <w:t xml:space="preserve"> – С</w:t>
      </w:r>
      <w:r>
        <w:rPr>
          <w:rFonts w:ascii="Times New Roman" w:hAnsi="Times New Roman"/>
          <w:color w:val="000000" w:themeColor="text1"/>
          <w:sz w:val="28"/>
          <w:szCs w:val="28"/>
          <w:vertAlign w:val="subscript"/>
        </w:rPr>
        <w:t>р</w:t>
      </w:r>
      <w:r>
        <w:rPr>
          <w:rFonts w:ascii="Times New Roman" w:hAnsi="Times New Roman"/>
          <w:color w:val="000000" w:themeColor="text1"/>
          <w:sz w:val="28"/>
          <w:szCs w:val="28"/>
        </w:rPr>
        <w:t>) / V</w:t>
      </w:r>
      <w:r>
        <w:rPr>
          <w:rFonts w:ascii="Times New Roman" w:hAnsi="Times New Roman"/>
          <w:color w:val="000000" w:themeColor="text1"/>
          <w:sz w:val="28"/>
          <w:szCs w:val="28"/>
          <w:vertAlign w:val="subscript"/>
        </w:rPr>
        <w:t xml:space="preserve">i </w:t>
      </w:r>
      <w:r>
        <w:rPr>
          <w:rFonts w:ascii="Times New Roman" w:eastAsia="等?" w:hAnsi="Times New Roman"/>
          <w:sz w:val="28"/>
          <w:szCs w:val="28"/>
        </w:rPr>
        <w:t>, мг-екв/см</w:t>
      </w:r>
      <w:r>
        <w:rPr>
          <w:rFonts w:ascii="Times New Roman" w:eastAsia="等?" w:hAnsi="Times New Roman"/>
          <w:sz w:val="28"/>
          <w:szCs w:val="28"/>
          <w:vertAlign w:val="superscript"/>
        </w:rPr>
        <w:t>3</w:t>
      </w:r>
      <w:r>
        <w:rPr>
          <w:rFonts w:ascii="Times New Roman" w:eastAsia="等?" w:hAnsi="Times New Roman"/>
          <w:sz w:val="28"/>
          <w:szCs w:val="28"/>
        </w:rPr>
        <w:t>,</w:t>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r>
      <w:r>
        <w:rPr>
          <w:rFonts w:ascii="Times New Roman" w:eastAsia="等?" w:hAnsi="Times New Roman"/>
          <w:sz w:val="28"/>
          <w:szCs w:val="28"/>
        </w:rPr>
        <w:tab/>
        <w:t>(</w:t>
      </w:r>
      <w:r>
        <w:rPr>
          <w:rFonts w:ascii="Times New Roman" w:eastAsia="等?" w:hAnsi="Times New Roman"/>
          <w:sz w:val="28"/>
          <w:szCs w:val="28"/>
          <w:lang w:val="ru"/>
        </w:rPr>
        <w:t>2</w:t>
      </w:r>
      <w:r>
        <w:rPr>
          <w:rFonts w:ascii="Times New Roman" w:eastAsia="等?" w:hAnsi="Times New Roman"/>
          <w:sz w:val="28"/>
          <w:szCs w:val="28"/>
        </w:rPr>
        <w:t>.2)</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де С</w:t>
      </w:r>
      <w:r>
        <w:rPr>
          <w:rFonts w:ascii="Times New Roman" w:hAnsi="Times New Roman"/>
          <w:color w:val="000000"/>
          <w:sz w:val="28"/>
          <w:szCs w:val="28"/>
          <w:vertAlign w:val="subscript"/>
        </w:rPr>
        <w:t>п</w:t>
      </w:r>
      <w:r>
        <w:rPr>
          <w:rFonts w:ascii="Times New Roman" w:hAnsi="Times New Roman"/>
          <w:color w:val="000000"/>
          <w:sz w:val="28"/>
          <w:szCs w:val="28"/>
        </w:rPr>
        <w:t xml:space="preserve"> – початкова концентрація </w:t>
      </w:r>
      <w:r>
        <w:rPr>
          <w:rFonts w:ascii="Times New Roman" w:hAnsi="Times New Roman"/>
          <w:color w:val="000000"/>
          <w:sz w:val="28"/>
          <w:szCs w:val="28"/>
        </w:rPr>
        <w:t>йон</w:t>
      </w:r>
      <w:r>
        <w:rPr>
          <w:rFonts w:ascii="Times New Roman" w:hAnsi="Times New Roman"/>
          <w:color w:val="000000"/>
          <w:sz w:val="28"/>
          <w:szCs w:val="28"/>
        </w:rPr>
        <w:t>ів в розчині, м</w:t>
      </w:r>
      <w:r>
        <w:rPr>
          <w:rFonts w:ascii="Times New Roman" w:hAnsi="Times New Roman"/>
          <w:color w:val="000000"/>
          <w:sz w:val="28"/>
          <w:szCs w:val="28"/>
        </w:rPr>
        <w:t>г-екв</w:t>
      </w:r>
      <w:r>
        <w:rPr>
          <w:rFonts w:ascii="Times New Roman" w:hAnsi="Times New Roman"/>
          <w:color w:val="000000"/>
          <w:sz w:val="28"/>
          <w:szCs w:val="28"/>
        </w:rPr>
        <w:t>/дм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С</w:t>
      </w:r>
      <w:r>
        <w:rPr>
          <w:rFonts w:ascii="Times New Roman" w:hAnsi="Times New Roman"/>
          <w:color w:val="000000"/>
          <w:sz w:val="28"/>
          <w:szCs w:val="28"/>
          <w:vertAlign w:val="subscript"/>
        </w:rPr>
        <w:t>і</w:t>
      </w:r>
      <w:r>
        <w:rPr>
          <w:rFonts w:ascii="Times New Roman" w:hAnsi="Times New Roman"/>
          <w:color w:val="000000"/>
          <w:sz w:val="28"/>
          <w:szCs w:val="28"/>
        </w:rPr>
        <w:t xml:space="preserve"> – концентрація йонів в і–тій пробі після сорбції, мг-екв/дм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V</w:t>
      </w:r>
      <w:r>
        <w:rPr>
          <w:rFonts w:ascii="Times New Roman" w:hAnsi="Times New Roman"/>
          <w:color w:val="000000"/>
          <w:sz w:val="28"/>
          <w:szCs w:val="28"/>
          <w:vertAlign w:val="subscript"/>
        </w:rPr>
        <w:t>і</w:t>
      </w:r>
      <w:r>
        <w:rPr>
          <w:rFonts w:ascii="Times New Roman" w:hAnsi="Times New Roman"/>
          <w:color w:val="000000"/>
          <w:sz w:val="28"/>
          <w:szCs w:val="28"/>
        </w:rPr>
        <w:t xml:space="preserve"> – об’єм іоніту, см</w:t>
      </w:r>
      <w:r>
        <w:rPr>
          <w:rFonts w:ascii="Times New Roman" w:hAnsi="Times New Roman"/>
          <w:color w:val="000000"/>
          <w:sz w:val="28"/>
          <w:szCs w:val="28"/>
          <w:vertAlign w:val="superscript"/>
        </w:rPr>
        <w:t>3</w:t>
      </w:r>
      <w:r>
        <w:rPr>
          <w:rFonts w:ascii="Times New Roman" w:hAnsi="Times New Roman"/>
          <w:color w:val="000000"/>
          <w:sz w:val="28"/>
          <w:szCs w:val="28"/>
        </w:rPr>
        <w:t xml:space="preserve">; </w:t>
      </w:r>
    </w:p>
    <w:p w:rsidR="00F1629C" w:rsidRDefault="00E671D2">
      <w:pPr>
        <w:spacing w:after="0" w:line="360" w:lineRule="auto"/>
        <w:ind w:right="-1" w:firstLine="567"/>
        <w:jc w:val="both"/>
        <w:rPr>
          <w:rFonts w:ascii="Times New Roman" w:eastAsia="等?" w:hAnsi="Times New Roman"/>
          <w:sz w:val="28"/>
          <w:szCs w:val="28"/>
        </w:rPr>
      </w:pPr>
      <w:r>
        <w:rPr>
          <w:rFonts w:ascii="Times New Roman" w:eastAsia="等?" w:hAnsi="Times New Roman"/>
          <w:sz w:val="28"/>
          <w:szCs w:val="28"/>
          <w:lang w:val="en-US"/>
        </w:rPr>
        <w:t>V</w:t>
      </w:r>
      <w:r>
        <w:rPr>
          <w:rFonts w:ascii="Times New Roman" w:eastAsia="等?" w:hAnsi="Times New Roman"/>
          <w:sz w:val="28"/>
          <w:szCs w:val="28"/>
          <w:vertAlign w:val="subscript"/>
          <w:lang w:val="en-US"/>
        </w:rPr>
        <w:t>n</w:t>
      </w:r>
      <w:r>
        <w:rPr>
          <w:rFonts w:ascii="Times New Roman" w:eastAsia="等?" w:hAnsi="Times New Roman"/>
          <w:sz w:val="28"/>
          <w:szCs w:val="28"/>
          <w:vertAlign w:val="subscript"/>
        </w:rPr>
        <w:t xml:space="preserve">р </w:t>
      </w:r>
      <w:r>
        <w:rPr>
          <w:rFonts w:ascii="Times New Roman" w:eastAsia="等?" w:hAnsi="Times New Roman"/>
          <w:sz w:val="28"/>
          <w:szCs w:val="28"/>
        </w:rPr>
        <w:t>– об'єм розчину, пропущений через іоніт до проскоку, дм</w:t>
      </w:r>
      <w:r>
        <w:rPr>
          <w:rFonts w:ascii="Times New Roman" w:eastAsia="等?" w:hAnsi="Times New Roman"/>
          <w:sz w:val="28"/>
          <w:szCs w:val="28"/>
          <w:vertAlign w:val="superscript"/>
        </w:rPr>
        <w:t>3</w:t>
      </w:r>
      <w:r>
        <w:rPr>
          <w:rFonts w:ascii="Times New Roman" w:eastAsia="等?" w:hAnsi="Times New Roman"/>
          <w:sz w:val="28"/>
          <w:szCs w:val="28"/>
        </w:rPr>
        <w:t>.</w:t>
      </w:r>
    </w:p>
    <w:p w:rsidR="00F1629C" w:rsidRDefault="00F1629C">
      <w:pPr>
        <w:spacing w:after="0" w:line="240" w:lineRule="auto"/>
        <w:ind w:right="-1" w:firstLine="567"/>
        <w:jc w:val="both"/>
        <w:rPr>
          <w:rFonts w:ascii="Times New Roman" w:hAnsi="Times New Roman"/>
          <w:color w:val="000000"/>
          <w:sz w:val="28"/>
          <w:szCs w:val="28"/>
        </w:rPr>
      </w:pP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 xml:space="preserve">Ступінь вилучення </w:t>
      </w:r>
      <w:r>
        <w:rPr>
          <w:rFonts w:ascii="Times New Roman" w:hAnsi="Times New Roman"/>
          <w:color w:val="000000"/>
          <w:sz w:val="28"/>
          <w:szCs w:val="28"/>
        </w:rPr>
        <w:t>йон</w:t>
      </w:r>
      <w:r>
        <w:rPr>
          <w:rFonts w:ascii="Times New Roman" w:hAnsi="Times New Roman"/>
          <w:color w:val="000000"/>
          <w:sz w:val="28"/>
          <w:szCs w:val="28"/>
        </w:rPr>
        <w:t xml:space="preserve">ів важких металів з водних розчинів на </w:t>
      </w:r>
      <w:r>
        <w:rPr>
          <w:rFonts w:ascii="Times New Roman" w:hAnsi="Times New Roman"/>
          <w:color w:val="000000"/>
          <w:sz w:val="28"/>
          <w:szCs w:val="28"/>
        </w:rPr>
        <w:t>іоніт</w:t>
      </w:r>
      <w:r>
        <w:rPr>
          <w:rFonts w:ascii="Times New Roman" w:hAnsi="Times New Roman"/>
          <w:color w:val="000000"/>
          <w:sz w:val="28"/>
          <w:szCs w:val="28"/>
        </w:rPr>
        <w:t>і (А, %) розраховували</w:t>
      </w:r>
      <w:r>
        <w:rPr>
          <w:rFonts w:ascii="Times New Roman" w:hAnsi="Times New Roman"/>
          <w:color w:val="000000"/>
          <w:sz w:val="28"/>
          <w:szCs w:val="28"/>
        </w:rPr>
        <w:t xml:space="preserve"> за формулою</w:t>
      </w:r>
      <w:r>
        <w:rPr>
          <w:rFonts w:ascii="Times New Roman" w:hAnsi="Times New Roman"/>
          <w:color w:val="000000"/>
          <w:sz w:val="28"/>
          <w:szCs w:val="28"/>
        </w:rPr>
        <w:t>:</w:t>
      </w:r>
    </w:p>
    <w:p w:rsidR="00F1629C" w:rsidRDefault="00F1629C">
      <w:pPr>
        <w:spacing w:after="0" w:line="240" w:lineRule="auto"/>
        <w:ind w:right="-1" w:firstLine="567"/>
        <w:jc w:val="both"/>
        <w:rPr>
          <w:rFonts w:ascii="Times New Roman" w:hAnsi="Times New Roman"/>
          <w:color w:val="000000"/>
          <w:sz w:val="28"/>
          <w:szCs w:val="28"/>
        </w:rPr>
      </w:pP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А=(1–С</w:t>
      </w:r>
      <w:r>
        <w:rPr>
          <w:rFonts w:ascii="Times New Roman" w:hAnsi="Times New Roman"/>
          <w:color w:val="000000"/>
          <w:sz w:val="28"/>
          <w:szCs w:val="28"/>
          <w:vertAlign w:val="subscript"/>
        </w:rPr>
        <w:t>зал</w:t>
      </w:r>
      <w:r>
        <w:rPr>
          <w:rFonts w:ascii="Times New Roman" w:hAnsi="Times New Roman"/>
          <w:color w:val="000000"/>
          <w:sz w:val="28"/>
          <w:szCs w:val="28"/>
        </w:rPr>
        <w:t>/С</w:t>
      </w:r>
      <w:r>
        <w:rPr>
          <w:rFonts w:ascii="Times New Roman" w:hAnsi="Times New Roman"/>
          <w:color w:val="000000"/>
          <w:sz w:val="28"/>
          <w:szCs w:val="28"/>
          <w:vertAlign w:val="subscript"/>
        </w:rPr>
        <w:t>поч</w:t>
      </w:r>
      <w:r>
        <w:rPr>
          <w:rFonts w:ascii="Times New Roman" w:hAnsi="Times New Roman"/>
          <w:color w:val="000000"/>
          <w:sz w:val="28"/>
          <w:szCs w:val="28"/>
        </w:rPr>
        <w:t>)∙100%</w:t>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w:t>
      </w:r>
      <w:r>
        <w:rPr>
          <w:rFonts w:ascii="Times New Roman" w:hAnsi="Times New Roman"/>
          <w:color w:val="000000"/>
          <w:sz w:val="28"/>
          <w:szCs w:val="28"/>
          <w:lang w:val="ru"/>
        </w:rPr>
        <w:t>2</w:t>
      </w:r>
      <w:r>
        <w:rPr>
          <w:rFonts w:ascii="Times New Roman" w:hAnsi="Times New Roman"/>
          <w:color w:val="000000"/>
          <w:sz w:val="28"/>
          <w:szCs w:val="28"/>
        </w:rPr>
        <w:t>.3</w:t>
      </w:r>
      <w:r>
        <w:rPr>
          <w:rFonts w:ascii="Times New Roman" w:hAnsi="Times New Roman"/>
          <w:color w:val="000000"/>
          <w:sz w:val="28"/>
          <w:szCs w:val="28"/>
        </w:rPr>
        <w:t xml:space="preserve">) </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де С</w:t>
      </w:r>
      <w:r>
        <w:rPr>
          <w:rFonts w:ascii="Times New Roman" w:hAnsi="Times New Roman"/>
          <w:color w:val="000000"/>
          <w:sz w:val="28"/>
          <w:szCs w:val="28"/>
          <w:vertAlign w:val="subscript"/>
        </w:rPr>
        <w:t>зал</w:t>
      </w:r>
      <w:r>
        <w:rPr>
          <w:rFonts w:ascii="Times New Roman" w:hAnsi="Times New Roman"/>
          <w:color w:val="000000"/>
          <w:sz w:val="28"/>
          <w:szCs w:val="28"/>
        </w:rPr>
        <w:t xml:space="preserve"> – залишкова концентрація </w:t>
      </w:r>
      <w:r>
        <w:rPr>
          <w:rFonts w:ascii="Times New Roman" w:hAnsi="Times New Roman"/>
          <w:color w:val="000000"/>
          <w:sz w:val="28"/>
          <w:szCs w:val="28"/>
        </w:rPr>
        <w:t>йон</w:t>
      </w:r>
      <w:r>
        <w:rPr>
          <w:rFonts w:ascii="Times New Roman" w:hAnsi="Times New Roman"/>
          <w:color w:val="000000"/>
          <w:sz w:val="28"/>
          <w:szCs w:val="28"/>
        </w:rPr>
        <w:t xml:space="preserve">ів у розчині, </w:t>
      </w:r>
      <w:r>
        <w:rPr>
          <w:rFonts w:ascii="Times New Roman" w:hAnsi="Times New Roman"/>
          <w:color w:val="000000"/>
          <w:sz w:val="28"/>
          <w:szCs w:val="28"/>
        </w:rPr>
        <w:t>мг-екв/дм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С</w:t>
      </w:r>
      <w:r>
        <w:rPr>
          <w:rFonts w:ascii="Times New Roman" w:hAnsi="Times New Roman"/>
          <w:color w:val="000000"/>
          <w:sz w:val="28"/>
          <w:szCs w:val="28"/>
          <w:vertAlign w:val="subscript"/>
        </w:rPr>
        <w:t>по</w:t>
      </w:r>
      <w:r>
        <w:rPr>
          <w:rFonts w:ascii="Times New Roman" w:hAnsi="Times New Roman"/>
          <w:color w:val="000000"/>
          <w:sz w:val="28"/>
          <w:szCs w:val="28"/>
          <w:vertAlign w:val="subscript"/>
        </w:rPr>
        <w:t>ч</w:t>
      </w:r>
      <w:r>
        <w:rPr>
          <w:rFonts w:ascii="Times New Roman" w:hAnsi="Times New Roman"/>
          <w:color w:val="000000"/>
          <w:sz w:val="28"/>
          <w:szCs w:val="28"/>
        </w:rPr>
        <w:t xml:space="preserve"> – початкова концентрація </w:t>
      </w:r>
      <w:r>
        <w:rPr>
          <w:rFonts w:ascii="Times New Roman" w:hAnsi="Times New Roman"/>
          <w:color w:val="000000"/>
          <w:sz w:val="28"/>
          <w:szCs w:val="28"/>
        </w:rPr>
        <w:t>йон</w:t>
      </w:r>
      <w:r>
        <w:rPr>
          <w:rFonts w:ascii="Times New Roman" w:hAnsi="Times New Roman"/>
          <w:color w:val="000000"/>
          <w:sz w:val="28"/>
          <w:szCs w:val="28"/>
        </w:rPr>
        <w:t xml:space="preserve">ів у розчині, </w:t>
      </w:r>
      <w:r>
        <w:rPr>
          <w:rFonts w:ascii="Times New Roman" w:hAnsi="Times New Roman"/>
          <w:color w:val="000000"/>
          <w:sz w:val="28"/>
          <w:szCs w:val="28"/>
        </w:rPr>
        <w:t>мг-екв/дм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F1629C" w:rsidRDefault="00F1629C">
      <w:pPr>
        <w:snapToGrid w:val="0"/>
        <w:spacing w:after="0" w:line="360" w:lineRule="auto"/>
        <w:ind w:firstLine="709"/>
        <w:jc w:val="both"/>
        <w:rPr>
          <w:rFonts w:ascii="Times New Roman" w:hAnsi="Times New Roman"/>
          <w:color w:val="000000"/>
          <w:sz w:val="28"/>
          <w:szCs w:val="28"/>
        </w:rPr>
      </w:pPr>
    </w:p>
    <w:p w:rsidR="00F1629C" w:rsidRDefault="00E671D2">
      <w:pPr>
        <w:snapToGrid w:val="0"/>
        <w:spacing w:after="0" w:line="360" w:lineRule="auto"/>
        <w:ind w:firstLine="709"/>
        <w:jc w:val="both"/>
        <w:rPr>
          <w:rFonts w:ascii="Times New Roman" w:hAnsi="Times New Roman"/>
          <w:b/>
          <w:sz w:val="28"/>
          <w:szCs w:val="28"/>
          <w:lang w:val="ru"/>
        </w:rPr>
      </w:pPr>
      <w:r>
        <w:rPr>
          <w:rFonts w:ascii="Times New Roman" w:hAnsi="Times New Roman"/>
          <w:b/>
          <w:bCs/>
          <w:color w:val="000000"/>
          <w:sz w:val="28"/>
          <w:szCs w:val="28"/>
          <w:lang w:val="ru"/>
        </w:rPr>
        <w:t xml:space="preserve">2.3 </w:t>
      </w:r>
      <w:r>
        <w:rPr>
          <w:rFonts w:ascii="Times New Roman" w:hAnsi="Times New Roman"/>
          <w:b/>
          <w:sz w:val="28"/>
          <w:szCs w:val="28"/>
        </w:rPr>
        <w:t xml:space="preserve">Вилучення йонів важких металів з розведених розчинів методом </w:t>
      </w:r>
      <w:r>
        <w:rPr>
          <w:rFonts w:ascii="Times New Roman" w:hAnsi="Times New Roman"/>
          <w:b/>
          <w:sz w:val="28"/>
          <w:szCs w:val="28"/>
          <w:lang w:val="ru"/>
        </w:rPr>
        <w:t>нанофільтрації</w:t>
      </w:r>
    </w:p>
    <w:p w:rsidR="00F1629C" w:rsidRDefault="00E671D2">
      <w:pPr>
        <w:spacing w:after="0" w:line="360" w:lineRule="auto"/>
        <w:ind w:right="-1" w:firstLine="567"/>
        <w:jc w:val="both"/>
        <w:rPr>
          <w:rFonts w:ascii="Times New Roman" w:eastAsia="等?" w:hAnsi="Times New Roman"/>
          <w:bCs/>
          <w:sz w:val="28"/>
          <w:szCs w:val="28"/>
        </w:rPr>
      </w:pPr>
      <w:r>
        <w:rPr>
          <w:rFonts w:ascii="Times New Roman" w:eastAsia="等?" w:hAnsi="Times New Roman"/>
          <w:bCs/>
          <w:sz w:val="28"/>
          <w:szCs w:val="28"/>
        </w:rPr>
        <w:t>Важкі метали з розчинів ви</w:t>
      </w:r>
      <w:r>
        <w:rPr>
          <w:rFonts w:ascii="Times New Roman" w:eastAsia="等?" w:hAnsi="Times New Roman"/>
          <w:bCs/>
          <w:sz w:val="28"/>
          <w:szCs w:val="28"/>
        </w:rPr>
        <w:t>далялися</w:t>
      </w:r>
      <w:r>
        <w:rPr>
          <w:rFonts w:ascii="Times New Roman" w:eastAsia="等?" w:hAnsi="Times New Roman"/>
          <w:bCs/>
          <w:sz w:val="28"/>
          <w:szCs w:val="28"/>
        </w:rPr>
        <w:t xml:space="preserve"> за допомогою нанофільтраційної мембрани ОПМН–П. В якості модельних розчинів використовувалися розчини важких металів</w:t>
      </w:r>
      <w:r>
        <w:rPr>
          <w:rFonts w:ascii="Times New Roman" w:eastAsia="等?" w:hAnsi="Times New Roman"/>
          <w:bCs/>
          <w:sz w:val="28"/>
          <w:szCs w:val="28"/>
        </w:rPr>
        <w:t xml:space="preserve">, описані в розділі </w:t>
      </w:r>
      <w:r>
        <w:rPr>
          <w:rFonts w:ascii="Times New Roman" w:eastAsia="等?" w:hAnsi="Times New Roman"/>
          <w:bCs/>
          <w:sz w:val="28"/>
          <w:szCs w:val="28"/>
        </w:rPr>
        <w:t>1.1.</w:t>
      </w:r>
    </w:p>
    <w:p w:rsidR="00F1629C" w:rsidRDefault="00E671D2">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При </w:t>
      </w:r>
      <w:r>
        <w:rPr>
          <w:rFonts w:ascii="Times New Roman" w:hAnsi="Times New Roman"/>
          <w:sz w:val="28"/>
          <w:szCs w:val="28"/>
        </w:rPr>
        <w:t xml:space="preserve">встановленому </w:t>
      </w:r>
      <w:r>
        <w:rPr>
          <w:rFonts w:ascii="Times New Roman" w:hAnsi="Times New Roman"/>
          <w:sz w:val="28"/>
          <w:szCs w:val="28"/>
        </w:rPr>
        <w:t>тиску відбирали</w:t>
      </w:r>
      <w:r>
        <w:rPr>
          <w:rFonts w:ascii="Times New Roman" w:hAnsi="Times New Roman"/>
          <w:sz w:val="28"/>
          <w:szCs w:val="28"/>
        </w:rPr>
        <w:t>ся</w:t>
      </w:r>
      <w:r>
        <w:rPr>
          <w:rFonts w:ascii="Times New Roman" w:hAnsi="Times New Roman"/>
          <w:sz w:val="28"/>
          <w:szCs w:val="28"/>
        </w:rPr>
        <w:t xml:space="preserve"> проби перміату об’ємом 100</w:t>
      </w:r>
      <w:r>
        <w:rPr>
          <w:rStyle w:val="FontStyle53"/>
          <w:rFonts w:ascii="Times New Roman" w:hAnsi="Times New Roman"/>
          <w:sz w:val="28"/>
          <w:szCs w:val="28"/>
        </w:rPr>
        <w:t> </w:t>
      </w:r>
      <w:r>
        <w:rPr>
          <w:rFonts w:ascii="Times New Roman" w:hAnsi="Times New Roman"/>
          <w:sz w:val="28"/>
          <w:szCs w:val="28"/>
        </w:rPr>
        <w:t>см</w:t>
      </w:r>
      <w:r>
        <w:rPr>
          <w:rFonts w:ascii="Times New Roman" w:hAnsi="Times New Roman"/>
          <w:sz w:val="28"/>
          <w:szCs w:val="28"/>
          <w:vertAlign w:val="superscript"/>
        </w:rPr>
        <w:t>3</w:t>
      </w:r>
      <w:r>
        <w:rPr>
          <w:rFonts w:ascii="Times New Roman" w:hAnsi="Times New Roman"/>
          <w:sz w:val="28"/>
          <w:szCs w:val="28"/>
        </w:rPr>
        <w:t>, фіксува</w:t>
      </w:r>
      <w:r>
        <w:rPr>
          <w:rFonts w:ascii="Times New Roman" w:hAnsi="Times New Roman"/>
          <w:sz w:val="28"/>
          <w:szCs w:val="28"/>
        </w:rPr>
        <w:t>вся</w:t>
      </w:r>
      <w:r>
        <w:rPr>
          <w:rFonts w:ascii="Times New Roman" w:hAnsi="Times New Roman"/>
          <w:sz w:val="28"/>
          <w:szCs w:val="28"/>
        </w:rPr>
        <w:t xml:space="preserve"> час відбору та визначал</w:t>
      </w:r>
      <w:r>
        <w:rPr>
          <w:rFonts w:ascii="Times New Roman" w:hAnsi="Times New Roman"/>
          <w:sz w:val="28"/>
          <w:szCs w:val="28"/>
        </w:rPr>
        <w:t>ася</w:t>
      </w:r>
      <w:r>
        <w:rPr>
          <w:rFonts w:ascii="Times New Roman" w:hAnsi="Times New Roman"/>
          <w:sz w:val="28"/>
          <w:szCs w:val="28"/>
        </w:rPr>
        <w:t xml:space="preserve"> концентраці</w:t>
      </w:r>
      <w:r>
        <w:rPr>
          <w:rFonts w:ascii="Times New Roman" w:hAnsi="Times New Roman"/>
          <w:sz w:val="28"/>
          <w:szCs w:val="28"/>
        </w:rPr>
        <w:t>яй</w:t>
      </w:r>
      <w:r>
        <w:rPr>
          <w:rFonts w:ascii="Times New Roman" w:hAnsi="Times New Roman"/>
          <w:sz w:val="28"/>
          <w:szCs w:val="28"/>
        </w:rPr>
        <w:t>онів</w:t>
      </w:r>
      <w:r>
        <w:rPr>
          <w:rFonts w:ascii="Times New Roman" w:hAnsi="Times New Roman"/>
          <w:sz w:val="28"/>
          <w:szCs w:val="28"/>
        </w:rPr>
        <w:t xml:space="preserve"> важких</w:t>
      </w:r>
      <w:r>
        <w:rPr>
          <w:rFonts w:ascii="Times New Roman" w:hAnsi="Times New Roman"/>
          <w:sz w:val="28"/>
          <w:szCs w:val="28"/>
        </w:rPr>
        <w:t xml:space="preserve"> металів </w:t>
      </w:r>
      <w:r>
        <w:rPr>
          <w:rFonts w:ascii="Times New Roman" w:hAnsi="Times New Roman"/>
          <w:sz w:val="28"/>
          <w:szCs w:val="28"/>
        </w:rPr>
        <w:t>за допомогою полярографа</w:t>
      </w:r>
      <w:r>
        <w:rPr>
          <w:rFonts w:ascii="Times New Roman" w:hAnsi="Times New Roman"/>
          <w:sz w:val="28"/>
          <w:szCs w:val="28"/>
        </w:rPr>
        <w:t>. Ступінь відбору перміату складав 10 – 90</w:t>
      </w:r>
      <w:r>
        <w:rPr>
          <w:rStyle w:val="FontStyle53"/>
          <w:rFonts w:ascii="Times New Roman" w:hAnsi="Times New Roman"/>
          <w:sz w:val="28"/>
          <w:szCs w:val="28"/>
        </w:rPr>
        <w:t> </w:t>
      </w:r>
      <w:r>
        <w:rPr>
          <w:rFonts w:ascii="Times New Roman" w:hAnsi="Times New Roman"/>
          <w:sz w:val="28"/>
          <w:szCs w:val="28"/>
        </w:rPr>
        <w:t xml:space="preserve">%. </w:t>
      </w:r>
    </w:p>
    <w:p w:rsidR="00F1629C" w:rsidRDefault="00E671D2">
      <w:pPr>
        <w:widowControl w:val="0"/>
        <w:spacing w:after="0" w:line="360" w:lineRule="auto"/>
        <w:ind w:firstLine="567"/>
        <w:jc w:val="both"/>
        <w:rPr>
          <w:rFonts w:ascii="Times New Roman" w:hAnsi="Times New Roman"/>
          <w:sz w:val="28"/>
          <w:szCs w:val="28"/>
        </w:rPr>
      </w:pPr>
      <w:r>
        <w:rPr>
          <w:rFonts w:ascii="Times New Roman" w:hAnsi="Times New Roman"/>
          <w:sz w:val="28"/>
          <w:szCs w:val="28"/>
        </w:rPr>
        <w:t xml:space="preserve">Для підвищення селективності мембрани, у </w:t>
      </w:r>
      <w:r>
        <w:rPr>
          <w:rFonts w:ascii="Times New Roman" w:hAnsi="Times New Roman"/>
          <w:sz w:val="28"/>
          <w:szCs w:val="28"/>
        </w:rPr>
        <w:t>вихідні розчини додавалися в конценттраціях 10–50 мг/дм</w:t>
      </w:r>
      <w:r>
        <w:rPr>
          <w:rFonts w:ascii="Times New Roman" w:hAnsi="Times New Roman"/>
          <w:sz w:val="28"/>
          <w:szCs w:val="28"/>
          <w:vertAlign w:val="superscript"/>
        </w:rPr>
        <w:t>3</w:t>
      </w:r>
      <w:r>
        <w:rPr>
          <w:rFonts w:ascii="Times New Roman" w:hAnsi="Times New Roman"/>
          <w:sz w:val="28"/>
          <w:szCs w:val="28"/>
        </w:rPr>
        <w:t xml:space="preserve">такі комплексоутворювачі, як: Трилон Б, оксиетилідендифосфонова кислота (ОЕДФК), нітрилтриметиленфосфонова кислота (НТМФК), </w:t>
      </w:r>
      <w:r>
        <w:rPr>
          <w:rFonts w:ascii="Times New Roman" w:hAnsi="Times New Roman"/>
          <w:spacing w:val="-5"/>
          <w:sz w:val="28"/>
          <w:szCs w:val="28"/>
        </w:rPr>
        <w:t>діетілдітіокарбамінат натрію (ДДТН), Акватон,</w:t>
      </w:r>
      <w:r>
        <w:rPr>
          <w:rFonts w:ascii="Times New Roman" w:hAnsi="Times New Roman"/>
          <w:sz w:val="28"/>
          <w:szCs w:val="28"/>
        </w:rPr>
        <w:t>Polymin</w:t>
      </w:r>
      <w:r>
        <w:rPr>
          <w:rFonts w:ascii="Times New Roman" w:hAnsi="Times New Roman"/>
          <w:sz w:val="28"/>
          <w:szCs w:val="28"/>
        </w:rPr>
        <w:t>, А</w:t>
      </w:r>
      <w:r>
        <w:rPr>
          <w:rFonts w:ascii="Times New Roman" w:hAnsi="Times New Roman"/>
          <w:sz w:val="28"/>
          <w:szCs w:val="28"/>
        </w:rPr>
        <w:t>lcofix</w:t>
      </w:r>
      <w:r>
        <w:rPr>
          <w:rFonts w:ascii="Times New Roman" w:hAnsi="Times New Roman"/>
          <w:sz w:val="28"/>
          <w:szCs w:val="28"/>
        </w:rPr>
        <w:t>–169 та KlarAid</w:t>
      </w:r>
      <w:r>
        <w:rPr>
          <w:rFonts w:ascii="Times New Roman" w:hAnsi="Times New Roman"/>
          <w:sz w:val="28"/>
          <w:szCs w:val="28"/>
        </w:rPr>
        <w:t xml:space="preserve"> PC1194.</w:t>
      </w:r>
    </w:p>
    <w:p w:rsidR="00F1629C" w:rsidRDefault="00F1629C">
      <w:pPr>
        <w:widowControl w:val="0"/>
        <w:spacing w:after="0" w:line="360" w:lineRule="auto"/>
        <w:ind w:firstLine="567"/>
        <w:jc w:val="both"/>
        <w:rPr>
          <w:rFonts w:ascii="Times New Roman" w:hAnsi="Times New Roman"/>
          <w:sz w:val="28"/>
          <w:szCs w:val="28"/>
        </w:rPr>
      </w:pP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Селективність нанофільтраційної мембрани визначали:</w:t>
      </w:r>
    </w:p>
    <w:p w:rsidR="00F1629C" w:rsidRDefault="00F1629C">
      <w:pPr>
        <w:spacing w:after="0" w:line="240" w:lineRule="auto"/>
        <w:ind w:right="-1" w:firstLine="567"/>
        <w:jc w:val="both"/>
        <w:rPr>
          <w:rFonts w:ascii="Times New Roman" w:hAnsi="Times New Roman"/>
          <w:color w:val="000000"/>
          <w:sz w:val="28"/>
          <w:szCs w:val="28"/>
        </w:rPr>
      </w:pP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R = (1 – C</w:t>
      </w:r>
      <w:r>
        <w:rPr>
          <w:rFonts w:ascii="Times New Roman" w:hAnsi="Times New Roman"/>
          <w:color w:val="000000"/>
          <w:sz w:val="28"/>
          <w:szCs w:val="28"/>
          <w:vertAlign w:val="subscript"/>
        </w:rPr>
        <w:t xml:space="preserve">к </w:t>
      </w:r>
      <w:r>
        <w:rPr>
          <w:rFonts w:ascii="Times New Roman" w:hAnsi="Times New Roman"/>
          <w:color w:val="000000"/>
          <w:sz w:val="28"/>
          <w:szCs w:val="28"/>
        </w:rPr>
        <w:t>/ С</w:t>
      </w:r>
      <w:r>
        <w:rPr>
          <w:rFonts w:ascii="Times New Roman" w:hAnsi="Times New Roman"/>
          <w:color w:val="000000"/>
          <w:sz w:val="28"/>
          <w:szCs w:val="28"/>
          <w:vertAlign w:val="subscript"/>
        </w:rPr>
        <w:t>поч</w:t>
      </w:r>
      <w:r>
        <w:rPr>
          <w:rFonts w:ascii="Times New Roman" w:hAnsi="Times New Roman"/>
          <w:color w:val="000000"/>
          <w:sz w:val="28"/>
          <w:szCs w:val="28"/>
        </w:rPr>
        <w:t>)*100 %</w:t>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t>(</w:t>
      </w:r>
      <w:r>
        <w:rPr>
          <w:rFonts w:ascii="Times New Roman" w:hAnsi="Times New Roman"/>
          <w:color w:val="000000"/>
          <w:sz w:val="28"/>
          <w:szCs w:val="28"/>
          <w:lang w:val="ru"/>
        </w:rPr>
        <w:t>2</w:t>
      </w:r>
      <w:r>
        <w:rPr>
          <w:rFonts w:ascii="Times New Roman" w:hAnsi="Times New Roman"/>
          <w:color w:val="000000"/>
          <w:sz w:val="28"/>
          <w:szCs w:val="28"/>
        </w:rPr>
        <w:t>.4)</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де С</w:t>
      </w:r>
      <w:r>
        <w:rPr>
          <w:rFonts w:ascii="Times New Roman" w:hAnsi="Times New Roman"/>
          <w:color w:val="000000"/>
          <w:sz w:val="28"/>
          <w:szCs w:val="28"/>
          <w:vertAlign w:val="subscript"/>
        </w:rPr>
        <w:t>к</w:t>
      </w:r>
      <w:r>
        <w:rPr>
          <w:rFonts w:ascii="Times New Roman" w:hAnsi="Times New Roman"/>
          <w:color w:val="000000"/>
          <w:sz w:val="28"/>
          <w:szCs w:val="28"/>
        </w:rPr>
        <w:t xml:space="preserve"> – кінцева концентрація йонів у розині, мг/дм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С</w:t>
      </w:r>
      <w:r>
        <w:rPr>
          <w:rFonts w:ascii="Times New Roman" w:hAnsi="Times New Roman"/>
          <w:color w:val="000000"/>
          <w:sz w:val="28"/>
          <w:szCs w:val="28"/>
          <w:vertAlign w:val="subscript"/>
        </w:rPr>
        <w:t>поч</w:t>
      </w:r>
      <w:r>
        <w:rPr>
          <w:rFonts w:ascii="Times New Roman" w:hAnsi="Times New Roman"/>
          <w:color w:val="000000"/>
          <w:sz w:val="28"/>
          <w:szCs w:val="28"/>
        </w:rPr>
        <w:t xml:space="preserve"> – початкова концентрація йонів у розчині, мг/дм</w:t>
      </w:r>
      <w:r>
        <w:rPr>
          <w:rFonts w:ascii="Times New Roman" w:hAnsi="Times New Roman"/>
          <w:color w:val="000000"/>
          <w:sz w:val="28"/>
          <w:szCs w:val="28"/>
          <w:vertAlign w:val="superscript"/>
        </w:rPr>
        <w:t>3</w:t>
      </w:r>
      <w:r>
        <w:rPr>
          <w:rFonts w:ascii="Times New Roman" w:hAnsi="Times New Roman"/>
          <w:color w:val="000000"/>
          <w:sz w:val="28"/>
          <w:szCs w:val="28"/>
        </w:rPr>
        <w:t>.</w:t>
      </w:r>
    </w:p>
    <w:p w:rsidR="00F1629C" w:rsidRDefault="00F1629C">
      <w:pPr>
        <w:spacing w:after="0" w:line="240" w:lineRule="auto"/>
        <w:ind w:right="-1" w:firstLine="567"/>
        <w:jc w:val="both"/>
        <w:rPr>
          <w:rFonts w:ascii="Times New Roman" w:hAnsi="Times New Roman"/>
          <w:color w:val="000000"/>
          <w:sz w:val="28"/>
          <w:szCs w:val="28"/>
        </w:rPr>
      </w:pP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 xml:space="preserve">Продуктивність нанофільтраційної мембрани </w:t>
      </w:r>
      <w:r>
        <w:rPr>
          <w:rFonts w:ascii="Times New Roman" w:hAnsi="Times New Roman"/>
          <w:color w:val="000000"/>
          <w:sz w:val="28"/>
          <w:szCs w:val="28"/>
        </w:rPr>
        <w:t>визнача</w:t>
      </w:r>
      <w:r>
        <w:rPr>
          <w:rFonts w:ascii="Times New Roman" w:hAnsi="Times New Roman"/>
          <w:color w:val="000000"/>
          <w:sz w:val="28"/>
          <w:szCs w:val="28"/>
        </w:rPr>
        <w:t>ли</w:t>
      </w:r>
      <w:r>
        <w:rPr>
          <w:rFonts w:ascii="Times New Roman" w:hAnsi="Times New Roman"/>
          <w:color w:val="000000"/>
          <w:sz w:val="28"/>
          <w:szCs w:val="28"/>
        </w:rPr>
        <w:t>:</w:t>
      </w:r>
    </w:p>
    <w:p w:rsidR="00F1629C" w:rsidRDefault="00F1629C">
      <w:pPr>
        <w:spacing w:after="0" w:line="240" w:lineRule="auto"/>
        <w:ind w:right="-1" w:firstLine="567"/>
        <w:jc w:val="both"/>
        <w:rPr>
          <w:rFonts w:ascii="Times New Roman" w:hAnsi="Times New Roman"/>
          <w:color w:val="000000"/>
          <w:sz w:val="28"/>
          <w:szCs w:val="28"/>
        </w:rPr>
      </w:pP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j = Q</w:t>
      </w:r>
      <w:r>
        <w:rPr>
          <w:rFonts w:ascii="Times New Roman" w:hAnsi="Times New Roman"/>
          <w:color w:val="000000"/>
          <w:sz w:val="28"/>
          <w:szCs w:val="28"/>
          <w:vertAlign w:val="subscript"/>
        </w:rPr>
        <w:t xml:space="preserve">ф </w:t>
      </w:r>
      <w:r>
        <w:rPr>
          <w:rFonts w:ascii="Times New Roman" w:hAnsi="Times New Roman"/>
          <w:color w:val="000000"/>
          <w:sz w:val="28"/>
          <w:szCs w:val="28"/>
        </w:rPr>
        <w:t>/S</w:t>
      </w:r>
      <w:r>
        <w:rPr>
          <w:rFonts w:ascii="Times New Roman" w:hAnsi="Times New Roman"/>
          <w:color w:val="000000"/>
          <w:sz w:val="28"/>
          <w:szCs w:val="28"/>
          <w:vertAlign w:val="subscript"/>
        </w:rPr>
        <w:t>м</w:t>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r>
      <w:r>
        <w:rPr>
          <w:rFonts w:ascii="Times New Roman" w:hAnsi="Times New Roman"/>
          <w:color w:val="000000"/>
          <w:sz w:val="28"/>
          <w:szCs w:val="28"/>
        </w:rPr>
        <w:tab/>
        <w:t>(</w:t>
      </w:r>
      <w:r>
        <w:rPr>
          <w:rFonts w:ascii="Times New Roman" w:hAnsi="Times New Roman"/>
          <w:color w:val="000000"/>
          <w:sz w:val="28"/>
          <w:szCs w:val="28"/>
          <w:lang w:val="ru"/>
        </w:rPr>
        <w:t>2</w:t>
      </w:r>
      <w:r>
        <w:rPr>
          <w:rFonts w:ascii="Times New Roman" w:hAnsi="Times New Roman"/>
          <w:color w:val="000000"/>
          <w:sz w:val="28"/>
          <w:szCs w:val="28"/>
        </w:rPr>
        <w:t>.5)</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де Q</w:t>
      </w:r>
      <w:r>
        <w:rPr>
          <w:rFonts w:ascii="Times New Roman" w:hAnsi="Times New Roman"/>
          <w:color w:val="000000"/>
          <w:sz w:val="28"/>
          <w:szCs w:val="28"/>
          <w:vertAlign w:val="subscript"/>
        </w:rPr>
        <w:t>ф</w:t>
      </w:r>
      <w:r>
        <w:rPr>
          <w:rFonts w:ascii="Times New Roman" w:hAnsi="Times New Roman"/>
          <w:color w:val="000000"/>
          <w:sz w:val="28"/>
          <w:szCs w:val="28"/>
        </w:rPr>
        <w:t xml:space="preserve"> – витрата фільтрату, дм</w:t>
      </w:r>
      <w:r>
        <w:rPr>
          <w:rFonts w:ascii="Times New Roman" w:hAnsi="Times New Roman"/>
          <w:color w:val="000000"/>
          <w:sz w:val="28"/>
          <w:szCs w:val="28"/>
          <w:vertAlign w:val="superscript"/>
        </w:rPr>
        <w:t>3</w:t>
      </w:r>
      <w:r>
        <w:rPr>
          <w:rFonts w:ascii="Times New Roman" w:hAnsi="Times New Roman"/>
          <w:color w:val="000000"/>
          <w:sz w:val="28"/>
          <w:szCs w:val="28"/>
        </w:rPr>
        <w:t>/год;</w:t>
      </w:r>
    </w:p>
    <w:p w:rsidR="00F1629C" w:rsidRDefault="00E671D2">
      <w:pPr>
        <w:spacing w:after="0" w:line="360" w:lineRule="auto"/>
        <w:ind w:right="-1" w:firstLine="567"/>
        <w:jc w:val="both"/>
        <w:rPr>
          <w:rFonts w:ascii="Times New Roman" w:hAnsi="Times New Roman"/>
          <w:color w:val="000000"/>
          <w:sz w:val="28"/>
          <w:szCs w:val="28"/>
        </w:rPr>
      </w:pPr>
      <w:r>
        <w:rPr>
          <w:rFonts w:ascii="Times New Roman" w:hAnsi="Times New Roman"/>
          <w:color w:val="000000"/>
          <w:sz w:val="28"/>
          <w:szCs w:val="28"/>
        </w:rPr>
        <w:t>S</w:t>
      </w:r>
      <w:r>
        <w:rPr>
          <w:rFonts w:ascii="Times New Roman" w:hAnsi="Times New Roman"/>
          <w:color w:val="000000"/>
          <w:sz w:val="28"/>
          <w:szCs w:val="28"/>
          <w:vertAlign w:val="subscript"/>
        </w:rPr>
        <w:t>м</w:t>
      </w:r>
      <w:r>
        <w:rPr>
          <w:rFonts w:ascii="Times New Roman" w:hAnsi="Times New Roman"/>
          <w:color w:val="000000"/>
          <w:sz w:val="28"/>
          <w:szCs w:val="28"/>
        </w:rPr>
        <w:t xml:space="preserve"> – площа мембрани, </w:t>
      </w:r>
      <w:r>
        <w:rPr>
          <w:rFonts w:ascii="Times New Roman" w:hAnsi="Times New Roman"/>
          <w:color w:val="000000"/>
          <w:sz w:val="28"/>
          <w:szCs w:val="28"/>
        </w:rPr>
        <w:t>д</w:t>
      </w:r>
      <w:r>
        <w:rPr>
          <w:rFonts w:ascii="Times New Roman" w:hAnsi="Times New Roman"/>
          <w:color w:val="000000"/>
          <w:sz w:val="28"/>
          <w:szCs w:val="28"/>
        </w:rPr>
        <w:t>м</w:t>
      </w:r>
      <w:r>
        <w:rPr>
          <w:rFonts w:ascii="Times New Roman" w:hAnsi="Times New Roman"/>
          <w:color w:val="000000"/>
          <w:sz w:val="28"/>
          <w:szCs w:val="28"/>
          <w:vertAlign w:val="superscript"/>
        </w:rPr>
        <w:t>2</w:t>
      </w:r>
      <w:r>
        <w:rPr>
          <w:rFonts w:ascii="Times New Roman" w:hAnsi="Times New Roman"/>
          <w:color w:val="000000"/>
          <w:sz w:val="28"/>
          <w:szCs w:val="28"/>
        </w:rPr>
        <w:t>.</w:t>
      </w:r>
    </w:p>
    <w:p w:rsidR="00F1629C" w:rsidRDefault="00F1629C">
      <w:pPr>
        <w:snapToGrid w:val="0"/>
        <w:spacing w:after="0" w:line="360" w:lineRule="auto"/>
        <w:ind w:firstLine="709"/>
        <w:jc w:val="both"/>
        <w:rPr>
          <w:rFonts w:ascii="Times New Roman" w:hAnsi="Times New Roman"/>
          <w:b/>
          <w:sz w:val="28"/>
          <w:szCs w:val="28"/>
          <w:lang w:val="ru"/>
        </w:rPr>
      </w:pPr>
    </w:p>
    <w:p w:rsidR="00F1629C" w:rsidRDefault="00E671D2">
      <w:pPr>
        <w:autoSpaceDE w:val="0"/>
        <w:autoSpaceDN w:val="0"/>
        <w:adjustRightInd w:val="0"/>
        <w:snapToGrid w:val="0"/>
        <w:spacing w:after="0" w:line="360" w:lineRule="auto"/>
        <w:ind w:firstLine="709"/>
        <w:jc w:val="both"/>
        <w:rPr>
          <w:rFonts w:ascii="Times New Roman" w:hAnsi="Times New Roman"/>
          <w:b/>
          <w:sz w:val="28"/>
          <w:szCs w:val="28"/>
          <w:lang w:val="ru"/>
        </w:rPr>
      </w:pPr>
      <w:r>
        <w:rPr>
          <w:rFonts w:ascii="Times New Roman" w:hAnsi="Times New Roman"/>
          <w:b/>
          <w:sz w:val="28"/>
          <w:szCs w:val="28"/>
          <w:lang w:val="ru"/>
        </w:rPr>
        <w:t xml:space="preserve">2.4 </w:t>
      </w:r>
      <w:r>
        <w:rPr>
          <w:rFonts w:ascii="Times New Roman" w:hAnsi="Times New Roman"/>
          <w:b/>
          <w:sz w:val="28"/>
          <w:szCs w:val="28"/>
        </w:rPr>
        <w:t xml:space="preserve">Вилучення йонів важких металів з розведених розчинів </w:t>
      </w:r>
      <w:r>
        <w:rPr>
          <w:rFonts w:ascii="Times New Roman" w:hAnsi="Times New Roman"/>
          <w:b/>
          <w:sz w:val="28"/>
          <w:szCs w:val="28"/>
          <w:lang w:val="ru"/>
        </w:rPr>
        <w:t>шляхом</w:t>
      </w:r>
      <w:r>
        <w:rPr>
          <w:rFonts w:ascii="Times New Roman" w:hAnsi="Times New Roman"/>
          <w:b/>
          <w:sz w:val="28"/>
          <w:szCs w:val="28"/>
          <w:lang w:val="ru"/>
        </w:rPr>
        <w:t xml:space="preserve"> на магнетиті</w:t>
      </w:r>
    </w:p>
    <w:p w:rsidR="00F1629C" w:rsidRDefault="00E671D2">
      <w:pPr>
        <w:autoSpaceDE w:val="0"/>
        <w:autoSpaceDN w:val="0"/>
        <w:adjustRightInd w:val="0"/>
        <w:snapToGrid w:val="0"/>
        <w:spacing w:after="0" w:line="360" w:lineRule="auto"/>
        <w:ind w:firstLine="709"/>
        <w:jc w:val="both"/>
        <w:rPr>
          <w:rFonts w:ascii="Times New Roman" w:hAnsi="Times New Roman"/>
          <w:bCs/>
          <w:sz w:val="28"/>
          <w:szCs w:val="28"/>
          <w:lang w:val="ru"/>
        </w:rPr>
      </w:pPr>
      <w:r>
        <w:rPr>
          <w:rFonts w:ascii="Times New Roman" w:hAnsi="Times New Roman"/>
          <w:bCs/>
          <w:sz w:val="28"/>
          <w:szCs w:val="28"/>
          <w:lang w:val="ru"/>
        </w:rPr>
        <w:t xml:space="preserve">Сорбція проходила на модельних розчинах міді, у діапазоні концентрацій міді 5 </w:t>
      </w:r>
      <w:r>
        <w:rPr>
          <w:rFonts w:ascii="Times New Roman" w:hAnsi="Times New Roman"/>
          <w:bCs/>
          <w:sz w:val="28"/>
          <w:szCs w:val="28"/>
          <w:lang w:val="ru"/>
        </w:rPr>
        <w:t>- 150 мг/дм</w:t>
      </w:r>
      <w:r>
        <w:rPr>
          <w:rFonts w:ascii="Times New Roman" w:hAnsi="Times New Roman"/>
          <w:bCs/>
          <w:sz w:val="28"/>
          <w:szCs w:val="28"/>
          <w:vertAlign w:val="superscript"/>
          <w:lang w:val="ru"/>
        </w:rPr>
        <w:t>3</w:t>
      </w:r>
      <w:r>
        <w:rPr>
          <w:rFonts w:ascii="Times New Roman" w:hAnsi="Times New Roman"/>
          <w:bCs/>
          <w:sz w:val="28"/>
          <w:szCs w:val="28"/>
          <w:lang w:val="ru"/>
        </w:rPr>
        <w:t>, концентрація магнетиту становила 200 мг/дм</w:t>
      </w:r>
      <w:r>
        <w:rPr>
          <w:rFonts w:ascii="Times New Roman" w:hAnsi="Times New Roman"/>
          <w:bCs/>
          <w:sz w:val="28"/>
          <w:szCs w:val="28"/>
          <w:vertAlign w:val="superscript"/>
          <w:lang w:val="ru"/>
        </w:rPr>
        <w:t>3</w:t>
      </w:r>
      <w:r>
        <w:rPr>
          <w:rFonts w:ascii="Times New Roman" w:hAnsi="Times New Roman"/>
          <w:bCs/>
          <w:sz w:val="28"/>
          <w:szCs w:val="28"/>
          <w:lang w:val="ru"/>
        </w:rPr>
        <w:t xml:space="preserve">, об’єм проби </w:t>
      </w:r>
      <w:r>
        <w:rPr>
          <w:rFonts w:ascii="Times New Roman" w:hAnsi="Times New Roman"/>
          <w:bCs/>
          <w:sz w:val="28"/>
          <w:szCs w:val="28"/>
          <w:lang w:val="ru"/>
        </w:rPr>
        <w:lastRenderedPageBreak/>
        <w:t>складав 100 см</w:t>
      </w:r>
      <w:r>
        <w:rPr>
          <w:rFonts w:ascii="Times New Roman" w:hAnsi="Times New Roman"/>
          <w:bCs/>
          <w:sz w:val="28"/>
          <w:szCs w:val="28"/>
          <w:vertAlign w:val="superscript"/>
          <w:lang w:val="ru"/>
        </w:rPr>
        <w:t>3</w:t>
      </w:r>
      <w:r>
        <w:rPr>
          <w:rFonts w:ascii="Times New Roman" w:hAnsi="Times New Roman"/>
          <w:bCs/>
          <w:sz w:val="28"/>
          <w:szCs w:val="28"/>
          <w:lang w:val="ru"/>
        </w:rPr>
        <w:t>. Сорбція проводилась на магнітних мішалках протягом 0,5 - 4 годин у діапазоні рН розчину 4 - 10 одиниць.</w:t>
      </w:r>
    </w:p>
    <w:p w:rsidR="00F1629C" w:rsidRDefault="00F1629C">
      <w:pPr>
        <w:autoSpaceDE w:val="0"/>
        <w:autoSpaceDN w:val="0"/>
        <w:adjustRightInd w:val="0"/>
        <w:snapToGrid w:val="0"/>
        <w:spacing w:after="0" w:line="360" w:lineRule="auto"/>
        <w:ind w:firstLine="709"/>
        <w:jc w:val="both"/>
        <w:rPr>
          <w:rFonts w:ascii="Times New Roman" w:hAnsi="Times New Roman"/>
          <w:b/>
          <w:sz w:val="28"/>
          <w:szCs w:val="28"/>
          <w:lang w:val="ru"/>
        </w:rPr>
      </w:pPr>
    </w:p>
    <w:p w:rsidR="00F1629C" w:rsidRDefault="00E671D2">
      <w:pPr>
        <w:autoSpaceDE w:val="0"/>
        <w:autoSpaceDN w:val="0"/>
        <w:adjustRightInd w:val="0"/>
        <w:snapToGrid w:val="0"/>
        <w:spacing w:after="0" w:line="360" w:lineRule="auto"/>
        <w:ind w:firstLine="709"/>
        <w:jc w:val="both"/>
        <w:rPr>
          <w:rFonts w:ascii="Times New Roman" w:hAnsi="Times New Roman"/>
          <w:b/>
          <w:sz w:val="28"/>
          <w:szCs w:val="28"/>
          <w:lang w:val="ru"/>
        </w:rPr>
      </w:pPr>
      <w:r>
        <w:rPr>
          <w:rFonts w:ascii="Times New Roman" w:hAnsi="Times New Roman"/>
          <w:b/>
          <w:sz w:val="28"/>
          <w:szCs w:val="28"/>
          <w:lang w:val="ru"/>
        </w:rPr>
        <w:t>2.5 Приготування магнетиту</w:t>
      </w:r>
    </w:p>
    <w:p w:rsidR="00F1629C" w:rsidRDefault="00E671D2">
      <w:pPr>
        <w:autoSpaceDE w:val="0"/>
        <w:autoSpaceDN w:val="0"/>
        <w:adjustRightInd w:val="0"/>
        <w:snapToGrid w:val="0"/>
        <w:spacing w:after="0" w:line="360" w:lineRule="auto"/>
        <w:ind w:firstLine="709"/>
        <w:jc w:val="both"/>
        <w:rPr>
          <w:rFonts w:ascii="Times New Roman" w:hAnsi="Times New Roman"/>
          <w:b/>
          <w:sz w:val="28"/>
          <w:szCs w:val="28"/>
          <w:lang w:val="ru"/>
        </w:rPr>
      </w:pPr>
      <w:r>
        <w:rPr>
          <w:rFonts w:ascii="Times New Roman" w:hAnsi="Times New Roman"/>
          <w:b/>
          <w:sz w:val="28"/>
          <w:szCs w:val="28"/>
          <w:lang w:val="ru"/>
        </w:rPr>
        <w:t>2.5.1 Приготування магнетиту 2:1</w:t>
      </w:r>
    </w:p>
    <w:p w:rsidR="00F1629C" w:rsidRDefault="00E671D2">
      <w:pPr>
        <w:autoSpaceDE w:val="0"/>
        <w:autoSpaceDN w:val="0"/>
        <w:adjustRightInd w:val="0"/>
        <w:snapToGrid w:val="0"/>
        <w:spacing w:after="0" w:line="360" w:lineRule="auto"/>
        <w:ind w:firstLine="709"/>
        <w:jc w:val="both"/>
        <w:rPr>
          <w:rFonts w:ascii="Times New Roman" w:hAnsi="Times New Roman"/>
          <w:bCs/>
          <w:sz w:val="28"/>
          <w:szCs w:val="28"/>
          <w:lang w:val="ru"/>
        </w:rPr>
      </w:pPr>
      <w:r>
        <w:rPr>
          <w:rFonts w:ascii="Times New Roman" w:hAnsi="Times New Roman"/>
          <w:bCs/>
          <w:sz w:val="28"/>
          <w:szCs w:val="28"/>
          <w:lang w:val="ru"/>
        </w:rPr>
        <w:t>Для</w:t>
      </w:r>
      <w:r>
        <w:rPr>
          <w:rFonts w:ascii="Times New Roman" w:hAnsi="Times New Roman"/>
          <w:bCs/>
          <w:sz w:val="28"/>
          <w:szCs w:val="28"/>
          <w:lang w:val="ru"/>
        </w:rPr>
        <w:t xml:space="preserve"> приготування Fe</w:t>
      </w:r>
      <w:r>
        <w:rPr>
          <w:rFonts w:ascii="Times New Roman" w:hAnsi="Times New Roman"/>
          <w:bCs/>
          <w:sz w:val="28"/>
          <w:szCs w:val="28"/>
          <w:vertAlign w:val="subscript"/>
          <w:lang w:val="ru"/>
        </w:rPr>
        <w:t>3</w:t>
      </w:r>
      <w:r>
        <w:rPr>
          <w:rFonts w:ascii="Times New Roman" w:hAnsi="Times New Roman"/>
          <w:bCs/>
          <w:sz w:val="28"/>
          <w:szCs w:val="28"/>
          <w:lang w:val="ru"/>
        </w:rPr>
        <w:t>O</w:t>
      </w:r>
      <w:r>
        <w:rPr>
          <w:rFonts w:ascii="Times New Roman" w:hAnsi="Times New Roman"/>
          <w:bCs/>
          <w:sz w:val="28"/>
          <w:szCs w:val="28"/>
          <w:vertAlign w:val="subscript"/>
          <w:lang w:val="ru"/>
        </w:rPr>
        <w:t>4</w:t>
      </w:r>
      <w:r>
        <w:rPr>
          <w:rFonts w:ascii="Times New Roman" w:hAnsi="Times New Roman"/>
          <w:bCs/>
          <w:sz w:val="28"/>
          <w:szCs w:val="28"/>
          <w:lang w:val="ru"/>
        </w:rPr>
        <w:t xml:space="preserve"> бралися наважки FeSO</w:t>
      </w:r>
      <w:r>
        <w:rPr>
          <w:rFonts w:ascii="Times New Roman" w:hAnsi="Times New Roman"/>
          <w:bCs/>
          <w:sz w:val="28"/>
          <w:szCs w:val="28"/>
          <w:vertAlign w:val="subscript"/>
          <w:lang w:val="ru"/>
        </w:rPr>
        <w:t>4</w:t>
      </w:r>
      <w:r>
        <w:rPr>
          <w:rFonts w:ascii="Times New Roman" w:hAnsi="Times New Roman"/>
          <w:bCs/>
          <w:sz w:val="28"/>
          <w:szCs w:val="28"/>
          <w:lang w:val="ru"/>
        </w:rPr>
        <w:t>*6H</w:t>
      </w:r>
      <w:r>
        <w:rPr>
          <w:rFonts w:ascii="Times New Roman" w:hAnsi="Times New Roman"/>
          <w:bCs/>
          <w:sz w:val="28"/>
          <w:szCs w:val="28"/>
          <w:vertAlign w:val="subscript"/>
          <w:lang w:val="ru"/>
        </w:rPr>
        <w:t>2</w:t>
      </w:r>
      <w:r>
        <w:rPr>
          <w:rFonts w:ascii="Times New Roman" w:hAnsi="Times New Roman"/>
          <w:bCs/>
          <w:sz w:val="28"/>
          <w:szCs w:val="28"/>
          <w:lang w:val="ru"/>
        </w:rPr>
        <w:t>O та FeCl</w:t>
      </w:r>
      <w:r>
        <w:rPr>
          <w:rFonts w:ascii="Times New Roman" w:hAnsi="Times New Roman"/>
          <w:bCs/>
          <w:sz w:val="28"/>
          <w:szCs w:val="28"/>
          <w:vertAlign w:val="subscript"/>
          <w:lang w:val="ru"/>
        </w:rPr>
        <w:t>3</w:t>
      </w:r>
      <w:r>
        <w:rPr>
          <w:rFonts w:ascii="Times New Roman" w:hAnsi="Times New Roman"/>
          <w:bCs/>
          <w:sz w:val="28"/>
          <w:szCs w:val="28"/>
          <w:lang w:val="ru"/>
        </w:rPr>
        <w:t>*6H</w:t>
      </w:r>
      <w:r>
        <w:rPr>
          <w:rFonts w:ascii="Times New Roman" w:hAnsi="Times New Roman"/>
          <w:bCs/>
          <w:sz w:val="28"/>
          <w:szCs w:val="28"/>
          <w:vertAlign w:val="subscript"/>
          <w:lang w:val="ru"/>
        </w:rPr>
        <w:t>2</w:t>
      </w:r>
      <w:r>
        <w:rPr>
          <w:rFonts w:ascii="Times New Roman" w:hAnsi="Times New Roman"/>
          <w:bCs/>
          <w:sz w:val="28"/>
          <w:szCs w:val="28"/>
          <w:lang w:val="ru"/>
        </w:rPr>
        <w:t>O у кількостях 2,78 та 5,4 г відповідно. Дані наважки окремо розчинювались у 50 см</w:t>
      </w:r>
      <w:r>
        <w:rPr>
          <w:rFonts w:ascii="Times New Roman" w:hAnsi="Times New Roman"/>
          <w:bCs/>
          <w:sz w:val="28"/>
          <w:szCs w:val="28"/>
          <w:vertAlign w:val="superscript"/>
          <w:lang w:val="ru"/>
        </w:rPr>
        <w:t>3</w:t>
      </w:r>
      <w:r>
        <w:rPr>
          <w:rFonts w:ascii="Times New Roman" w:hAnsi="Times New Roman"/>
          <w:bCs/>
          <w:sz w:val="28"/>
          <w:szCs w:val="28"/>
          <w:lang w:val="ru"/>
        </w:rPr>
        <w:t xml:space="preserve"> дистильованої води, після чого зливались у сосуд, ємністю 500 см</w:t>
      </w:r>
      <w:r>
        <w:rPr>
          <w:rFonts w:ascii="Times New Roman" w:hAnsi="Times New Roman"/>
          <w:bCs/>
          <w:sz w:val="28"/>
          <w:szCs w:val="28"/>
          <w:vertAlign w:val="superscript"/>
          <w:lang w:val="ru"/>
        </w:rPr>
        <w:t>3</w:t>
      </w:r>
      <w:r>
        <w:rPr>
          <w:rFonts w:ascii="Times New Roman" w:hAnsi="Times New Roman"/>
          <w:bCs/>
          <w:sz w:val="28"/>
          <w:szCs w:val="28"/>
          <w:lang w:val="ru"/>
        </w:rPr>
        <w:t xml:space="preserve">. Після цього, об’єм розчину доводився до 400 - </w:t>
      </w:r>
      <w:r>
        <w:rPr>
          <w:rFonts w:ascii="Times New Roman" w:hAnsi="Times New Roman"/>
          <w:bCs/>
          <w:sz w:val="28"/>
          <w:szCs w:val="28"/>
          <w:lang w:val="ru"/>
        </w:rPr>
        <w:t>500 см</w:t>
      </w:r>
      <w:r>
        <w:rPr>
          <w:rFonts w:ascii="Times New Roman" w:hAnsi="Times New Roman"/>
          <w:bCs/>
          <w:sz w:val="28"/>
          <w:szCs w:val="28"/>
          <w:vertAlign w:val="superscript"/>
          <w:lang w:val="ru"/>
        </w:rPr>
        <w:t>3</w:t>
      </w:r>
      <w:r>
        <w:rPr>
          <w:rFonts w:ascii="Times New Roman" w:hAnsi="Times New Roman"/>
          <w:bCs/>
          <w:sz w:val="28"/>
          <w:szCs w:val="28"/>
          <w:lang w:val="ru"/>
        </w:rPr>
        <w:t>. Далі рН розчину доводився до 9-10 за лакмусовим індикатором при додаванні реагенту крапельно та при постійному перемішуванні за допомогою концентрованого розчину NH</w:t>
      </w:r>
      <w:r>
        <w:rPr>
          <w:rFonts w:ascii="Times New Roman" w:hAnsi="Times New Roman"/>
          <w:bCs/>
          <w:sz w:val="28"/>
          <w:szCs w:val="28"/>
          <w:vertAlign w:val="subscript"/>
          <w:lang w:val="ru"/>
        </w:rPr>
        <w:t>4</w:t>
      </w:r>
      <w:r>
        <w:rPr>
          <w:rFonts w:ascii="Times New Roman" w:hAnsi="Times New Roman"/>
          <w:bCs/>
          <w:sz w:val="28"/>
          <w:szCs w:val="28"/>
          <w:lang w:val="ru"/>
        </w:rPr>
        <w:t>OH. Після доведення рН та появи характерного чорного забарвлення, утворений Fe</w:t>
      </w:r>
      <w:r>
        <w:rPr>
          <w:rFonts w:ascii="Times New Roman" w:hAnsi="Times New Roman"/>
          <w:bCs/>
          <w:sz w:val="28"/>
          <w:szCs w:val="28"/>
          <w:vertAlign w:val="subscript"/>
          <w:lang w:val="ru"/>
        </w:rPr>
        <w:t>3</w:t>
      </w:r>
      <w:r>
        <w:rPr>
          <w:rFonts w:ascii="Times New Roman" w:hAnsi="Times New Roman"/>
          <w:bCs/>
          <w:sz w:val="28"/>
          <w:szCs w:val="28"/>
          <w:lang w:val="ru"/>
        </w:rPr>
        <w:t>O</w:t>
      </w:r>
      <w:r>
        <w:rPr>
          <w:rFonts w:ascii="Times New Roman" w:hAnsi="Times New Roman"/>
          <w:bCs/>
          <w:sz w:val="28"/>
          <w:szCs w:val="28"/>
          <w:vertAlign w:val="subscript"/>
          <w:lang w:val="ru"/>
        </w:rPr>
        <w:t>4</w:t>
      </w:r>
      <w:r>
        <w:rPr>
          <w:rFonts w:ascii="Times New Roman" w:hAnsi="Times New Roman"/>
          <w:bCs/>
          <w:sz w:val="28"/>
          <w:szCs w:val="28"/>
          <w:lang w:val="ru"/>
        </w:rPr>
        <w:t xml:space="preserve"> </w:t>
      </w:r>
      <w:r>
        <w:rPr>
          <w:rFonts w:ascii="Times New Roman" w:hAnsi="Times New Roman"/>
          <w:bCs/>
          <w:sz w:val="28"/>
          <w:szCs w:val="28"/>
          <w:lang w:val="ru"/>
        </w:rPr>
        <w:t>відстоювався на магніті протягом не менш ніж 30 хвилин. Після відстоювання та, відповідно, повного осадження магнетиту, послідовною декантацією рН розчину доводився до нейтрального дистильованою водою. Після доведення рН до нейтрального, розчин кількісно п</w:t>
      </w:r>
      <w:r>
        <w:rPr>
          <w:rFonts w:ascii="Times New Roman" w:hAnsi="Times New Roman"/>
          <w:bCs/>
          <w:sz w:val="28"/>
          <w:szCs w:val="28"/>
          <w:lang w:val="ru"/>
        </w:rPr>
        <w:t>ереносився у більшу ємність та його об’єм доводився до 1 дм</w:t>
      </w:r>
      <w:r>
        <w:rPr>
          <w:rFonts w:ascii="Times New Roman" w:hAnsi="Times New Roman"/>
          <w:bCs/>
          <w:sz w:val="28"/>
          <w:szCs w:val="28"/>
          <w:vertAlign w:val="superscript"/>
          <w:lang w:val="ru"/>
        </w:rPr>
        <w:t>3</w:t>
      </w:r>
      <w:r>
        <w:rPr>
          <w:rFonts w:ascii="Times New Roman" w:hAnsi="Times New Roman"/>
          <w:bCs/>
          <w:sz w:val="28"/>
          <w:szCs w:val="28"/>
          <w:lang w:val="ru"/>
        </w:rPr>
        <w:t>. Після цього концентрація магнетиту складала 2,3 г/дм</w:t>
      </w:r>
      <w:r>
        <w:rPr>
          <w:rFonts w:ascii="Times New Roman" w:hAnsi="Times New Roman"/>
          <w:bCs/>
          <w:sz w:val="28"/>
          <w:szCs w:val="28"/>
          <w:vertAlign w:val="superscript"/>
          <w:lang w:val="ru"/>
        </w:rPr>
        <w:t>3</w:t>
      </w:r>
      <w:r>
        <w:rPr>
          <w:rFonts w:ascii="Times New Roman" w:hAnsi="Times New Roman"/>
          <w:bCs/>
          <w:sz w:val="28"/>
          <w:szCs w:val="28"/>
          <w:lang w:val="ru"/>
        </w:rPr>
        <w:t>.</w:t>
      </w:r>
    </w:p>
    <w:p w:rsidR="00F1629C" w:rsidRDefault="00E671D2">
      <w:pPr>
        <w:autoSpaceDE w:val="0"/>
        <w:autoSpaceDN w:val="0"/>
        <w:adjustRightInd w:val="0"/>
        <w:snapToGrid w:val="0"/>
        <w:spacing w:after="0" w:line="360" w:lineRule="auto"/>
        <w:ind w:firstLine="709"/>
        <w:jc w:val="both"/>
        <w:rPr>
          <w:rFonts w:ascii="Times New Roman" w:hAnsi="Times New Roman"/>
          <w:b/>
          <w:sz w:val="28"/>
          <w:szCs w:val="28"/>
          <w:lang w:val="ru"/>
        </w:rPr>
      </w:pPr>
      <w:r>
        <w:rPr>
          <w:rFonts w:ascii="Times New Roman" w:hAnsi="Times New Roman"/>
          <w:b/>
          <w:sz w:val="28"/>
          <w:szCs w:val="28"/>
          <w:lang w:val="ru"/>
        </w:rPr>
        <w:t>2.5.2 Приготування магнетиту 1:1</w:t>
      </w:r>
    </w:p>
    <w:p w:rsidR="00F1629C" w:rsidRDefault="00E671D2">
      <w:pPr>
        <w:autoSpaceDE w:val="0"/>
        <w:autoSpaceDN w:val="0"/>
        <w:adjustRightInd w:val="0"/>
        <w:snapToGrid w:val="0"/>
        <w:spacing w:after="0" w:line="360" w:lineRule="auto"/>
        <w:ind w:firstLine="709"/>
        <w:jc w:val="both"/>
        <w:rPr>
          <w:rFonts w:ascii="Times New Roman" w:hAnsi="Times New Roman"/>
          <w:bCs/>
          <w:sz w:val="28"/>
          <w:szCs w:val="28"/>
          <w:lang w:val="ru"/>
        </w:rPr>
      </w:pPr>
      <w:r>
        <w:rPr>
          <w:rFonts w:ascii="Times New Roman" w:hAnsi="Times New Roman"/>
          <w:bCs/>
          <w:sz w:val="28"/>
          <w:szCs w:val="28"/>
          <w:lang w:val="ru"/>
        </w:rPr>
        <w:t>Для приготування Fe</w:t>
      </w:r>
      <w:r>
        <w:rPr>
          <w:rFonts w:ascii="Times New Roman" w:hAnsi="Times New Roman"/>
          <w:bCs/>
          <w:sz w:val="28"/>
          <w:szCs w:val="28"/>
          <w:vertAlign w:val="subscript"/>
          <w:lang w:val="ru"/>
        </w:rPr>
        <w:t>3</w:t>
      </w:r>
      <w:r>
        <w:rPr>
          <w:rFonts w:ascii="Times New Roman" w:hAnsi="Times New Roman"/>
          <w:bCs/>
          <w:sz w:val="28"/>
          <w:szCs w:val="28"/>
          <w:lang w:val="ru"/>
        </w:rPr>
        <w:t>O</w:t>
      </w:r>
      <w:r>
        <w:rPr>
          <w:rFonts w:ascii="Times New Roman" w:hAnsi="Times New Roman"/>
          <w:bCs/>
          <w:sz w:val="28"/>
          <w:szCs w:val="28"/>
          <w:vertAlign w:val="subscript"/>
          <w:lang w:val="ru"/>
        </w:rPr>
        <w:t>4</w:t>
      </w:r>
      <w:r>
        <w:rPr>
          <w:rFonts w:ascii="Times New Roman" w:hAnsi="Times New Roman"/>
          <w:bCs/>
          <w:sz w:val="28"/>
          <w:szCs w:val="28"/>
          <w:lang w:val="ru"/>
        </w:rPr>
        <w:t xml:space="preserve"> бралися наважки FeSO</w:t>
      </w:r>
      <w:r>
        <w:rPr>
          <w:rFonts w:ascii="Times New Roman" w:hAnsi="Times New Roman"/>
          <w:bCs/>
          <w:sz w:val="28"/>
          <w:szCs w:val="28"/>
          <w:vertAlign w:val="subscript"/>
          <w:lang w:val="ru"/>
        </w:rPr>
        <w:t>4</w:t>
      </w:r>
      <w:r>
        <w:rPr>
          <w:rFonts w:ascii="Times New Roman" w:hAnsi="Times New Roman"/>
          <w:bCs/>
          <w:sz w:val="28"/>
          <w:szCs w:val="28"/>
          <w:lang w:val="ru"/>
        </w:rPr>
        <w:t>*6H</w:t>
      </w:r>
      <w:r>
        <w:rPr>
          <w:rFonts w:ascii="Times New Roman" w:hAnsi="Times New Roman"/>
          <w:bCs/>
          <w:sz w:val="28"/>
          <w:szCs w:val="28"/>
          <w:vertAlign w:val="subscript"/>
          <w:lang w:val="ru"/>
        </w:rPr>
        <w:t>2</w:t>
      </w:r>
      <w:r>
        <w:rPr>
          <w:rFonts w:ascii="Times New Roman" w:hAnsi="Times New Roman"/>
          <w:bCs/>
          <w:sz w:val="28"/>
          <w:szCs w:val="28"/>
          <w:lang w:val="ru"/>
        </w:rPr>
        <w:t>O та FeCl</w:t>
      </w:r>
      <w:r>
        <w:rPr>
          <w:rFonts w:ascii="Times New Roman" w:hAnsi="Times New Roman"/>
          <w:bCs/>
          <w:sz w:val="28"/>
          <w:szCs w:val="28"/>
          <w:vertAlign w:val="subscript"/>
          <w:lang w:val="ru"/>
        </w:rPr>
        <w:t>3</w:t>
      </w:r>
      <w:r>
        <w:rPr>
          <w:rFonts w:ascii="Times New Roman" w:hAnsi="Times New Roman"/>
          <w:bCs/>
          <w:sz w:val="28"/>
          <w:szCs w:val="28"/>
          <w:lang w:val="ru"/>
        </w:rPr>
        <w:t>*6H</w:t>
      </w:r>
      <w:r>
        <w:rPr>
          <w:rFonts w:ascii="Times New Roman" w:hAnsi="Times New Roman"/>
          <w:bCs/>
          <w:sz w:val="28"/>
          <w:szCs w:val="28"/>
          <w:vertAlign w:val="subscript"/>
          <w:lang w:val="ru"/>
        </w:rPr>
        <w:t>2</w:t>
      </w:r>
      <w:r>
        <w:rPr>
          <w:rFonts w:ascii="Times New Roman" w:hAnsi="Times New Roman"/>
          <w:bCs/>
          <w:sz w:val="28"/>
          <w:szCs w:val="28"/>
          <w:lang w:val="ru"/>
        </w:rPr>
        <w:t>O у кількостях 5,56 та 5,4 г відповідно. Дан</w:t>
      </w:r>
      <w:r>
        <w:rPr>
          <w:rFonts w:ascii="Times New Roman" w:hAnsi="Times New Roman"/>
          <w:bCs/>
          <w:sz w:val="28"/>
          <w:szCs w:val="28"/>
          <w:lang w:val="ru"/>
        </w:rPr>
        <w:t>і наважки окремо розчинювались у 50 см</w:t>
      </w:r>
      <w:r>
        <w:rPr>
          <w:rFonts w:ascii="Times New Roman" w:hAnsi="Times New Roman"/>
          <w:bCs/>
          <w:sz w:val="28"/>
          <w:szCs w:val="28"/>
          <w:vertAlign w:val="superscript"/>
          <w:lang w:val="ru"/>
        </w:rPr>
        <w:t>3</w:t>
      </w:r>
      <w:r>
        <w:rPr>
          <w:rFonts w:ascii="Times New Roman" w:hAnsi="Times New Roman"/>
          <w:bCs/>
          <w:sz w:val="28"/>
          <w:szCs w:val="28"/>
          <w:lang w:val="ru"/>
        </w:rPr>
        <w:t xml:space="preserve"> дистильованої води, після чого зливались у сосуд, ємністю 500 см</w:t>
      </w:r>
      <w:r>
        <w:rPr>
          <w:rFonts w:ascii="Times New Roman" w:hAnsi="Times New Roman"/>
          <w:bCs/>
          <w:sz w:val="28"/>
          <w:szCs w:val="28"/>
          <w:vertAlign w:val="superscript"/>
          <w:lang w:val="ru"/>
        </w:rPr>
        <w:t>3</w:t>
      </w:r>
      <w:r>
        <w:rPr>
          <w:rFonts w:ascii="Times New Roman" w:hAnsi="Times New Roman"/>
          <w:bCs/>
          <w:sz w:val="28"/>
          <w:szCs w:val="28"/>
          <w:lang w:val="ru"/>
        </w:rPr>
        <w:t>. Після цього, об’єм розчину доводився до 400 - 500 см</w:t>
      </w:r>
      <w:r>
        <w:rPr>
          <w:rFonts w:ascii="Times New Roman" w:hAnsi="Times New Roman"/>
          <w:bCs/>
          <w:sz w:val="28"/>
          <w:szCs w:val="28"/>
          <w:vertAlign w:val="superscript"/>
          <w:lang w:val="ru"/>
        </w:rPr>
        <w:t>3</w:t>
      </w:r>
      <w:r>
        <w:rPr>
          <w:rFonts w:ascii="Times New Roman" w:hAnsi="Times New Roman"/>
          <w:bCs/>
          <w:sz w:val="28"/>
          <w:szCs w:val="28"/>
          <w:lang w:val="ru"/>
        </w:rPr>
        <w:t xml:space="preserve">. Далі рН розчину доводився до 9-10 за лакмусовим індикатором при додаванні реагенту крапельно </w:t>
      </w:r>
      <w:r>
        <w:rPr>
          <w:rFonts w:ascii="Times New Roman" w:hAnsi="Times New Roman"/>
          <w:bCs/>
          <w:sz w:val="28"/>
          <w:szCs w:val="28"/>
          <w:lang w:val="ru"/>
        </w:rPr>
        <w:t>та при постійному перемішуванні за допомогою концентрованого розчину NH</w:t>
      </w:r>
      <w:r>
        <w:rPr>
          <w:rFonts w:ascii="Times New Roman" w:hAnsi="Times New Roman"/>
          <w:bCs/>
          <w:sz w:val="28"/>
          <w:szCs w:val="28"/>
          <w:vertAlign w:val="subscript"/>
          <w:lang w:val="ru"/>
        </w:rPr>
        <w:t>4</w:t>
      </w:r>
      <w:r>
        <w:rPr>
          <w:rFonts w:ascii="Times New Roman" w:hAnsi="Times New Roman"/>
          <w:bCs/>
          <w:sz w:val="28"/>
          <w:szCs w:val="28"/>
          <w:lang w:val="ru"/>
        </w:rPr>
        <w:t>OH. Після доведення рН та появи характерного чорного забарвлення, утворений Fe</w:t>
      </w:r>
      <w:r>
        <w:rPr>
          <w:rFonts w:ascii="Times New Roman" w:hAnsi="Times New Roman"/>
          <w:bCs/>
          <w:sz w:val="28"/>
          <w:szCs w:val="28"/>
          <w:vertAlign w:val="subscript"/>
          <w:lang w:val="ru"/>
        </w:rPr>
        <w:t>3</w:t>
      </w:r>
      <w:r>
        <w:rPr>
          <w:rFonts w:ascii="Times New Roman" w:hAnsi="Times New Roman"/>
          <w:bCs/>
          <w:sz w:val="28"/>
          <w:szCs w:val="28"/>
          <w:lang w:val="ru"/>
        </w:rPr>
        <w:t>O</w:t>
      </w:r>
      <w:r>
        <w:rPr>
          <w:rFonts w:ascii="Times New Roman" w:hAnsi="Times New Roman"/>
          <w:bCs/>
          <w:sz w:val="28"/>
          <w:szCs w:val="28"/>
          <w:vertAlign w:val="subscript"/>
          <w:lang w:val="ru"/>
        </w:rPr>
        <w:t>4</w:t>
      </w:r>
      <w:r>
        <w:rPr>
          <w:rFonts w:ascii="Times New Roman" w:hAnsi="Times New Roman"/>
          <w:bCs/>
          <w:sz w:val="28"/>
          <w:szCs w:val="28"/>
          <w:lang w:val="ru"/>
        </w:rPr>
        <w:t xml:space="preserve"> відстоювався на магніті протягом не менш ніж 30 хвилин. Після відстоювання та, відповідно, повного оса</w:t>
      </w:r>
      <w:r>
        <w:rPr>
          <w:rFonts w:ascii="Times New Roman" w:hAnsi="Times New Roman"/>
          <w:bCs/>
          <w:sz w:val="28"/>
          <w:szCs w:val="28"/>
          <w:lang w:val="ru"/>
        </w:rPr>
        <w:t xml:space="preserve">дження магнетиту, послідовною декантацією рН розчину доводився до нейтрального дистильованою водою. </w:t>
      </w:r>
      <w:r>
        <w:rPr>
          <w:rFonts w:ascii="Times New Roman" w:hAnsi="Times New Roman"/>
          <w:bCs/>
          <w:sz w:val="28"/>
          <w:szCs w:val="28"/>
          <w:lang w:val="ru"/>
        </w:rPr>
        <w:lastRenderedPageBreak/>
        <w:t>Після доведення рН до нейтрального, розчин кількісно переносився у більшу ємність та його об’єм доводився до 1 дм</w:t>
      </w:r>
      <w:r>
        <w:rPr>
          <w:rFonts w:ascii="Times New Roman" w:hAnsi="Times New Roman"/>
          <w:bCs/>
          <w:sz w:val="28"/>
          <w:szCs w:val="28"/>
          <w:vertAlign w:val="superscript"/>
          <w:lang w:val="ru"/>
        </w:rPr>
        <w:t>3</w:t>
      </w:r>
      <w:r>
        <w:rPr>
          <w:rFonts w:ascii="Times New Roman" w:hAnsi="Times New Roman"/>
          <w:bCs/>
          <w:sz w:val="28"/>
          <w:szCs w:val="28"/>
          <w:lang w:val="ru"/>
        </w:rPr>
        <w:t>.</w:t>
      </w:r>
    </w:p>
    <w:p w:rsidR="00F1629C" w:rsidRDefault="00E671D2">
      <w:pPr>
        <w:autoSpaceDE w:val="0"/>
        <w:autoSpaceDN w:val="0"/>
        <w:adjustRightInd w:val="0"/>
        <w:snapToGrid w:val="0"/>
        <w:spacing w:after="0" w:line="360" w:lineRule="auto"/>
        <w:ind w:firstLine="709"/>
        <w:jc w:val="both"/>
        <w:rPr>
          <w:rFonts w:ascii="Times New Roman" w:hAnsi="Times New Roman"/>
          <w:b/>
          <w:sz w:val="28"/>
          <w:szCs w:val="28"/>
          <w:lang w:val="ru"/>
        </w:rPr>
      </w:pPr>
      <w:r>
        <w:rPr>
          <w:rFonts w:ascii="Times New Roman" w:hAnsi="Times New Roman"/>
          <w:b/>
          <w:sz w:val="28"/>
          <w:szCs w:val="28"/>
          <w:lang w:val="ru"/>
        </w:rPr>
        <w:t>2.5.3 Приготування магнетиту 2:1, модифі</w:t>
      </w:r>
      <w:r>
        <w:rPr>
          <w:rFonts w:ascii="Times New Roman" w:hAnsi="Times New Roman"/>
          <w:b/>
          <w:sz w:val="28"/>
          <w:szCs w:val="28"/>
          <w:lang w:val="ru"/>
        </w:rPr>
        <w:t>кованого Na</w:t>
      </w:r>
      <w:r>
        <w:rPr>
          <w:rFonts w:ascii="Times New Roman" w:hAnsi="Times New Roman"/>
          <w:b/>
          <w:sz w:val="28"/>
          <w:szCs w:val="28"/>
          <w:vertAlign w:val="subscript"/>
          <w:lang w:val="ru"/>
        </w:rPr>
        <w:t>2</w:t>
      </w:r>
      <w:r>
        <w:rPr>
          <w:rFonts w:ascii="Times New Roman" w:hAnsi="Times New Roman"/>
          <w:b/>
          <w:sz w:val="28"/>
          <w:szCs w:val="28"/>
          <w:lang w:val="ru"/>
        </w:rPr>
        <w:t>S</w:t>
      </w:r>
    </w:p>
    <w:p w:rsidR="00F1629C" w:rsidRDefault="00E671D2">
      <w:pPr>
        <w:autoSpaceDE w:val="0"/>
        <w:autoSpaceDN w:val="0"/>
        <w:adjustRightInd w:val="0"/>
        <w:snapToGrid w:val="0"/>
        <w:spacing w:after="0" w:line="360" w:lineRule="auto"/>
        <w:ind w:firstLine="709"/>
        <w:jc w:val="both"/>
        <w:rPr>
          <w:rFonts w:ascii="Times New Roman" w:hAnsi="Times New Roman"/>
          <w:bCs/>
          <w:sz w:val="28"/>
          <w:szCs w:val="28"/>
          <w:lang w:val="ru"/>
        </w:rPr>
      </w:pPr>
      <w:r>
        <w:rPr>
          <w:rFonts w:ascii="Times New Roman" w:hAnsi="Times New Roman"/>
          <w:bCs/>
          <w:sz w:val="28"/>
          <w:szCs w:val="28"/>
          <w:lang w:val="ru"/>
        </w:rPr>
        <w:t>Для приготування Fe</w:t>
      </w:r>
      <w:r>
        <w:rPr>
          <w:rFonts w:ascii="Times New Roman" w:hAnsi="Times New Roman"/>
          <w:bCs/>
          <w:sz w:val="28"/>
          <w:szCs w:val="28"/>
          <w:vertAlign w:val="subscript"/>
          <w:lang w:val="ru"/>
        </w:rPr>
        <w:t>3</w:t>
      </w:r>
      <w:r>
        <w:rPr>
          <w:rFonts w:ascii="Times New Roman" w:hAnsi="Times New Roman"/>
          <w:bCs/>
          <w:sz w:val="28"/>
          <w:szCs w:val="28"/>
          <w:lang w:val="ru"/>
        </w:rPr>
        <w:t>O</w:t>
      </w:r>
      <w:r>
        <w:rPr>
          <w:rFonts w:ascii="Times New Roman" w:hAnsi="Times New Roman"/>
          <w:bCs/>
          <w:sz w:val="28"/>
          <w:szCs w:val="28"/>
          <w:vertAlign w:val="subscript"/>
          <w:lang w:val="ru"/>
        </w:rPr>
        <w:t>4</w:t>
      </w:r>
      <w:r>
        <w:rPr>
          <w:rFonts w:ascii="Times New Roman" w:hAnsi="Times New Roman"/>
          <w:bCs/>
          <w:sz w:val="28"/>
          <w:szCs w:val="28"/>
          <w:lang w:val="ru"/>
        </w:rPr>
        <w:t xml:space="preserve"> бралися наважки FeSO</w:t>
      </w:r>
      <w:r>
        <w:rPr>
          <w:rFonts w:ascii="Times New Roman" w:hAnsi="Times New Roman"/>
          <w:bCs/>
          <w:sz w:val="28"/>
          <w:szCs w:val="28"/>
          <w:vertAlign w:val="subscript"/>
          <w:lang w:val="ru"/>
        </w:rPr>
        <w:t>4</w:t>
      </w:r>
      <w:r>
        <w:rPr>
          <w:rFonts w:ascii="Times New Roman" w:hAnsi="Times New Roman"/>
          <w:bCs/>
          <w:sz w:val="28"/>
          <w:szCs w:val="28"/>
          <w:lang w:val="ru"/>
        </w:rPr>
        <w:t>*6H</w:t>
      </w:r>
      <w:r>
        <w:rPr>
          <w:rFonts w:ascii="Times New Roman" w:hAnsi="Times New Roman"/>
          <w:bCs/>
          <w:sz w:val="28"/>
          <w:szCs w:val="28"/>
          <w:vertAlign w:val="subscript"/>
          <w:lang w:val="ru"/>
        </w:rPr>
        <w:t>2</w:t>
      </w:r>
      <w:r>
        <w:rPr>
          <w:rFonts w:ascii="Times New Roman" w:hAnsi="Times New Roman"/>
          <w:bCs/>
          <w:sz w:val="28"/>
          <w:szCs w:val="28"/>
          <w:lang w:val="ru"/>
        </w:rPr>
        <w:t>O та FeCl</w:t>
      </w:r>
      <w:r>
        <w:rPr>
          <w:rFonts w:ascii="Times New Roman" w:hAnsi="Times New Roman"/>
          <w:bCs/>
          <w:sz w:val="28"/>
          <w:szCs w:val="28"/>
          <w:vertAlign w:val="subscript"/>
          <w:lang w:val="ru"/>
        </w:rPr>
        <w:t>3</w:t>
      </w:r>
      <w:r>
        <w:rPr>
          <w:rFonts w:ascii="Times New Roman" w:hAnsi="Times New Roman"/>
          <w:bCs/>
          <w:sz w:val="28"/>
          <w:szCs w:val="28"/>
          <w:lang w:val="ru"/>
        </w:rPr>
        <w:t>*6H</w:t>
      </w:r>
      <w:r>
        <w:rPr>
          <w:rFonts w:ascii="Times New Roman" w:hAnsi="Times New Roman"/>
          <w:bCs/>
          <w:sz w:val="28"/>
          <w:szCs w:val="28"/>
          <w:vertAlign w:val="subscript"/>
          <w:lang w:val="ru"/>
        </w:rPr>
        <w:t>2</w:t>
      </w:r>
      <w:r>
        <w:rPr>
          <w:rFonts w:ascii="Times New Roman" w:hAnsi="Times New Roman"/>
          <w:bCs/>
          <w:sz w:val="28"/>
          <w:szCs w:val="28"/>
          <w:lang w:val="ru"/>
        </w:rPr>
        <w:t>O у кількостях 2,78 та 5,4 г відповідно. Дані наважки окремо розчинювались у 50 см</w:t>
      </w:r>
      <w:r>
        <w:rPr>
          <w:rFonts w:ascii="Times New Roman" w:hAnsi="Times New Roman"/>
          <w:bCs/>
          <w:sz w:val="28"/>
          <w:szCs w:val="28"/>
          <w:vertAlign w:val="superscript"/>
          <w:lang w:val="ru"/>
        </w:rPr>
        <w:t>3</w:t>
      </w:r>
      <w:r>
        <w:rPr>
          <w:rFonts w:ascii="Times New Roman" w:hAnsi="Times New Roman"/>
          <w:bCs/>
          <w:sz w:val="28"/>
          <w:szCs w:val="28"/>
          <w:lang w:val="ru"/>
        </w:rPr>
        <w:t xml:space="preserve"> дистильованої води, після чого зливались у сосуд, ємністю 500 см</w:t>
      </w:r>
      <w:r>
        <w:rPr>
          <w:rFonts w:ascii="Times New Roman" w:hAnsi="Times New Roman"/>
          <w:bCs/>
          <w:sz w:val="28"/>
          <w:szCs w:val="28"/>
          <w:vertAlign w:val="superscript"/>
          <w:lang w:val="ru"/>
        </w:rPr>
        <w:t>3</w:t>
      </w:r>
      <w:r>
        <w:rPr>
          <w:rFonts w:ascii="Times New Roman" w:hAnsi="Times New Roman"/>
          <w:bCs/>
          <w:sz w:val="28"/>
          <w:szCs w:val="28"/>
          <w:lang w:val="ru"/>
        </w:rPr>
        <w:t>. Після цього, об’єм розчину до</w:t>
      </w:r>
      <w:r>
        <w:rPr>
          <w:rFonts w:ascii="Times New Roman" w:hAnsi="Times New Roman"/>
          <w:bCs/>
          <w:sz w:val="28"/>
          <w:szCs w:val="28"/>
          <w:lang w:val="ru"/>
        </w:rPr>
        <w:t>водився до 400 - 500 см</w:t>
      </w:r>
      <w:r>
        <w:rPr>
          <w:rFonts w:ascii="Times New Roman" w:hAnsi="Times New Roman"/>
          <w:bCs/>
          <w:sz w:val="28"/>
          <w:szCs w:val="28"/>
          <w:vertAlign w:val="superscript"/>
          <w:lang w:val="ru"/>
        </w:rPr>
        <w:t>3</w:t>
      </w:r>
      <w:r>
        <w:rPr>
          <w:rFonts w:ascii="Times New Roman" w:hAnsi="Times New Roman"/>
          <w:bCs/>
          <w:sz w:val="28"/>
          <w:szCs w:val="28"/>
          <w:lang w:val="ru"/>
        </w:rPr>
        <w:t>. Далі рН розчину доводився до 9-10 за лакмусовим індикатором при додаванні реагенту крапельно та при постійному перемішуванні за допомогою розчину Na</w:t>
      </w:r>
      <w:r>
        <w:rPr>
          <w:rFonts w:ascii="Times New Roman" w:hAnsi="Times New Roman"/>
          <w:bCs/>
          <w:sz w:val="28"/>
          <w:szCs w:val="28"/>
          <w:vertAlign w:val="subscript"/>
          <w:lang w:val="ru"/>
        </w:rPr>
        <w:t>2</w:t>
      </w:r>
      <w:r>
        <w:rPr>
          <w:rFonts w:ascii="Times New Roman" w:hAnsi="Times New Roman"/>
          <w:bCs/>
          <w:sz w:val="28"/>
          <w:szCs w:val="28"/>
          <w:lang w:val="ru"/>
        </w:rPr>
        <w:t>S, попередньо розчиненого у суміші аміаку з дистильованю водою таким чином, що ко</w:t>
      </w:r>
      <w:r>
        <w:rPr>
          <w:rFonts w:ascii="Times New Roman" w:hAnsi="Times New Roman"/>
          <w:bCs/>
          <w:sz w:val="28"/>
          <w:szCs w:val="28"/>
          <w:lang w:val="ru"/>
        </w:rPr>
        <w:t>нцентрація амміаку складала 20%, а Na</w:t>
      </w:r>
      <w:r>
        <w:rPr>
          <w:rFonts w:ascii="Times New Roman" w:hAnsi="Times New Roman"/>
          <w:bCs/>
          <w:sz w:val="28"/>
          <w:szCs w:val="28"/>
          <w:vertAlign w:val="subscript"/>
          <w:lang w:val="ru"/>
        </w:rPr>
        <w:t>2</w:t>
      </w:r>
      <w:r>
        <w:rPr>
          <w:rFonts w:ascii="Times New Roman" w:hAnsi="Times New Roman"/>
          <w:bCs/>
          <w:sz w:val="28"/>
          <w:szCs w:val="28"/>
          <w:lang w:val="ru"/>
        </w:rPr>
        <w:t>S - 4%. Після доведення рН та появи характерного чорного забарвлення, утворений Fe</w:t>
      </w:r>
      <w:r>
        <w:rPr>
          <w:rFonts w:ascii="Times New Roman" w:hAnsi="Times New Roman"/>
          <w:bCs/>
          <w:sz w:val="28"/>
          <w:szCs w:val="28"/>
          <w:vertAlign w:val="subscript"/>
          <w:lang w:val="ru"/>
        </w:rPr>
        <w:t>3</w:t>
      </w:r>
      <w:r>
        <w:rPr>
          <w:rFonts w:ascii="Times New Roman" w:hAnsi="Times New Roman"/>
          <w:bCs/>
          <w:sz w:val="28"/>
          <w:szCs w:val="28"/>
          <w:lang w:val="ru"/>
        </w:rPr>
        <w:t>O</w:t>
      </w:r>
      <w:r>
        <w:rPr>
          <w:rFonts w:ascii="Times New Roman" w:hAnsi="Times New Roman"/>
          <w:bCs/>
          <w:sz w:val="28"/>
          <w:szCs w:val="28"/>
          <w:vertAlign w:val="subscript"/>
          <w:lang w:val="ru"/>
        </w:rPr>
        <w:t>4</w:t>
      </w:r>
      <w:r>
        <w:rPr>
          <w:rFonts w:ascii="Times New Roman" w:hAnsi="Times New Roman"/>
          <w:bCs/>
          <w:sz w:val="28"/>
          <w:szCs w:val="28"/>
          <w:lang w:val="ru"/>
        </w:rPr>
        <w:t xml:space="preserve"> відстоювався на магніті протягом не менш ніж 30 хвилин. Після відстоювання та, відповідно, повного осадження магнетиту, послідовною </w:t>
      </w:r>
      <w:r>
        <w:rPr>
          <w:rFonts w:ascii="Times New Roman" w:hAnsi="Times New Roman"/>
          <w:bCs/>
          <w:sz w:val="28"/>
          <w:szCs w:val="28"/>
          <w:lang w:val="ru"/>
        </w:rPr>
        <w:t>декантацією рН розчину доводився до нейтрального дистильованою водою. Після доведення рН до нейтрального, розчин кількісно переносився у більшу ємність та його об’єм доводився до 1 дм</w:t>
      </w:r>
      <w:r>
        <w:rPr>
          <w:rFonts w:ascii="Times New Roman" w:hAnsi="Times New Roman"/>
          <w:bCs/>
          <w:sz w:val="28"/>
          <w:szCs w:val="28"/>
          <w:vertAlign w:val="superscript"/>
          <w:lang w:val="ru"/>
        </w:rPr>
        <w:t>3</w:t>
      </w:r>
      <w:r>
        <w:rPr>
          <w:rFonts w:ascii="Times New Roman" w:hAnsi="Times New Roman"/>
          <w:bCs/>
          <w:sz w:val="28"/>
          <w:szCs w:val="28"/>
          <w:lang w:val="ru"/>
        </w:rPr>
        <w:t xml:space="preserve">. </w:t>
      </w:r>
    </w:p>
    <w:p w:rsidR="00F1629C" w:rsidRDefault="00F1629C">
      <w:pPr>
        <w:autoSpaceDE w:val="0"/>
        <w:autoSpaceDN w:val="0"/>
        <w:adjustRightInd w:val="0"/>
        <w:snapToGrid w:val="0"/>
        <w:spacing w:after="0" w:line="360" w:lineRule="auto"/>
        <w:ind w:firstLine="709"/>
        <w:jc w:val="both"/>
        <w:rPr>
          <w:rFonts w:ascii="Times New Roman" w:hAnsi="Times New Roman"/>
          <w:bCs/>
          <w:sz w:val="28"/>
          <w:szCs w:val="28"/>
          <w:lang w:val="ru"/>
        </w:rPr>
      </w:pPr>
    </w:p>
    <w:p w:rsidR="00F1629C" w:rsidRDefault="00E671D2">
      <w:pPr>
        <w:autoSpaceDE w:val="0"/>
        <w:autoSpaceDN w:val="0"/>
        <w:adjustRightInd w:val="0"/>
        <w:snapToGrid w:val="0"/>
        <w:spacing w:after="0" w:line="360" w:lineRule="auto"/>
        <w:ind w:firstLine="709"/>
        <w:jc w:val="both"/>
        <w:rPr>
          <w:rFonts w:ascii="Times New Roman" w:eastAsia="等?" w:hAnsi="Times New Roman"/>
          <w:b/>
          <w:sz w:val="28"/>
          <w:szCs w:val="28"/>
        </w:rPr>
      </w:pPr>
      <w:r>
        <w:rPr>
          <w:rStyle w:val="af0"/>
          <w:rFonts w:ascii="Times New Roman" w:hAnsi="Times New Roman"/>
          <w:i w:val="0"/>
          <w:color w:val="000000"/>
          <w:sz w:val="28"/>
          <w:szCs w:val="28"/>
        </w:rPr>
        <w:t>2.</w:t>
      </w:r>
      <w:r>
        <w:rPr>
          <w:rStyle w:val="af0"/>
          <w:rFonts w:ascii="Times New Roman" w:hAnsi="Times New Roman"/>
          <w:i w:val="0"/>
          <w:color w:val="000000"/>
          <w:sz w:val="28"/>
          <w:szCs w:val="28"/>
          <w:lang w:val="ru"/>
        </w:rPr>
        <w:t>6</w:t>
      </w:r>
      <w:r>
        <w:rPr>
          <w:rStyle w:val="af0"/>
          <w:rFonts w:ascii="Times New Roman" w:hAnsi="Times New Roman"/>
          <w:i w:val="0"/>
          <w:color w:val="000000"/>
          <w:sz w:val="28"/>
          <w:szCs w:val="28"/>
        </w:rPr>
        <w:t xml:space="preserve"> </w:t>
      </w:r>
      <w:r>
        <w:rPr>
          <w:rFonts w:ascii="Times New Roman" w:eastAsia="等?" w:hAnsi="Times New Roman"/>
          <w:b/>
          <w:sz w:val="28"/>
          <w:szCs w:val="28"/>
        </w:rPr>
        <w:t>Методи аналізу</w:t>
      </w:r>
    </w:p>
    <w:p w:rsidR="00F1629C" w:rsidRDefault="00E671D2">
      <w:pPr>
        <w:autoSpaceDE w:val="0"/>
        <w:autoSpaceDN w:val="0"/>
        <w:adjustRightInd w:val="0"/>
        <w:snapToGrid w:val="0"/>
        <w:spacing w:after="0" w:line="360" w:lineRule="auto"/>
        <w:ind w:firstLine="709"/>
        <w:jc w:val="both"/>
        <w:rPr>
          <w:rFonts w:ascii="Times New Roman" w:hAnsi="Times New Roman"/>
          <w:b/>
          <w:sz w:val="28"/>
          <w:szCs w:val="28"/>
        </w:rPr>
      </w:pPr>
      <w:r>
        <w:rPr>
          <w:rFonts w:ascii="Times New Roman" w:hAnsi="Times New Roman"/>
          <w:b/>
          <w:sz w:val="28"/>
          <w:szCs w:val="28"/>
        </w:rPr>
        <w:t>2.</w:t>
      </w:r>
      <w:r>
        <w:rPr>
          <w:rFonts w:ascii="Times New Roman" w:hAnsi="Times New Roman"/>
          <w:b/>
          <w:sz w:val="28"/>
          <w:szCs w:val="28"/>
          <w:lang w:val="ru"/>
        </w:rPr>
        <w:t>6</w:t>
      </w:r>
      <w:r>
        <w:rPr>
          <w:rFonts w:ascii="Times New Roman" w:hAnsi="Times New Roman"/>
          <w:b/>
          <w:sz w:val="28"/>
          <w:szCs w:val="28"/>
        </w:rPr>
        <w:t>.</w:t>
      </w:r>
      <w:r>
        <w:rPr>
          <w:rFonts w:ascii="Times New Roman" w:hAnsi="Times New Roman"/>
          <w:b/>
          <w:sz w:val="28"/>
          <w:szCs w:val="28"/>
        </w:rPr>
        <w:t>1</w:t>
      </w:r>
      <w:r>
        <w:rPr>
          <w:rFonts w:ascii="Times New Roman" w:hAnsi="Times New Roman"/>
          <w:b/>
          <w:sz w:val="28"/>
          <w:szCs w:val="28"/>
        </w:rPr>
        <w:t xml:space="preserve"> Методика визначення лужності, кислотності та жорсткості</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Лужність та кислотність</w:t>
      </w:r>
      <w:r>
        <w:rPr>
          <w:rFonts w:ascii="Times New Roman" w:hAnsi="Times New Roman"/>
          <w:sz w:val="28"/>
          <w:szCs w:val="28"/>
        </w:rPr>
        <w:t xml:space="preserve"> розчинів</w:t>
      </w:r>
      <w:r>
        <w:rPr>
          <w:rFonts w:ascii="Times New Roman" w:hAnsi="Times New Roman"/>
          <w:sz w:val="28"/>
          <w:szCs w:val="28"/>
        </w:rPr>
        <w:t xml:space="preserve"> визначали методом кислотно-основного титрування із індикатором </w:t>
      </w:r>
      <w:r>
        <w:rPr>
          <w:rFonts w:ascii="Times New Roman" w:hAnsi="Times New Roman"/>
          <w:sz w:val="28"/>
          <w:szCs w:val="28"/>
          <w:lang w:val="en"/>
        </w:rPr>
        <w:t>фенолфталеїном</w:t>
      </w:r>
      <w:r>
        <w:rPr>
          <w:rFonts w:ascii="Times New Roman" w:hAnsi="Times New Roman"/>
          <w:sz w:val="28"/>
          <w:szCs w:val="28"/>
        </w:rPr>
        <w:t xml:space="preserve"> [</w:t>
      </w:r>
      <w:r>
        <w:rPr>
          <w:rFonts w:ascii="Times New Roman" w:hAnsi="Times New Roman"/>
          <w:sz w:val="28"/>
          <w:szCs w:val="28"/>
          <w:lang w:val="en"/>
        </w:rPr>
        <w:t>74</w:t>
      </w:r>
      <w:r>
        <w:rPr>
          <w:rFonts w:ascii="Times New Roman" w:hAnsi="Times New Roman"/>
          <w:sz w:val="28"/>
          <w:szCs w:val="28"/>
        </w:rPr>
        <w:t>]</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У чисту конічну колбу мірним циліндром відміря</w:t>
      </w:r>
      <w:r>
        <w:rPr>
          <w:rFonts w:ascii="Times New Roman" w:hAnsi="Times New Roman"/>
          <w:sz w:val="28"/>
          <w:szCs w:val="28"/>
          <w:lang w:val="en"/>
        </w:rPr>
        <w:t>лося</w:t>
      </w:r>
      <w:r>
        <w:rPr>
          <w:rFonts w:ascii="Times New Roman" w:hAnsi="Times New Roman"/>
          <w:sz w:val="28"/>
          <w:szCs w:val="28"/>
        </w:rPr>
        <w:t xml:space="preserve"> 100 см</w:t>
      </w:r>
      <w:r>
        <w:rPr>
          <w:rFonts w:ascii="Times New Roman" w:hAnsi="Times New Roman"/>
          <w:sz w:val="28"/>
          <w:szCs w:val="28"/>
          <w:vertAlign w:val="superscript"/>
        </w:rPr>
        <w:t>3</w:t>
      </w:r>
      <w:r>
        <w:rPr>
          <w:rFonts w:ascii="Times New Roman" w:hAnsi="Times New Roman"/>
          <w:sz w:val="28"/>
          <w:szCs w:val="28"/>
        </w:rPr>
        <w:t xml:space="preserve"> аналізованої води і дода</w:t>
      </w:r>
      <w:r>
        <w:rPr>
          <w:rFonts w:ascii="Times New Roman" w:hAnsi="Times New Roman"/>
          <w:sz w:val="28"/>
          <w:szCs w:val="28"/>
          <w:lang w:val="en"/>
        </w:rPr>
        <w:t>вався</w:t>
      </w:r>
      <w:r>
        <w:rPr>
          <w:rFonts w:ascii="Times New Roman" w:hAnsi="Times New Roman"/>
          <w:sz w:val="28"/>
          <w:szCs w:val="28"/>
        </w:rPr>
        <w:t xml:space="preserve"> індикатор фенолфталеїн.</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Якщо проба ма</w:t>
      </w:r>
      <w:r>
        <w:rPr>
          <w:rFonts w:ascii="Times New Roman" w:hAnsi="Times New Roman"/>
          <w:sz w:val="28"/>
          <w:szCs w:val="28"/>
          <w:lang w:val="en"/>
        </w:rPr>
        <w:t>ла</w:t>
      </w:r>
      <w:r>
        <w:rPr>
          <w:rFonts w:ascii="Times New Roman" w:hAnsi="Times New Roman"/>
          <w:sz w:val="28"/>
          <w:szCs w:val="28"/>
        </w:rPr>
        <w:t xml:space="preserve"> рожеве забарвлення, її титру</w:t>
      </w:r>
      <w:r>
        <w:rPr>
          <w:rFonts w:ascii="Times New Roman" w:hAnsi="Times New Roman"/>
          <w:sz w:val="28"/>
          <w:szCs w:val="28"/>
          <w:lang w:val="en"/>
        </w:rPr>
        <w:t>вали</w:t>
      </w:r>
      <w:r>
        <w:rPr>
          <w:rFonts w:ascii="Times New Roman" w:hAnsi="Times New Roman"/>
          <w:sz w:val="28"/>
          <w:szCs w:val="28"/>
        </w:rPr>
        <w:t xml:space="preserve"> стандартним розчином соляної кислоти до знебарвлення розчину. Результат титрування занос</w:t>
      </w:r>
      <w:r>
        <w:rPr>
          <w:rFonts w:ascii="Times New Roman" w:hAnsi="Times New Roman"/>
          <w:sz w:val="28"/>
          <w:szCs w:val="28"/>
          <w:lang w:val="en"/>
        </w:rPr>
        <w:t>или</w:t>
      </w:r>
      <w:r>
        <w:rPr>
          <w:rFonts w:ascii="Times New Roman" w:hAnsi="Times New Roman"/>
          <w:sz w:val="28"/>
          <w:szCs w:val="28"/>
        </w:rPr>
        <w:t xml:space="preserve"> в журнал. </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Величина лужності визначається за формулами:</w:t>
      </w:r>
    </w:p>
    <w:p w:rsidR="00F1629C" w:rsidRDefault="00F1629C">
      <w:pPr>
        <w:spacing w:after="0" w:line="360" w:lineRule="auto"/>
        <w:ind w:right="-1" w:firstLine="567"/>
        <w:jc w:val="both"/>
        <w:rPr>
          <w:rFonts w:ascii="Times New Roman" w:hAnsi="Times New Roman"/>
          <w:sz w:val="28"/>
          <w:szCs w:val="28"/>
        </w:rPr>
      </w:pPr>
    </w:p>
    <w:p w:rsidR="00F1629C" w:rsidRDefault="00E671D2">
      <w:pPr>
        <w:spacing w:after="0" w:line="360" w:lineRule="auto"/>
        <w:ind w:right="-1" w:firstLine="567"/>
        <w:jc w:val="both"/>
        <w:rPr>
          <w:rFonts w:ascii="Times New Roman" w:hAnsi="Times New Roman"/>
          <w:sz w:val="28"/>
          <w:szCs w:val="28"/>
          <w:lang w:val="ru"/>
        </w:rPr>
      </w:pPr>
      <w:r>
        <w:rPr>
          <w:rFonts w:ascii="Times New Roman" w:hAnsi="Times New Roman"/>
          <w:sz w:val="28"/>
          <w:szCs w:val="28"/>
          <w:lang w:val="en"/>
        </w:rPr>
        <w:t>Л</w:t>
      </w:r>
      <w:r>
        <w:rPr>
          <w:rFonts w:ascii="Times New Roman" w:hAnsi="Times New Roman"/>
          <w:sz w:val="28"/>
          <w:szCs w:val="28"/>
          <w:vertAlign w:val="subscript"/>
        </w:rPr>
        <w:t>фф</w:t>
      </w:r>
      <w:r>
        <w:rPr>
          <w:rFonts w:ascii="Times New Roman" w:hAnsi="Times New Roman"/>
          <w:sz w:val="28"/>
          <w:szCs w:val="28"/>
        </w:rPr>
        <w:t xml:space="preserve"> = (a * C * 1000) / V, де</w:t>
      </w:r>
      <w:r>
        <w:rPr>
          <w:rFonts w:ascii="Times New Roman" w:hAnsi="Times New Roman"/>
          <w:sz w:val="28"/>
          <w:szCs w:val="28"/>
          <w:lang w:val="ru"/>
        </w:rPr>
        <w:t xml:space="preserve">                                                                      (2.6)</w:t>
      </w:r>
    </w:p>
    <w:p w:rsidR="00F1629C" w:rsidRDefault="00F1629C">
      <w:pPr>
        <w:spacing w:after="0" w:line="360" w:lineRule="auto"/>
        <w:ind w:right="-1" w:firstLine="567"/>
        <w:jc w:val="both"/>
        <w:rPr>
          <w:rFonts w:ascii="Times New Roman" w:hAnsi="Times New Roman"/>
          <w:sz w:val="28"/>
          <w:szCs w:val="28"/>
        </w:rPr>
      </w:pP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lang w:val="en"/>
        </w:rPr>
        <w:t>Л</w:t>
      </w:r>
      <w:r>
        <w:rPr>
          <w:rFonts w:ascii="Times New Roman" w:hAnsi="Times New Roman"/>
          <w:sz w:val="28"/>
          <w:szCs w:val="28"/>
          <w:vertAlign w:val="subscript"/>
        </w:rPr>
        <w:t>фф</w:t>
      </w:r>
      <w:r>
        <w:rPr>
          <w:rFonts w:ascii="Times New Roman" w:hAnsi="Times New Roman"/>
          <w:sz w:val="28"/>
          <w:szCs w:val="28"/>
        </w:rPr>
        <w:t xml:space="preserve"> - лужність проби за допомогою фенолфталеїну, мг-екв/</w:t>
      </w:r>
      <w:r>
        <w:rPr>
          <w:rFonts w:ascii="Times New Roman" w:hAnsi="Times New Roman"/>
          <w:sz w:val="28"/>
          <w:szCs w:val="28"/>
          <w:lang w:val="en"/>
        </w:rPr>
        <w:t>д</w:t>
      </w:r>
      <w:r>
        <w:rPr>
          <w:rFonts w:ascii="Times New Roman" w:hAnsi="Times New Roman"/>
          <w:sz w:val="28"/>
          <w:szCs w:val="28"/>
        </w:rPr>
        <w:t>м</w:t>
      </w:r>
      <w:r>
        <w:rPr>
          <w:rFonts w:ascii="Times New Roman" w:hAnsi="Times New Roman"/>
          <w:sz w:val="28"/>
          <w:szCs w:val="28"/>
          <w:vertAlign w:val="superscript"/>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а</w:t>
      </w:r>
      <w:r>
        <w:rPr>
          <w:rFonts w:ascii="Times New Roman" w:hAnsi="Times New Roman"/>
          <w:sz w:val="28"/>
          <w:szCs w:val="28"/>
          <w:vertAlign w:val="subscript"/>
          <w:lang w:val="en"/>
        </w:rPr>
        <w:t>фф</w:t>
      </w:r>
      <w:r>
        <w:rPr>
          <w:rFonts w:ascii="Times New Roman" w:hAnsi="Times New Roman"/>
          <w:sz w:val="28"/>
          <w:szCs w:val="28"/>
        </w:rPr>
        <w:t xml:space="preserve"> - витрата кислоти на титрування з індикатором фенолфталеїном, см</w:t>
      </w:r>
      <w:r>
        <w:rPr>
          <w:rFonts w:ascii="Times New Roman" w:hAnsi="Times New Roman"/>
          <w:sz w:val="28"/>
          <w:szCs w:val="28"/>
          <w:vertAlign w:val="superscript"/>
        </w:rPr>
        <w:t>3</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С - концентрація застос</w:t>
      </w:r>
      <w:r>
        <w:rPr>
          <w:rFonts w:ascii="Times New Roman" w:hAnsi="Times New Roman"/>
          <w:sz w:val="28"/>
          <w:szCs w:val="28"/>
        </w:rPr>
        <w:t>овуваного для титрування розчину соляної кислоти, г-екв/</w:t>
      </w:r>
      <w:r>
        <w:rPr>
          <w:rFonts w:ascii="Times New Roman" w:hAnsi="Times New Roman"/>
          <w:sz w:val="28"/>
          <w:szCs w:val="28"/>
          <w:lang w:val="en"/>
        </w:rPr>
        <w:t>д</w:t>
      </w:r>
      <w:r>
        <w:rPr>
          <w:rFonts w:ascii="Times New Roman" w:hAnsi="Times New Roman"/>
          <w:sz w:val="28"/>
          <w:szCs w:val="28"/>
        </w:rPr>
        <w:t>м</w:t>
      </w:r>
      <w:r>
        <w:rPr>
          <w:rFonts w:ascii="Times New Roman" w:hAnsi="Times New Roman"/>
          <w:sz w:val="28"/>
          <w:szCs w:val="28"/>
          <w:vertAlign w:val="superscript"/>
        </w:rPr>
        <w:t>3</w:t>
      </w:r>
      <w:r>
        <w:rPr>
          <w:rFonts w:ascii="Times New Roman" w:hAnsi="Times New Roman"/>
          <w:sz w:val="28"/>
          <w:szCs w:val="28"/>
        </w:rPr>
        <w:t xml:space="preserve"> (С = 0,1 або 0,01);</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V - об'єм взятої на титрування проби, см</w:t>
      </w:r>
      <w:r>
        <w:rPr>
          <w:rFonts w:ascii="Times New Roman" w:hAnsi="Times New Roman"/>
          <w:sz w:val="28"/>
          <w:szCs w:val="28"/>
          <w:vertAlign w:val="superscript"/>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Для отримання вільної кислотності до 100 мл проби додають 2 краплі метилового оранжевого розчину і титрують на білому тлі 0,1 </w:t>
      </w:r>
      <w:r>
        <w:rPr>
          <w:rFonts w:ascii="Times New Roman" w:hAnsi="Times New Roman"/>
          <w:sz w:val="28"/>
          <w:szCs w:val="28"/>
          <w:lang w:val="en"/>
        </w:rPr>
        <w:t>Н</w:t>
      </w:r>
      <w:r>
        <w:rPr>
          <w:rFonts w:ascii="Times New Roman" w:hAnsi="Times New Roman"/>
          <w:sz w:val="28"/>
          <w:szCs w:val="28"/>
        </w:rPr>
        <w:t xml:space="preserve"> розчи</w:t>
      </w:r>
      <w:r>
        <w:rPr>
          <w:rFonts w:ascii="Times New Roman" w:hAnsi="Times New Roman"/>
          <w:sz w:val="28"/>
          <w:szCs w:val="28"/>
        </w:rPr>
        <w:t>ном NaOH до появи жовтого забарвлення індикатора.</w:t>
      </w:r>
    </w:p>
    <w:p w:rsidR="00F1629C" w:rsidRDefault="00E671D2">
      <w:pPr>
        <w:spacing w:after="0" w:line="360" w:lineRule="auto"/>
        <w:ind w:right="-1" w:firstLine="700"/>
        <w:jc w:val="both"/>
        <w:rPr>
          <w:rFonts w:ascii="Times New Roman" w:hAnsi="Times New Roman"/>
          <w:sz w:val="28"/>
          <w:szCs w:val="28"/>
        </w:rPr>
      </w:pPr>
      <w:r>
        <w:rPr>
          <w:rFonts w:ascii="Times New Roman" w:hAnsi="Times New Roman"/>
          <w:sz w:val="28"/>
          <w:szCs w:val="28"/>
        </w:rPr>
        <w:t>Для отримання загальної кислотності до 100 мл проби додають 3 краплі розчину фенолфталеїну і титрують на білому тлі 0,1</w:t>
      </w:r>
      <w:r>
        <w:rPr>
          <w:rFonts w:ascii="Times New Roman" w:hAnsi="Times New Roman"/>
          <w:sz w:val="28"/>
          <w:szCs w:val="28"/>
          <w:lang w:val="en"/>
        </w:rPr>
        <w:t xml:space="preserve"> Н</w:t>
      </w:r>
      <w:r>
        <w:rPr>
          <w:rFonts w:ascii="Times New Roman" w:hAnsi="Times New Roman"/>
          <w:sz w:val="28"/>
          <w:szCs w:val="28"/>
        </w:rPr>
        <w:t xml:space="preserve"> розчином NaOH до появи рожевого забарвлення індикатора.</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Розрахунок здійснюють за фор</w:t>
      </w:r>
      <w:r>
        <w:rPr>
          <w:rFonts w:ascii="Times New Roman" w:hAnsi="Times New Roman"/>
          <w:sz w:val="28"/>
          <w:szCs w:val="28"/>
        </w:rPr>
        <w:t>мулами:</w:t>
      </w:r>
    </w:p>
    <w:p w:rsidR="00F1629C" w:rsidRDefault="00E671D2">
      <w:pPr>
        <w:spacing w:after="0" w:line="360" w:lineRule="auto"/>
        <w:ind w:right="-1" w:firstLine="567"/>
        <w:jc w:val="both"/>
        <w:rPr>
          <w:rFonts w:ascii="Times New Roman" w:hAnsi="Times New Roman"/>
          <w:sz w:val="28"/>
          <w:szCs w:val="28"/>
          <w:lang w:val="ru"/>
        </w:rPr>
      </w:pPr>
      <w:r>
        <w:rPr>
          <w:rFonts w:ascii="Times New Roman" w:hAnsi="Times New Roman"/>
          <w:sz w:val="28"/>
          <w:szCs w:val="28"/>
          <w:lang w:val="en"/>
        </w:rPr>
        <w:t>m = (a * 0,1 * 1000) / V;</w:t>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t>(2.7)</w:t>
      </w:r>
    </w:p>
    <w:p w:rsidR="00F1629C" w:rsidRDefault="00E671D2">
      <w:pPr>
        <w:spacing w:after="0" w:line="360" w:lineRule="auto"/>
        <w:ind w:right="-1" w:firstLine="567"/>
        <w:jc w:val="both"/>
        <w:rPr>
          <w:rFonts w:ascii="Times New Roman" w:hAnsi="Times New Roman"/>
          <w:sz w:val="28"/>
          <w:szCs w:val="28"/>
          <w:lang w:val="ru"/>
        </w:rPr>
      </w:pPr>
      <w:r>
        <w:rPr>
          <w:rFonts w:ascii="Times New Roman" w:hAnsi="Times New Roman"/>
          <w:sz w:val="28"/>
          <w:szCs w:val="28"/>
          <w:lang w:val="en"/>
        </w:rPr>
        <w:t>p = (b * 0,1 * 1000) / V;</w:t>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t>(2.8)</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де m - вільна кислотність, мг-екв/</w:t>
      </w:r>
      <w:r>
        <w:rPr>
          <w:rFonts w:ascii="Times New Roman" w:hAnsi="Times New Roman"/>
          <w:sz w:val="28"/>
          <w:szCs w:val="28"/>
          <w:lang w:val="en"/>
        </w:rPr>
        <w:t>дм</w:t>
      </w:r>
      <w:r>
        <w:rPr>
          <w:rFonts w:ascii="Times New Roman" w:hAnsi="Times New Roman"/>
          <w:sz w:val="28"/>
          <w:szCs w:val="28"/>
          <w:vertAlign w:val="superscript"/>
          <w:lang w:val="en"/>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a - обсяг 0,1 н розчину NaOH, витраченого на титрування по метилоранж</w:t>
      </w:r>
      <w:r>
        <w:rPr>
          <w:rFonts w:ascii="Times New Roman" w:hAnsi="Times New Roman"/>
          <w:sz w:val="28"/>
          <w:szCs w:val="28"/>
          <w:lang w:val="en"/>
        </w:rPr>
        <w:t>у</w:t>
      </w:r>
      <w:r>
        <w:rPr>
          <w:rFonts w:ascii="Times New Roman" w:hAnsi="Times New Roman"/>
          <w:sz w:val="28"/>
          <w:szCs w:val="28"/>
        </w:rPr>
        <w:t xml:space="preserve">, </w:t>
      </w:r>
      <w:r>
        <w:rPr>
          <w:rFonts w:ascii="Times New Roman" w:hAnsi="Times New Roman"/>
          <w:sz w:val="28"/>
          <w:szCs w:val="28"/>
          <w:lang w:val="en"/>
        </w:rPr>
        <w:t>см</w:t>
      </w:r>
      <w:r>
        <w:rPr>
          <w:rFonts w:ascii="Times New Roman" w:hAnsi="Times New Roman"/>
          <w:sz w:val="28"/>
          <w:szCs w:val="28"/>
          <w:vertAlign w:val="superscript"/>
          <w:lang w:val="en"/>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V - об'єм проби, взятої для титрування</w:t>
      </w:r>
      <w:r>
        <w:rPr>
          <w:rFonts w:ascii="Times New Roman" w:hAnsi="Times New Roman"/>
          <w:sz w:val="28"/>
          <w:szCs w:val="28"/>
          <w:lang w:val="en"/>
        </w:rPr>
        <w:t>, см</w:t>
      </w:r>
      <w:r>
        <w:rPr>
          <w:rFonts w:ascii="Times New Roman" w:hAnsi="Times New Roman"/>
          <w:sz w:val="28"/>
          <w:szCs w:val="28"/>
          <w:vertAlign w:val="superscript"/>
          <w:lang w:val="en"/>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Р - </w:t>
      </w:r>
      <w:r>
        <w:rPr>
          <w:rFonts w:ascii="Times New Roman" w:hAnsi="Times New Roman"/>
          <w:sz w:val="28"/>
          <w:szCs w:val="28"/>
        </w:rPr>
        <w:t>загальна кислотність мг-екв/</w:t>
      </w:r>
      <w:r>
        <w:rPr>
          <w:rFonts w:ascii="Times New Roman" w:hAnsi="Times New Roman"/>
          <w:sz w:val="28"/>
          <w:szCs w:val="28"/>
          <w:lang w:val="en"/>
        </w:rPr>
        <w:t>дм</w:t>
      </w:r>
      <w:r>
        <w:rPr>
          <w:rFonts w:ascii="Times New Roman" w:hAnsi="Times New Roman"/>
          <w:sz w:val="28"/>
          <w:szCs w:val="28"/>
          <w:vertAlign w:val="superscript"/>
          <w:lang w:val="en"/>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b - обсяг 0,1 н розчину NaOH, витраченого на титрування по фенолфталеїну, </w:t>
      </w:r>
      <w:r>
        <w:rPr>
          <w:rFonts w:ascii="Times New Roman" w:hAnsi="Times New Roman"/>
          <w:sz w:val="28"/>
          <w:szCs w:val="28"/>
          <w:lang w:val="en"/>
        </w:rPr>
        <w:t>см</w:t>
      </w:r>
      <w:r>
        <w:rPr>
          <w:rFonts w:ascii="Times New Roman" w:hAnsi="Times New Roman"/>
          <w:sz w:val="28"/>
          <w:szCs w:val="28"/>
          <w:vertAlign w:val="superscript"/>
          <w:lang w:val="en"/>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Визначення жорсткості проводили </w:t>
      </w:r>
      <w:r>
        <w:rPr>
          <w:rFonts w:ascii="Times New Roman" w:hAnsi="Times New Roman"/>
          <w:sz w:val="28"/>
          <w:szCs w:val="28"/>
        </w:rPr>
        <w:t>за допомогою трилонометрії. Досліджуваний розчин титрувався розчином трилону Б в п</w:t>
      </w:r>
      <w:r>
        <w:rPr>
          <w:rFonts w:ascii="Times New Roman" w:hAnsi="Times New Roman"/>
          <w:sz w:val="28"/>
          <w:szCs w:val="28"/>
        </w:rPr>
        <w:t>р</w:t>
      </w:r>
      <w:r>
        <w:rPr>
          <w:rFonts w:ascii="Times New Roman" w:hAnsi="Times New Roman"/>
          <w:sz w:val="28"/>
          <w:szCs w:val="28"/>
        </w:rPr>
        <w:t xml:space="preserve">исутності еріохрому чорного </w:t>
      </w:r>
      <w:r>
        <w:rPr>
          <w:rFonts w:ascii="Times New Roman" w:hAnsi="Times New Roman"/>
          <w:sz w:val="28"/>
          <w:szCs w:val="28"/>
        </w:rPr>
        <w:t>Т, при рН 8–10 [</w:t>
      </w:r>
      <w:r>
        <w:rPr>
          <w:rFonts w:ascii="Times New Roman" w:hAnsi="Times New Roman"/>
          <w:sz w:val="28"/>
          <w:szCs w:val="28"/>
          <w:lang w:val="en"/>
        </w:rPr>
        <w:t>74</w:t>
      </w:r>
      <w:r>
        <w:rPr>
          <w:rFonts w:ascii="Times New Roman" w:hAnsi="Times New Roman"/>
          <w:sz w:val="28"/>
          <w:szCs w:val="28"/>
        </w:rPr>
        <w:t>]</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 xml:space="preserve">У колбу відміряють з бюретки або піпеткою 25 </w:t>
      </w:r>
      <w:r>
        <w:rPr>
          <w:rFonts w:ascii="Times New Roman" w:hAnsi="Times New Roman"/>
          <w:sz w:val="28"/>
          <w:szCs w:val="28"/>
          <w:lang w:val="en"/>
        </w:rPr>
        <w:t>см</w:t>
      </w:r>
      <w:r>
        <w:rPr>
          <w:rFonts w:ascii="Times New Roman" w:hAnsi="Times New Roman"/>
          <w:sz w:val="28"/>
          <w:szCs w:val="28"/>
          <w:vertAlign w:val="superscript"/>
          <w:lang w:val="en"/>
        </w:rPr>
        <w:t>3</w:t>
      </w:r>
      <w:r>
        <w:rPr>
          <w:rFonts w:ascii="Times New Roman" w:hAnsi="Times New Roman"/>
          <w:sz w:val="28"/>
          <w:szCs w:val="28"/>
        </w:rPr>
        <w:t xml:space="preserve"> досліджуваної водопровідної води, додають 5 </w:t>
      </w:r>
      <w:r>
        <w:rPr>
          <w:rFonts w:ascii="Times New Roman" w:hAnsi="Times New Roman"/>
          <w:sz w:val="28"/>
          <w:szCs w:val="28"/>
          <w:lang w:val="en"/>
        </w:rPr>
        <w:t>см</w:t>
      </w:r>
      <w:r>
        <w:rPr>
          <w:rFonts w:ascii="Times New Roman" w:hAnsi="Times New Roman"/>
          <w:sz w:val="28"/>
          <w:szCs w:val="28"/>
          <w:vertAlign w:val="superscript"/>
          <w:lang w:val="en"/>
        </w:rPr>
        <w:t>3</w:t>
      </w:r>
      <w:r>
        <w:rPr>
          <w:rFonts w:ascii="Times New Roman" w:hAnsi="Times New Roman"/>
          <w:sz w:val="28"/>
          <w:szCs w:val="28"/>
        </w:rPr>
        <w:t xml:space="preserve"> аміачного буфера, виміряного циліндром, і кілька кристаликів індикатора (еріхрома чорного Т) до отримання винно-червоного забарвлення. Пот</w:t>
      </w:r>
      <w:r>
        <w:rPr>
          <w:rFonts w:ascii="Times New Roman" w:hAnsi="Times New Roman"/>
          <w:sz w:val="28"/>
          <w:szCs w:val="28"/>
        </w:rPr>
        <w:t>ім повільно з бюретки титрують суміш розчином трилону Б до переходу забарвлення в зеленувато-син</w:t>
      </w:r>
      <w:r>
        <w:rPr>
          <w:rFonts w:ascii="Times New Roman" w:hAnsi="Times New Roman"/>
          <w:sz w:val="28"/>
          <w:szCs w:val="28"/>
          <w:lang w:val="en"/>
        </w:rPr>
        <w:t>є</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lastRenderedPageBreak/>
        <w:t>Загальну жорсткість води (Ж</w:t>
      </w:r>
      <w:r>
        <w:rPr>
          <w:rFonts w:ascii="Times New Roman" w:hAnsi="Times New Roman"/>
          <w:sz w:val="28"/>
          <w:szCs w:val="28"/>
          <w:vertAlign w:val="subscript"/>
          <w:lang w:val="en"/>
        </w:rPr>
        <w:t>з</w:t>
      </w:r>
      <w:r>
        <w:rPr>
          <w:rFonts w:ascii="Times New Roman" w:hAnsi="Times New Roman"/>
          <w:sz w:val="28"/>
          <w:szCs w:val="28"/>
        </w:rPr>
        <w:t>) розраховують за формулою:</w:t>
      </w:r>
    </w:p>
    <w:p w:rsidR="00F1629C" w:rsidRDefault="00E671D2">
      <w:pPr>
        <w:spacing w:after="0" w:line="360" w:lineRule="auto"/>
        <w:ind w:right="-1" w:firstLine="567"/>
        <w:jc w:val="both"/>
        <w:rPr>
          <w:rFonts w:ascii="Times New Roman" w:hAnsi="Times New Roman"/>
          <w:sz w:val="28"/>
          <w:szCs w:val="28"/>
          <w:lang w:val="ru"/>
        </w:rPr>
      </w:pPr>
      <w:r>
        <w:rPr>
          <w:rFonts w:ascii="Times New Roman" w:hAnsi="Times New Roman"/>
          <w:sz w:val="28"/>
          <w:szCs w:val="28"/>
          <w:lang w:val="en"/>
        </w:rPr>
        <w:t>Ж</w:t>
      </w:r>
      <w:r>
        <w:rPr>
          <w:rFonts w:ascii="Times New Roman" w:hAnsi="Times New Roman"/>
          <w:sz w:val="28"/>
          <w:szCs w:val="28"/>
          <w:vertAlign w:val="subscript"/>
          <w:lang w:val="en"/>
        </w:rPr>
        <w:t xml:space="preserve">з </w:t>
      </w:r>
      <w:r>
        <w:rPr>
          <w:rFonts w:ascii="Times New Roman" w:hAnsi="Times New Roman"/>
          <w:sz w:val="28"/>
          <w:szCs w:val="28"/>
          <w:lang w:val="en"/>
        </w:rPr>
        <w:t>= С</w:t>
      </w:r>
      <w:r>
        <w:rPr>
          <w:rFonts w:ascii="Times New Roman" w:hAnsi="Times New Roman"/>
          <w:sz w:val="28"/>
          <w:szCs w:val="28"/>
          <w:vertAlign w:val="subscript"/>
          <w:lang w:val="en"/>
        </w:rPr>
        <w:t>N</w:t>
      </w:r>
      <w:r>
        <w:rPr>
          <w:rFonts w:ascii="Times New Roman" w:hAnsi="Times New Roman"/>
          <w:sz w:val="28"/>
          <w:szCs w:val="28"/>
          <w:lang w:val="en"/>
        </w:rPr>
        <w:t xml:space="preserve"> * V</w:t>
      </w:r>
      <w:r>
        <w:rPr>
          <w:rFonts w:ascii="Times New Roman" w:hAnsi="Times New Roman"/>
          <w:sz w:val="28"/>
          <w:szCs w:val="28"/>
          <w:vertAlign w:val="subscript"/>
          <w:lang w:val="en"/>
        </w:rPr>
        <w:t>1</w:t>
      </w:r>
      <w:r>
        <w:rPr>
          <w:rFonts w:ascii="Times New Roman" w:hAnsi="Times New Roman"/>
          <w:sz w:val="28"/>
          <w:szCs w:val="28"/>
          <w:lang w:val="en"/>
        </w:rPr>
        <w:t xml:space="preserve"> / V</w:t>
      </w:r>
      <w:r>
        <w:rPr>
          <w:rFonts w:ascii="Times New Roman" w:hAnsi="Times New Roman"/>
          <w:sz w:val="28"/>
          <w:szCs w:val="28"/>
          <w:vertAlign w:val="subscript"/>
          <w:lang w:val="en"/>
        </w:rPr>
        <w:t>2</w:t>
      </w:r>
      <w:r>
        <w:rPr>
          <w:rFonts w:ascii="Times New Roman" w:hAnsi="Times New Roman"/>
          <w:sz w:val="28"/>
          <w:szCs w:val="28"/>
        </w:rPr>
        <w:t>,</w:t>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r>
      <w:r>
        <w:rPr>
          <w:rFonts w:ascii="Times New Roman" w:hAnsi="Times New Roman"/>
          <w:sz w:val="28"/>
          <w:szCs w:val="28"/>
          <w:lang w:val="ru"/>
        </w:rPr>
        <w:tab/>
        <w:t>(2.9)</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Де</w:t>
      </w:r>
      <w:r>
        <w:rPr>
          <w:rFonts w:ascii="Times New Roman" w:hAnsi="Times New Roman"/>
          <w:sz w:val="28"/>
          <w:szCs w:val="28"/>
          <w:lang w:val="en"/>
        </w:rPr>
        <w:t xml:space="preserve"> </w:t>
      </w:r>
      <w:r>
        <w:rPr>
          <w:rFonts w:ascii="Times New Roman" w:hAnsi="Times New Roman"/>
          <w:sz w:val="28"/>
          <w:szCs w:val="28"/>
        </w:rPr>
        <w:t>V</w:t>
      </w:r>
      <w:r>
        <w:rPr>
          <w:rFonts w:ascii="Times New Roman" w:hAnsi="Times New Roman"/>
          <w:sz w:val="28"/>
          <w:szCs w:val="28"/>
          <w:vertAlign w:val="subscript"/>
        </w:rPr>
        <w:t>1</w:t>
      </w:r>
      <w:r>
        <w:rPr>
          <w:rFonts w:ascii="Times New Roman" w:hAnsi="Times New Roman"/>
          <w:sz w:val="28"/>
          <w:szCs w:val="28"/>
        </w:rPr>
        <w:t xml:space="preserve"> - об'єм розчину трилону Б, витрачений на титрування (</w:t>
      </w:r>
      <w:r>
        <w:rPr>
          <w:rFonts w:ascii="Times New Roman" w:hAnsi="Times New Roman"/>
          <w:sz w:val="28"/>
          <w:szCs w:val="28"/>
          <w:lang w:val="en"/>
        </w:rPr>
        <w:t>см</w:t>
      </w:r>
      <w:r>
        <w:rPr>
          <w:rFonts w:ascii="Times New Roman" w:hAnsi="Times New Roman"/>
          <w:sz w:val="28"/>
          <w:szCs w:val="28"/>
          <w:vertAlign w:val="superscript"/>
          <w:lang w:val="en"/>
        </w:rPr>
        <w:t>3</w:t>
      </w:r>
      <w:r>
        <w:rPr>
          <w:rFonts w:ascii="Times New Roman" w:hAnsi="Times New Roman"/>
          <w:sz w:val="28"/>
          <w:szCs w:val="28"/>
        </w:rPr>
        <w:t>);</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С</w:t>
      </w:r>
      <w:r>
        <w:rPr>
          <w:rFonts w:ascii="Times New Roman" w:hAnsi="Times New Roman"/>
          <w:sz w:val="28"/>
          <w:szCs w:val="28"/>
          <w:vertAlign w:val="subscript"/>
        </w:rPr>
        <w:t>N</w:t>
      </w:r>
      <w:r>
        <w:rPr>
          <w:rFonts w:ascii="Times New Roman" w:hAnsi="Times New Roman"/>
          <w:sz w:val="28"/>
          <w:szCs w:val="28"/>
        </w:rPr>
        <w:t xml:space="preserve"> - нормальність розчину трилону Б (0,05N)</w:t>
      </w:r>
    </w:p>
    <w:p w:rsidR="00F1629C" w:rsidRDefault="00E671D2">
      <w:pPr>
        <w:spacing w:after="0" w:line="360" w:lineRule="auto"/>
        <w:ind w:right="-1" w:firstLine="567"/>
        <w:jc w:val="both"/>
        <w:rPr>
          <w:rFonts w:ascii="Times New Roman" w:hAnsi="Times New Roman"/>
          <w:sz w:val="28"/>
          <w:szCs w:val="28"/>
        </w:rPr>
      </w:pPr>
      <w:r>
        <w:rPr>
          <w:rFonts w:ascii="Times New Roman" w:hAnsi="Times New Roman"/>
          <w:sz w:val="28"/>
          <w:szCs w:val="28"/>
        </w:rPr>
        <w:t>V</w:t>
      </w:r>
      <w:r>
        <w:rPr>
          <w:rFonts w:ascii="Times New Roman" w:hAnsi="Times New Roman"/>
          <w:sz w:val="28"/>
          <w:szCs w:val="28"/>
          <w:vertAlign w:val="subscript"/>
        </w:rPr>
        <w:t>2</w:t>
      </w:r>
      <w:r>
        <w:rPr>
          <w:rFonts w:ascii="Times New Roman" w:hAnsi="Times New Roman"/>
          <w:sz w:val="28"/>
          <w:szCs w:val="28"/>
        </w:rPr>
        <w:t xml:space="preserve"> - обсяг досліджуваної води (</w:t>
      </w:r>
      <w:r>
        <w:rPr>
          <w:rFonts w:ascii="Times New Roman" w:hAnsi="Times New Roman"/>
          <w:sz w:val="28"/>
          <w:szCs w:val="28"/>
          <w:lang w:val="en"/>
        </w:rPr>
        <w:t>см</w:t>
      </w:r>
      <w:r>
        <w:rPr>
          <w:rFonts w:ascii="Times New Roman" w:hAnsi="Times New Roman"/>
          <w:sz w:val="28"/>
          <w:szCs w:val="28"/>
          <w:vertAlign w:val="superscript"/>
          <w:lang w:val="en"/>
        </w:rPr>
        <w:t>3</w:t>
      </w:r>
      <w:r>
        <w:rPr>
          <w:rFonts w:ascii="Times New Roman" w:hAnsi="Times New Roman"/>
          <w:sz w:val="28"/>
          <w:szCs w:val="28"/>
        </w:rPr>
        <w:t>).</w:t>
      </w:r>
    </w:p>
    <w:p w:rsidR="00F1629C" w:rsidRDefault="00F1629C">
      <w:pPr>
        <w:spacing w:after="0" w:line="360" w:lineRule="auto"/>
        <w:ind w:right="-1" w:firstLine="567"/>
        <w:jc w:val="both"/>
        <w:rPr>
          <w:rFonts w:ascii="Times New Roman" w:hAnsi="Times New Roman"/>
          <w:sz w:val="28"/>
          <w:szCs w:val="28"/>
        </w:rPr>
      </w:pPr>
    </w:p>
    <w:p w:rsidR="00F1629C" w:rsidRDefault="00E671D2">
      <w:pPr>
        <w:spacing w:after="0" w:line="360" w:lineRule="auto"/>
        <w:ind w:right="-1" w:firstLine="700"/>
        <w:jc w:val="both"/>
        <w:rPr>
          <w:rFonts w:ascii="Times New Roman" w:hAnsi="Times New Roman"/>
          <w:b/>
          <w:sz w:val="28"/>
          <w:szCs w:val="28"/>
        </w:rPr>
      </w:pPr>
      <w:r>
        <w:rPr>
          <w:rFonts w:ascii="Times New Roman" w:hAnsi="Times New Roman"/>
          <w:b/>
          <w:sz w:val="28"/>
          <w:szCs w:val="28"/>
        </w:rPr>
        <w:t>2.</w:t>
      </w:r>
      <w:r>
        <w:rPr>
          <w:rFonts w:ascii="Times New Roman" w:hAnsi="Times New Roman"/>
          <w:b/>
          <w:sz w:val="28"/>
          <w:szCs w:val="28"/>
          <w:lang w:val="ru"/>
        </w:rPr>
        <w:t>6</w:t>
      </w:r>
      <w:r>
        <w:rPr>
          <w:rFonts w:ascii="Times New Roman" w:hAnsi="Times New Roman"/>
          <w:b/>
          <w:sz w:val="28"/>
          <w:szCs w:val="28"/>
        </w:rPr>
        <w:t>.</w:t>
      </w:r>
      <w:r>
        <w:rPr>
          <w:rFonts w:ascii="Times New Roman" w:hAnsi="Times New Roman"/>
          <w:b/>
          <w:sz w:val="28"/>
          <w:szCs w:val="28"/>
        </w:rPr>
        <w:t>2</w:t>
      </w:r>
      <w:r>
        <w:rPr>
          <w:rFonts w:ascii="Times New Roman" w:hAnsi="Times New Roman"/>
          <w:b/>
          <w:sz w:val="28"/>
          <w:szCs w:val="28"/>
        </w:rPr>
        <w:t xml:space="preserve"> Методика визначення </w:t>
      </w:r>
      <w:r>
        <w:rPr>
          <w:rFonts w:ascii="Times New Roman" w:hAnsi="Times New Roman"/>
          <w:b/>
          <w:sz w:val="28"/>
          <w:szCs w:val="28"/>
        </w:rPr>
        <w:t>концентрації важких металів</w:t>
      </w:r>
    </w:p>
    <w:p w:rsidR="00F1629C" w:rsidRDefault="00E671D2">
      <w:pPr>
        <w:snapToGrid w:val="0"/>
        <w:spacing w:after="0" w:line="360" w:lineRule="auto"/>
        <w:ind w:firstLine="700"/>
        <w:jc w:val="both"/>
        <w:rPr>
          <w:rFonts w:ascii="Times New Roman" w:hAnsi="Times New Roman"/>
          <w:sz w:val="28"/>
          <w:szCs w:val="28"/>
        </w:rPr>
      </w:pPr>
      <w:r>
        <w:rPr>
          <w:rFonts w:ascii="Times New Roman" w:hAnsi="Times New Roman"/>
          <w:sz w:val="28"/>
          <w:szCs w:val="28"/>
        </w:rPr>
        <w:t xml:space="preserve">Визначення концентрації </w:t>
      </w:r>
      <w:r>
        <w:rPr>
          <w:rFonts w:ascii="Times New Roman" w:hAnsi="Times New Roman"/>
          <w:sz w:val="28"/>
          <w:szCs w:val="28"/>
        </w:rPr>
        <w:t>йон</w:t>
      </w:r>
      <w:r>
        <w:rPr>
          <w:rFonts w:ascii="Times New Roman" w:hAnsi="Times New Roman"/>
          <w:sz w:val="28"/>
          <w:szCs w:val="28"/>
        </w:rPr>
        <w:t>ів металів в розведених розчинах проводили при вико</w:t>
      </w:r>
      <w:r>
        <w:rPr>
          <w:rFonts w:ascii="Times New Roman" w:hAnsi="Times New Roman"/>
          <w:sz w:val="28"/>
          <w:szCs w:val="28"/>
        </w:rPr>
        <w:t>рис</w:t>
      </w:r>
      <w:r>
        <w:rPr>
          <w:rFonts w:ascii="Times New Roman" w:hAnsi="Times New Roman"/>
          <w:sz w:val="28"/>
          <w:szCs w:val="28"/>
        </w:rPr>
        <w:t xml:space="preserve">танні електроду, покритого амальгамою </w:t>
      </w:r>
      <w:r>
        <w:rPr>
          <w:rFonts w:ascii="Times New Roman" w:hAnsi="Times New Roman"/>
          <w:sz w:val="28"/>
          <w:szCs w:val="28"/>
        </w:rPr>
        <w:t>ртуті, методом інверсійної хронопотенціометрії [</w:t>
      </w:r>
      <w:r>
        <w:rPr>
          <w:rFonts w:ascii="Times New Roman" w:hAnsi="Times New Roman"/>
          <w:sz w:val="28"/>
          <w:szCs w:val="28"/>
          <w:lang w:val="ru"/>
        </w:rPr>
        <w:t>75</w:t>
      </w:r>
      <w:r>
        <w:rPr>
          <w:rFonts w:ascii="Times New Roman" w:hAnsi="Times New Roman"/>
          <w:sz w:val="28"/>
          <w:szCs w:val="28"/>
        </w:rPr>
        <w:t xml:space="preserve">]. Суть методу інверсійної хронопотенціометрії (ІХП) полягає у вимірі часу розчинення </w:t>
      </w:r>
      <w:r>
        <w:rPr>
          <w:rFonts w:ascii="Times New Roman" w:hAnsi="Times New Roman"/>
          <w:sz w:val="28"/>
          <w:szCs w:val="28"/>
        </w:rPr>
        <w:t>Me</w:t>
      </w:r>
      <w:r>
        <w:rPr>
          <w:rFonts w:ascii="Times New Roman" w:hAnsi="Times New Roman"/>
          <w:sz w:val="28"/>
          <w:szCs w:val="28"/>
          <w:vertAlign w:val="superscript"/>
        </w:rPr>
        <w:t>n</w:t>
      </w:r>
      <w:r>
        <w:rPr>
          <w:rFonts w:ascii="Times New Roman" w:hAnsi="Times New Roman"/>
          <w:sz w:val="28"/>
          <w:szCs w:val="28"/>
          <w:vertAlign w:val="superscript"/>
        </w:rPr>
        <w:t>+</w:t>
      </w:r>
      <w:r>
        <w:rPr>
          <w:rFonts w:ascii="Times New Roman" w:hAnsi="Times New Roman"/>
          <w:sz w:val="28"/>
          <w:szCs w:val="28"/>
        </w:rPr>
        <w:t xml:space="preserve"> з поверхні індикаторного електроду, який був попередньо сконцентрований на ньому під час електролізу.</w:t>
      </w:r>
    </w:p>
    <w:p w:rsidR="00F1629C" w:rsidRDefault="00E671D2">
      <w:pPr>
        <w:snapToGrid w:val="0"/>
        <w:spacing w:after="0" w:line="360" w:lineRule="auto"/>
        <w:ind w:firstLine="700"/>
        <w:jc w:val="both"/>
        <w:rPr>
          <w:rFonts w:ascii="Times New Roman" w:hAnsi="Times New Roman"/>
          <w:sz w:val="28"/>
          <w:szCs w:val="28"/>
          <w:lang w:val="ru"/>
        </w:rPr>
      </w:pPr>
      <w:r>
        <w:rPr>
          <w:rFonts w:ascii="Times New Roman" w:hAnsi="Times New Roman"/>
          <w:sz w:val="28"/>
          <w:szCs w:val="28"/>
          <w:lang w:val="ru"/>
        </w:rPr>
        <w:t>При</w:t>
      </w:r>
      <w:r>
        <w:rPr>
          <w:rFonts w:ascii="Times New Roman" w:hAnsi="Times New Roman"/>
          <w:sz w:val="28"/>
          <w:szCs w:val="28"/>
          <w:lang w:val="ru"/>
        </w:rPr>
        <w:t xml:space="preserve"> визначенн</w:t>
      </w:r>
      <w:r>
        <w:rPr>
          <w:rFonts w:ascii="Times New Roman" w:hAnsi="Times New Roman"/>
          <w:sz w:val="28"/>
          <w:szCs w:val="28"/>
          <w:lang w:val="ru"/>
        </w:rPr>
        <w:t>і міді після сорбції на магнетиті була використана фотоколориметрична методика. В пробу додавалося 1 - 5 см</w:t>
      </w:r>
      <w:r>
        <w:rPr>
          <w:rFonts w:ascii="Times New Roman" w:hAnsi="Times New Roman"/>
          <w:sz w:val="28"/>
          <w:szCs w:val="28"/>
          <w:vertAlign w:val="superscript"/>
          <w:lang w:val="ru"/>
        </w:rPr>
        <w:t>3</w:t>
      </w:r>
      <w:r>
        <w:rPr>
          <w:rFonts w:ascii="Times New Roman" w:hAnsi="Times New Roman"/>
          <w:sz w:val="28"/>
          <w:szCs w:val="28"/>
          <w:lang w:val="ru"/>
        </w:rPr>
        <w:t xml:space="preserve"> дослідного розчину, що містить мідь. До проби додавалося 5 см</w:t>
      </w:r>
      <w:r>
        <w:rPr>
          <w:rFonts w:ascii="Times New Roman" w:hAnsi="Times New Roman"/>
          <w:sz w:val="28"/>
          <w:szCs w:val="28"/>
          <w:vertAlign w:val="superscript"/>
          <w:lang w:val="ru"/>
        </w:rPr>
        <w:t>3</w:t>
      </w:r>
      <w:r>
        <w:rPr>
          <w:rFonts w:ascii="Times New Roman" w:hAnsi="Times New Roman"/>
          <w:sz w:val="28"/>
          <w:szCs w:val="28"/>
          <w:lang w:val="ru"/>
        </w:rPr>
        <w:t xml:space="preserve"> соляної кислоти (1:9), 10 мл 0,5 % розчину желатину, 2 мл 0,1 Н Трилону Б та 5 мл 0,</w:t>
      </w:r>
      <w:r>
        <w:rPr>
          <w:rFonts w:ascii="Times New Roman" w:hAnsi="Times New Roman"/>
          <w:sz w:val="28"/>
          <w:szCs w:val="28"/>
          <w:lang w:val="ru"/>
        </w:rPr>
        <w:t>1 % розчину диетилдитіокарбомату натрію, після чого об’єм проби доводився до 50 см</w:t>
      </w:r>
      <w:r>
        <w:rPr>
          <w:rFonts w:ascii="Times New Roman" w:hAnsi="Times New Roman"/>
          <w:sz w:val="28"/>
          <w:szCs w:val="28"/>
          <w:vertAlign w:val="superscript"/>
          <w:lang w:val="ru"/>
        </w:rPr>
        <w:t>3</w:t>
      </w:r>
      <w:r>
        <w:rPr>
          <w:rFonts w:ascii="Times New Roman" w:hAnsi="Times New Roman"/>
          <w:sz w:val="28"/>
          <w:szCs w:val="28"/>
          <w:lang w:val="ru"/>
        </w:rPr>
        <w:t>. Проба вимірювалася відносно робочого розчину, при довжині світлової хвилі 440 нм та товщині кювети 20 мм.</w:t>
      </w:r>
    </w:p>
    <w:p w:rsidR="00F1629C" w:rsidRDefault="00E671D2">
      <w:pPr>
        <w:rPr>
          <w:rFonts w:ascii="Times New Roman" w:hAnsi="Times New Roman" w:cs="Times New Roman"/>
          <w:b/>
          <w:iCs/>
          <w:sz w:val="28"/>
          <w:szCs w:val="28"/>
        </w:rPr>
      </w:pPr>
      <w:r>
        <w:rPr>
          <w:rFonts w:ascii="Times New Roman" w:hAnsi="Times New Roman"/>
          <w:b/>
          <w:iCs/>
          <w:color w:val="000000"/>
          <w:sz w:val="28"/>
          <w:szCs w:val="28"/>
        </w:rPr>
        <w:br w:type="page"/>
      </w:r>
    </w:p>
    <w:p w:rsidR="00F1629C" w:rsidRDefault="00E671D2">
      <w:pPr>
        <w:tabs>
          <w:tab w:val="left" w:pos="284"/>
          <w:tab w:val="left" w:pos="4018"/>
        </w:tabs>
        <w:spacing w:after="0" w:line="360" w:lineRule="auto"/>
        <w:ind w:firstLine="567"/>
        <w:jc w:val="center"/>
        <w:rPr>
          <w:rFonts w:ascii="Times New Roman" w:hAnsi="Times New Roman" w:cs="Times New Roman"/>
          <w:b/>
          <w:iCs/>
          <w:sz w:val="28"/>
          <w:szCs w:val="28"/>
        </w:rPr>
      </w:pPr>
      <w:r>
        <w:rPr>
          <w:rFonts w:ascii="Times New Roman" w:hAnsi="Times New Roman" w:cs="Times New Roman"/>
          <w:b/>
          <w:iCs/>
          <w:sz w:val="28"/>
          <w:szCs w:val="28"/>
        </w:rPr>
        <w:lastRenderedPageBreak/>
        <w:t>РОЗДІЛ 3</w:t>
      </w:r>
    </w:p>
    <w:p w:rsidR="00F1629C" w:rsidRDefault="00E671D2">
      <w:pPr>
        <w:tabs>
          <w:tab w:val="left" w:pos="284"/>
          <w:tab w:val="left" w:pos="4018"/>
        </w:tabs>
        <w:spacing w:after="0" w:line="360" w:lineRule="auto"/>
        <w:ind w:firstLine="567"/>
        <w:jc w:val="center"/>
        <w:rPr>
          <w:rFonts w:ascii="Times New Roman" w:hAnsi="Times New Roman" w:cs="Times New Roman"/>
          <w:b/>
          <w:iCs/>
          <w:sz w:val="28"/>
          <w:szCs w:val="28"/>
        </w:rPr>
      </w:pPr>
      <w:r>
        <w:rPr>
          <w:rFonts w:ascii="Times New Roman" w:hAnsi="Times New Roman" w:cs="Times New Roman"/>
          <w:b/>
          <w:iCs/>
          <w:sz w:val="28"/>
          <w:szCs w:val="28"/>
        </w:rPr>
        <w:t>ОБГОВОРЕННЯ РЕЗУЛЬТАТІВ</w:t>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r>
      <w:r>
        <w:rPr>
          <w:rFonts w:ascii="Times New Roman" w:hAnsi="Times New Roman" w:cs="Times New Roman"/>
          <w:b/>
          <w:iCs/>
          <w:sz w:val="28"/>
          <w:szCs w:val="28"/>
          <w:lang w:val="ru"/>
        </w:rPr>
        <w:t xml:space="preserve">3.1 Оцінка ефективності вилучення іонів міді з води  </w:t>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3.1.1 Оцінка ефективності нанофільтраційного вилучення іонів міді з води</w:t>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
          <w:iCs/>
          <w:sz w:val="28"/>
          <w:szCs w:val="28"/>
          <w:lang w:val="ru"/>
        </w:rPr>
        <w:tab/>
      </w:r>
      <w:r>
        <w:rPr>
          <w:rFonts w:ascii="Times New Roman" w:hAnsi="Times New Roman" w:cs="Times New Roman"/>
          <w:bCs/>
          <w:iCs/>
          <w:sz w:val="28"/>
          <w:szCs w:val="28"/>
          <w:lang w:val="ru"/>
        </w:rPr>
        <w:t>Для вилучення іонів важких металів, сама по собі нанофільтрація не є достатньо ефективним методом, особливо при низьких концент</w:t>
      </w:r>
      <w:r>
        <w:rPr>
          <w:rFonts w:ascii="Times New Roman" w:hAnsi="Times New Roman" w:cs="Times New Roman"/>
          <w:bCs/>
          <w:iCs/>
          <w:sz w:val="28"/>
          <w:szCs w:val="28"/>
          <w:lang w:val="ru"/>
        </w:rPr>
        <w:t>раціях металів у воді. Це можна пояснити тим, що при зниженні концентрації металу знижується також і осмотичний тиск, а, відповідно, і ступінь вилучення даного металу. Залежність селективності обраної нанофільтраційної мембрани ОПМН-П по міді, свинцю та ка</w:t>
      </w:r>
      <w:r>
        <w:rPr>
          <w:rFonts w:ascii="Times New Roman" w:hAnsi="Times New Roman" w:cs="Times New Roman"/>
          <w:bCs/>
          <w:iCs/>
          <w:sz w:val="28"/>
          <w:szCs w:val="28"/>
          <w:lang w:val="ru"/>
        </w:rPr>
        <w:t>дмію від концентрації металу та ступеня відбору пермеату можна побачити на рисунку 3.1.</w:t>
      </w:r>
    </w:p>
    <w:p w:rsidR="00F1629C" w:rsidRDefault="00F1629C">
      <w:pPr>
        <w:tabs>
          <w:tab w:val="left" w:pos="284"/>
          <w:tab w:val="left" w:pos="4018"/>
        </w:tabs>
        <w:spacing w:after="0" w:line="360" w:lineRule="auto"/>
        <w:jc w:val="both"/>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center"/>
        <w:rPr>
          <w:lang w:val="en-US"/>
        </w:rPr>
      </w:pPr>
      <w:r>
        <w:rPr>
          <w:noProof/>
          <w:lang w:val="ru-RU" w:eastAsia="ru-RU"/>
        </w:rPr>
        <w:drawing>
          <wp:inline distT="0" distB="0" distL="0" distR="0">
            <wp:extent cx="5161915" cy="2305050"/>
            <wp:effectExtent l="0" t="0" r="0" b="0"/>
            <wp:docPr id="21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1629C" w:rsidRDefault="00E671D2">
      <w:pPr>
        <w:tabs>
          <w:tab w:val="left" w:pos="284"/>
          <w:tab w:val="left" w:pos="4018"/>
        </w:tabs>
        <w:spacing w:after="0" w:line="360" w:lineRule="auto"/>
        <w:jc w:val="both"/>
        <w:rPr>
          <w:rFonts w:ascii="Times New Roman" w:hAnsi="Times New Roman" w:cs="Times New Roman"/>
          <w:bCs/>
          <w:sz w:val="28"/>
          <w:szCs w:val="28"/>
          <w:lang w:val="ru"/>
        </w:rPr>
      </w:pPr>
      <w:r>
        <w:rPr>
          <w:rFonts w:ascii="Times New Roman"/>
          <w:bCs/>
          <w:lang w:val="ru"/>
        </w:rPr>
        <w:tab/>
      </w:r>
      <w:r>
        <w:rPr>
          <w:rFonts w:ascii="Times New Roman" w:hAnsi="Times New Roman" w:cs="Times New Roman"/>
          <w:bCs/>
          <w:sz w:val="28"/>
          <w:szCs w:val="28"/>
          <w:lang w:val="ru"/>
        </w:rPr>
        <w:t>Рис. 3.1 - залежність селективності нанофільтраційної мембрани ОПМН-П від ступеню відбору пермеату при фільтруванні розчинів міді (С = 0,1 (1)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кадмію (С = </w:t>
      </w:r>
      <w:r>
        <w:rPr>
          <w:rFonts w:ascii="Times New Roman" w:hAnsi="Times New Roman" w:cs="Times New Roman"/>
          <w:bCs/>
          <w:sz w:val="28"/>
          <w:szCs w:val="28"/>
          <w:lang w:val="ru"/>
        </w:rPr>
        <w:t>0,125 (2)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та свинцю (С = 0,08 (3) та 0,082 (4)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p>
    <w:p w:rsidR="00F1629C" w:rsidRDefault="00F1629C">
      <w:pPr>
        <w:tabs>
          <w:tab w:val="left" w:pos="284"/>
          <w:tab w:val="left" w:pos="4018"/>
        </w:tabs>
        <w:spacing w:after="0" w:line="360" w:lineRule="auto"/>
        <w:jc w:val="both"/>
        <w:rPr>
          <w:rFonts w:ascii="Times New Roman" w:hAnsi="Times New Roman" w:cs="Times New Roman"/>
          <w:b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Cs/>
          <w:sz w:val="28"/>
          <w:szCs w:val="28"/>
          <w:lang w:val="ru"/>
        </w:rPr>
      </w:pPr>
      <w:r>
        <w:rPr>
          <w:rFonts w:ascii="Times New Roman" w:hAnsi="Times New Roman" w:cs="Times New Roman"/>
          <w:bCs/>
          <w:sz w:val="28"/>
          <w:szCs w:val="28"/>
          <w:lang w:val="ru"/>
        </w:rPr>
        <w:tab/>
        <w:t>рН  розчинів складало 6,2, за виключенням розчину свинцю з концентрацією 0,082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який виконувався при рН = 2,66. Як видно з графіку, селективність мембрани по жодному з металів не пере</w:t>
      </w:r>
      <w:r>
        <w:rPr>
          <w:rFonts w:ascii="Times New Roman" w:hAnsi="Times New Roman" w:cs="Times New Roman"/>
          <w:bCs/>
          <w:sz w:val="28"/>
          <w:szCs w:val="28"/>
          <w:lang w:val="ru"/>
        </w:rPr>
        <w:t xml:space="preserve">вищує 7 %. Тому в </w:t>
      </w:r>
      <w:r>
        <w:rPr>
          <w:rFonts w:ascii="Times New Roman" w:hAnsi="Times New Roman" w:cs="Times New Roman"/>
          <w:bCs/>
          <w:sz w:val="28"/>
          <w:szCs w:val="28"/>
          <w:lang w:val="ru"/>
        </w:rPr>
        <w:lastRenderedPageBreak/>
        <w:t>подальшому при вилученні іонів важких металів з розчинів додатково використовувались комплексоутворювачі, задля збільшення селективності мембрани.</w:t>
      </w:r>
    </w:p>
    <w:p w:rsidR="00F1629C" w:rsidRDefault="00E671D2">
      <w:pPr>
        <w:tabs>
          <w:tab w:val="left" w:pos="284"/>
          <w:tab w:val="left" w:pos="4018"/>
        </w:tabs>
        <w:spacing w:after="0" w:line="360" w:lineRule="auto"/>
        <w:jc w:val="both"/>
        <w:rPr>
          <w:rFonts w:ascii="Times New Roman" w:hAnsi="Times New Roman" w:cs="Times New Roman"/>
          <w:bCs/>
          <w:sz w:val="28"/>
          <w:szCs w:val="28"/>
          <w:lang w:val="ru"/>
        </w:rPr>
      </w:pPr>
      <w:r>
        <w:rPr>
          <w:rFonts w:ascii="Times New Roman" w:hAnsi="Times New Roman" w:cs="Times New Roman"/>
          <w:bCs/>
          <w:sz w:val="28"/>
          <w:szCs w:val="28"/>
          <w:lang w:val="ru"/>
        </w:rPr>
        <w:tab/>
        <w:t>Першими з випробованих комплексоутвоювачів були 0,005Н Трилон Б та оксиедилидендифосфонова</w:t>
      </w:r>
      <w:r>
        <w:rPr>
          <w:rFonts w:ascii="Times New Roman" w:hAnsi="Times New Roman" w:cs="Times New Roman"/>
          <w:bCs/>
          <w:sz w:val="28"/>
          <w:szCs w:val="28"/>
          <w:lang w:val="ru"/>
        </w:rPr>
        <w:t xml:space="preserve"> кислота (ОЕДФК), концентрацією 50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Так, для розчинів міді з концентраціями менше 1 мкг/дм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селективність мембрани становила 100% протягом усього досліду при використанні ОЕДФК. Трилон Б зумовив підвищення селективності по іонах міді до 77% на </w:t>
      </w:r>
      <w:r>
        <w:rPr>
          <w:rFonts w:ascii="Times New Roman" w:hAnsi="Times New Roman" w:cs="Times New Roman"/>
          <w:bCs/>
          <w:sz w:val="28"/>
          <w:szCs w:val="28"/>
          <w:lang w:val="ru"/>
        </w:rPr>
        <w:t>початку досліду, з подальшим зменшенням до 47,5% при ступеню відбору пермеату 90% при концентраціях Cu</w:t>
      </w:r>
      <w:r>
        <w:rPr>
          <w:rFonts w:ascii="Times New Roman" w:hAnsi="Times New Roman" w:cs="Times New Roman"/>
          <w:bCs/>
          <w:sz w:val="28"/>
          <w:szCs w:val="28"/>
          <w:vertAlign w:val="superscript"/>
          <w:lang w:val="ru"/>
        </w:rPr>
        <w:t>2+</w:t>
      </w:r>
      <w:r>
        <w:rPr>
          <w:rFonts w:ascii="Times New Roman" w:hAnsi="Times New Roman" w:cs="Times New Roman"/>
          <w:bCs/>
          <w:sz w:val="28"/>
          <w:szCs w:val="28"/>
          <w:lang w:val="ru"/>
        </w:rPr>
        <w:t xml:space="preserve"> менше 0,1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Досліди проводилися при рН = 6,27, отримані результати відображені на рисунку 3.2.</w:t>
      </w:r>
    </w:p>
    <w:p w:rsidR="00F1629C" w:rsidRDefault="00F1629C">
      <w:pPr>
        <w:tabs>
          <w:tab w:val="left" w:pos="284"/>
          <w:tab w:val="left" w:pos="4018"/>
        </w:tabs>
        <w:spacing w:after="0" w:line="360" w:lineRule="auto"/>
        <w:jc w:val="both"/>
        <w:rPr>
          <w:rFonts w:ascii="Times New Roman" w:hAnsi="Times New Roman" w:cs="Times New Roman"/>
          <w:bCs/>
          <w:sz w:val="28"/>
          <w:szCs w:val="28"/>
          <w:lang w:val="ru"/>
        </w:rPr>
      </w:pPr>
    </w:p>
    <w:p w:rsidR="00F1629C" w:rsidRDefault="00E671D2">
      <w:pPr>
        <w:tabs>
          <w:tab w:val="left" w:pos="284"/>
          <w:tab w:val="left" w:pos="4018"/>
        </w:tabs>
        <w:spacing w:after="0" w:line="360" w:lineRule="auto"/>
        <w:jc w:val="both"/>
        <w:rPr>
          <w:lang w:val="en-US"/>
        </w:rPr>
      </w:pPr>
      <w:r>
        <w:rPr>
          <w:noProof/>
          <w:lang w:val="ru-RU" w:eastAsia="ru-RU"/>
        </w:rPr>
        <w:drawing>
          <wp:inline distT="0" distB="0" distL="0" distR="0">
            <wp:extent cx="5581650" cy="2303780"/>
            <wp:effectExtent l="0" t="0" r="0" b="1270"/>
            <wp:docPr id="21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lang w:val="ru"/>
        </w:rPr>
        <w:tab/>
      </w:r>
      <w:r>
        <w:rPr>
          <w:rFonts w:ascii="Times New Roman" w:hAnsi="Times New Roman" w:cs="Times New Roman"/>
          <w:sz w:val="28"/>
          <w:szCs w:val="28"/>
          <w:lang w:val="ru"/>
        </w:rPr>
        <w:t>Рис. 3.2 - Залежність селективності нанофільтр</w:t>
      </w:r>
      <w:r>
        <w:rPr>
          <w:rFonts w:ascii="Times New Roman" w:hAnsi="Times New Roman" w:cs="Times New Roman"/>
          <w:sz w:val="28"/>
          <w:szCs w:val="28"/>
          <w:lang w:val="ru"/>
        </w:rPr>
        <w:t>аційної мембрани ОПМН-П по іонах міді від ступеня відбору пермеату при фільтруванні розчинів Сu</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концентраціями: 0,1059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(1), 0,084 мг/дм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(2), 1,85</w:t>
      </w:r>
      <w:r>
        <w:rPr>
          <w:rFonts w:ascii="Times New Roman" w:hAnsi="Times New Roman" w:cs="Times New Roman"/>
          <w:bCs/>
          <w:sz w:val="28"/>
          <w:szCs w:val="28"/>
          <w:lang w:val="ru"/>
        </w:rPr>
        <w:t xml:space="preserve"> </w:t>
      </w:r>
      <w:r>
        <w:rPr>
          <w:rFonts w:ascii="Times New Roman" w:hAnsi="Times New Roman" w:cs="Times New Roman"/>
          <w:sz w:val="28"/>
          <w:szCs w:val="28"/>
          <w:lang w:val="ru"/>
        </w:rPr>
        <w:t>мкг/дм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(3), 0,01 мкг/дм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(4), при використанні Трилону Б (1, 2) та ОЕДФК (3, 4)</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В подальшому тако</w:t>
      </w:r>
      <w:r>
        <w:rPr>
          <w:rFonts w:ascii="Times New Roman" w:hAnsi="Times New Roman" w:cs="Times New Roman"/>
          <w:sz w:val="28"/>
          <w:szCs w:val="28"/>
          <w:lang w:val="ru"/>
        </w:rPr>
        <w:t>ж було використано нітрилтриметиленфосфонову кислоту (НТМФК) в якості комплекоутворювача. Досліди проводилися за різних концентрацій НТМФК і показали, що при вихідній концентрації міді менше 1 мкг/дм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при додаванні НТМФК до концентрації останньої 25-50 мг</w:t>
      </w:r>
      <w:r>
        <w:rPr>
          <w:rFonts w:ascii="Times New Roman" w:hAnsi="Times New Roman" w:cs="Times New Roman"/>
          <w:sz w:val="28"/>
          <w:szCs w:val="28"/>
          <w:lang w:val="ru"/>
        </w:rPr>
        <w:t>/дм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можна досягти повного вилучення іонів міді з води. В той же час, концентрація </w:t>
      </w:r>
      <w:r>
        <w:rPr>
          <w:rFonts w:ascii="Times New Roman" w:hAnsi="Times New Roman" w:cs="Times New Roman"/>
          <w:sz w:val="28"/>
          <w:szCs w:val="28"/>
          <w:lang w:val="ru"/>
        </w:rPr>
        <w:lastRenderedPageBreak/>
        <w:t>НТМФК на рівні 10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призводила до збільшення селективності мембрани лише до 26% при рН = 6,53 (рис. 3.3).</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lang w:val="en-US"/>
        </w:rPr>
      </w:pPr>
      <w:r>
        <w:rPr>
          <w:noProof/>
          <w:lang w:val="ru-RU" w:eastAsia="ru-RU"/>
        </w:rPr>
        <w:drawing>
          <wp:inline distT="0" distB="0" distL="0" distR="0">
            <wp:extent cx="5553075" cy="2339975"/>
            <wp:effectExtent l="0" t="0" r="9525" b="3175"/>
            <wp:docPr id="22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 xml:space="preserve">Рисунок 3.3 - залежність селективності нанофільтраційної </w:t>
      </w:r>
      <w:r>
        <w:rPr>
          <w:rFonts w:ascii="Times New Roman" w:hAnsi="Times New Roman" w:cs="Times New Roman"/>
          <w:sz w:val="28"/>
          <w:szCs w:val="28"/>
          <w:lang w:val="ru"/>
        </w:rPr>
        <w:t>мембрани ОПМН-П від ступеня відбору пермеату при фільтруванні розчинів міді концентраціями: 1,5 мкг/дм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(1), 1,16 мкг/дм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(2, 3), 0,01 мкг/дм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(4) та 1*10</w:t>
      </w:r>
      <w:r>
        <w:rPr>
          <w:rFonts w:ascii="Times New Roman" w:hAnsi="Times New Roman" w:cs="Times New Roman"/>
          <w:sz w:val="28"/>
          <w:szCs w:val="28"/>
          <w:vertAlign w:val="superscript"/>
          <w:lang w:val="ru"/>
        </w:rPr>
        <w:t>-4</w:t>
      </w:r>
      <w:r>
        <w:rPr>
          <w:rFonts w:ascii="Times New Roman" w:hAnsi="Times New Roman" w:cs="Times New Roman"/>
          <w:sz w:val="28"/>
          <w:szCs w:val="28"/>
          <w:lang w:val="ru"/>
        </w:rPr>
        <w:t xml:space="preserve"> мкг/дм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(5), при додаванні комплексона НТМФК, у концентраціях 10 мг/дм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(3), 25 мг/дм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 xml:space="preserve">(2), 50 </w:t>
      </w:r>
      <w:r>
        <w:rPr>
          <w:rFonts w:ascii="Times New Roman" w:hAnsi="Times New Roman" w:cs="Times New Roman"/>
          <w:sz w:val="28"/>
          <w:szCs w:val="28"/>
          <w:lang w:val="ru"/>
        </w:rPr>
        <w:t>мг/дм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(1, 4, 5).</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Зважаючи на високу ефективність використання НТМФК, було вирішено провести досліди щодо вилучення іонів міді з водопровідної води методом нанофільтрації (рис. 3.4). Результати показали, що використання НТМФК концентрацією 50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у во</w:t>
      </w:r>
      <w:r>
        <w:rPr>
          <w:rFonts w:ascii="Times New Roman" w:hAnsi="Times New Roman" w:cs="Times New Roman"/>
          <w:sz w:val="28"/>
          <w:szCs w:val="28"/>
          <w:lang w:val="ru"/>
        </w:rPr>
        <w:t>допровідній воді також призводять до повного вилучення іонів міді з води протягом усього досліду, проте цікавою особливістю виявилося те, що НТМФК практично не впливає на зниження жорсткості водопровідної води. Так, при початковій жорсткості води 4,2 мг-ек</w:t>
      </w:r>
      <w:r>
        <w:rPr>
          <w:rFonts w:ascii="Times New Roman" w:hAnsi="Times New Roman" w:cs="Times New Roman"/>
          <w:sz w:val="28"/>
          <w:szCs w:val="28"/>
          <w:lang w:val="ru"/>
        </w:rPr>
        <w:t>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остання знижувалась лише на 0,1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або на 2,38% при рН = 6,2 од.. Таку різницю у селективності мембрани можна пояснити тим, що мідь з НТМФК за рахунок не тільки іонних, але і координаційних зв’язків d-орбіталей та електронів атомів фосфору </w:t>
      </w:r>
      <w:r>
        <w:rPr>
          <w:rFonts w:ascii="Times New Roman" w:hAnsi="Times New Roman" w:cs="Times New Roman"/>
          <w:sz w:val="28"/>
          <w:szCs w:val="28"/>
          <w:lang w:val="ru"/>
        </w:rPr>
        <w:t>та міді відповідно, утворює достатньо стійкі поліядерні комплекси, розміри яких достатньо великі для надійного утримання нанофільтраційною мембраною. На відміну від міді, іони Ca</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та Mg</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w:t>
      </w:r>
      <w:r>
        <w:rPr>
          <w:rFonts w:ascii="Times New Roman" w:hAnsi="Times New Roman" w:cs="Times New Roman"/>
          <w:sz w:val="28"/>
          <w:szCs w:val="28"/>
          <w:lang w:val="ru"/>
        </w:rPr>
        <w:lastRenderedPageBreak/>
        <w:t>утворюють моноядерні хелатні сполуки, радіус яких дозволяє їм практ</w:t>
      </w:r>
      <w:r>
        <w:rPr>
          <w:rFonts w:ascii="Times New Roman" w:hAnsi="Times New Roman" w:cs="Times New Roman"/>
          <w:sz w:val="28"/>
          <w:szCs w:val="28"/>
          <w:lang w:val="ru"/>
        </w:rPr>
        <w:t>ично безперешкодно проходити крізь пори мембрани.</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lang w:val="en-US"/>
        </w:rPr>
      </w:pPr>
      <w:r>
        <w:rPr>
          <w:noProof/>
          <w:lang w:val="ru-RU" w:eastAsia="ru-RU"/>
        </w:rPr>
        <w:drawing>
          <wp:inline distT="0" distB="0" distL="0" distR="0">
            <wp:extent cx="5638800" cy="2677795"/>
            <wp:effectExtent l="0" t="0" r="0" b="8255"/>
            <wp:docPr id="22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lang w:val="ru"/>
        </w:rPr>
        <w:tab/>
      </w:r>
      <w:r>
        <w:rPr>
          <w:rFonts w:ascii="Times New Roman" w:hAnsi="Times New Roman" w:cs="Times New Roman"/>
          <w:sz w:val="28"/>
          <w:szCs w:val="28"/>
          <w:lang w:val="ru"/>
        </w:rPr>
        <w:t>Рисунок 3.4 - залежність селективності нанофільтраційної мембрани ОПМН-П по іонах міді (1, 2) та жорсткості (3, 4) від ступеня відбору пермеату при фільтруванні розчинів міді у водопровідній воді з вихі</w:t>
      </w:r>
      <w:r>
        <w:rPr>
          <w:rFonts w:ascii="Times New Roman" w:hAnsi="Times New Roman" w:cs="Times New Roman"/>
          <w:sz w:val="28"/>
          <w:szCs w:val="28"/>
          <w:lang w:val="ru"/>
        </w:rPr>
        <w:t>дними концентраціями Сu</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1 мкг/дм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(1, 3) та 0,01 нг/дм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(2, 4), при використанні НТМФК концентрацією 50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
          <w:bCs/>
          <w:sz w:val="28"/>
          <w:szCs w:val="28"/>
          <w:lang w:val="ru"/>
        </w:rPr>
      </w:pPr>
      <w:r>
        <w:rPr>
          <w:rFonts w:ascii="Times New Roman" w:hAnsi="Times New Roman" w:cs="Times New Roman"/>
          <w:b/>
          <w:bCs/>
          <w:sz w:val="28"/>
          <w:szCs w:val="28"/>
          <w:lang w:val="ru"/>
        </w:rPr>
        <w:tab/>
        <w:t>3.1.2 Оцінка ефективності іонообмінного вилучення іонів міді з води</w:t>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 xml:space="preserve">Іонний обмін є одним з найбільш розповсюджених методів водоочистки та </w:t>
      </w:r>
      <w:r>
        <w:rPr>
          <w:rFonts w:ascii="Times New Roman" w:hAnsi="Times New Roman" w:cs="Times New Roman"/>
          <w:sz w:val="28"/>
          <w:szCs w:val="28"/>
          <w:lang w:val="ru"/>
        </w:rPr>
        <w:t>водопідготовки. Він також демонструє гарні результати при вилученні з води іонів міді. Так, обмінна ємність катіоніту КУ-2-8 у сольовій формі зростає з 7 до 300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при зростанні концентрації міді у вихідному розчині з 5 до 200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Ступінь вилуч</w:t>
      </w:r>
      <w:r>
        <w:rPr>
          <w:rFonts w:ascii="Times New Roman" w:hAnsi="Times New Roman" w:cs="Times New Roman"/>
          <w:sz w:val="28"/>
          <w:szCs w:val="28"/>
          <w:lang w:val="ru"/>
        </w:rPr>
        <w:t>ення іонів міді, відповідно, також зростає зі збільшенням обмінної ємності до 90% вже при концентрації міді у вихідному розчині 10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по Cu</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При подальшому зростанні концентрації міді у вихідному розчині ступінь її вилучення підвищується до 99,6 % </w:t>
      </w:r>
      <w:r>
        <w:rPr>
          <w:rFonts w:ascii="Times New Roman" w:hAnsi="Times New Roman" w:cs="Times New Roman"/>
          <w:sz w:val="28"/>
          <w:szCs w:val="28"/>
          <w:lang w:val="ru"/>
        </w:rPr>
        <w:t>(рис. 3.5). У даному випадку, іонний обмін проводився у статичних умовах. Об’єм іоніту КУ-2-8 складав 10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а об’єм очищуваного розчину - 500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Регенерація </w:t>
      </w:r>
      <w:r>
        <w:rPr>
          <w:rFonts w:ascii="Times New Roman" w:hAnsi="Times New Roman" w:cs="Times New Roman"/>
          <w:sz w:val="28"/>
          <w:szCs w:val="28"/>
          <w:lang w:val="ru"/>
        </w:rPr>
        <w:lastRenderedPageBreak/>
        <w:t>іоніту проводилася за допомогою соляної кислоти концентрацією 5% у об’ємі 50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sz w:val="24"/>
          <w:szCs w:val="24"/>
          <w:lang w:val="en-US"/>
        </w:rPr>
      </w:pPr>
      <w:r>
        <w:rPr>
          <w:noProof/>
          <w:sz w:val="24"/>
          <w:szCs w:val="24"/>
          <w:lang w:val="ru-RU" w:eastAsia="ru-RU"/>
        </w:rPr>
        <w:drawing>
          <wp:inline distT="0" distB="0" distL="0" distR="0">
            <wp:extent cx="5734050" cy="2375535"/>
            <wp:effectExtent l="0" t="0" r="0" b="5715"/>
            <wp:docPr id="9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sz w:val="24"/>
          <w:szCs w:val="24"/>
          <w:lang w:val="ru"/>
        </w:rPr>
        <w:tab/>
      </w:r>
      <w:r>
        <w:rPr>
          <w:rFonts w:ascii="Times New Roman" w:hAnsi="Times New Roman" w:cs="Times New Roman"/>
          <w:sz w:val="28"/>
          <w:szCs w:val="28"/>
          <w:lang w:val="ru"/>
        </w:rPr>
        <w:t>Рисунок 3</w:t>
      </w:r>
      <w:r>
        <w:rPr>
          <w:rFonts w:ascii="Times New Roman" w:hAnsi="Times New Roman" w:cs="Times New Roman"/>
          <w:sz w:val="28"/>
          <w:szCs w:val="28"/>
          <w:lang w:val="ru"/>
        </w:rPr>
        <w:t>.5 - залежність ступеню вилучення іонів міді (1), обмінної ємності катіоніту КУ-2-8 у сольовій формі (2) та ступеня десорбції іонів міді соляною кислотою (3) від концентрації іонів Cu</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у вихідному розчині.  </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Іонний обмін також показує достатньо високу е</w:t>
      </w:r>
      <w:r>
        <w:rPr>
          <w:rFonts w:ascii="Times New Roman" w:hAnsi="Times New Roman" w:cs="Times New Roman"/>
          <w:sz w:val="28"/>
          <w:szCs w:val="28"/>
          <w:lang w:val="ru"/>
        </w:rPr>
        <w:t>фективність при вилученні міді з водопровідної води. Проте, при зниженні концентрації міді в вихідному розчині, ефективність її вилучення все ж значно знижується, як можна було очікувати виходячи з результатів попереднього досліду. Як можна побачити у табл</w:t>
      </w:r>
      <w:r>
        <w:rPr>
          <w:rFonts w:ascii="Times New Roman" w:hAnsi="Times New Roman" w:cs="Times New Roman"/>
          <w:sz w:val="28"/>
          <w:szCs w:val="28"/>
          <w:lang w:val="ru"/>
        </w:rPr>
        <w:t>иці 3.1, при концентраціях 1-15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обмінна ємність КУ-2-8 у сольовій формі складала 1-20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а ступінь вилучення іонів міді не перевищував 88%, хоча усі інші умови досліду залишились незмінними: об’єм іоніту складав 10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об’єм розчину - 500</w:t>
      </w:r>
      <w:r>
        <w:rPr>
          <w:rFonts w:ascii="Times New Roman" w:hAnsi="Times New Roman" w:cs="Times New Roman"/>
          <w:sz w:val="28"/>
          <w:szCs w:val="28"/>
          <w:lang w:val="ru"/>
        </w:rPr>
        <w:t xml:space="preserve">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сорбція проводилась у статичних умовах. Слід також зазначити, що для встановлення у розчині динамічної рівноваги потребувалося не менш трьох діб. Жорсткість водопровідної води складала 5,1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а її рН = 7,85. Цікавим є те, що залишкова концен</w:t>
      </w:r>
      <w:r>
        <w:rPr>
          <w:rFonts w:ascii="Times New Roman" w:hAnsi="Times New Roman" w:cs="Times New Roman"/>
          <w:sz w:val="28"/>
          <w:szCs w:val="28"/>
          <w:lang w:val="ru"/>
        </w:rPr>
        <w:t xml:space="preserve">трація іонів міді для дистильованої води складала </w:t>
      </w:r>
      <w:r>
        <w:rPr>
          <w:rFonts w:ascii="Times New Roman" w:hAnsi="Times New Roman" w:cs="Times New Roman"/>
          <w:sz w:val="28"/>
          <w:szCs w:val="28"/>
        </w:rPr>
        <w:t>0,45 – 4,95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w:t>
      </w:r>
      <w:r>
        <w:rPr>
          <w:rFonts w:ascii="Times New Roman" w:hAnsi="Times New Roman" w:cs="Times New Roman"/>
          <w:sz w:val="28"/>
          <w:szCs w:val="28"/>
          <w:lang w:val="ru"/>
        </w:rPr>
        <w:t>в той час як у</w:t>
      </w:r>
      <w:r>
        <w:rPr>
          <w:rFonts w:ascii="Times New Roman" w:hAnsi="Times New Roman" w:cs="Times New Roman"/>
          <w:sz w:val="28"/>
          <w:szCs w:val="28"/>
        </w:rPr>
        <w:t xml:space="preserve"> водопровідній воді</w:t>
      </w:r>
      <w:r>
        <w:rPr>
          <w:rFonts w:ascii="Times New Roman" w:hAnsi="Times New Roman" w:cs="Times New Roman"/>
          <w:sz w:val="28"/>
          <w:szCs w:val="28"/>
          <w:lang w:val="ru"/>
        </w:rPr>
        <w:t xml:space="preserve"> вона була на рівні</w:t>
      </w:r>
      <w:r>
        <w:rPr>
          <w:rFonts w:ascii="Times New Roman" w:hAnsi="Times New Roman" w:cs="Times New Roman"/>
          <w:sz w:val="28"/>
          <w:szCs w:val="28"/>
        </w:rPr>
        <w:t xml:space="preserve"> 0,37 – 1,8 мг/дм</w:t>
      </w:r>
      <w:r>
        <w:rPr>
          <w:rFonts w:ascii="Times New Roman" w:hAnsi="Times New Roman" w:cs="Times New Roman"/>
          <w:sz w:val="28"/>
          <w:szCs w:val="28"/>
          <w:vertAlign w:val="superscript"/>
        </w:rPr>
        <w:t>3</w:t>
      </w:r>
      <w:r>
        <w:rPr>
          <w:rFonts w:ascii="Times New Roman" w:hAnsi="Times New Roman" w:cs="Times New Roman"/>
          <w:sz w:val="28"/>
          <w:szCs w:val="28"/>
          <w:lang w:val="ru"/>
        </w:rPr>
        <w:t>. Краще вилучення іонів міді з водопровідної води можна пояснити дещо вищим рН середовища водопровідної води, що спр</w:t>
      </w:r>
      <w:r>
        <w:rPr>
          <w:rFonts w:ascii="Times New Roman" w:hAnsi="Times New Roman" w:cs="Times New Roman"/>
          <w:sz w:val="28"/>
          <w:szCs w:val="28"/>
          <w:lang w:val="ru"/>
        </w:rPr>
        <w:t xml:space="preserve">ияє гідролізу міді і утворенню осаду. У цьому </w:t>
      </w:r>
      <w:r>
        <w:rPr>
          <w:rFonts w:ascii="Times New Roman" w:hAnsi="Times New Roman" w:cs="Times New Roman"/>
          <w:sz w:val="28"/>
          <w:szCs w:val="28"/>
          <w:lang w:val="ru"/>
        </w:rPr>
        <w:lastRenderedPageBreak/>
        <w:t>досліді також не було помічено явного заважаючого впливу іонів жорсткості з тої причини, що обмінна ємність іоніту була значно вищою за загальну кількість катіонів у 500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розчину (20 мг-екв та 2,6 мг-екв від</w:t>
      </w:r>
      <w:r>
        <w:rPr>
          <w:rFonts w:ascii="Times New Roman" w:hAnsi="Times New Roman" w:cs="Times New Roman"/>
          <w:sz w:val="28"/>
          <w:szCs w:val="28"/>
          <w:lang w:val="ru"/>
        </w:rPr>
        <w:t>повідно).</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Таблиця 3.1 - ефективність сорбції іонів міді з дистильованої (І) та водопровідної (ІІ) води на катіоніті КУ-2-8 у сольовій формі</w:t>
      </w:r>
    </w:p>
    <w:tbl>
      <w:tblPr>
        <w:tblW w:w="9668" w:type="dxa"/>
        <w:tblLayout w:type="fixed"/>
        <w:tblCellMar>
          <w:left w:w="0" w:type="dxa"/>
          <w:right w:w="0" w:type="dxa"/>
        </w:tblCellMar>
        <w:tblLook w:val="04A0" w:firstRow="1" w:lastRow="0" w:firstColumn="1" w:lastColumn="0" w:noHBand="0" w:noVBand="1"/>
      </w:tblPr>
      <w:tblGrid>
        <w:gridCol w:w="1209"/>
        <w:gridCol w:w="1209"/>
        <w:gridCol w:w="1209"/>
        <w:gridCol w:w="1207"/>
        <w:gridCol w:w="1208"/>
        <w:gridCol w:w="1209"/>
        <w:gridCol w:w="1209"/>
        <w:gridCol w:w="1208"/>
      </w:tblGrid>
      <w:tr w:rsidR="00F1629C">
        <w:trPr>
          <w:trHeight w:val="285"/>
        </w:trPr>
        <w:tc>
          <w:tcPr>
            <w:tcW w:w="1209"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 xml:space="preserve">№ </w:t>
            </w:r>
            <w:r>
              <w:rPr>
                <w:rFonts w:ascii="Times New Roman" w:eastAsia="SimSun" w:hAnsi="Times New Roman" w:cs="Times New Roman"/>
                <w:color w:val="000000"/>
                <w:sz w:val="28"/>
                <w:szCs w:val="28"/>
                <w:lang w:val="ru" w:eastAsia="zh-CN" w:bidi="ar"/>
              </w:rPr>
              <w:t>з</w:t>
            </w:r>
            <w:r>
              <w:rPr>
                <w:rFonts w:ascii="Times New Roman" w:eastAsia="SimSun" w:hAnsi="Times New Roman" w:cs="Times New Roman"/>
                <w:color w:val="000000"/>
                <w:sz w:val="28"/>
                <w:szCs w:val="28"/>
                <w:lang w:val="en-US" w:eastAsia="zh-CN" w:bidi="ar"/>
              </w:rPr>
              <w:t>п</w:t>
            </w:r>
          </w:p>
        </w:tc>
        <w:tc>
          <w:tcPr>
            <w:tcW w:w="3625" w:type="dxa"/>
            <w:gridSpan w:val="3"/>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С</w:t>
            </w:r>
            <w:r>
              <w:rPr>
                <w:rFonts w:ascii="Times New Roman" w:eastAsia="SimSun" w:hAnsi="Times New Roman" w:cs="Times New Roman"/>
                <w:color w:val="000000"/>
                <w:sz w:val="28"/>
                <w:szCs w:val="28"/>
                <w:lang w:val="ru" w:eastAsia="zh-CN" w:bidi="ar"/>
              </w:rPr>
              <w:t>(</w:t>
            </w:r>
            <w:r>
              <w:rPr>
                <w:rFonts w:ascii="Times New Roman" w:eastAsia="SimSun" w:hAnsi="Times New Roman" w:cs="Times New Roman"/>
                <w:color w:val="000000"/>
                <w:sz w:val="28"/>
                <w:szCs w:val="28"/>
                <w:lang w:val="en-US" w:eastAsia="zh-CN" w:bidi="ar"/>
              </w:rPr>
              <w:t>Сu</w:t>
            </w:r>
            <w:r>
              <w:rPr>
                <w:rFonts w:ascii="Times New Roman" w:eastAsia="SimSun" w:hAnsi="Times New Roman" w:cs="Times New Roman"/>
                <w:color w:val="000000"/>
                <w:sz w:val="28"/>
                <w:szCs w:val="28"/>
                <w:vertAlign w:val="superscript"/>
                <w:lang w:val="en-US" w:eastAsia="zh-CN" w:bidi="ar"/>
              </w:rPr>
              <w:t>2+</w:t>
            </w:r>
            <w:r>
              <w:rPr>
                <w:rFonts w:ascii="Times New Roman" w:eastAsia="SimSun" w:hAnsi="Times New Roman" w:cs="Times New Roman"/>
                <w:color w:val="000000"/>
                <w:sz w:val="28"/>
                <w:szCs w:val="28"/>
                <w:lang w:val="ru" w:eastAsia="zh-CN" w:bidi="ar"/>
              </w:rPr>
              <w:t>)</w:t>
            </w:r>
            <w:r>
              <w:rPr>
                <w:rFonts w:ascii="Times New Roman" w:eastAsia="SimSun" w:hAnsi="Times New Roman" w:cs="Times New Roman"/>
                <w:color w:val="000000"/>
                <w:sz w:val="28"/>
                <w:szCs w:val="28"/>
                <w:lang w:val="en-US" w:eastAsia="zh-CN" w:bidi="ar"/>
              </w:rPr>
              <w:t>, мг/дм</w:t>
            </w:r>
            <w:r>
              <w:rPr>
                <w:rFonts w:ascii="Times New Roman" w:eastAsia="SimSun" w:hAnsi="Times New Roman" w:cs="Times New Roman"/>
                <w:color w:val="000000"/>
                <w:sz w:val="28"/>
                <w:szCs w:val="28"/>
                <w:vertAlign w:val="superscript"/>
                <w:lang w:val="en-US" w:eastAsia="zh-CN" w:bidi="ar"/>
              </w:rPr>
              <w:t>3</w:t>
            </w:r>
          </w:p>
        </w:tc>
        <w:tc>
          <w:tcPr>
            <w:tcW w:w="2417" w:type="dxa"/>
            <w:gridSpan w:val="2"/>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Ступінь вилучення міді, А, %</w:t>
            </w:r>
          </w:p>
        </w:tc>
        <w:tc>
          <w:tcPr>
            <w:tcW w:w="2417" w:type="dxa"/>
            <w:gridSpan w:val="2"/>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ОЄ по Cu</w:t>
            </w:r>
            <w:r>
              <w:rPr>
                <w:rStyle w:val="font01"/>
                <w:rFonts w:ascii="Times New Roman" w:eastAsia="SimSun" w:hAnsi="Times New Roman" w:cs="Times New Roman"/>
                <w:sz w:val="28"/>
                <w:szCs w:val="28"/>
                <w:lang w:val="en-US" w:eastAsia="zh-CN" w:bidi="ar"/>
              </w:rPr>
              <w:t>2+</w:t>
            </w:r>
            <w:r>
              <w:rPr>
                <w:rStyle w:val="font11"/>
                <w:rFonts w:ascii="Times New Roman" w:eastAsia="SimSun" w:hAnsi="Times New Roman" w:cs="Times New Roman"/>
                <w:sz w:val="28"/>
                <w:szCs w:val="28"/>
                <w:lang w:val="en-US" w:eastAsia="zh-CN" w:bidi="ar"/>
              </w:rPr>
              <w:t>, мг/дм</w:t>
            </w:r>
            <w:r>
              <w:rPr>
                <w:rStyle w:val="font01"/>
                <w:rFonts w:ascii="Times New Roman" w:eastAsia="SimSun" w:hAnsi="Times New Roman" w:cs="Times New Roman"/>
                <w:sz w:val="28"/>
                <w:szCs w:val="28"/>
                <w:lang w:val="en-US" w:eastAsia="zh-CN" w:bidi="ar"/>
              </w:rPr>
              <w:t>3</w:t>
            </w:r>
          </w:p>
        </w:tc>
      </w:tr>
      <w:tr w:rsidR="00F1629C">
        <w:trPr>
          <w:trHeight w:val="285"/>
        </w:trPr>
        <w:tc>
          <w:tcPr>
            <w:tcW w:w="1209"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spacing w:line="360" w:lineRule="auto"/>
              <w:jc w:val="center"/>
              <w:rPr>
                <w:rFonts w:ascii="Times New Roman" w:hAnsi="Times New Roman" w:cs="Times New Roman"/>
                <w:color w:val="000000"/>
                <w:sz w:val="28"/>
                <w:szCs w:val="28"/>
              </w:rPr>
            </w:pPr>
          </w:p>
        </w:tc>
        <w:tc>
          <w:tcPr>
            <w:tcW w:w="1209" w:type="dxa"/>
            <w:vMerge w:val="restart"/>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Вихідна</w:t>
            </w:r>
          </w:p>
        </w:tc>
        <w:tc>
          <w:tcPr>
            <w:tcW w:w="2416" w:type="dxa"/>
            <w:gridSpan w:val="2"/>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Після сорбції</w:t>
            </w:r>
          </w:p>
        </w:tc>
        <w:tc>
          <w:tcPr>
            <w:tcW w:w="2417" w:type="dxa"/>
            <w:gridSpan w:val="2"/>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spacing w:line="360" w:lineRule="auto"/>
              <w:jc w:val="center"/>
              <w:rPr>
                <w:rFonts w:ascii="Times New Roman" w:hAnsi="Times New Roman" w:cs="Times New Roman"/>
                <w:color w:val="000000"/>
                <w:sz w:val="28"/>
                <w:szCs w:val="28"/>
              </w:rPr>
            </w:pPr>
          </w:p>
        </w:tc>
        <w:tc>
          <w:tcPr>
            <w:tcW w:w="2417" w:type="dxa"/>
            <w:gridSpan w:val="2"/>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spacing w:line="360" w:lineRule="auto"/>
              <w:jc w:val="center"/>
              <w:rPr>
                <w:rFonts w:ascii="Times New Roman" w:hAnsi="Times New Roman" w:cs="Times New Roman"/>
                <w:color w:val="000000"/>
                <w:sz w:val="28"/>
                <w:szCs w:val="28"/>
              </w:rPr>
            </w:pPr>
          </w:p>
        </w:tc>
      </w:tr>
      <w:tr w:rsidR="00F1629C">
        <w:trPr>
          <w:trHeight w:val="285"/>
        </w:trPr>
        <w:tc>
          <w:tcPr>
            <w:tcW w:w="1209"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spacing w:line="360" w:lineRule="auto"/>
              <w:jc w:val="center"/>
              <w:rPr>
                <w:rFonts w:ascii="Times New Roman" w:hAnsi="Times New Roman" w:cs="Times New Roman"/>
                <w:color w:val="000000"/>
                <w:sz w:val="28"/>
                <w:szCs w:val="28"/>
              </w:rPr>
            </w:pPr>
          </w:p>
        </w:tc>
        <w:tc>
          <w:tcPr>
            <w:tcW w:w="1209" w:type="dxa"/>
            <w:vMerge/>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spacing w:line="360" w:lineRule="auto"/>
              <w:jc w:val="center"/>
              <w:rPr>
                <w:rFonts w:ascii="Times New Roman" w:hAnsi="Times New Roman" w:cs="Times New Roman"/>
                <w:color w:val="000000"/>
                <w:sz w:val="28"/>
                <w:szCs w:val="28"/>
              </w:rPr>
            </w:pP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І</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ІІ</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І</w:t>
            </w:r>
          </w:p>
        </w:tc>
        <w:tc>
          <w:tcPr>
            <w:tcW w:w="1209"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ІІ</w:t>
            </w:r>
          </w:p>
        </w:tc>
        <w:tc>
          <w:tcPr>
            <w:tcW w:w="1209"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І</w:t>
            </w:r>
          </w:p>
        </w:tc>
        <w:tc>
          <w:tcPr>
            <w:tcW w:w="1208"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ІІ</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0,45</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0,37</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63</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27,5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31,5</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0,5</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0,44</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78</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50</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78</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3</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3</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0,69</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0,72</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77</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76</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115,5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114</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1,12</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0,9</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77,6</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82</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194</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205</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1,15</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83,6</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292,5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290</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2,5</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1,25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87,5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375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430</w:t>
            </w:r>
          </w:p>
        </w:tc>
      </w:tr>
      <w:tr w:rsidR="00F1629C">
        <w:trPr>
          <w:trHeight w:val="280"/>
        </w:trPr>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7</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15</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4,95</w:t>
            </w:r>
          </w:p>
        </w:tc>
        <w:tc>
          <w:tcPr>
            <w:tcW w:w="1207"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1,8</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67</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88</w:t>
            </w:r>
          </w:p>
        </w:tc>
        <w:tc>
          <w:tcPr>
            <w:tcW w:w="120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502,5</w:t>
            </w:r>
          </w:p>
        </w:tc>
        <w:tc>
          <w:tcPr>
            <w:tcW w:w="1208"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spacing w:line="36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660</w:t>
            </w:r>
          </w:p>
        </w:tc>
      </w:tr>
    </w:tbl>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 xml:space="preserve">При збільшенні об’єму розчину з 0,5 до 2 </w:t>
      </w:r>
      <w:r>
        <w:rPr>
          <w:rFonts w:ascii="Times New Roman" w:hAnsi="Times New Roman" w:cs="Times New Roman"/>
          <w:sz w:val="28"/>
          <w:szCs w:val="28"/>
          <w:lang w:val="ru"/>
        </w:rPr>
        <w:t>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було відмічено суттєве спадання ступеню вилучення іонів міді при зростанні об’єму розчину, проте дещо зростала обмінна ємність самого іоніту. Так, при дослідженні залежності ступеня вилучення іонів міді та обмінної ємності іоніту від об’єму розчину бул</w:t>
      </w:r>
      <w:r>
        <w:rPr>
          <w:rFonts w:ascii="Times New Roman" w:hAnsi="Times New Roman" w:cs="Times New Roman"/>
          <w:sz w:val="28"/>
          <w:szCs w:val="28"/>
          <w:lang w:val="ru"/>
        </w:rPr>
        <w:t>о виявлено що ступінь вилучення спочатку був значно вищим для розчинів з концентрацією міді 1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аніж для 2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і знижувався з 99,9 % до 62 % зі зростанням об’єму фільтрованого розчину. Проте при фільтрації більш ніж 1-го 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розчину ця тенденція змінювалась і ступінь вилучення іонів міді з розчину ставав вищим і коливався в межах 77 - 67 % (рис. 3.6). У даному досліді об’єм </w:t>
      </w:r>
      <w:r>
        <w:rPr>
          <w:rFonts w:ascii="Times New Roman" w:hAnsi="Times New Roman" w:cs="Times New Roman"/>
          <w:sz w:val="28"/>
          <w:szCs w:val="28"/>
          <w:lang w:val="ru"/>
        </w:rPr>
        <w:lastRenderedPageBreak/>
        <w:t>іоніту також складав 10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а регенерація проводилась 50-ма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5%-го розчину соляної кислоти. В цілом</w:t>
      </w:r>
      <w:r>
        <w:rPr>
          <w:rFonts w:ascii="Times New Roman" w:hAnsi="Times New Roman" w:cs="Times New Roman"/>
          <w:sz w:val="28"/>
          <w:szCs w:val="28"/>
          <w:lang w:val="ru"/>
        </w:rPr>
        <w:t xml:space="preserve">у, можна сказати що іонний обмін у статичних умовах є недостатньо ефективним способом очистки води від іонів міді, особливо за низьких концентрацій останньої у розчинах. </w:t>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ab/>
        <w:t>Набагато більш ефективним методом вилучення міді виявилась сорбція на КУ-2-8 у динам</w:t>
      </w:r>
      <w:r>
        <w:rPr>
          <w:rFonts w:ascii="Times New Roman" w:hAnsi="Times New Roman" w:cs="Times New Roman"/>
          <w:sz w:val="28"/>
          <w:szCs w:val="28"/>
          <w:lang w:val="ru"/>
        </w:rPr>
        <w:t>ічних умовах. На тому ж КУ-2-8 у Na</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 формі можна досягти повного вилучення іонів </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center"/>
        <w:rPr>
          <w:lang w:val="en-US"/>
        </w:rPr>
      </w:pPr>
      <w:r>
        <w:rPr>
          <w:noProof/>
          <w:lang w:val="ru-RU" w:eastAsia="ru-RU"/>
        </w:rPr>
        <w:drawing>
          <wp:inline distT="0" distB="0" distL="0" distR="0">
            <wp:extent cx="5248275" cy="2411730"/>
            <wp:effectExtent l="0" t="0" r="9525" b="7620"/>
            <wp:docPr id="9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lang w:val="ru"/>
        </w:rPr>
        <w:tab/>
      </w:r>
      <w:r>
        <w:rPr>
          <w:rFonts w:ascii="Times New Roman" w:hAnsi="Times New Roman" w:cs="Times New Roman"/>
          <w:sz w:val="28"/>
          <w:szCs w:val="28"/>
          <w:lang w:val="ru"/>
        </w:rPr>
        <w:t xml:space="preserve">Рисунок 3.6 - залежність ступеня вилучення іонів міді з розчину (1, 2), обмінної ємності катіоніту у сольовій формі (3, 4) та ступеню їх десорбції (5, 6) від об’єму </w:t>
      </w:r>
      <w:r>
        <w:rPr>
          <w:rFonts w:ascii="Times New Roman" w:hAnsi="Times New Roman" w:cs="Times New Roman"/>
          <w:sz w:val="28"/>
          <w:szCs w:val="28"/>
          <w:lang w:val="ru"/>
        </w:rPr>
        <w:t>очищуваного розчину при вихідних концентраціях міді 1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(1, 3, 5) та 2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(2, 4, 6)</w:t>
      </w:r>
      <w:r>
        <w:rPr>
          <w:rFonts w:ascii="Times New Roman" w:hAnsi="Times New Roman" w:cs="Times New Roman"/>
          <w:sz w:val="28"/>
          <w:szCs w:val="28"/>
          <w:lang w:val="ru"/>
        </w:rPr>
        <w:t>.</w:t>
      </w:r>
    </w:p>
    <w:p w:rsidR="00F1629C" w:rsidRDefault="00F1629C">
      <w:pPr>
        <w:tabs>
          <w:tab w:val="left" w:pos="284"/>
          <w:tab w:val="left" w:pos="4018"/>
        </w:tabs>
        <w:spacing w:after="0" w:line="360" w:lineRule="auto"/>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міді з водопровідної води протягом перших 7 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води при вихідній концентрації міді 2 мг/дм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(рис 3.7). Таким чином, при об’ємі іоніту 20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обмінна ємність іо</w:t>
      </w:r>
      <w:r>
        <w:rPr>
          <w:rFonts w:ascii="Times New Roman" w:hAnsi="Times New Roman" w:cs="Times New Roman"/>
          <w:sz w:val="28"/>
          <w:szCs w:val="28"/>
          <w:lang w:val="ru"/>
        </w:rPr>
        <w:t>ніту зростає вже до 28,3 мг-екв/дм</w:t>
      </w:r>
      <w:r>
        <w:rPr>
          <w:rFonts w:ascii="Times New Roman" w:hAnsi="Times New Roman" w:cs="Times New Roman"/>
          <w:sz w:val="28"/>
          <w:szCs w:val="28"/>
          <w:vertAlign w:val="superscript"/>
          <w:lang w:val="ru"/>
        </w:rPr>
        <w:t xml:space="preserve">3 </w:t>
      </w:r>
      <w:r>
        <w:rPr>
          <w:rFonts w:ascii="Times New Roman" w:hAnsi="Times New Roman" w:cs="Times New Roman"/>
          <w:sz w:val="28"/>
          <w:szCs w:val="28"/>
          <w:lang w:val="ru"/>
        </w:rPr>
        <w:t>з 20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що були при сорбції у статичних умовах. Проскок по іонах міді спостерігається лише після фільтрування 7-го 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розчину, після чого ефективність вилучення міді продовжує поступово спадати. В даному дослід</w:t>
      </w:r>
      <w:r>
        <w:rPr>
          <w:rFonts w:ascii="Times New Roman" w:hAnsi="Times New Roman" w:cs="Times New Roman"/>
          <w:sz w:val="28"/>
          <w:szCs w:val="28"/>
          <w:lang w:val="ru"/>
        </w:rPr>
        <w:t>і жорсткість води складала 5,2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лужність - 4,9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а рН = 7,86 од. </w:t>
      </w:r>
    </w:p>
    <w:p w:rsidR="00F1629C" w:rsidRDefault="00E671D2">
      <w:pPr>
        <w:tabs>
          <w:tab w:val="left" w:pos="284"/>
          <w:tab w:val="left" w:pos="4018"/>
        </w:tabs>
        <w:spacing w:after="0" w:line="360" w:lineRule="auto"/>
        <w:jc w:val="both"/>
        <w:rPr>
          <w:rFonts w:ascii="Times New Roman" w:hAnsi="Times New Roman" w:cs="Times New Roman"/>
          <w:bCs/>
          <w:sz w:val="28"/>
          <w:szCs w:val="28"/>
          <w:lang w:val="ru"/>
        </w:rPr>
      </w:pPr>
      <w:r>
        <w:rPr>
          <w:rFonts w:ascii="Times New Roman" w:hAnsi="Times New Roman" w:cs="Times New Roman"/>
          <w:sz w:val="28"/>
          <w:szCs w:val="28"/>
          <w:lang w:val="ru"/>
        </w:rPr>
        <w:tab/>
        <w:t xml:space="preserve">Зважаючи на достатньо високу ефективність катіоніту у сольовій формі було вирішено також спробувати кислу форму того ж катіоніту у динамічних умовах </w:t>
      </w:r>
      <w:r>
        <w:rPr>
          <w:rFonts w:ascii="Times New Roman" w:hAnsi="Times New Roman" w:cs="Times New Roman"/>
          <w:sz w:val="28"/>
          <w:szCs w:val="28"/>
          <w:lang w:val="ru"/>
        </w:rPr>
        <w:lastRenderedPageBreak/>
        <w:t xml:space="preserve">для вилучення міді </w:t>
      </w:r>
      <w:r>
        <w:rPr>
          <w:rFonts w:ascii="Times New Roman" w:hAnsi="Times New Roman" w:cs="Times New Roman"/>
          <w:sz w:val="28"/>
          <w:szCs w:val="28"/>
          <w:lang w:val="ru"/>
        </w:rPr>
        <w:t xml:space="preserve">з водопровідної води. Досліди було проведено при вихідних концентраціях  міді у воді </w:t>
      </w:r>
      <w:r>
        <w:rPr>
          <w:rFonts w:ascii="Times New Roman" w:hAnsi="Times New Roman" w:cs="Times New Roman"/>
          <w:bCs/>
          <w:sz w:val="28"/>
          <w:szCs w:val="28"/>
          <w:lang w:val="ru"/>
        </w:rPr>
        <w:t>30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2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та 1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та показали, що мідь повністю</w:t>
      </w:r>
    </w:p>
    <w:p w:rsidR="00F1629C" w:rsidRDefault="00F1629C">
      <w:pPr>
        <w:tabs>
          <w:tab w:val="left" w:pos="284"/>
          <w:tab w:val="left" w:pos="4018"/>
        </w:tabs>
        <w:spacing w:after="0" w:line="360" w:lineRule="auto"/>
        <w:jc w:val="both"/>
        <w:rPr>
          <w:rFonts w:ascii="Times New Roman" w:hAnsi="Times New Roman" w:cs="Times New Roman"/>
          <w:bCs/>
          <w:sz w:val="28"/>
          <w:szCs w:val="28"/>
          <w:lang w:val="ru"/>
        </w:rPr>
      </w:pPr>
    </w:p>
    <w:p w:rsidR="00F1629C" w:rsidRDefault="00E671D2">
      <w:pPr>
        <w:tabs>
          <w:tab w:val="left" w:pos="284"/>
          <w:tab w:val="left" w:pos="4018"/>
        </w:tabs>
        <w:spacing w:after="0" w:line="360" w:lineRule="auto"/>
        <w:jc w:val="center"/>
        <w:rPr>
          <w:lang w:val="en-US"/>
        </w:rPr>
      </w:pPr>
      <w:r>
        <w:rPr>
          <w:noProof/>
          <w:lang w:val="ru-RU" w:eastAsia="ru-RU"/>
        </w:rPr>
        <w:drawing>
          <wp:inline distT="0" distB="0" distL="0" distR="0">
            <wp:extent cx="4572000" cy="2228850"/>
            <wp:effectExtent l="0" t="0" r="0" b="0"/>
            <wp:docPr id="11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1629C" w:rsidRDefault="00E671D2">
      <w:pPr>
        <w:tabs>
          <w:tab w:val="left" w:pos="284"/>
          <w:tab w:val="left" w:pos="4018"/>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3.7 - залежність жорсткості (1), лужності (2) та концентрації іонів міді (3) від об’єму </w:t>
      </w:r>
      <w:r>
        <w:rPr>
          <w:rFonts w:ascii="Times New Roman" w:hAnsi="Times New Roman" w:cs="Times New Roman"/>
          <w:sz w:val="28"/>
          <w:szCs w:val="28"/>
          <w:lang w:val="ru"/>
        </w:rPr>
        <w:t>пропущеного розчину міді у водопровідній воді через катіоніт КУ-2-8 у сольовій формі з вихідною концентрацією іонів міді 2 мг/дм</w:t>
      </w:r>
      <w:r>
        <w:rPr>
          <w:rFonts w:ascii="Times New Roman" w:hAnsi="Times New Roman" w:cs="Times New Roman"/>
          <w:sz w:val="28"/>
          <w:szCs w:val="28"/>
          <w:vertAlign w:val="superscript"/>
          <w:lang w:val="ru"/>
        </w:rPr>
        <w:t>3</w:t>
      </w:r>
    </w:p>
    <w:p w:rsidR="00F1629C" w:rsidRDefault="00F1629C">
      <w:pPr>
        <w:spacing w:line="360" w:lineRule="auto"/>
        <w:rPr>
          <w:rFonts w:ascii="Times New Roman" w:hAnsi="Times New Roman" w:cs="Times New Roman"/>
          <w:b/>
          <w:sz w:val="28"/>
          <w:szCs w:val="28"/>
        </w:rPr>
      </w:pPr>
    </w:p>
    <w:p w:rsidR="00F1629C" w:rsidRDefault="00E671D2">
      <w:pPr>
        <w:spacing w:line="360" w:lineRule="auto"/>
        <w:jc w:val="both"/>
        <w:rPr>
          <w:rFonts w:ascii="Times New Roman" w:hAnsi="Times New Roman" w:cs="Times New Roman"/>
          <w:bCs/>
          <w:sz w:val="28"/>
          <w:szCs w:val="28"/>
          <w:lang w:val="ru"/>
        </w:rPr>
      </w:pPr>
      <w:r>
        <w:rPr>
          <w:rFonts w:ascii="Times New Roman" w:hAnsi="Times New Roman" w:cs="Times New Roman"/>
          <w:bCs/>
          <w:sz w:val="28"/>
          <w:szCs w:val="28"/>
          <w:lang w:val="ru"/>
        </w:rPr>
        <w:t>вилучается з води при пропусканні перших 6 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при концентрації 30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та при пропусканні 7 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при концентрації 1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r>
        <w:rPr>
          <w:rFonts w:ascii="Times New Roman" w:hAnsi="Times New Roman" w:cs="Times New Roman"/>
          <w:bCs/>
          <w:sz w:val="28"/>
          <w:szCs w:val="28"/>
          <w:lang w:val="ru"/>
        </w:rPr>
        <w:t xml:space="preserve"> При цьому також значно знижується жорсткість води з 5,2 мг-екв/дм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до 0,08-0,28 мг-екв/дм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(рис. 3.8). Цікавим моментом є те, що при вихідній концентрації міді 30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навіть після повного вичерпання обмінної ємності іоніту, концентрація міді у воді піс</w:t>
      </w:r>
      <w:r>
        <w:rPr>
          <w:rFonts w:ascii="Times New Roman" w:hAnsi="Times New Roman" w:cs="Times New Roman"/>
          <w:bCs/>
          <w:sz w:val="28"/>
          <w:szCs w:val="28"/>
          <w:lang w:val="ru"/>
        </w:rPr>
        <w:t>ля фільтрування не перевищувала 8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Такий результат можна пояснити вищою селективністю КУ-2-8 по міді, в порівнянні з Ca та Mg. Адже на початку дослідів ступінь вилучення іонів жорсткості складає 95-99 %, а після вичерпання ємності іоніту, починає зн</w:t>
      </w:r>
      <w:r>
        <w:rPr>
          <w:rFonts w:ascii="Times New Roman" w:hAnsi="Times New Roman" w:cs="Times New Roman"/>
          <w:bCs/>
          <w:sz w:val="28"/>
          <w:szCs w:val="28"/>
          <w:lang w:val="ru"/>
        </w:rPr>
        <w:t>ижуватися і це зниження набагато більш різке, аніж зниження ступеня вилучення міді, що свідчить про те, що іони Ca та Mg, сорбовані на іоніті, заміщуються іонами Cu</w:t>
      </w:r>
      <w:r>
        <w:rPr>
          <w:rFonts w:ascii="Times New Roman" w:hAnsi="Times New Roman" w:cs="Times New Roman"/>
          <w:bCs/>
          <w:sz w:val="28"/>
          <w:szCs w:val="28"/>
          <w:vertAlign w:val="superscript"/>
          <w:lang w:val="ru"/>
        </w:rPr>
        <w:t>2+</w:t>
      </w:r>
      <w:r>
        <w:rPr>
          <w:rFonts w:ascii="Times New Roman" w:hAnsi="Times New Roman" w:cs="Times New Roman"/>
          <w:bCs/>
          <w:sz w:val="28"/>
          <w:szCs w:val="28"/>
          <w:lang w:val="ru"/>
        </w:rPr>
        <w:t>.</w:t>
      </w:r>
    </w:p>
    <w:p w:rsidR="00F1629C" w:rsidRDefault="00E671D2">
      <w:pPr>
        <w:spacing w:line="360" w:lineRule="auto"/>
        <w:jc w:val="center"/>
        <w:rPr>
          <w:lang w:val="en-US"/>
        </w:rPr>
      </w:pPr>
      <w:r>
        <w:rPr>
          <w:noProof/>
          <w:lang w:val="ru-RU" w:eastAsia="ru-RU"/>
        </w:rPr>
        <w:lastRenderedPageBreak/>
        <mc:AlternateContent>
          <mc:Choice Requires="wps">
            <w:drawing>
              <wp:anchor distT="0" distB="0" distL="114300" distR="114300" simplePos="0" relativeHeight="251667456" behindDoc="0" locked="0" layoutInCell="1" allowOverlap="1">
                <wp:simplePos x="0" y="0"/>
                <wp:positionH relativeFrom="column">
                  <wp:posOffset>4433570</wp:posOffset>
                </wp:positionH>
                <wp:positionV relativeFrom="paragraph">
                  <wp:posOffset>997585</wp:posOffset>
                </wp:positionV>
                <wp:extent cx="409575" cy="552450"/>
                <wp:effectExtent l="3810" t="2540" r="5715" b="16510"/>
                <wp:wrapNone/>
                <wp:docPr id="11" name="Straight Connector 11"/>
                <wp:cNvGraphicFramePr/>
                <a:graphic xmlns:a="http://schemas.openxmlformats.org/drawingml/2006/main">
                  <a:graphicData uri="http://schemas.microsoft.com/office/word/2010/wordprocessingShape">
                    <wps:wsp>
                      <wps:cNvCnPr/>
                      <wps:spPr>
                        <a:xfrm flipV="1">
                          <a:off x="5513705" y="1717675"/>
                          <a:ext cx="409575" cy="5524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83E80E" id="Straight Connector 11"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349.1pt,78.55pt" to="381.35pt,1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6432" behindDoc="0" locked="0" layoutInCell="1" allowOverlap="1">
                <wp:simplePos x="0" y="0"/>
                <wp:positionH relativeFrom="column">
                  <wp:posOffset>4195445</wp:posOffset>
                </wp:positionH>
                <wp:positionV relativeFrom="paragraph">
                  <wp:posOffset>826135</wp:posOffset>
                </wp:positionV>
                <wp:extent cx="342900" cy="347980"/>
                <wp:effectExtent l="3175" t="3175" r="15875" b="10795"/>
                <wp:wrapNone/>
                <wp:docPr id="10" name="Straight Connector 10"/>
                <wp:cNvGraphicFramePr/>
                <a:graphic xmlns:a="http://schemas.openxmlformats.org/drawingml/2006/main">
                  <a:graphicData uri="http://schemas.microsoft.com/office/word/2010/wordprocessingShape">
                    <wps:wsp>
                      <wps:cNvCnPr/>
                      <wps:spPr>
                        <a:xfrm flipV="1">
                          <a:off x="5275580" y="1746250"/>
                          <a:ext cx="342900" cy="3479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24175C8" id="Straight Connector 10"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330.35pt,65.05pt" to="357.35pt,9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5408" behindDoc="0" locked="0" layoutInCell="1" allowOverlap="1">
                <wp:simplePos x="0" y="0"/>
                <wp:positionH relativeFrom="column">
                  <wp:posOffset>4344035</wp:posOffset>
                </wp:positionH>
                <wp:positionV relativeFrom="paragraph">
                  <wp:posOffset>1292860</wp:posOffset>
                </wp:positionV>
                <wp:extent cx="156210" cy="95250"/>
                <wp:effectExtent l="2540" t="3810" r="12700" b="15240"/>
                <wp:wrapNone/>
                <wp:docPr id="9" name="Straight Connector 9"/>
                <wp:cNvGraphicFramePr/>
                <a:graphic xmlns:a="http://schemas.openxmlformats.org/drawingml/2006/main">
                  <a:graphicData uri="http://schemas.microsoft.com/office/word/2010/wordprocessingShape">
                    <wps:wsp>
                      <wps:cNvCnPr/>
                      <wps:spPr>
                        <a:xfrm flipV="1">
                          <a:off x="5424170" y="2012950"/>
                          <a:ext cx="156210" cy="952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4045BF" id="Straight Connector 9"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342.05pt,101.8pt" to="354.35pt,10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4384" behindDoc="0" locked="0" layoutInCell="1" allowOverlap="1">
                <wp:simplePos x="0" y="0"/>
                <wp:positionH relativeFrom="column">
                  <wp:posOffset>3900170</wp:posOffset>
                </wp:positionH>
                <wp:positionV relativeFrom="paragraph">
                  <wp:posOffset>892810</wp:posOffset>
                </wp:positionV>
                <wp:extent cx="676275" cy="123825"/>
                <wp:effectExtent l="635" t="4445" r="8890" b="5080"/>
                <wp:wrapNone/>
                <wp:docPr id="8" name="Straight Connector 8"/>
                <wp:cNvGraphicFramePr/>
                <a:graphic xmlns:a="http://schemas.openxmlformats.org/drawingml/2006/main">
                  <a:graphicData uri="http://schemas.microsoft.com/office/word/2010/wordprocessingShape">
                    <wps:wsp>
                      <wps:cNvCnPr/>
                      <wps:spPr>
                        <a:xfrm>
                          <a:off x="4980305" y="1612900"/>
                          <a:ext cx="676275" cy="1238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B0A697" id="Straight Connector 8"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307.1pt,70.3pt" to="360.35pt,8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3360" behindDoc="0" locked="0" layoutInCell="1" allowOverlap="1">
                <wp:simplePos x="0" y="0"/>
                <wp:positionH relativeFrom="column">
                  <wp:posOffset>4519295</wp:posOffset>
                </wp:positionH>
                <wp:positionV relativeFrom="paragraph">
                  <wp:posOffset>349885</wp:posOffset>
                </wp:positionV>
                <wp:extent cx="119380" cy="19050"/>
                <wp:effectExtent l="635" t="4445" r="13335" b="5080"/>
                <wp:wrapNone/>
                <wp:docPr id="7" name="Straight Connector 7"/>
                <wp:cNvGraphicFramePr/>
                <a:graphic xmlns:a="http://schemas.openxmlformats.org/drawingml/2006/main">
                  <a:graphicData uri="http://schemas.microsoft.com/office/word/2010/wordprocessingShape">
                    <wps:wsp>
                      <wps:cNvCnPr/>
                      <wps:spPr>
                        <a:xfrm flipH="1">
                          <a:off x="5599430" y="1069975"/>
                          <a:ext cx="119380"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D5C8EB" id="Straight Connector 7" o:spid="_x0000_s1026" style="position:absolute;flip:x;z-index:251663360;visibility:visible;mso-wrap-style:square;mso-wrap-distance-left:9pt;mso-wrap-distance-top:0;mso-wrap-distance-right:9pt;mso-wrap-distance-bottom:0;mso-position-horizontal:absolute;mso-position-horizontal-relative:text;mso-position-vertical:absolute;mso-position-vertical-relative:text" from="355.85pt,27.55pt" to="365.2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2336" behindDoc="0" locked="0" layoutInCell="1" allowOverlap="1">
                <wp:simplePos x="0" y="0"/>
                <wp:positionH relativeFrom="column">
                  <wp:posOffset>2528570</wp:posOffset>
                </wp:positionH>
                <wp:positionV relativeFrom="paragraph">
                  <wp:posOffset>1178560</wp:posOffset>
                </wp:positionV>
                <wp:extent cx="66675" cy="266700"/>
                <wp:effectExtent l="4445" t="1270" r="5080" b="17780"/>
                <wp:wrapNone/>
                <wp:docPr id="6" name="Straight Connector 6"/>
                <wp:cNvGraphicFramePr/>
                <a:graphic xmlns:a="http://schemas.openxmlformats.org/drawingml/2006/main">
                  <a:graphicData uri="http://schemas.microsoft.com/office/word/2010/wordprocessingShape">
                    <wps:wsp>
                      <wps:cNvCnPr/>
                      <wps:spPr>
                        <a:xfrm>
                          <a:off x="3608705" y="1898650"/>
                          <a:ext cx="66675" cy="2667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B78322" id="Straight Connector 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99.1pt,92.8pt" to="204.35pt,1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1312" behindDoc="0" locked="0" layoutInCell="1" allowOverlap="1">
                <wp:simplePos x="0" y="0"/>
                <wp:positionH relativeFrom="column">
                  <wp:posOffset>2138045</wp:posOffset>
                </wp:positionH>
                <wp:positionV relativeFrom="paragraph">
                  <wp:posOffset>530860</wp:posOffset>
                </wp:positionV>
                <wp:extent cx="114300" cy="200025"/>
                <wp:effectExtent l="4445" t="2540" r="14605" b="6985"/>
                <wp:wrapNone/>
                <wp:docPr id="5" name="Straight Connector 5"/>
                <wp:cNvGraphicFramePr/>
                <a:graphic xmlns:a="http://schemas.openxmlformats.org/drawingml/2006/main">
                  <a:graphicData uri="http://schemas.microsoft.com/office/word/2010/wordprocessingShape">
                    <wps:wsp>
                      <wps:cNvCnPr/>
                      <wps:spPr>
                        <a:xfrm flipV="1">
                          <a:off x="3218180" y="1250950"/>
                          <a:ext cx="114300" cy="2000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66762D" id="Straight Connector 5"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168.35pt,41.8pt" to="177.35pt,5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0288" behindDoc="0" locked="0" layoutInCell="1" allowOverlap="1">
                <wp:simplePos x="0" y="0"/>
                <wp:positionH relativeFrom="column">
                  <wp:posOffset>3957320</wp:posOffset>
                </wp:positionH>
                <wp:positionV relativeFrom="paragraph">
                  <wp:posOffset>1045210</wp:posOffset>
                </wp:positionV>
                <wp:extent cx="238125" cy="257175"/>
                <wp:effectExtent l="0" t="0" r="9525" b="9525"/>
                <wp:wrapNone/>
                <wp:docPr id="4" name="Text Box 4"/>
                <wp:cNvGraphicFramePr/>
                <a:graphic xmlns:a="http://schemas.openxmlformats.org/drawingml/2006/main">
                  <a:graphicData uri="http://schemas.microsoft.com/office/word/2010/wordprocessingShape">
                    <wps:wsp>
                      <wps:cNvSpPr txBox="1"/>
                      <wps:spPr>
                        <a:xfrm>
                          <a:off x="5037455" y="1765300"/>
                          <a:ext cx="238125" cy="2571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11.6pt;margin-top:82.3pt;width:18.75pt;height:20.2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" fillcolor="white [3201]" stroked="f" strokeweight=".5pt">
                <v:textbox>
                  <w:txbxContent>
                    <w:p w:rsidR="00F1629C" w:rsidRDefault="00E671D2">
                      <w:pPr>
                        <w:rPr>
                          <w:lang w:val="ru"/>
                        </w:rPr>
                      </w:pPr>
                      <w:r>
                        <w:rPr>
                          <w:lang w:val="ru"/>
                        </w:rPr>
                        <w:t>3</w:t>
                      </w:r>
                    </w:p>
                  </w:txbxContent>
                </v:textbox>
              </v:shape>
            </w:pict>
          </mc:Fallback>
        </mc:AlternateContent>
      </w:r>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4133850</wp:posOffset>
                </wp:positionH>
                <wp:positionV relativeFrom="paragraph">
                  <wp:posOffset>1273810</wp:posOffset>
                </wp:positionV>
                <wp:extent cx="210185" cy="228600"/>
                <wp:effectExtent l="0" t="0" r="18415" b="0"/>
                <wp:wrapNone/>
                <wp:docPr id="3" name="Text Box 3"/>
                <wp:cNvGraphicFramePr/>
                <a:graphic xmlns:a="http://schemas.openxmlformats.org/drawingml/2006/main">
                  <a:graphicData uri="http://schemas.microsoft.com/office/word/2010/wordprocessingShape">
                    <wps:wsp>
                      <wps:cNvSpPr txBox="1"/>
                      <wps:spPr>
                        <a:xfrm>
                          <a:off x="5213985" y="1993900"/>
                          <a:ext cx="210185" cy="2286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3" o:spid="_x0000_s1027" type="#_x0000_t202" style="position:absolute;left:0;text-align:left;margin-left:325.5pt;margin-top:100.3pt;width:16.55pt;height:1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658240" behindDoc="0" locked="0" layoutInCell="1" allowOverlap="1">
                <wp:simplePos x="0" y="0"/>
                <wp:positionH relativeFrom="column">
                  <wp:posOffset>4638675</wp:posOffset>
                </wp:positionH>
                <wp:positionV relativeFrom="paragraph">
                  <wp:posOffset>245110</wp:posOffset>
                </wp:positionV>
                <wp:extent cx="190500" cy="209550"/>
                <wp:effectExtent l="0" t="0" r="0" b="0"/>
                <wp:wrapNone/>
                <wp:docPr id="2" name="Text Box 2"/>
                <wp:cNvGraphicFramePr/>
                <a:graphic xmlns:a="http://schemas.openxmlformats.org/drawingml/2006/main">
                  <a:graphicData uri="http://schemas.microsoft.com/office/word/2010/wordprocessingShape">
                    <wps:wsp>
                      <wps:cNvSpPr txBox="1"/>
                      <wps:spPr>
                        <a:xfrm>
                          <a:off x="5718810" y="965200"/>
                          <a:ext cx="190500" cy="2095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 o:spid="_x0000_s1028" type="#_x0000_t202" style="position:absolute;left:0;text-align:left;margin-left:365.25pt;margin-top:19.3pt;width:15pt;height:16.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0" distR="0">
            <wp:extent cx="5219700" cy="2447925"/>
            <wp:effectExtent l="0" t="0" r="0" b="9525"/>
            <wp:docPr id="11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1629C" w:rsidRDefault="00E671D2">
      <w:pPr>
        <w:spacing w:line="360" w:lineRule="auto"/>
        <w:ind w:firstLine="700"/>
        <w:jc w:val="both"/>
        <w:rPr>
          <w:rFonts w:ascii="Times New Roman"/>
          <w:lang w:val="ru"/>
        </w:rPr>
      </w:pPr>
      <w:r>
        <w:rPr>
          <w:rFonts w:ascii="Times New Roman" w:hAnsi="Times New Roman" w:cs="Times New Roman"/>
          <w:sz w:val="28"/>
          <w:szCs w:val="28"/>
          <w:lang w:val="ru"/>
        </w:rPr>
        <w:t>Рисунок 3.8 - залежність ступеня вилучення іонів міді (1, 2, 3),</w:t>
      </w:r>
      <w:r>
        <w:rPr>
          <w:rFonts w:ascii="Times New Roman" w:hAnsi="Times New Roman" w:cs="Times New Roman"/>
          <w:sz w:val="28"/>
          <w:szCs w:val="28"/>
          <w:lang w:val="ru"/>
        </w:rPr>
        <w:t xml:space="preserve"> іонів жорсткості (4, 5) та рН середовища (6, 7) від об’єму пропущеної через іоніт КУ-2-8 у кислій формі водопровідної води при концентрації іонів міді у вихідному розчині</w:t>
      </w:r>
      <w:r>
        <w:rPr>
          <w:rFonts w:ascii="Times New Roman" w:hAnsi="Times New Roman" w:cs="Times New Roman"/>
          <w:sz w:val="28"/>
          <w:szCs w:val="28"/>
          <w:lang w:val="ru"/>
        </w:rPr>
        <w:t xml:space="preserve"> 1 (2), 2 (3, 5, 7) та 30 (1, 4, 6) </w:t>
      </w:r>
      <w:r>
        <w:rPr>
          <w:rFonts w:ascii="Times New Roman" w:hAnsi="Times New Roman" w:cs="Times New Roman"/>
          <w:sz w:val="28"/>
          <w:szCs w:val="28"/>
          <w:lang w:val="ru"/>
        </w:rPr>
        <w:t>мг/дм</w:t>
      </w:r>
      <w:r>
        <w:rPr>
          <w:rFonts w:ascii="Times New Roman" w:hAnsi="Times New Roman" w:cs="Times New Roman"/>
          <w:sz w:val="28"/>
          <w:szCs w:val="28"/>
          <w:vertAlign w:val="superscript"/>
          <w:lang w:val="ru"/>
        </w:rPr>
        <w:t>3</w:t>
      </w:r>
      <w:r>
        <w:rPr>
          <w:rFonts w:ascii="Times New Roman"/>
          <w:lang w:val="ru"/>
        </w:rPr>
        <w:t xml:space="preserve"> </w:t>
      </w:r>
    </w:p>
    <w:p w:rsidR="00F1629C" w:rsidRDefault="00F1629C">
      <w:pPr>
        <w:spacing w:line="360" w:lineRule="auto"/>
        <w:ind w:firstLine="700"/>
        <w:jc w:val="both"/>
        <w:rPr>
          <w:rFonts w:ascii="Times New Roman"/>
          <w:lang w:val="ru"/>
        </w:rPr>
      </w:pP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Загалом, можна сказати що ступінь вилуче</w:t>
      </w:r>
      <w:r>
        <w:rPr>
          <w:rFonts w:ascii="Times New Roman" w:hAnsi="Times New Roman" w:cs="Times New Roman"/>
          <w:sz w:val="28"/>
          <w:szCs w:val="28"/>
          <w:lang w:val="ru"/>
        </w:rPr>
        <w:t>ння іонів міді в останніх пробах та обмінна ємність самого іоніту закономірно знижується зі зниженням концентрації міді у вихідному розчині незалежно від форми КУ-2-8. Також загальною тенденцією для обох форм іоніту є зниження ефективності вилучення міді п</w:t>
      </w:r>
      <w:r>
        <w:rPr>
          <w:rFonts w:ascii="Times New Roman" w:hAnsi="Times New Roman" w:cs="Times New Roman"/>
          <w:sz w:val="28"/>
          <w:szCs w:val="28"/>
          <w:lang w:val="ru"/>
        </w:rPr>
        <w:t>ри переході з кислої чи сольової в Ca</w:t>
      </w:r>
      <w:r>
        <w:rPr>
          <w:rFonts w:ascii="Times New Roman" w:hAnsi="Times New Roman" w:cs="Times New Roman"/>
          <w:sz w:val="28"/>
          <w:szCs w:val="28"/>
          <w:vertAlign w:val="superscript"/>
          <w:lang w:val="ru"/>
        </w:rPr>
        <w:t xml:space="preserve">2+ </w:t>
      </w:r>
      <w:r>
        <w:rPr>
          <w:rFonts w:ascii="Times New Roman" w:hAnsi="Times New Roman" w:cs="Times New Roman"/>
          <w:sz w:val="28"/>
          <w:szCs w:val="28"/>
          <w:lang w:val="ru"/>
        </w:rPr>
        <w:t>та Mg</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форму. Повна обмінна динамічна ємність для обох форм іоніту по іонах жорсткості відрізняється дуже мало: 2224 та 2196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для Na</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 та H</w:t>
      </w:r>
      <w:r>
        <w:rPr>
          <w:rFonts w:ascii="Times New Roman" w:hAnsi="Times New Roman" w:cs="Times New Roman"/>
          <w:sz w:val="28"/>
          <w:szCs w:val="28"/>
          <w:vertAlign w:val="superscript"/>
          <w:lang w:val="ru"/>
        </w:rPr>
        <w:t xml:space="preserve">+ </w:t>
      </w:r>
      <w:r>
        <w:rPr>
          <w:rFonts w:ascii="Times New Roman" w:hAnsi="Times New Roman" w:cs="Times New Roman"/>
          <w:sz w:val="28"/>
          <w:szCs w:val="28"/>
          <w:lang w:val="ru"/>
        </w:rPr>
        <w:t>- форми відповідно. Ємність іоніту по іонах міді складає 520, 28,</w:t>
      </w:r>
      <w:r>
        <w:rPr>
          <w:rFonts w:ascii="Times New Roman" w:hAnsi="Times New Roman" w:cs="Times New Roman"/>
          <w:sz w:val="28"/>
          <w:szCs w:val="28"/>
          <w:lang w:val="ru"/>
        </w:rPr>
        <w:t>3 та 16,3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для концентрацій міді у вихідному розчині 30, 2 та 1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відповідно. </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Варто також відмітити зміну рН розчину під час проведення дослідів. Так, при використанні Н</w:t>
      </w:r>
      <w:r>
        <w:rPr>
          <w:rFonts w:ascii="Times New Roman" w:hAnsi="Times New Roman" w:cs="Times New Roman"/>
          <w:sz w:val="28"/>
          <w:szCs w:val="28"/>
          <w:vertAlign w:val="superscript"/>
          <w:lang w:val="ru"/>
        </w:rPr>
        <w:t xml:space="preserve">+ </w:t>
      </w:r>
      <w:r>
        <w:rPr>
          <w:rFonts w:ascii="Times New Roman" w:hAnsi="Times New Roman" w:cs="Times New Roman"/>
          <w:sz w:val="28"/>
          <w:szCs w:val="28"/>
          <w:lang w:val="ru"/>
        </w:rPr>
        <w:t xml:space="preserve">-форми іоніту рН в перших пробах дорівнює 2,5 - 3 одиницям з </w:t>
      </w:r>
      <w:r>
        <w:rPr>
          <w:rFonts w:ascii="Times New Roman" w:hAnsi="Times New Roman" w:cs="Times New Roman"/>
          <w:sz w:val="28"/>
          <w:szCs w:val="28"/>
          <w:lang w:val="ru"/>
        </w:rPr>
        <w:t>поступовим його зростанням до 7,8 одиниць. Na</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-форма в перших пробах обумовлює рН на рівні 8,5, з подальшим його зниженням до того ж рівня 7,8 одиниць. </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В подальших дослідах для вилучення міді з води використовувався катіоніт  DOWEX-MAC-3 також в Н</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 та Na</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 формах. Для сорбції міді з дистильованої води було використано катіоніт в Na</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 формі, а для сорбції з водопровідної води - в Н</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-формі. Таке розбиття було зроблено з огляду на те, що при показнику рН, що перевищує 7 одиниць, приблизно 30 % іонів міді знаход</w:t>
      </w:r>
      <w:r>
        <w:rPr>
          <w:rFonts w:ascii="Times New Roman" w:hAnsi="Times New Roman" w:cs="Times New Roman"/>
          <w:sz w:val="28"/>
          <w:szCs w:val="28"/>
          <w:lang w:val="ru"/>
        </w:rPr>
        <w:t>яться в Cu</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-формі, а при переході рН вище 8 такі іони вже практично відсутні. В той же час мідь у формі Cu[OH]</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 існує за рН від 5 до 9,7 із максимальним її вмістом на рівні 60 % при рН = 7. При цьому, до 90% міді у природних водоймах знаходиться у вигляді</w:t>
      </w:r>
      <w:r>
        <w:rPr>
          <w:rFonts w:ascii="Times New Roman" w:hAnsi="Times New Roman" w:cs="Times New Roman"/>
          <w:sz w:val="28"/>
          <w:szCs w:val="28"/>
          <w:lang w:val="ru"/>
        </w:rPr>
        <w:t xml:space="preserve"> комплексів, що утворюються з гуміновими та фульвокислотами. Характерною рисою таких комплексів є те, що вони розпадаються за рН нижче 6 одиниць, що суттєво підвищує ефективність виділення міді на іоніті. Таким чином, можна зробити висновок про те, що ефек</w:t>
      </w:r>
      <w:r>
        <w:rPr>
          <w:rFonts w:ascii="Times New Roman" w:hAnsi="Times New Roman" w:cs="Times New Roman"/>
          <w:sz w:val="28"/>
          <w:szCs w:val="28"/>
          <w:lang w:val="ru"/>
        </w:rPr>
        <w:t>тивна сорбція міді на іонообмінних смолах проходитиме за рН не вище 8, а з природної води - при рН не вище 6. В той же час, нам відомо що за сильнокислого середовища (рН менше 2 од.) слабкокислі катіоніти втрачають свою здатність до іонного обміну через їх</w:t>
      </w:r>
      <w:r>
        <w:rPr>
          <w:rFonts w:ascii="Times New Roman" w:hAnsi="Times New Roman" w:cs="Times New Roman"/>
          <w:sz w:val="28"/>
          <w:szCs w:val="28"/>
          <w:lang w:val="ru"/>
        </w:rPr>
        <w:t xml:space="preserve"> перехід до асоційованої форми. При проведені цих дослідів лужність та жорсткість водопровідної води були практично однакові, тому під час сорбції протони, що виділялися не викликали значного підкислення розчину через утворення вугільної кислоти. З рахунок</w:t>
      </w:r>
      <w:r>
        <w:rPr>
          <w:rFonts w:ascii="Times New Roman" w:hAnsi="Times New Roman" w:cs="Times New Roman"/>
          <w:sz w:val="28"/>
          <w:szCs w:val="28"/>
          <w:lang w:val="ru"/>
        </w:rPr>
        <w:t xml:space="preserve"> цього рН середовища під час сорбції підтримувався на рівні 2-7 одиниць.    </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 xml:space="preserve">Перші ж досліди з катіонітом DOWEX-MAC-3 у сольовій формі показали що у статичних умовах сорбція іонів міді проходить малоефективно як з дистильованої, так і з водопровідної води </w:t>
      </w:r>
      <w:r>
        <w:rPr>
          <w:rFonts w:ascii="Times New Roman" w:hAnsi="Times New Roman" w:cs="Times New Roman"/>
          <w:sz w:val="28"/>
          <w:szCs w:val="28"/>
          <w:lang w:val="ru"/>
        </w:rPr>
        <w:t>(таб. 3.2). Об’єм іоніту складав 10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об’єм розчину - 500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а жорсткість води була на рівні 4,6 мг-екв/дм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Як можна побачити з таблиці, ступінь вилучення іонів міді не перевищувала 78% навіть при концентрації міді 15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Проте ця ситуація змінюється при переході до більш високих вихідних концентрацій міді. </w:t>
      </w:r>
    </w:p>
    <w:p w:rsidR="00F1629C" w:rsidRDefault="00F1629C">
      <w:pPr>
        <w:spacing w:line="360" w:lineRule="auto"/>
        <w:ind w:firstLine="700"/>
        <w:jc w:val="both"/>
        <w:rPr>
          <w:rFonts w:ascii="Times New Roman" w:hAnsi="Times New Roman" w:cs="Times New Roman"/>
          <w:sz w:val="28"/>
          <w:szCs w:val="28"/>
          <w:lang w:val="ru"/>
        </w:rPr>
      </w:pP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Таблиця 3.2 - залежність ступеня вилучення іонів міді та обмінної ємності іоніту по іонах міді від вихідної концентрації міді у дистильованій (І) та водопровідній (І</w:t>
      </w:r>
      <w:r>
        <w:rPr>
          <w:rFonts w:ascii="Times New Roman" w:hAnsi="Times New Roman" w:cs="Times New Roman"/>
          <w:sz w:val="28"/>
          <w:szCs w:val="28"/>
          <w:lang w:val="ru"/>
        </w:rPr>
        <w:t xml:space="preserve">І) воді. </w:t>
      </w:r>
    </w:p>
    <w:tbl>
      <w:tblPr>
        <w:tblW w:w="9510" w:type="dxa"/>
        <w:tblLayout w:type="fixed"/>
        <w:tblCellMar>
          <w:left w:w="0" w:type="dxa"/>
          <w:right w:w="0" w:type="dxa"/>
        </w:tblCellMar>
        <w:tblLook w:val="04A0" w:firstRow="1" w:lastRow="0" w:firstColumn="1" w:lastColumn="0" w:noHBand="0" w:noVBand="1"/>
      </w:tblPr>
      <w:tblGrid>
        <w:gridCol w:w="1080"/>
        <w:gridCol w:w="1080"/>
        <w:gridCol w:w="1080"/>
        <w:gridCol w:w="1080"/>
        <w:gridCol w:w="1080"/>
        <w:gridCol w:w="1080"/>
        <w:gridCol w:w="1515"/>
        <w:gridCol w:w="1515"/>
      </w:tblGrid>
      <w:tr w:rsidR="00F1629C">
        <w:trPr>
          <w:trHeight w:val="285"/>
        </w:trPr>
        <w:tc>
          <w:tcPr>
            <w:tcW w:w="1080"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п/п</w:t>
            </w:r>
          </w:p>
        </w:tc>
        <w:tc>
          <w:tcPr>
            <w:tcW w:w="3240" w:type="dxa"/>
            <w:gridSpan w:val="3"/>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С(Cu</w:t>
            </w:r>
            <w:r>
              <w:rPr>
                <w:rFonts w:ascii="Calibri" w:eastAsia="SimSun" w:hAnsi="Calibri" w:cs="Calibri"/>
                <w:color w:val="000000"/>
                <w:sz w:val="24"/>
                <w:szCs w:val="24"/>
                <w:vertAlign w:val="superscript"/>
                <w:lang w:val="en-US" w:eastAsia="zh-CN" w:bidi="ar"/>
              </w:rPr>
              <w:t>2+</w:t>
            </w:r>
            <w:r>
              <w:rPr>
                <w:rFonts w:ascii="Calibri" w:eastAsia="SimSun" w:hAnsi="Calibri" w:cs="Calibri"/>
                <w:color w:val="000000"/>
                <w:sz w:val="24"/>
                <w:szCs w:val="24"/>
                <w:lang w:val="en-US" w:eastAsia="zh-CN" w:bidi="ar"/>
              </w:rPr>
              <w:t>), мг/дм</w:t>
            </w:r>
            <w:r>
              <w:rPr>
                <w:rFonts w:ascii="Calibri" w:eastAsia="SimSun" w:hAnsi="Calibri" w:cs="Calibri"/>
                <w:color w:val="000000"/>
                <w:sz w:val="24"/>
                <w:szCs w:val="24"/>
                <w:vertAlign w:val="superscript"/>
                <w:lang w:val="en-US" w:eastAsia="zh-CN" w:bidi="ar"/>
              </w:rPr>
              <w:t>3</w:t>
            </w:r>
          </w:p>
        </w:tc>
        <w:tc>
          <w:tcPr>
            <w:tcW w:w="2160" w:type="dxa"/>
            <w:gridSpan w:val="2"/>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ОЄ по Cu</w:t>
            </w:r>
            <w:r>
              <w:rPr>
                <w:rFonts w:ascii="Calibri" w:eastAsia="SimSun" w:hAnsi="Calibri" w:cs="Calibri"/>
                <w:color w:val="000000"/>
                <w:sz w:val="24"/>
                <w:szCs w:val="24"/>
                <w:vertAlign w:val="superscript"/>
                <w:lang w:val="en-US" w:eastAsia="zh-CN" w:bidi="ar"/>
              </w:rPr>
              <w:t>2+</w:t>
            </w:r>
            <w:r>
              <w:rPr>
                <w:rFonts w:ascii="Calibri" w:eastAsia="SimSun" w:hAnsi="Calibri" w:cs="Calibri"/>
                <w:color w:val="000000"/>
                <w:sz w:val="24"/>
                <w:szCs w:val="24"/>
                <w:lang w:val="en-US" w:eastAsia="zh-CN" w:bidi="ar"/>
              </w:rPr>
              <w:t>, мг/дм</w:t>
            </w:r>
            <w:r>
              <w:rPr>
                <w:rFonts w:ascii="Calibri" w:eastAsia="SimSun" w:hAnsi="Calibri" w:cs="Calibri"/>
                <w:color w:val="000000"/>
                <w:sz w:val="24"/>
                <w:szCs w:val="24"/>
                <w:vertAlign w:val="superscript"/>
                <w:lang w:val="en-US" w:eastAsia="zh-CN" w:bidi="ar"/>
              </w:rPr>
              <w:t>3</w:t>
            </w:r>
          </w:p>
        </w:tc>
        <w:tc>
          <w:tcPr>
            <w:tcW w:w="3030" w:type="dxa"/>
            <w:gridSpan w:val="2"/>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A,%</w:t>
            </w:r>
          </w:p>
        </w:tc>
      </w:tr>
      <w:tr w:rsidR="00F1629C">
        <w:trPr>
          <w:trHeight w:val="285"/>
        </w:trPr>
        <w:tc>
          <w:tcPr>
            <w:tcW w:w="1080"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Calibri" w:hAnsi="Calibri" w:cs="Calibri"/>
                <w:color w:val="000000"/>
                <w:sz w:val="24"/>
                <w:szCs w:val="24"/>
              </w:rPr>
            </w:pPr>
          </w:p>
        </w:tc>
        <w:tc>
          <w:tcPr>
            <w:tcW w:w="1080" w:type="dxa"/>
            <w:vMerge w:val="restart"/>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Вихідна</w:t>
            </w:r>
          </w:p>
        </w:tc>
        <w:tc>
          <w:tcPr>
            <w:tcW w:w="2160" w:type="dxa"/>
            <w:gridSpan w:val="2"/>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Після сорбції</w:t>
            </w:r>
          </w:p>
        </w:tc>
        <w:tc>
          <w:tcPr>
            <w:tcW w:w="2160" w:type="dxa"/>
            <w:gridSpan w:val="2"/>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Calibri" w:hAnsi="Calibri" w:cs="Calibri"/>
                <w:color w:val="000000"/>
                <w:sz w:val="24"/>
                <w:szCs w:val="24"/>
              </w:rPr>
            </w:pPr>
          </w:p>
        </w:tc>
        <w:tc>
          <w:tcPr>
            <w:tcW w:w="3030" w:type="dxa"/>
            <w:gridSpan w:val="2"/>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Calibri" w:hAnsi="Calibri" w:cs="Calibri"/>
                <w:color w:val="000000"/>
                <w:sz w:val="24"/>
                <w:szCs w:val="24"/>
              </w:rPr>
            </w:pPr>
          </w:p>
        </w:tc>
      </w:tr>
      <w:tr w:rsidR="00F1629C">
        <w:trPr>
          <w:trHeight w:val="285"/>
        </w:trPr>
        <w:tc>
          <w:tcPr>
            <w:tcW w:w="1080"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Calibri" w:hAnsi="Calibri" w:cs="Calibri"/>
                <w:color w:val="000000"/>
                <w:sz w:val="24"/>
                <w:szCs w:val="24"/>
              </w:rPr>
            </w:pPr>
          </w:p>
        </w:tc>
        <w:tc>
          <w:tcPr>
            <w:tcW w:w="1080" w:type="dxa"/>
            <w:vMerge/>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Calibri" w:hAnsi="Calibri" w:cs="Calibri"/>
                <w:color w:val="000000"/>
                <w:sz w:val="24"/>
                <w:szCs w:val="24"/>
              </w:rPr>
            </w:pP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І</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ІІ</w:t>
            </w:r>
          </w:p>
        </w:tc>
        <w:tc>
          <w:tcPr>
            <w:tcW w:w="1080"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І</w:t>
            </w:r>
          </w:p>
        </w:tc>
        <w:tc>
          <w:tcPr>
            <w:tcW w:w="1080"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ІІ</w:t>
            </w:r>
          </w:p>
        </w:tc>
        <w:tc>
          <w:tcPr>
            <w:tcW w:w="1515"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І</w:t>
            </w:r>
          </w:p>
        </w:tc>
        <w:tc>
          <w:tcPr>
            <w:tcW w:w="1515"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ІІ</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0,45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0,5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27,5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25</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55,0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50,0 </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0,72</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0,91</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64</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54,5</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64,0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54,5 </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1,05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1,13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97,5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93,5</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65,0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62,3 </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4</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1,7</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187,5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165</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74,0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66,0 </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7</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225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200</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64,3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57,1 </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6</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10</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3,2</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5,2</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340</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240</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68,0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48,0 </w:t>
            </w:r>
          </w:p>
        </w:tc>
      </w:tr>
      <w:tr w:rsidR="00F1629C">
        <w:trPr>
          <w:trHeight w:val="280"/>
        </w:trPr>
        <w:tc>
          <w:tcPr>
            <w:tcW w:w="1080"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7</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15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3,3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5,3</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585</w:t>
            </w:r>
          </w:p>
        </w:tc>
        <w:tc>
          <w:tcPr>
            <w:tcW w:w="1080"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480</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78,0 </w:t>
            </w:r>
          </w:p>
        </w:tc>
        <w:tc>
          <w:tcPr>
            <w:tcW w:w="1515"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Calibri" w:hAnsi="Calibri" w:cs="Calibri"/>
                <w:color w:val="000000"/>
              </w:rPr>
            </w:pPr>
            <w:r>
              <w:rPr>
                <w:rFonts w:ascii="Calibri" w:eastAsia="SimSun" w:hAnsi="Calibri" w:cs="Calibri"/>
                <w:color w:val="000000"/>
                <w:sz w:val="24"/>
                <w:szCs w:val="24"/>
                <w:lang w:val="en-US" w:eastAsia="zh-CN" w:bidi="ar"/>
              </w:rPr>
              <w:t xml:space="preserve">64,7 </w:t>
            </w:r>
          </w:p>
        </w:tc>
      </w:tr>
    </w:tbl>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 xml:space="preserve">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При концентраціях міді вище 100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ступінь вилучення міді на катіоніті DOWEX-MAC-3 в Na</w:t>
      </w:r>
      <w:r>
        <w:rPr>
          <w:rFonts w:ascii="Times New Roman" w:hAnsi="Times New Roman" w:cs="Times New Roman"/>
          <w:bCs/>
          <w:sz w:val="28"/>
          <w:szCs w:val="28"/>
          <w:vertAlign w:val="superscript"/>
          <w:lang w:val="ru"/>
        </w:rPr>
        <w:t>+</w:t>
      </w:r>
      <w:r>
        <w:rPr>
          <w:rFonts w:ascii="Times New Roman" w:hAnsi="Times New Roman" w:cs="Times New Roman"/>
          <w:bCs/>
          <w:sz w:val="28"/>
          <w:szCs w:val="28"/>
          <w:lang w:val="ru"/>
        </w:rPr>
        <w:t xml:space="preserve"> формі у статичних умовах складає близько 99% (рис. 3.9). Така ефективність зберігається незважаючи на те, що об’єм іоніту в порвнянні з попереднім дослідом було зменшено вдвічі (до 5 см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а об’єм очищуваного розчину збільшено вдвічі (до 1000 см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Також </w:t>
      </w:r>
      <w:r>
        <w:rPr>
          <w:rFonts w:ascii="Times New Roman" w:hAnsi="Times New Roman" w:cs="Times New Roman"/>
          <w:bCs/>
          <w:sz w:val="28"/>
          <w:szCs w:val="28"/>
          <w:lang w:val="ru"/>
        </w:rPr>
        <w:t>було відмічено зростання ступеню десорбції міді з іоніту 50-ма см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5% соляної кислоти, який досягав 99,3 - 100 %.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Загалом</w:t>
      </w:r>
      <w:r>
        <w:rPr>
          <w:rFonts w:ascii="Times New Roman" w:hAnsi="Times New Roman" w:cs="Times New Roman"/>
          <w:bCs/>
          <w:sz w:val="28"/>
          <w:szCs w:val="28"/>
          <w:lang w:val="ru"/>
        </w:rPr>
        <w:t xml:space="preserve">, можна сказати що вилучати іони міді на катіоніті DOWEX-MAC-3 у  статичних умовах є малоефективним засобом очистки води, особливо при </w:t>
      </w:r>
      <w:r>
        <w:rPr>
          <w:rFonts w:ascii="Times New Roman" w:hAnsi="Times New Roman" w:cs="Times New Roman"/>
          <w:bCs/>
          <w:sz w:val="28"/>
          <w:szCs w:val="28"/>
          <w:lang w:val="ru"/>
        </w:rPr>
        <w:t>достатньо низьких концентраціях міді у розчині.</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Як і у випадку з КУ-2-8, сорбція міді у динамічних умовах виявилася суттєво більш ефективно. В даному досліді було проведено вилучення іонів міді з водопровідної води при вихідній концентрації 30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об’є</w:t>
      </w:r>
      <w:r>
        <w:rPr>
          <w:rFonts w:ascii="Times New Roman" w:hAnsi="Times New Roman" w:cs="Times New Roman"/>
          <w:bCs/>
          <w:sz w:val="28"/>
          <w:szCs w:val="28"/>
          <w:lang w:val="ru"/>
        </w:rPr>
        <w:t>м іоніту DOWEX</w:t>
      </w:r>
      <w:r>
        <w:rPr>
          <w:rFonts w:ascii="Times New Roman" w:hAnsi="Times New Roman" w:cs="Times New Roman"/>
          <w:bCs/>
          <w:sz w:val="28"/>
          <w:szCs w:val="28"/>
          <w:lang w:val="ru"/>
        </w:rPr>
        <w:t>-MAC-3 у кислій та сольовій формах складав 10 см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жорсткість та лужність водопровідної води були однаковими - 4,8 мг-екв/дм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lang w:val="en-US"/>
        </w:rPr>
      </w:pPr>
      <w:r>
        <w:rPr>
          <w:noProof/>
          <w:lang w:val="ru-RU" w:eastAsia="ru-RU"/>
        </w:rPr>
        <w:drawing>
          <wp:inline distT="0" distB="0" distL="0" distR="0">
            <wp:extent cx="5381625" cy="2375535"/>
            <wp:effectExtent l="0" t="0" r="9525" b="5715"/>
            <wp:docPr id="119"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3.9 - залежність ступеню вилучення іонів міді (1), обмінної ємності іоніту DOWEX-MAC-3 в сольовій формі </w:t>
      </w:r>
      <w:r>
        <w:rPr>
          <w:rFonts w:ascii="Times New Roman" w:hAnsi="Times New Roman" w:cs="Times New Roman"/>
          <w:sz w:val="28"/>
          <w:szCs w:val="28"/>
          <w:lang w:val="ru"/>
        </w:rPr>
        <w:t>(2) та ступеню десорбції іонів міді (3) соляною кислотою від концентрації міді у вихідному розчині.</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 Як видно з рисунку 3.10, при використанні іоніту у кислій формі відбувалося суттєве пом’якшення води та зниження її лужності. Проте все ж ємність катіоніт</w:t>
      </w:r>
      <w:r>
        <w:rPr>
          <w:rFonts w:ascii="Times New Roman" w:hAnsi="Times New Roman" w:cs="Times New Roman"/>
          <w:bCs/>
          <w:sz w:val="28"/>
          <w:szCs w:val="28"/>
          <w:lang w:val="ru"/>
        </w:rPr>
        <w:t>у у сольовій формі по іонах жорсткості виявилася значно вищою за кислу форму того ж іоніту: 4099 та 2771 мг-екв/дм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відповідно.  Але ємність іоніту в обох формах по іонах міді практично не відрізнятється: 824 та 836 мг-екв/дм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При порівнянні вилучення мі</w:t>
      </w:r>
      <w:r>
        <w:rPr>
          <w:rFonts w:ascii="Times New Roman" w:hAnsi="Times New Roman" w:cs="Times New Roman"/>
          <w:bCs/>
          <w:sz w:val="28"/>
          <w:szCs w:val="28"/>
          <w:lang w:val="ru"/>
        </w:rPr>
        <w:t>ді з вихідного розчину концентрацією 30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та розчинів з концентраціями 1 та 2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закономірно, як і у випадку з КУ-2-8, спостерігається значне зниження ємності іоніту по іонах міді при зниженні концентрації вихідного розчину міді (рис. 3.11 та 3.12</w:t>
      </w:r>
      <w:r>
        <w:rPr>
          <w:rFonts w:ascii="Times New Roman" w:hAnsi="Times New Roman" w:cs="Times New Roman"/>
          <w:bCs/>
          <w:sz w:val="28"/>
          <w:szCs w:val="28"/>
          <w:lang w:val="ru"/>
        </w:rPr>
        <w:t>). рН розчинів складав 7,81 од., а жорсткість води 4,8 мг-екв/дм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lang w:val="en-US"/>
        </w:rPr>
      </w:pPr>
      <w:r>
        <w:rPr>
          <w:noProof/>
          <w:lang w:val="ru-RU" w:eastAsia="ru-RU"/>
        </w:rPr>
        <mc:AlternateContent>
          <mc:Choice Requires="wps">
            <w:drawing>
              <wp:anchor distT="0" distB="0" distL="114300" distR="114300" simplePos="0" relativeHeight="251674624" behindDoc="0" locked="0" layoutInCell="1" allowOverlap="1">
                <wp:simplePos x="0" y="0"/>
                <wp:positionH relativeFrom="column">
                  <wp:posOffset>4519295</wp:posOffset>
                </wp:positionH>
                <wp:positionV relativeFrom="paragraph">
                  <wp:posOffset>1485265</wp:posOffset>
                </wp:positionV>
                <wp:extent cx="133350" cy="428625"/>
                <wp:effectExtent l="4445" t="1270" r="14605" b="8255"/>
                <wp:wrapNone/>
                <wp:docPr id="19" name="Straight Connector 19"/>
                <wp:cNvGraphicFramePr/>
                <a:graphic xmlns:a="http://schemas.openxmlformats.org/drawingml/2006/main">
                  <a:graphicData uri="http://schemas.microsoft.com/office/word/2010/wordprocessingShape">
                    <wps:wsp>
                      <wps:cNvCnPr/>
                      <wps:spPr>
                        <a:xfrm>
                          <a:off x="5599430" y="6395085"/>
                          <a:ext cx="133350" cy="4286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2F5652A" id="Straight Connector 19"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355.85pt,116.95pt" to="366.35pt,1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73600" behindDoc="0" locked="0" layoutInCell="1" allowOverlap="1">
                <wp:simplePos x="0" y="0"/>
                <wp:positionH relativeFrom="column">
                  <wp:posOffset>4224020</wp:posOffset>
                </wp:positionH>
                <wp:positionV relativeFrom="paragraph">
                  <wp:posOffset>1466215</wp:posOffset>
                </wp:positionV>
                <wp:extent cx="85725" cy="447675"/>
                <wp:effectExtent l="4445" t="635" r="5080" b="8890"/>
                <wp:wrapNone/>
                <wp:docPr id="18" name="Straight Connector 18"/>
                <wp:cNvGraphicFramePr/>
                <a:graphic xmlns:a="http://schemas.openxmlformats.org/drawingml/2006/main">
                  <a:graphicData uri="http://schemas.microsoft.com/office/word/2010/wordprocessingShape">
                    <wps:wsp>
                      <wps:cNvCnPr/>
                      <wps:spPr>
                        <a:xfrm>
                          <a:off x="5304155" y="6376035"/>
                          <a:ext cx="85725" cy="4476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A5CAD46" id="Straight Connector 18"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332.6pt,115.45pt" to="339.35pt,1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72576" behindDoc="0" locked="0" layoutInCell="1" allowOverlap="1">
                <wp:simplePos x="0" y="0"/>
                <wp:positionH relativeFrom="column">
                  <wp:posOffset>3976370</wp:posOffset>
                </wp:positionH>
                <wp:positionV relativeFrom="paragraph">
                  <wp:posOffset>1532890</wp:posOffset>
                </wp:positionV>
                <wp:extent cx="57150" cy="390525"/>
                <wp:effectExtent l="4445" t="635" r="14605" b="8890"/>
                <wp:wrapNone/>
                <wp:docPr id="16" name="Straight Connector 16"/>
                <wp:cNvGraphicFramePr/>
                <a:graphic xmlns:a="http://schemas.openxmlformats.org/drawingml/2006/main">
                  <a:graphicData uri="http://schemas.microsoft.com/office/word/2010/wordprocessingShape">
                    <wps:wsp>
                      <wps:cNvCnPr/>
                      <wps:spPr>
                        <a:xfrm>
                          <a:off x="5056505" y="6442710"/>
                          <a:ext cx="57150" cy="390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08417CB" id="Straight Connector 16"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313.1pt,120.7pt" to="317.6pt,15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71552" behindDoc="0" locked="0" layoutInCell="1" allowOverlap="1">
                <wp:simplePos x="0" y="0"/>
                <wp:positionH relativeFrom="column">
                  <wp:posOffset>3671570</wp:posOffset>
                </wp:positionH>
                <wp:positionV relativeFrom="paragraph">
                  <wp:posOffset>1666240</wp:posOffset>
                </wp:positionV>
                <wp:extent cx="57150" cy="238125"/>
                <wp:effectExtent l="4445" t="1270" r="14605" b="8255"/>
                <wp:wrapNone/>
                <wp:docPr id="15" name="Straight Connector 15"/>
                <wp:cNvGraphicFramePr/>
                <a:graphic xmlns:a="http://schemas.openxmlformats.org/drawingml/2006/main">
                  <a:graphicData uri="http://schemas.microsoft.com/office/word/2010/wordprocessingShape">
                    <wps:wsp>
                      <wps:cNvCnPr/>
                      <wps:spPr>
                        <a:xfrm>
                          <a:off x="4751705" y="6576060"/>
                          <a:ext cx="57150" cy="2381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0C3256" id="Straight Connector 15"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89.1pt,131.2pt" to="293.6pt,14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70528" behindDoc="0" locked="0" layoutInCell="1" allowOverlap="1">
                <wp:simplePos x="0" y="0"/>
                <wp:positionH relativeFrom="column">
                  <wp:posOffset>3271520</wp:posOffset>
                </wp:positionH>
                <wp:positionV relativeFrom="paragraph">
                  <wp:posOffset>1742440</wp:posOffset>
                </wp:positionV>
                <wp:extent cx="104775" cy="95250"/>
                <wp:effectExtent l="3175" t="3810" r="6350" b="15240"/>
                <wp:wrapNone/>
                <wp:docPr id="14" name="Straight Connector 14"/>
                <wp:cNvGraphicFramePr/>
                <a:graphic xmlns:a="http://schemas.openxmlformats.org/drawingml/2006/main">
                  <a:graphicData uri="http://schemas.microsoft.com/office/word/2010/wordprocessingShape">
                    <wps:wsp>
                      <wps:cNvCnPr/>
                      <wps:spPr>
                        <a:xfrm>
                          <a:off x="4351655" y="6652260"/>
                          <a:ext cx="104775" cy="952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11F134D" id="Straight Connector 14"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257.6pt,137.2pt" to="265.85pt,14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9504" behindDoc="0" locked="0" layoutInCell="1" allowOverlap="1">
                <wp:simplePos x="0" y="0"/>
                <wp:positionH relativeFrom="column">
                  <wp:posOffset>2280920</wp:posOffset>
                </wp:positionH>
                <wp:positionV relativeFrom="paragraph">
                  <wp:posOffset>1361440</wp:posOffset>
                </wp:positionV>
                <wp:extent cx="228600" cy="123825"/>
                <wp:effectExtent l="2540" t="4445" r="16510" b="5080"/>
                <wp:wrapNone/>
                <wp:docPr id="13" name="Straight Connector 13"/>
                <wp:cNvGraphicFramePr/>
                <a:graphic xmlns:a="http://schemas.openxmlformats.org/drawingml/2006/main">
                  <a:graphicData uri="http://schemas.microsoft.com/office/word/2010/wordprocessingShape">
                    <wps:wsp>
                      <wps:cNvCnPr/>
                      <wps:spPr>
                        <a:xfrm>
                          <a:off x="3361055" y="6271260"/>
                          <a:ext cx="228600" cy="1238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A1017A" id="Straight Connector 13"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79.6pt,107.2pt" to="197.6pt,1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68480" behindDoc="0" locked="0" layoutInCell="1" allowOverlap="1">
                <wp:simplePos x="0" y="0"/>
                <wp:positionH relativeFrom="column">
                  <wp:posOffset>3295650</wp:posOffset>
                </wp:positionH>
                <wp:positionV relativeFrom="paragraph">
                  <wp:posOffset>285115</wp:posOffset>
                </wp:positionV>
                <wp:extent cx="66675" cy="285750"/>
                <wp:effectExtent l="4445" t="1270" r="5080" b="17780"/>
                <wp:wrapNone/>
                <wp:docPr id="12" name="Straight Connector 12"/>
                <wp:cNvGraphicFramePr/>
                <a:graphic xmlns:a="http://schemas.openxmlformats.org/drawingml/2006/main">
                  <a:graphicData uri="http://schemas.microsoft.com/office/word/2010/wordprocessingShape">
                    <wps:wsp>
                      <wps:cNvCnPr/>
                      <wps:spPr>
                        <a:xfrm flipV="1">
                          <a:off x="4375785" y="5194935"/>
                          <a:ext cx="66675" cy="285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EABE69" id="Straight Connector 12"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259.5pt,22.45pt" to="264.7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" strokecolor="black [3213]" strokeweight=".5pt">
                <v:stroke joinstyle="miter"/>
              </v:line>
            </w:pict>
          </mc:Fallback>
        </mc:AlternateContent>
      </w:r>
      <w:r>
        <w:rPr>
          <w:noProof/>
          <w:lang w:val="ru-RU" w:eastAsia="ru-RU"/>
        </w:rPr>
        <w:drawing>
          <wp:inline distT="0" distB="0" distL="0" distR="0">
            <wp:extent cx="5172075" cy="2343150"/>
            <wp:effectExtent l="0" t="0" r="9525" b="0"/>
            <wp:docPr id="121"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sz w:val="28"/>
          <w:szCs w:val="28"/>
          <w:lang w:val="ru"/>
        </w:rPr>
        <w:t>Рисунок 3.10 - залежність жорсткості (1, 2), кислотності (3), лужності (4, 5) та концентрації іонів міді (6, 7) від профільтрованого розчину міді концентрацією 30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у водопровідній воді через катіоніт </w:t>
      </w:r>
      <w:r>
        <w:rPr>
          <w:rFonts w:ascii="Times New Roman" w:hAnsi="Times New Roman" w:cs="Times New Roman"/>
          <w:bCs/>
          <w:sz w:val="28"/>
          <w:szCs w:val="28"/>
          <w:lang w:val="ru"/>
        </w:rPr>
        <w:t>DOWEX</w:t>
      </w:r>
      <w:r>
        <w:rPr>
          <w:rFonts w:ascii="Times New Roman" w:hAnsi="Times New Roman" w:cs="Times New Roman"/>
          <w:bCs/>
          <w:sz w:val="28"/>
          <w:szCs w:val="28"/>
          <w:lang w:val="ru"/>
        </w:rPr>
        <w:t>-MAC-3 у кислій (1, 3, 4, 6) та сольовій (2, 5, 7) формах.</w:t>
      </w:r>
    </w:p>
    <w:p w:rsidR="00F1629C" w:rsidRDefault="00F1629C">
      <w:pPr>
        <w:spacing w:line="360" w:lineRule="auto"/>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noProof/>
          <w:lang w:val="ru-RU" w:eastAsia="ru-RU"/>
        </w:rPr>
        <w:drawing>
          <wp:inline distT="0" distB="0" distL="0" distR="0">
            <wp:extent cx="4991100" cy="2447925"/>
            <wp:effectExtent l="0" t="0" r="0" b="9525"/>
            <wp:docPr id="123"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hAnsi="Times New Roman" w:cs="Times New Roman"/>
          <w:bCs/>
          <w:sz w:val="28"/>
          <w:szCs w:val="28"/>
          <w:lang w:val="ru"/>
        </w:rPr>
        <w:t xml:space="preserve">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Рисунок 3.11 - залежність ступеня вилучення іонів міді (1, 2, 3, 4) та іонів жорсткості (5, 6, 7, 8) від об’єму пропущеного розчину міді у водопровідні</w:t>
      </w:r>
      <w:r>
        <w:rPr>
          <w:rFonts w:ascii="Times New Roman" w:hAnsi="Times New Roman" w:cs="Times New Roman"/>
          <w:bCs/>
          <w:sz w:val="28"/>
          <w:szCs w:val="28"/>
          <w:lang w:val="ru"/>
        </w:rPr>
        <w:t>й воді через катіоніт DOWEX</w:t>
      </w:r>
      <w:r>
        <w:rPr>
          <w:rFonts w:ascii="Times New Roman" w:hAnsi="Times New Roman" w:cs="Times New Roman"/>
          <w:bCs/>
          <w:sz w:val="28"/>
          <w:szCs w:val="28"/>
          <w:lang w:val="ru"/>
        </w:rPr>
        <w:t>-MAC-3 у кислій (1, 4, 5, 8) та сольовій (2, 3, 6, 7) формах</w:t>
      </w:r>
      <w:r>
        <w:rPr>
          <w:rFonts w:ascii="Times New Roman" w:hAnsi="Times New Roman" w:cs="Times New Roman"/>
          <w:bCs/>
          <w:sz w:val="28"/>
          <w:szCs w:val="28"/>
          <w:lang w:val="ru"/>
        </w:rPr>
        <w:t>, з вихідними концентраціями міді 1 (4, 8), 2 (3, 7) та 30 (1, 2, 5, 6)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jc w:val="center"/>
        <w:rPr>
          <w:lang w:val="en-US"/>
        </w:rPr>
      </w:pPr>
      <w:r>
        <w:rPr>
          <w:noProof/>
          <w:lang w:val="ru-RU" w:eastAsia="ru-RU"/>
        </w:rPr>
        <w:drawing>
          <wp:inline distT="0" distB="0" distL="0" distR="0">
            <wp:extent cx="4819650" cy="2339975"/>
            <wp:effectExtent l="0" t="0" r="0" b="3175"/>
            <wp:docPr id="12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Рисунок 3.12 - залежність ступеня вилучення іонів міді (3, 4) та іонів жорсткості (1, </w:t>
      </w:r>
      <w:r>
        <w:rPr>
          <w:rFonts w:ascii="Times New Roman" w:hAnsi="Times New Roman" w:cs="Times New Roman"/>
          <w:bCs/>
          <w:sz w:val="28"/>
          <w:szCs w:val="28"/>
          <w:lang w:val="ru"/>
        </w:rPr>
        <w:t>2) від об’єму пропущеного розчину міді у водопровідній воді через катіоніт DOWEX</w:t>
      </w:r>
      <w:r>
        <w:rPr>
          <w:rFonts w:ascii="Times New Roman" w:hAnsi="Times New Roman" w:cs="Times New Roman"/>
          <w:bCs/>
          <w:sz w:val="28"/>
          <w:szCs w:val="28"/>
          <w:lang w:val="ru"/>
        </w:rPr>
        <w:t>-MAC-3 у кислій (2, 4) та сольовій (1, 3) формах</w:t>
      </w:r>
      <w:r>
        <w:rPr>
          <w:rFonts w:ascii="Times New Roman" w:hAnsi="Times New Roman" w:cs="Times New Roman"/>
          <w:bCs/>
          <w:sz w:val="28"/>
          <w:szCs w:val="28"/>
          <w:lang w:val="ru"/>
        </w:rPr>
        <w:t>, з вихідними концентраціями міді 1 (2, 4) та 2 (1, 3)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p>
    <w:p w:rsidR="00F1629C" w:rsidRDefault="00F1629C">
      <w:pPr>
        <w:spacing w:line="360" w:lineRule="auto"/>
        <w:ind w:firstLine="700"/>
        <w:jc w:val="both"/>
        <w:rPr>
          <w:rFonts w:ascii="Times New Roman" w:hAnsi="Times New Roman" w:cs="Times New Roman"/>
          <w:b/>
          <w:sz w:val="28"/>
          <w:szCs w:val="28"/>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Узагальнюючи попередні досліди з катіонітом </w:t>
      </w:r>
      <w:r>
        <w:rPr>
          <w:rFonts w:ascii="Times New Roman" w:hAnsi="Times New Roman" w:cs="Times New Roman"/>
          <w:bCs/>
          <w:sz w:val="28"/>
          <w:szCs w:val="28"/>
          <w:lang w:val="ru"/>
        </w:rPr>
        <w:t>DOWEX</w:t>
      </w:r>
      <w:r>
        <w:rPr>
          <w:rFonts w:ascii="Times New Roman" w:hAnsi="Times New Roman" w:cs="Times New Roman"/>
          <w:bCs/>
          <w:sz w:val="28"/>
          <w:szCs w:val="28"/>
          <w:lang w:val="ru"/>
        </w:rPr>
        <w:t>-MAC-3, можна с</w:t>
      </w:r>
      <w:r>
        <w:rPr>
          <w:rFonts w:ascii="Times New Roman" w:hAnsi="Times New Roman" w:cs="Times New Roman"/>
          <w:bCs/>
          <w:sz w:val="28"/>
          <w:szCs w:val="28"/>
          <w:lang w:val="ru"/>
        </w:rPr>
        <w:t xml:space="preserve">класти таблицю, яка демонструє відношення обмінних ємностей іоніту по іонах міді та іонах жорсткості. З таблиці 3.3 видно, що відношення ємності іоніту по іонах жорсткості до ємності по іонах міді зростає зі зниженням вихідної концентрації міді у розчині. </w:t>
      </w:r>
      <w:r>
        <w:rPr>
          <w:rFonts w:ascii="Times New Roman" w:hAnsi="Times New Roman" w:cs="Times New Roman"/>
          <w:bCs/>
          <w:sz w:val="28"/>
          <w:szCs w:val="28"/>
          <w:lang w:val="ru"/>
        </w:rPr>
        <w:t>Це пов’язано з тим що, незважаючи на більш високу селективність іоніту по іонах міді, значно більша концентрація іонів кальцію та магнію у розчині, в порівнянні з міддю, спричинює перехід іоніту у Ca</w:t>
      </w:r>
      <w:r>
        <w:rPr>
          <w:rFonts w:ascii="Times New Roman" w:hAnsi="Times New Roman" w:cs="Times New Roman"/>
          <w:bCs/>
          <w:sz w:val="28"/>
          <w:szCs w:val="28"/>
          <w:vertAlign w:val="superscript"/>
          <w:lang w:val="ru"/>
        </w:rPr>
        <w:t xml:space="preserve">2+ </w:t>
      </w:r>
      <w:r>
        <w:rPr>
          <w:rFonts w:ascii="Times New Roman" w:hAnsi="Times New Roman" w:cs="Times New Roman"/>
          <w:bCs/>
          <w:sz w:val="28"/>
          <w:szCs w:val="28"/>
          <w:lang w:val="ru"/>
        </w:rPr>
        <w:t>- Mg</w:t>
      </w:r>
      <w:r>
        <w:rPr>
          <w:rFonts w:ascii="Times New Roman" w:hAnsi="Times New Roman" w:cs="Times New Roman"/>
          <w:bCs/>
          <w:sz w:val="28"/>
          <w:szCs w:val="28"/>
          <w:vertAlign w:val="superscript"/>
          <w:lang w:val="ru"/>
        </w:rPr>
        <w:t>2+</w:t>
      </w:r>
      <w:r>
        <w:rPr>
          <w:rFonts w:ascii="Times New Roman" w:hAnsi="Times New Roman" w:cs="Times New Roman"/>
          <w:bCs/>
          <w:sz w:val="28"/>
          <w:szCs w:val="28"/>
          <w:lang w:val="ru"/>
        </w:rPr>
        <w:t>-форму, що знижує ємність іоніту по іонах міді.</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Виходячи з усього вищенаведеного, можна сказати що ступінь вилучення іонів міді на катіоніті </w:t>
      </w:r>
      <w:r>
        <w:rPr>
          <w:rFonts w:ascii="Times New Roman" w:hAnsi="Times New Roman" w:cs="Times New Roman"/>
          <w:bCs/>
          <w:sz w:val="28"/>
          <w:szCs w:val="28"/>
          <w:lang w:val="ru"/>
        </w:rPr>
        <w:t>DOWEX</w:t>
      </w:r>
      <w:r>
        <w:rPr>
          <w:rFonts w:ascii="Times New Roman" w:hAnsi="Times New Roman" w:cs="Times New Roman"/>
          <w:bCs/>
          <w:sz w:val="28"/>
          <w:szCs w:val="28"/>
          <w:lang w:val="ru"/>
        </w:rPr>
        <w:t>-MAC-3 у кислій та сольовій формах досить низький, у порівнянні з катіонітом КУ-2-8. Проте ступінь вилучення іонів жорсткості є достатньо високим і збільшуєть</w:t>
      </w:r>
      <w:r>
        <w:rPr>
          <w:rFonts w:ascii="Times New Roman" w:hAnsi="Times New Roman" w:cs="Times New Roman"/>
          <w:bCs/>
          <w:sz w:val="28"/>
          <w:szCs w:val="28"/>
          <w:lang w:val="ru"/>
        </w:rPr>
        <w:t>ся зі зниженням концентрації міді у розчині.</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Таблиця 3.3 - залежність відношення обмінних ємностей іоніту DOWEX</w:t>
      </w:r>
      <w:r>
        <w:rPr>
          <w:rFonts w:ascii="Times New Roman" w:hAnsi="Times New Roman" w:cs="Times New Roman"/>
          <w:bCs/>
          <w:sz w:val="28"/>
          <w:szCs w:val="28"/>
          <w:lang w:val="ru"/>
        </w:rPr>
        <w:t>-MAC-3 у кислій та сольовій формах по іонах жорсткості та іонах міді від вихідної концентрації міді у розчині</w:t>
      </w:r>
    </w:p>
    <w:tbl>
      <w:tblPr>
        <w:tblW w:w="91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94"/>
        <w:gridCol w:w="1722"/>
        <w:gridCol w:w="1599"/>
        <w:gridCol w:w="2741"/>
        <w:gridCol w:w="2524"/>
      </w:tblGrid>
      <w:tr w:rsidR="00F1629C">
        <w:trPr>
          <w:jc w:val="center"/>
        </w:trPr>
        <w:tc>
          <w:tcPr>
            <w:tcW w:w="594" w:type="dxa"/>
          </w:tcPr>
          <w:p w:rsidR="00F1629C" w:rsidRDefault="00E671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п/п</w:t>
            </w:r>
          </w:p>
        </w:tc>
        <w:tc>
          <w:tcPr>
            <w:tcW w:w="1722"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[Cu], мг/дм</w:t>
            </w:r>
            <w:r>
              <w:rPr>
                <w:rFonts w:ascii="Times New Roman" w:hAnsi="Times New Roman" w:cs="Times New Roman"/>
                <w:sz w:val="28"/>
                <w:szCs w:val="28"/>
                <w:vertAlign w:val="superscript"/>
              </w:rPr>
              <w:t>3</w:t>
            </w:r>
          </w:p>
        </w:tc>
        <w:tc>
          <w:tcPr>
            <w:tcW w:w="1599"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Форма іоніту</w:t>
            </w:r>
          </w:p>
        </w:tc>
        <w:tc>
          <w:tcPr>
            <w:tcW w:w="2741"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Ж/[Cu], </w:t>
            </w:r>
          </w:p>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мг-екв/мг-екв</w:t>
            </w:r>
          </w:p>
        </w:tc>
        <w:tc>
          <w:tcPr>
            <w:tcW w:w="252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ОЄ</w:t>
            </w:r>
            <w:r>
              <w:rPr>
                <w:rFonts w:ascii="Times New Roman" w:hAnsi="Times New Roman" w:cs="Times New Roman"/>
                <w:sz w:val="28"/>
                <w:szCs w:val="28"/>
                <w:vertAlign w:val="subscript"/>
              </w:rPr>
              <w:t>Ж</w:t>
            </w:r>
            <w:r>
              <w:rPr>
                <w:rFonts w:ascii="Times New Roman" w:hAnsi="Times New Roman" w:cs="Times New Roman"/>
                <w:sz w:val="28"/>
                <w:szCs w:val="28"/>
              </w:rPr>
              <w:t>/ОЄ</w:t>
            </w:r>
            <w:r>
              <w:rPr>
                <w:rFonts w:ascii="Times New Roman" w:hAnsi="Times New Roman" w:cs="Times New Roman"/>
                <w:sz w:val="28"/>
                <w:szCs w:val="28"/>
                <w:vertAlign w:val="subscript"/>
              </w:rPr>
              <w:t>Cu</w:t>
            </w:r>
            <w:r>
              <w:rPr>
                <w:rFonts w:ascii="Times New Roman" w:hAnsi="Times New Roman" w:cs="Times New Roman"/>
                <w:sz w:val="28"/>
                <w:szCs w:val="28"/>
                <w:vertAlign w:val="superscript"/>
              </w:rPr>
              <w:t>2+</w:t>
            </w:r>
            <w:r>
              <w:rPr>
                <w:rFonts w:ascii="Times New Roman" w:hAnsi="Times New Roman" w:cs="Times New Roman"/>
                <w:sz w:val="28"/>
                <w:szCs w:val="28"/>
              </w:rPr>
              <w:t xml:space="preserve">, </w:t>
            </w:r>
          </w:p>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мг-екв/мг-екв</w:t>
            </w:r>
          </w:p>
        </w:tc>
      </w:tr>
      <w:tr w:rsidR="00F1629C">
        <w:trPr>
          <w:jc w:val="center"/>
        </w:trPr>
        <w:tc>
          <w:tcPr>
            <w:tcW w:w="59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722"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599" w:type="dxa"/>
          </w:tcPr>
          <w:p w:rsidR="00F1629C" w:rsidRDefault="00E671D2">
            <w:pPr>
              <w:spacing w:after="0" w:line="360" w:lineRule="auto"/>
              <w:jc w:val="center"/>
              <w:rPr>
                <w:rFonts w:ascii="Times New Roman" w:hAnsi="Times New Roman" w:cs="Times New Roman"/>
                <w:sz w:val="28"/>
                <w:szCs w:val="28"/>
                <w:vertAlign w:val="superscript"/>
              </w:rPr>
            </w:pPr>
            <w:r>
              <w:rPr>
                <w:rFonts w:ascii="Times New Roman" w:hAnsi="Times New Roman" w:cs="Times New Roman"/>
                <w:sz w:val="28"/>
                <w:szCs w:val="28"/>
              </w:rPr>
              <w:t>Н</w:t>
            </w:r>
            <w:r>
              <w:rPr>
                <w:rFonts w:ascii="Times New Roman" w:hAnsi="Times New Roman" w:cs="Times New Roman"/>
                <w:sz w:val="28"/>
                <w:szCs w:val="28"/>
                <w:vertAlign w:val="superscript"/>
              </w:rPr>
              <w:t>+</w:t>
            </w:r>
          </w:p>
        </w:tc>
        <w:tc>
          <w:tcPr>
            <w:tcW w:w="2741"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152,50</w:t>
            </w:r>
          </w:p>
        </w:tc>
        <w:tc>
          <w:tcPr>
            <w:tcW w:w="252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139,90</w:t>
            </w:r>
          </w:p>
        </w:tc>
      </w:tr>
      <w:tr w:rsidR="00F1629C">
        <w:trPr>
          <w:jc w:val="center"/>
        </w:trPr>
        <w:tc>
          <w:tcPr>
            <w:tcW w:w="59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722"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1599" w:type="dxa"/>
          </w:tcPr>
          <w:p w:rsidR="00F1629C" w:rsidRDefault="00E671D2">
            <w:pPr>
              <w:spacing w:after="0" w:line="360" w:lineRule="auto"/>
              <w:jc w:val="center"/>
              <w:rPr>
                <w:rFonts w:ascii="Times New Roman" w:hAnsi="Times New Roman" w:cs="Times New Roman"/>
                <w:sz w:val="28"/>
                <w:szCs w:val="28"/>
                <w:vertAlign w:val="superscript"/>
              </w:rPr>
            </w:pPr>
            <w:r>
              <w:rPr>
                <w:rFonts w:ascii="Times New Roman" w:hAnsi="Times New Roman" w:cs="Times New Roman"/>
                <w:sz w:val="28"/>
                <w:szCs w:val="28"/>
              </w:rPr>
              <w:t>Na</w:t>
            </w:r>
            <w:r>
              <w:rPr>
                <w:rFonts w:ascii="Times New Roman" w:hAnsi="Times New Roman" w:cs="Times New Roman"/>
                <w:sz w:val="28"/>
                <w:szCs w:val="28"/>
                <w:vertAlign w:val="superscript"/>
              </w:rPr>
              <w:t>+</w:t>
            </w:r>
          </w:p>
        </w:tc>
        <w:tc>
          <w:tcPr>
            <w:tcW w:w="2741"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76,20</w:t>
            </w:r>
          </w:p>
        </w:tc>
        <w:tc>
          <w:tcPr>
            <w:tcW w:w="252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77,97</w:t>
            </w:r>
          </w:p>
        </w:tc>
      </w:tr>
      <w:tr w:rsidR="00F1629C">
        <w:trPr>
          <w:jc w:val="center"/>
        </w:trPr>
        <w:tc>
          <w:tcPr>
            <w:tcW w:w="59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722"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30,0</w:t>
            </w:r>
          </w:p>
        </w:tc>
        <w:tc>
          <w:tcPr>
            <w:tcW w:w="1599"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Pr>
                <w:rFonts w:ascii="Times New Roman" w:hAnsi="Times New Roman" w:cs="Times New Roman"/>
                <w:sz w:val="28"/>
                <w:szCs w:val="28"/>
                <w:vertAlign w:val="superscript"/>
              </w:rPr>
              <w:t>+</w:t>
            </w:r>
          </w:p>
        </w:tc>
        <w:tc>
          <w:tcPr>
            <w:tcW w:w="2741"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5,08</w:t>
            </w:r>
          </w:p>
        </w:tc>
        <w:tc>
          <w:tcPr>
            <w:tcW w:w="252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3,33</w:t>
            </w:r>
          </w:p>
        </w:tc>
      </w:tr>
      <w:tr w:rsidR="00F1629C">
        <w:trPr>
          <w:jc w:val="center"/>
        </w:trPr>
        <w:tc>
          <w:tcPr>
            <w:tcW w:w="59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722"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30,0</w:t>
            </w:r>
          </w:p>
        </w:tc>
        <w:tc>
          <w:tcPr>
            <w:tcW w:w="1599"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Na</w:t>
            </w:r>
            <w:r>
              <w:rPr>
                <w:rFonts w:ascii="Times New Roman" w:hAnsi="Times New Roman" w:cs="Times New Roman"/>
                <w:sz w:val="28"/>
                <w:szCs w:val="28"/>
                <w:vertAlign w:val="superscript"/>
              </w:rPr>
              <w:t>+</w:t>
            </w:r>
          </w:p>
        </w:tc>
        <w:tc>
          <w:tcPr>
            <w:tcW w:w="2741"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5,08</w:t>
            </w:r>
          </w:p>
        </w:tc>
        <w:tc>
          <w:tcPr>
            <w:tcW w:w="2524" w:type="dxa"/>
          </w:tcPr>
          <w:p w:rsidR="00F1629C" w:rsidRDefault="00E671D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4,97</w:t>
            </w:r>
          </w:p>
        </w:tc>
      </w:tr>
    </w:tbl>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
          <w:bCs/>
          <w:sz w:val="28"/>
          <w:szCs w:val="28"/>
          <w:lang w:val="ru"/>
        </w:rPr>
      </w:pPr>
      <w:r>
        <w:rPr>
          <w:rFonts w:ascii="Times New Roman" w:hAnsi="Times New Roman" w:cs="Times New Roman"/>
          <w:b/>
          <w:bCs/>
          <w:sz w:val="28"/>
          <w:szCs w:val="28"/>
          <w:lang w:val="ru"/>
        </w:rPr>
        <w:t>3.1.3 Оцінка ефективності вилучення іонів міді з води за допомогою сорбції на магнетиті</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 xml:space="preserve">Дослідження сорбції міді </w:t>
      </w:r>
      <w:r>
        <w:rPr>
          <w:rFonts w:ascii="Times New Roman" w:hAnsi="Times New Roman" w:cs="Times New Roman"/>
          <w:sz w:val="28"/>
          <w:szCs w:val="28"/>
          <w:lang w:val="ru"/>
        </w:rPr>
        <w:t>на магнетиті почалося з дослідження кінетики сорбції. Так, при концентрації магнетиту 200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концентрації міді 5 та 10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та об’ємі проби 100 см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вимірювалась кінцева концентрація міді у розчині при очищенні розчинів протягом 0,5 - 4 годин з інтер</w:t>
      </w:r>
      <w:r>
        <w:rPr>
          <w:rFonts w:ascii="Times New Roman" w:hAnsi="Times New Roman" w:cs="Times New Roman"/>
          <w:sz w:val="28"/>
          <w:szCs w:val="28"/>
          <w:lang w:val="ru"/>
        </w:rPr>
        <w:t>валом у 30 хв.</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Дослідження кінетики сорбції показало, що оптимальним часом сорбції іонів міді на магнетиті у дистильованій воді є інтервал 2 - 2,5 години для обох досліджуваних вихідних концентрацій міді у розчині (рис. 3.13 та 3.14). При збільшенні часу с</w:t>
      </w:r>
      <w:r>
        <w:rPr>
          <w:rFonts w:ascii="Times New Roman" w:hAnsi="Times New Roman" w:cs="Times New Roman"/>
          <w:sz w:val="28"/>
          <w:szCs w:val="28"/>
          <w:lang w:val="ru"/>
        </w:rPr>
        <w:t>орбції було помічене зниження ефективності вилучення міді.</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Як видно з результатів досліду, ефективність вилучення міді з розчину з вихідною концентрацією міді 5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дещо вища, в порівнянні з розчином з концентрацією 10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Проте, цікавою особливістю</w:t>
      </w:r>
      <w:r>
        <w:rPr>
          <w:rFonts w:ascii="Times New Roman" w:hAnsi="Times New Roman" w:cs="Times New Roman"/>
          <w:sz w:val="28"/>
          <w:szCs w:val="28"/>
          <w:lang w:val="ru"/>
        </w:rPr>
        <w:t xml:space="preserve"> є те, що сорбційна ємність магнетиту по міді з підвищенням концентрації останньої у вихідному розчині помітно зростає (від 0,027 г/г до 0,040 г/г), що є позитивним фактором (рис. 3.15).</w:t>
      </w:r>
    </w:p>
    <w:p w:rsidR="00F1629C" w:rsidRDefault="00F1629C">
      <w:pPr>
        <w:spacing w:line="360" w:lineRule="auto"/>
        <w:ind w:firstLine="700"/>
        <w:jc w:val="both"/>
        <w:rPr>
          <w:rFonts w:ascii="Times New Roman" w:hAnsi="Times New Roman" w:cs="Times New Roman"/>
          <w:sz w:val="28"/>
          <w:szCs w:val="28"/>
          <w:lang w:val="ru"/>
        </w:rPr>
      </w:pPr>
    </w:p>
    <w:p w:rsidR="00F1629C" w:rsidRDefault="00E671D2">
      <w:pPr>
        <w:spacing w:line="360" w:lineRule="auto"/>
        <w:jc w:val="center"/>
        <w:rPr>
          <w:rFonts w:ascii="Times New Roman" w:hAnsi="Times New Roman" w:cs="Times New Roman"/>
          <w:sz w:val="28"/>
          <w:szCs w:val="28"/>
          <w:lang w:val="ru"/>
        </w:rPr>
      </w:pPr>
      <w:r>
        <w:rPr>
          <w:noProof/>
          <w:lang w:val="ru-RU" w:eastAsia="ru-RU"/>
        </w:rPr>
        <w:drawing>
          <wp:inline distT="0" distB="0" distL="114300" distR="114300">
            <wp:extent cx="5486400" cy="2743200"/>
            <wp:effectExtent l="4445" t="4445" r="14605" b="14605"/>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1629C" w:rsidRDefault="00E671D2">
      <w:pPr>
        <w:spacing w:line="360" w:lineRule="auto"/>
        <w:ind w:firstLine="700"/>
        <w:jc w:val="both"/>
        <w:rPr>
          <w:rFonts w:ascii="Times New Roman" w:hAnsi="Times New Roman" w:cs="Times New Roman"/>
          <w:sz w:val="28"/>
          <w:szCs w:val="28"/>
          <w:vertAlign w:val="superscript"/>
          <w:lang w:val="ru"/>
        </w:rPr>
      </w:pPr>
      <w:r>
        <w:rPr>
          <w:rFonts w:ascii="Times New Roman" w:hAnsi="Times New Roman" w:cs="Times New Roman"/>
          <w:sz w:val="28"/>
          <w:szCs w:val="28"/>
          <w:lang w:val="ru"/>
        </w:rPr>
        <w:t xml:space="preserve"> Рисунок 3.13 - залежність ефективності вилучення міді від часу со</w:t>
      </w:r>
      <w:r>
        <w:rPr>
          <w:rFonts w:ascii="Times New Roman" w:hAnsi="Times New Roman" w:cs="Times New Roman"/>
          <w:sz w:val="28"/>
          <w:szCs w:val="28"/>
          <w:lang w:val="ru"/>
        </w:rPr>
        <w:t>рбції при вихідній концентрації міді у розчині 5 мг/дм</w:t>
      </w:r>
      <w:r>
        <w:rPr>
          <w:rFonts w:ascii="Times New Roman" w:hAnsi="Times New Roman" w:cs="Times New Roman"/>
          <w:sz w:val="28"/>
          <w:szCs w:val="28"/>
          <w:vertAlign w:val="superscript"/>
          <w:lang w:val="ru"/>
        </w:rPr>
        <w:t>3</w:t>
      </w:r>
    </w:p>
    <w:p w:rsidR="00F1629C" w:rsidRDefault="00F1629C">
      <w:pPr>
        <w:spacing w:line="360" w:lineRule="auto"/>
        <w:jc w:val="both"/>
        <w:rPr>
          <w:rFonts w:ascii="Times New Roman" w:hAnsi="Times New Roman" w:cs="Times New Roman"/>
          <w:sz w:val="28"/>
          <w:szCs w:val="28"/>
          <w:lang w:val="ru"/>
        </w:rPr>
      </w:pPr>
    </w:p>
    <w:p w:rsidR="00F1629C" w:rsidRDefault="00E671D2">
      <w:pPr>
        <w:spacing w:line="360" w:lineRule="auto"/>
        <w:jc w:val="center"/>
        <w:rPr>
          <w:rFonts w:ascii="Times New Roman" w:hAnsi="Times New Roman" w:cs="Times New Roman"/>
          <w:sz w:val="28"/>
          <w:szCs w:val="28"/>
          <w:lang w:val="ru"/>
        </w:rPr>
      </w:pPr>
      <w:r>
        <w:rPr>
          <w:noProof/>
          <w:lang w:val="ru-RU" w:eastAsia="ru-RU"/>
        </w:rPr>
        <w:drawing>
          <wp:inline distT="0" distB="0" distL="114300" distR="114300">
            <wp:extent cx="5486400" cy="2743200"/>
            <wp:effectExtent l="4445" t="4445" r="14605" b="14605"/>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1629C" w:rsidRDefault="00E671D2">
      <w:pPr>
        <w:spacing w:line="360" w:lineRule="auto"/>
        <w:ind w:firstLine="700"/>
        <w:jc w:val="both"/>
        <w:rPr>
          <w:rFonts w:ascii="Times New Roman" w:hAnsi="Times New Roman" w:cs="Times New Roman"/>
          <w:sz w:val="28"/>
          <w:szCs w:val="28"/>
          <w:vertAlign w:val="superscript"/>
          <w:lang w:val="ru"/>
        </w:rPr>
      </w:pPr>
      <w:r>
        <w:rPr>
          <w:rFonts w:ascii="Times New Roman" w:hAnsi="Times New Roman" w:cs="Times New Roman"/>
          <w:sz w:val="28"/>
          <w:szCs w:val="28"/>
          <w:lang w:val="ru"/>
        </w:rPr>
        <w:t>Рисунок 3.14 - залежність ефективності вилучення міді від часу сорбції при вихідній концентрації міді у розчині 10 мг/дм</w:t>
      </w:r>
      <w:r>
        <w:rPr>
          <w:rFonts w:ascii="Times New Roman" w:hAnsi="Times New Roman" w:cs="Times New Roman"/>
          <w:sz w:val="28"/>
          <w:szCs w:val="28"/>
          <w:vertAlign w:val="superscript"/>
          <w:lang w:val="ru"/>
        </w:rPr>
        <w:t>3</w:t>
      </w:r>
    </w:p>
    <w:p w:rsidR="00F1629C" w:rsidRDefault="00F1629C">
      <w:pPr>
        <w:spacing w:line="360" w:lineRule="auto"/>
        <w:ind w:firstLine="700"/>
        <w:jc w:val="both"/>
        <w:rPr>
          <w:rFonts w:ascii="Times New Roman" w:hAnsi="Times New Roman" w:cs="Times New Roman"/>
          <w:sz w:val="28"/>
          <w:szCs w:val="28"/>
          <w:vertAlign w:val="superscript"/>
          <w:lang w:val="ru"/>
        </w:rPr>
      </w:pPr>
    </w:p>
    <w:p w:rsidR="00F1629C" w:rsidRDefault="00E671D2">
      <w:pPr>
        <w:spacing w:line="360" w:lineRule="auto"/>
        <w:jc w:val="center"/>
        <w:rPr>
          <w:rFonts w:ascii="Times New Roman" w:hAnsi="Times New Roman" w:cs="Times New Roman"/>
          <w:sz w:val="28"/>
          <w:szCs w:val="28"/>
          <w:vertAlign w:val="superscript"/>
          <w:lang w:val="ru"/>
        </w:rPr>
      </w:pPr>
      <w:r>
        <w:rPr>
          <w:noProof/>
          <w:lang w:val="ru-RU" w:eastAsia="ru-RU"/>
        </w:rPr>
        <mc:AlternateContent>
          <mc:Choice Requires="wps">
            <w:drawing>
              <wp:anchor distT="0" distB="0" distL="114300" distR="114300" simplePos="0" relativeHeight="251678720" behindDoc="0" locked="0" layoutInCell="1" allowOverlap="1">
                <wp:simplePos x="0" y="0"/>
                <wp:positionH relativeFrom="column">
                  <wp:posOffset>2476500</wp:posOffset>
                </wp:positionH>
                <wp:positionV relativeFrom="paragraph">
                  <wp:posOffset>532765</wp:posOffset>
                </wp:positionV>
                <wp:extent cx="290195" cy="156845"/>
                <wp:effectExtent l="2540" t="4445" r="12065" b="10160"/>
                <wp:wrapNone/>
                <wp:docPr id="30" name="Straight Connector 30"/>
                <wp:cNvGraphicFramePr/>
                <a:graphic xmlns:a="http://schemas.openxmlformats.org/drawingml/2006/main">
                  <a:graphicData uri="http://schemas.microsoft.com/office/word/2010/wordprocessingShape">
                    <wps:wsp>
                      <wps:cNvCnPr/>
                      <wps:spPr>
                        <a:xfrm>
                          <a:off x="3556635" y="4933315"/>
                          <a:ext cx="290195" cy="15684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89876D" id="Straight Connector 30"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95pt,41.95pt" to="217.85pt,5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77696" behindDoc="0" locked="0" layoutInCell="1" allowOverlap="1">
                <wp:simplePos x="0" y="0"/>
                <wp:positionH relativeFrom="column">
                  <wp:posOffset>3514725</wp:posOffset>
                </wp:positionH>
                <wp:positionV relativeFrom="paragraph">
                  <wp:posOffset>1080135</wp:posOffset>
                </wp:positionV>
                <wp:extent cx="99695" cy="371475"/>
                <wp:effectExtent l="4445" t="1270" r="10160" b="8255"/>
                <wp:wrapNone/>
                <wp:docPr id="29" name="Straight Connector 29"/>
                <wp:cNvGraphicFramePr/>
                <a:graphic xmlns:a="http://schemas.openxmlformats.org/drawingml/2006/main">
                  <a:graphicData uri="http://schemas.microsoft.com/office/word/2010/wordprocessingShape">
                    <wps:wsp>
                      <wps:cNvCnPr/>
                      <wps:spPr>
                        <a:xfrm flipV="1">
                          <a:off x="4594860" y="5480685"/>
                          <a:ext cx="99695" cy="3714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B359551" id="Straight Connector 29" o:spid="_x0000_s1026" style="position:absolute;flip:y;z-index:251677696;visibility:visible;mso-wrap-style:square;mso-wrap-distance-left:9pt;mso-wrap-distance-top:0;mso-wrap-distance-right:9pt;mso-wrap-distance-bottom:0;mso-position-horizontal:absolute;mso-position-horizontal-relative:text;mso-position-vertical:absolute;mso-position-vertical-relative:text" from="276.75pt,85.05pt" to="284.6pt,1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76672" behindDoc="0" locked="0" layoutInCell="1" allowOverlap="1">
                <wp:simplePos x="0" y="0"/>
                <wp:positionH relativeFrom="column">
                  <wp:posOffset>2162175</wp:posOffset>
                </wp:positionH>
                <wp:positionV relativeFrom="paragraph">
                  <wp:posOffset>375285</wp:posOffset>
                </wp:positionV>
                <wp:extent cx="314325" cy="314325"/>
                <wp:effectExtent l="0" t="0" r="9525" b="9525"/>
                <wp:wrapNone/>
                <wp:docPr id="28" name="Text Box 28"/>
                <wp:cNvGraphicFramePr/>
                <a:graphic xmlns:a="http://schemas.openxmlformats.org/drawingml/2006/main">
                  <a:graphicData uri="http://schemas.microsoft.com/office/word/2010/wordprocessingShape">
                    <wps:wsp>
                      <wps:cNvSpPr txBox="1"/>
                      <wps:spPr>
                        <a:xfrm>
                          <a:off x="3242310" y="4775835"/>
                          <a:ext cx="314325" cy="3143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color w:val="000000" w:themeColor="text1"/>
                                <w:lang w:val="ru"/>
                              </w:rPr>
                            </w:pPr>
                            <w:r>
                              <w:rPr>
                                <w:color w:val="000000" w:themeColor="text1"/>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8" o:spid="_x0000_s1029" type="#_x0000_t202" style="position:absolute;left:0;text-align:left;margin-left:170.25pt;margin-top:29.55pt;width:24.75pt;height:24.7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" fillcolor="white [3201]" stroked="f" strokeweight=".5pt">
                <v:textbox>
                  <w:txbxContent>
                    <w:p w:rsidR="00F1629C" w:rsidRDefault="00E671D2">
                      <w:pPr>
                        <w:rPr>
                          <w:color w:val="000000" w:themeColor="text1"/>
                          <w:lang w:val="ru"/>
                        </w:rPr>
                      </w:pPr>
                      <w:r>
                        <w:rPr>
                          <w:color w:val="000000" w:themeColor="text1"/>
                          <w:lang w:val="ru"/>
                        </w:rPr>
                        <w:t>2</w:t>
                      </w:r>
                    </w:p>
                  </w:txbxContent>
                </v:textbox>
              </v:shape>
            </w:pict>
          </mc:Fallback>
        </mc:AlternateContent>
      </w:r>
      <w:r>
        <w:rPr>
          <w:noProof/>
          <w:lang w:val="ru-RU" w:eastAsia="ru-RU"/>
        </w:rPr>
        <mc:AlternateContent>
          <mc:Choice Requires="wps">
            <w:drawing>
              <wp:anchor distT="0" distB="0" distL="114300" distR="114300" simplePos="0" relativeHeight="251675648" behindDoc="0" locked="0" layoutInCell="1" allowOverlap="1">
                <wp:simplePos x="0" y="0"/>
                <wp:positionH relativeFrom="column">
                  <wp:posOffset>3276600</wp:posOffset>
                </wp:positionH>
                <wp:positionV relativeFrom="paragraph">
                  <wp:posOffset>1318260</wp:posOffset>
                </wp:positionV>
                <wp:extent cx="238125" cy="266700"/>
                <wp:effectExtent l="0" t="0" r="9525" b="0"/>
                <wp:wrapNone/>
                <wp:docPr id="27" name="Text Box 27"/>
                <wp:cNvGraphicFramePr/>
                <a:graphic xmlns:a="http://schemas.openxmlformats.org/drawingml/2006/main">
                  <a:graphicData uri="http://schemas.microsoft.com/office/word/2010/wordprocessingShape">
                    <wps:wsp>
                      <wps:cNvSpPr txBox="1"/>
                      <wps:spPr>
                        <a:xfrm>
                          <a:off x="4356735" y="5718810"/>
                          <a:ext cx="238125" cy="2667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7" o:spid="_x0000_s1030" type="#_x0000_t202" style="position:absolute;left:0;text-align:left;margin-left:258pt;margin-top:103.8pt;width:18.75pt;height:21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Рисунок</w:t>
      </w:r>
      <w:r>
        <w:rPr>
          <w:rFonts w:ascii="Times New Roman" w:hAnsi="Times New Roman" w:cs="Times New Roman"/>
          <w:bCs/>
          <w:sz w:val="28"/>
          <w:szCs w:val="28"/>
          <w:lang w:val="ru"/>
        </w:rPr>
        <w:t xml:space="preserve"> 3.15 - залежність сорбційної ємності магнетиту від часу сорбції при вихідній концентрації міді у розчині 5 (1) та 10 (2) мг/дм</w:t>
      </w:r>
      <w:r>
        <w:rPr>
          <w:rFonts w:ascii="Times New Roman" w:hAnsi="Times New Roman" w:cs="Times New Roman"/>
          <w:bCs/>
          <w:sz w:val="28"/>
          <w:szCs w:val="28"/>
          <w:vertAlign w:val="superscript"/>
          <w:lang w:val="ru"/>
        </w:rPr>
        <w:t>3</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Подальшою задачею постало побудування ізотерми адсорбції міді на магнетиті. Ізотерма будувалася при трьох значеннях рН - 5, 7 </w:t>
      </w:r>
      <w:r>
        <w:rPr>
          <w:rFonts w:ascii="Times New Roman" w:hAnsi="Times New Roman" w:cs="Times New Roman"/>
          <w:bCs/>
          <w:sz w:val="28"/>
          <w:szCs w:val="28"/>
          <w:lang w:val="ru"/>
        </w:rPr>
        <w:t>та 9 (рис. 3.16). В ході досліду було відзначене значне зростання сорбційної ємності магнетиту при підвищенні рН та концентрації іонів міді у вихідному розчині. Так, при однакових концентраціях міді у розчині на рівні 150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сорбційна ємність становил</w:t>
      </w:r>
      <w:r>
        <w:rPr>
          <w:rFonts w:ascii="Times New Roman" w:hAnsi="Times New Roman" w:cs="Times New Roman"/>
          <w:bCs/>
          <w:sz w:val="28"/>
          <w:szCs w:val="28"/>
          <w:lang w:val="ru"/>
        </w:rPr>
        <w:t>а 0,14, 0,23 та 0,74 г міді на 1 г магнетиту для значень рН 5, 7 та 9 відповідно. Лінійне зростання сорбційної ємності при підвищенні концентрації міді у вихідному розчині при рН = 9 можна пояснити утворенням нерозчинних кристалічних або аморфних осадів Cu</w:t>
      </w:r>
      <w:r>
        <w:rPr>
          <w:rFonts w:ascii="Times New Roman" w:hAnsi="Times New Roman" w:cs="Times New Roman"/>
          <w:bCs/>
          <w:sz w:val="28"/>
          <w:szCs w:val="28"/>
          <w:lang w:val="ru"/>
        </w:rPr>
        <w:t>(OH)</w:t>
      </w:r>
      <w:r>
        <w:rPr>
          <w:rFonts w:ascii="Times New Roman" w:hAnsi="Times New Roman" w:cs="Times New Roman"/>
          <w:bCs/>
          <w:sz w:val="28"/>
          <w:szCs w:val="28"/>
          <w:vertAlign w:val="subscript"/>
          <w:lang w:val="ru"/>
        </w:rPr>
        <w:t>2</w:t>
      </w:r>
      <w:r>
        <w:rPr>
          <w:rFonts w:ascii="Times New Roman" w:hAnsi="Times New Roman" w:cs="Times New Roman"/>
          <w:bCs/>
          <w:sz w:val="28"/>
          <w:szCs w:val="28"/>
          <w:lang w:val="ru"/>
        </w:rPr>
        <w:t xml:space="preserve">.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Наступним кроком у дослідах було побудування кривих залежності сорбційної ємності магнетиту від кислотності середовища у діапазоні 4 - 10 одиниць рН при різних концентраціях міді. Результати дослідів представлено на рисунках 3.17 та 3.18. З результ</w:t>
      </w:r>
      <w:r>
        <w:rPr>
          <w:rFonts w:ascii="Times New Roman" w:hAnsi="Times New Roman" w:cs="Times New Roman"/>
          <w:bCs/>
          <w:sz w:val="28"/>
          <w:szCs w:val="28"/>
          <w:lang w:val="ru"/>
        </w:rPr>
        <w:t xml:space="preserve">атів видно, що сорбційна ємність магнетиту, як і ефективність вилучення міді зростає при підвищенні показнику рН, проте починає знижуватися починаючи з рН = 9 при обох вихідних концентраціях міді у розчині. </w:t>
      </w:r>
    </w:p>
    <w:p w:rsidR="00F1629C" w:rsidRDefault="00E671D2">
      <w:pPr>
        <w:spacing w:line="360" w:lineRule="auto"/>
        <w:jc w:val="center"/>
        <w:rPr>
          <w:rFonts w:ascii="Times New Roman" w:hAnsi="Times New Roman" w:cs="Times New Roman"/>
          <w:bCs/>
          <w:sz w:val="28"/>
          <w:szCs w:val="28"/>
          <w:lang w:val="ru"/>
        </w:rPr>
      </w:pPr>
      <w:r>
        <w:rPr>
          <w:noProof/>
          <w:lang w:val="ru-RU" w:eastAsia="ru-RU"/>
        </w:rPr>
        <mc:AlternateContent>
          <mc:Choice Requires="wps">
            <w:drawing>
              <wp:anchor distT="0" distB="0" distL="114300" distR="114300" simplePos="0" relativeHeight="251684864" behindDoc="0" locked="0" layoutInCell="1" allowOverlap="1">
                <wp:simplePos x="0" y="0"/>
                <wp:positionH relativeFrom="column">
                  <wp:posOffset>2633345</wp:posOffset>
                </wp:positionH>
                <wp:positionV relativeFrom="paragraph">
                  <wp:posOffset>956945</wp:posOffset>
                </wp:positionV>
                <wp:extent cx="133350" cy="642620"/>
                <wp:effectExtent l="4445" t="1270" r="14605" b="3810"/>
                <wp:wrapNone/>
                <wp:docPr id="37" name="Straight Connector 37"/>
                <wp:cNvGraphicFramePr/>
                <a:graphic xmlns:a="http://schemas.openxmlformats.org/drawingml/2006/main">
                  <a:graphicData uri="http://schemas.microsoft.com/office/word/2010/wordprocessingShape">
                    <wps:wsp>
                      <wps:cNvCnPr/>
                      <wps:spPr>
                        <a:xfrm flipH="1">
                          <a:off x="3713480" y="4946650"/>
                          <a:ext cx="133350" cy="6426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223B99" id="Straight Connector 37"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207.35pt,75.35pt" to="217.85pt,1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83840" behindDoc="0" locked="0" layoutInCell="1" allowOverlap="1">
                <wp:simplePos x="0" y="0"/>
                <wp:positionH relativeFrom="column">
                  <wp:posOffset>4233545</wp:posOffset>
                </wp:positionH>
                <wp:positionV relativeFrom="paragraph">
                  <wp:posOffset>1209675</wp:posOffset>
                </wp:positionV>
                <wp:extent cx="190500" cy="266065"/>
                <wp:effectExtent l="3810" t="2540" r="15240" b="17145"/>
                <wp:wrapNone/>
                <wp:docPr id="36" name="Straight Connector 36"/>
                <wp:cNvGraphicFramePr/>
                <a:graphic xmlns:a="http://schemas.openxmlformats.org/drawingml/2006/main">
                  <a:graphicData uri="http://schemas.microsoft.com/office/word/2010/wordprocessingShape">
                    <wps:wsp>
                      <wps:cNvCnPr/>
                      <wps:spPr>
                        <a:xfrm flipV="1">
                          <a:off x="5132705" y="5636895"/>
                          <a:ext cx="190500" cy="26606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4A142A" id="Straight Connector 36" o:spid="_x0000_s1026" style="position:absolute;flip:y;z-index:251683840;visibility:visible;mso-wrap-style:square;mso-wrap-distance-left:9pt;mso-wrap-distance-top:0;mso-wrap-distance-right:9pt;mso-wrap-distance-bottom:0;mso-position-horizontal:absolute;mso-position-horizontal-relative:text;mso-position-vertical:absolute;mso-position-vertical-relative:text" from="333.35pt,95.25pt" to="348.35pt,1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82816" behindDoc="0" locked="0" layoutInCell="1" allowOverlap="1">
                <wp:simplePos x="0" y="0"/>
                <wp:positionH relativeFrom="column">
                  <wp:posOffset>3309620</wp:posOffset>
                </wp:positionH>
                <wp:positionV relativeFrom="paragraph">
                  <wp:posOffset>1799590</wp:posOffset>
                </wp:positionV>
                <wp:extent cx="95885" cy="362585"/>
                <wp:effectExtent l="4445" t="1270" r="13970" b="17145"/>
                <wp:wrapNone/>
                <wp:docPr id="35" name="Straight Connector 35"/>
                <wp:cNvGraphicFramePr/>
                <a:graphic xmlns:a="http://schemas.openxmlformats.org/drawingml/2006/main">
                  <a:graphicData uri="http://schemas.microsoft.com/office/word/2010/wordprocessingShape">
                    <wps:wsp>
                      <wps:cNvCnPr/>
                      <wps:spPr>
                        <a:xfrm flipH="1">
                          <a:off x="4342130" y="5722620"/>
                          <a:ext cx="95885" cy="36258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09E55D" id="Straight Connector 35" o:spid="_x0000_s1026" style="position:absolute;flip:x;z-index:251682816;visibility:visible;mso-wrap-style:square;mso-wrap-distance-left:9pt;mso-wrap-distance-top:0;mso-wrap-distance-right:9pt;mso-wrap-distance-bottom:0;mso-position-horizontal:absolute;mso-position-horizontal-relative:text;mso-position-vertical:absolute;mso-position-vertical-relative:text" from="260.6pt,141.7pt" to="268.15pt,17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81792" behindDoc="0" locked="0" layoutInCell="1" allowOverlap="1">
                <wp:simplePos x="0" y="0"/>
                <wp:positionH relativeFrom="column">
                  <wp:posOffset>2766695</wp:posOffset>
                </wp:positionH>
                <wp:positionV relativeFrom="paragraph">
                  <wp:posOffset>799465</wp:posOffset>
                </wp:positionV>
                <wp:extent cx="371475" cy="314325"/>
                <wp:effectExtent l="0" t="0" r="9525" b="9525"/>
                <wp:wrapNone/>
                <wp:docPr id="34" name="Text Box 34"/>
                <wp:cNvGraphicFramePr/>
                <a:graphic xmlns:a="http://schemas.openxmlformats.org/drawingml/2006/main">
                  <a:graphicData uri="http://schemas.microsoft.com/office/word/2010/wordprocessingShape">
                    <wps:wsp>
                      <wps:cNvSpPr txBox="1"/>
                      <wps:spPr>
                        <a:xfrm>
                          <a:off x="3846830" y="4789170"/>
                          <a:ext cx="371475" cy="3143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34" o:spid="_x0000_s1031" type="#_x0000_t202" style="position:absolute;left:0;text-align:left;margin-left:217.85pt;margin-top:62.95pt;width:29.25pt;height:24.7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" fillcolor="white [3201]" stroked="f" strokeweight=".5pt">
                <v:textbox>
                  <w:txbxContent>
                    <w:p w:rsidR="00F1629C" w:rsidRDefault="00E671D2">
                      <w:pPr>
                        <w:rPr>
                          <w:lang w:val="ru"/>
                        </w:rPr>
                      </w:pPr>
                      <w:r>
                        <w:rPr>
                          <w:lang w:val="ru"/>
                        </w:rPr>
                        <w:t>3</w:t>
                      </w:r>
                    </w:p>
                  </w:txbxContent>
                </v:textbox>
              </v:shape>
            </w:pict>
          </mc:Fallback>
        </mc:AlternateContent>
      </w:r>
      <w:r>
        <w:rPr>
          <w:noProof/>
          <w:lang w:val="ru-RU" w:eastAsia="ru-RU"/>
        </w:rPr>
        <mc:AlternateContent>
          <mc:Choice Requires="wps">
            <w:drawing>
              <wp:anchor distT="0" distB="0" distL="114300" distR="114300" simplePos="0" relativeHeight="251680768" behindDoc="0" locked="0" layoutInCell="1" allowOverlap="1">
                <wp:simplePos x="0" y="0"/>
                <wp:positionH relativeFrom="column">
                  <wp:posOffset>4043045</wp:posOffset>
                </wp:positionH>
                <wp:positionV relativeFrom="paragraph">
                  <wp:posOffset>1475740</wp:posOffset>
                </wp:positionV>
                <wp:extent cx="381000" cy="295275"/>
                <wp:effectExtent l="0" t="0" r="0" b="9525"/>
                <wp:wrapNone/>
                <wp:docPr id="33" name="Text Box 33"/>
                <wp:cNvGraphicFramePr/>
                <a:graphic xmlns:a="http://schemas.openxmlformats.org/drawingml/2006/main">
                  <a:graphicData uri="http://schemas.microsoft.com/office/word/2010/wordprocessingShape">
                    <wps:wsp>
                      <wps:cNvSpPr txBox="1"/>
                      <wps:spPr>
                        <a:xfrm>
                          <a:off x="4942205" y="5341620"/>
                          <a:ext cx="381000" cy="2952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33" o:spid="_x0000_s1032" type="#_x0000_t202" style="position:absolute;left:0;text-align:left;margin-left:318.35pt;margin-top:116.2pt;width:30pt;height:23.2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679744" behindDoc="0" locked="0" layoutInCell="1" allowOverlap="1">
                <wp:simplePos x="0" y="0"/>
                <wp:positionH relativeFrom="column">
                  <wp:posOffset>3257550</wp:posOffset>
                </wp:positionH>
                <wp:positionV relativeFrom="paragraph">
                  <wp:posOffset>1590040</wp:posOffset>
                </wp:positionV>
                <wp:extent cx="295275" cy="209550"/>
                <wp:effectExtent l="0" t="0" r="9525" b="0"/>
                <wp:wrapNone/>
                <wp:docPr id="32" name="Text Box 32"/>
                <wp:cNvGraphicFramePr/>
                <a:graphic xmlns:a="http://schemas.openxmlformats.org/drawingml/2006/main">
                  <a:graphicData uri="http://schemas.microsoft.com/office/word/2010/wordprocessingShape">
                    <wps:wsp>
                      <wps:cNvSpPr txBox="1"/>
                      <wps:spPr>
                        <a:xfrm>
                          <a:off x="4223385" y="5522595"/>
                          <a:ext cx="295275" cy="2095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32" o:spid="_x0000_s1033" type="#_x0000_t202" style="position:absolute;left:0;text-align:left;margin-left:256.5pt;margin-top:125.2pt;width:23.25pt;height:16.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5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Рисунок 3.16 - залежність </w:t>
      </w:r>
      <w:r>
        <w:rPr>
          <w:rFonts w:ascii="Times New Roman" w:hAnsi="Times New Roman" w:cs="Times New Roman"/>
          <w:bCs/>
          <w:sz w:val="28"/>
          <w:szCs w:val="28"/>
          <w:lang w:val="ru"/>
        </w:rPr>
        <w:t>сорбційної ємності магнетиту по іонах міді від вихідної концентрації міді у розчині при рН = 5 (1), 7 (2), 9 (3).</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Таке зниження ефективності вилучення міді при високих рН можна пояснити зміною зарядів іонів у розчині, що негативно впливають на ефективніст</w:t>
      </w:r>
      <w:r>
        <w:rPr>
          <w:rFonts w:ascii="Times New Roman" w:hAnsi="Times New Roman" w:cs="Times New Roman"/>
          <w:bCs/>
          <w:sz w:val="28"/>
          <w:szCs w:val="28"/>
          <w:lang w:val="ru"/>
        </w:rPr>
        <w:t>ь сорбції, а також тим, що при рН більше 8 у розчині не залишається іонів Cu</w:t>
      </w:r>
      <w:r>
        <w:rPr>
          <w:rFonts w:ascii="Times New Roman" w:hAnsi="Times New Roman" w:cs="Times New Roman"/>
          <w:bCs/>
          <w:sz w:val="28"/>
          <w:szCs w:val="28"/>
          <w:vertAlign w:val="superscript"/>
          <w:lang w:val="ru"/>
        </w:rPr>
        <w:t>2+</w:t>
      </w:r>
      <w:r>
        <w:rPr>
          <w:rFonts w:ascii="Times New Roman" w:hAnsi="Times New Roman" w:cs="Times New Roman"/>
          <w:bCs/>
          <w:sz w:val="28"/>
          <w:szCs w:val="28"/>
          <w:lang w:val="ru"/>
        </w:rPr>
        <w:t xml:space="preserve"> у вільному стані. Цікавою також є зміна кінцевого рН розчину міді. В ході досліду було виявлено буферні властивості магнетиту.</w:t>
      </w:r>
    </w:p>
    <w:p w:rsidR="00F1629C" w:rsidRDefault="00F1629C">
      <w:pPr>
        <w:spacing w:line="240" w:lineRule="auto"/>
        <w:ind w:firstLine="700"/>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noProof/>
          <w:lang w:val="ru-RU" w:eastAsia="ru-RU"/>
        </w:rPr>
        <mc:AlternateContent>
          <mc:Choice Requires="wps">
            <w:drawing>
              <wp:anchor distT="0" distB="0" distL="114300" distR="114300" simplePos="0" relativeHeight="251688960" behindDoc="0" locked="0" layoutInCell="1" allowOverlap="1">
                <wp:simplePos x="0" y="0"/>
                <wp:positionH relativeFrom="column">
                  <wp:posOffset>3300095</wp:posOffset>
                </wp:positionH>
                <wp:positionV relativeFrom="paragraph">
                  <wp:posOffset>395605</wp:posOffset>
                </wp:positionV>
                <wp:extent cx="62230" cy="238125"/>
                <wp:effectExtent l="4445" t="1270" r="9525" b="8255"/>
                <wp:wrapNone/>
                <wp:docPr id="42" name="Straight Connector 42"/>
                <wp:cNvGraphicFramePr/>
                <a:graphic xmlns:a="http://schemas.openxmlformats.org/drawingml/2006/main">
                  <a:graphicData uri="http://schemas.microsoft.com/office/word/2010/wordprocessingShape">
                    <wps:wsp>
                      <wps:cNvCnPr/>
                      <wps:spPr>
                        <a:xfrm flipH="1" flipV="1">
                          <a:off x="4380230" y="3158490"/>
                          <a:ext cx="62230" cy="2381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0CE984" id="Straight Connector 42" o:spid="_x0000_s1026" style="position:absolute;flip:x y;z-index:251688960;visibility:visible;mso-wrap-style:square;mso-wrap-distance-left:9pt;mso-wrap-distance-top:0;mso-wrap-distance-right:9pt;mso-wrap-distance-bottom:0;mso-position-horizontal:absolute;mso-position-horizontal-relative:text;mso-position-vertical:absolute;mso-position-vertical-relative:text" from="259.85pt,31.15pt" to="264.75pt,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87936" behindDoc="0" locked="0" layoutInCell="1" allowOverlap="1">
                <wp:simplePos x="0" y="0"/>
                <wp:positionH relativeFrom="column">
                  <wp:posOffset>3519170</wp:posOffset>
                </wp:positionH>
                <wp:positionV relativeFrom="paragraph">
                  <wp:posOffset>1224280</wp:posOffset>
                </wp:positionV>
                <wp:extent cx="142875" cy="390525"/>
                <wp:effectExtent l="4445" t="1905" r="5080" b="7620"/>
                <wp:wrapNone/>
                <wp:docPr id="41" name="Straight Connector 41"/>
                <wp:cNvGraphicFramePr/>
                <a:graphic xmlns:a="http://schemas.openxmlformats.org/drawingml/2006/main">
                  <a:graphicData uri="http://schemas.microsoft.com/office/word/2010/wordprocessingShape">
                    <wps:wsp>
                      <wps:cNvCnPr/>
                      <wps:spPr>
                        <a:xfrm flipH="1" flipV="1">
                          <a:off x="4599305" y="3987165"/>
                          <a:ext cx="142875" cy="390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418068" id="Straight Connector 41" o:spid="_x0000_s1026" style="position:absolute;flip:x y;z-index:251687936;visibility:visible;mso-wrap-style:square;mso-wrap-distance-left:9pt;mso-wrap-distance-top:0;mso-wrap-distance-right:9pt;mso-wrap-distance-bottom:0;mso-position-horizontal:absolute;mso-position-horizontal-relative:text;mso-position-vertical:absolute;mso-position-vertical-relative:text" from="277.1pt,96.4pt" to="288.35pt,1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86912" behindDoc="0" locked="0" layoutInCell="1" allowOverlap="1">
                <wp:simplePos x="0" y="0"/>
                <wp:positionH relativeFrom="column">
                  <wp:posOffset>3233420</wp:posOffset>
                </wp:positionH>
                <wp:positionV relativeFrom="paragraph">
                  <wp:posOffset>633730</wp:posOffset>
                </wp:positionV>
                <wp:extent cx="257175" cy="266700"/>
                <wp:effectExtent l="0" t="0" r="9525" b="0"/>
                <wp:wrapNone/>
                <wp:docPr id="40" name="Text Box 40"/>
                <wp:cNvGraphicFramePr/>
                <a:graphic xmlns:a="http://schemas.openxmlformats.org/drawingml/2006/main">
                  <a:graphicData uri="http://schemas.microsoft.com/office/word/2010/wordprocessingShape">
                    <wps:wsp>
                      <wps:cNvSpPr txBox="1"/>
                      <wps:spPr>
                        <a:xfrm>
                          <a:off x="4313555" y="3396615"/>
                          <a:ext cx="257175" cy="2667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40" o:spid="_x0000_s1034" type="#_x0000_t202" style="position:absolute;left:0;text-align:left;margin-left:254.6pt;margin-top:49.9pt;width:20.25pt;height:21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685888" behindDoc="0" locked="0" layoutInCell="1" allowOverlap="1">
                <wp:simplePos x="0" y="0"/>
                <wp:positionH relativeFrom="column">
                  <wp:posOffset>3662045</wp:posOffset>
                </wp:positionH>
                <wp:positionV relativeFrom="paragraph">
                  <wp:posOffset>1471930</wp:posOffset>
                </wp:positionV>
                <wp:extent cx="314325" cy="285750"/>
                <wp:effectExtent l="0" t="0" r="9525" b="0"/>
                <wp:wrapNone/>
                <wp:docPr id="39" name="Text Box 39"/>
                <wp:cNvGraphicFramePr/>
                <a:graphic xmlns:a="http://schemas.openxmlformats.org/drawingml/2006/main">
                  <a:graphicData uri="http://schemas.microsoft.com/office/word/2010/wordprocessingShape">
                    <wps:wsp>
                      <wps:cNvSpPr txBox="1"/>
                      <wps:spPr>
                        <a:xfrm>
                          <a:off x="4742180" y="4234815"/>
                          <a:ext cx="314325" cy="2857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39" o:spid="_x0000_s1035" type="#_x0000_t202" style="position:absolute;left:0;text-align:left;margin-left:288.35pt;margin-top:115.9pt;width:24.75pt;height:22.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286000"/>
            <wp:effectExtent l="4445" t="4445" r="14605" b="14605"/>
            <wp:docPr id="3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Рисунок</w:t>
      </w:r>
      <w:r>
        <w:rPr>
          <w:rFonts w:ascii="Times New Roman" w:hAnsi="Times New Roman" w:cs="Times New Roman"/>
          <w:bCs/>
          <w:sz w:val="28"/>
          <w:szCs w:val="28"/>
          <w:lang w:val="ru"/>
        </w:rPr>
        <w:t xml:space="preserve"> 3.17 - залежність сорбційно</w:t>
      </w:r>
      <w:r>
        <w:rPr>
          <w:rFonts w:ascii="Times New Roman" w:hAnsi="Times New Roman" w:cs="Times New Roman"/>
          <w:bCs/>
          <w:sz w:val="28"/>
          <w:szCs w:val="28"/>
          <w:lang w:val="ru"/>
        </w:rPr>
        <w:t>ї ємності магнетиту по іонах міді від рН середовища при вихідних концентраціях магнетиту 5 (1) та 10 (2)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w:t>
      </w:r>
    </w:p>
    <w:p w:rsidR="00F1629C" w:rsidRDefault="00E671D2">
      <w:pPr>
        <w:spacing w:line="360" w:lineRule="auto"/>
        <w:ind w:firstLine="700"/>
        <w:jc w:val="both"/>
      </w:pPr>
      <w:r>
        <w:rPr>
          <w:noProof/>
          <w:lang w:val="ru-RU" w:eastAsia="ru-RU"/>
        </w:rPr>
        <mc:AlternateContent>
          <mc:Choice Requires="wps">
            <w:drawing>
              <wp:anchor distT="0" distB="0" distL="114300" distR="114300" simplePos="0" relativeHeight="251693056" behindDoc="0" locked="0" layoutInCell="1" allowOverlap="1">
                <wp:simplePos x="0" y="0"/>
                <wp:positionH relativeFrom="column">
                  <wp:posOffset>4814570</wp:posOffset>
                </wp:positionH>
                <wp:positionV relativeFrom="paragraph">
                  <wp:posOffset>590550</wp:posOffset>
                </wp:positionV>
                <wp:extent cx="304800" cy="314325"/>
                <wp:effectExtent l="3175" t="3175" r="15875" b="6350"/>
                <wp:wrapNone/>
                <wp:docPr id="48" name="Straight Connector 48"/>
                <wp:cNvGraphicFramePr/>
                <a:graphic xmlns:a="http://schemas.openxmlformats.org/drawingml/2006/main">
                  <a:graphicData uri="http://schemas.microsoft.com/office/word/2010/wordprocessingShape">
                    <wps:wsp>
                      <wps:cNvCnPr/>
                      <wps:spPr>
                        <a:xfrm flipV="1">
                          <a:off x="5894705" y="7442835"/>
                          <a:ext cx="304800" cy="3143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A7A646" id="Straight Connector 48" o:spid="_x0000_s1026" style="position:absolute;flip:y;z-index:251693056;visibility:visible;mso-wrap-style:square;mso-wrap-distance-left:9pt;mso-wrap-distance-top:0;mso-wrap-distance-right:9pt;mso-wrap-distance-bottom:0;mso-position-horizontal:absolute;mso-position-horizontal-relative:text;mso-position-vertical:absolute;mso-position-vertical-relative:text" from="379.1pt,46.5pt" to="403.1pt,7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92032" behindDoc="0" locked="0" layoutInCell="1" allowOverlap="1">
                <wp:simplePos x="0" y="0"/>
                <wp:positionH relativeFrom="column">
                  <wp:posOffset>3995420</wp:posOffset>
                </wp:positionH>
                <wp:positionV relativeFrom="paragraph">
                  <wp:posOffset>238125</wp:posOffset>
                </wp:positionV>
                <wp:extent cx="361950" cy="419100"/>
                <wp:effectExtent l="3810" t="3175" r="15240" b="15875"/>
                <wp:wrapNone/>
                <wp:docPr id="47" name="Straight Connector 47"/>
                <wp:cNvGraphicFramePr/>
                <a:graphic xmlns:a="http://schemas.openxmlformats.org/drawingml/2006/main">
                  <a:graphicData uri="http://schemas.microsoft.com/office/word/2010/wordprocessingShape">
                    <wps:wsp>
                      <wps:cNvCnPr/>
                      <wps:spPr>
                        <a:xfrm flipV="1">
                          <a:off x="5075555" y="7090410"/>
                          <a:ext cx="361950" cy="4191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662437" id="Straight Connector 47" o:spid="_x0000_s1026" style="position:absolute;flip:y;z-index:251692032;visibility:visible;mso-wrap-style:square;mso-wrap-distance-left:9pt;mso-wrap-distance-top:0;mso-wrap-distance-right:9pt;mso-wrap-distance-bottom:0;mso-position-horizontal:absolute;mso-position-horizontal-relative:text;mso-position-vertical:absolute;mso-position-vertical-relative:text" from="314.6pt,18.75pt" to="343.1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91008" behindDoc="0" locked="0" layoutInCell="1" allowOverlap="1">
                <wp:simplePos x="0" y="0"/>
                <wp:positionH relativeFrom="column">
                  <wp:posOffset>4490720</wp:posOffset>
                </wp:positionH>
                <wp:positionV relativeFrom="paragraph">
                  <wp:posOffset>762000</wp:posOffset>
                </wp:positionV>
                <wp:extent cx="323850" cy="285750"/>
                <wp:effectExtent l="0" t="0" r="0" b="0"/>
                <wp:wrapNone/>
                <wp:docPr id="46" name="Text Box 46"/>
                <wp:cNvGraphicFramePr/>
                <a:graphic xmlns:a="http://schemas.openxmlformats.org/drawingml/2006/main">
                  <a:graphicData uri="http://schemas.microsoft.com/office/word/2010/wordprocessingShape">
                    <wps:wsp>
                      <wps:cNvSpPr txBox="1"/>
                      <wps:spPr>
                        <a:xfrm>
                          <a:off x="5570855" y="7614285"/>
                          <a:ext cx="323850" cy="2857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46" o:spid="_x0000_s1036" type="#_x0000_t202" style="position:absolute;left:0;text-align:left;margin-left:353.6pt;margin-top:60pt;width:25.5pt;height:2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689984" behindDoc="0" locked="0" layoutInCell="1" allowOverlap="1">
                <wp:simplePos x="0" y="0"/>
                <wp:positionH relativeFrom="column">
                  <wp:posOffset>3833495</wp:posOffset>
                </wp:positionH>
                <wp:positionV relativeFrom="paragraph">
                  <wp:posOffset>657225</wp:posOffset>
                </wp:positionV>
                <wp:extent cx="323850" cy="266700"/>
                <wp:effectExtent l="0" t="0" r="0" b="0"/>
                <wp:wrapNone/>
                <wp:docPr id="45" name="Text Box 45"/>
                <wp:cNvGraphicFramePr/>
                <a:graphic xmlns:a="http://schemas.openxmlformats.org/drawingml/2006/main">
                  <a:graphicData uri="http://schemas.microsoft.com/office/word/2010/wordprocessingShape">
                    <wps:wsp>
                      <wps:cNvSpPr txBox="1"/>
                      <wps:spPr>
                        <a:xfrm>
                          <a:off x="4913630" y="7509510"/>
                          <a:ext cx="323850" cy="2667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45" o:spid="_x0000_s1037" type="#_x0000_t202" style="position:absolute;left:0;text-align:left;margin-left:301.85pt;margin-top:51.75pt;width:25.5pt;height:21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4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3.18 - залежність ефективності вилучення іонів міді з розчину сорбційним методом від рН вихідного розчину при початковій </w:t>
      </w:r>
      <w:r>
        <w:rPr>
          <w:rFonts w:ascii="Times New Roman" w:hAnsi="Times New Roman" w:cs="Times New Roman"/>
          <w:sz w:val="28"/>
          <w:szCs w:val="28"/>
          <w:lang w:val="ru"/>
        </w:rPr>
        <w:t>концентрації міді 5 (1) та 10 (2) мг/дм</w:t>
      </w:r>
      <w:r>
        <w:rPr>
          <w:rFonts w:ascii="Times New Roman" w:hAnsi="Times New Roman" w:cs="Times New Roman"/>
          <w:sz w:val="28"/>
          <w:szCs w:val="28"/>
          <w:vertAlign w:val="superscript"/>
          <w:lang w:val="ru"/>
        </w:rPr>
        <w:t>3</w:t>
      </w:r>
    </w:p>
    <w:p w:rsidR="00F1629C" w:rsidRDefault="00F1629C">
      <w:pPr>
        <w:spacing w:line="240" w:lineRule="auto"/>
        <w:ind w:firstLine="700"/>
        <w:jc w:val="both"/>
        <w:rPr>
          <w:rFonts w:ascii="Times New Roman" w:hAnsi="Times New Roman" w:cs="Times New Roman"/>
          <w:sz w:val="28"/>
          <w:szCs w:val="28"/>
          <w:lang w:val="ru"/>
        </w:rPr>
      </w:pP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Так, при діапазоні рН до початку сорбції 4 -  10, рН розчину після сорбції коливався від 5,5 одиниць до 8,3 одиниць рН для концентрації міді 5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та від 5,5 до 7,4 для початкової концентрації 10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Таку </w:t>
      </w:r>
      <w:r>
        <w:rPr>
          <w:rFonts w:ascii="Times New Roman" w:hAnsi="Times New Roman" w:cs="Times New Roman"/>
          <w:sz w:val="28"/>
          <w:szCs w:val="28"/>
          <w:lang w:val="ru"/>
        </w:rPr>
        <w:t>різницю можна пояснити тим, що в ході приготоування міді використовувалась наважка CuSO</w:t>
      </w:r>
      <w:r>
        <w:rPr>
          <w:rFonts w:ascii="Times New Roman" w:hAnsi="Times New Roman" w:cs="Times New Roman"/>
          <w:sz w:val="28"/>
          <w:szCs w:val="28"/>
          <w:vertAlign w:val="subscript"/>
          <w:lang w:val="ru"/>
        </w:rPr>
        <w:t>4</w:t>
      </w:r>
      <w:r>
        <w:rPr>
          <w:rFonts w:ascii="Times New Roman" w:hAnsi="Times New Roman" w:cs="Times New Roman"/>
          <w:sz w:val="28"/>
          <w:szCs w:val="28"/>
          <w:lang w:val="ru"/>
        </w:rPr>
        <w:t>, а в ході доведення рН розчину до необхідних значень використовувались 0,01N H</w:t>
      </w:r>
      <w:r>
        <w:rPr>
          <w:rFonts w:ascii="Times New Roman" w:hAnsi="Times New Roman" w:cs="Times New Roman"/>
          <w:sz w:val="28"/>
          <w:szCs w:val="28"/>
          <w:vertAlign w:val="subscript"/>
          <w:lang w:val="ru"/>
        </w:rPr>
        <w:t>2</w:t>
      </w:r>
      <w:r>
        <w:rPr>
          <w:rFonts w:ascii="Times New Roman" w:hAnsi="Times New Roman" w:cs="Times New Roman"/>
          <w:sz w:val="28"/>
          <w:szCs w:val="28"/>
          <w:lang w:val="ru"/>
        </w:rPr>
        <w:t>SO</w:t>
      </w:r>
      <w:r>
        <w:rPr>
          <w:rFonts w:ascii="Times New Roman" w:hAnsi="Times New Roman" w:cs="Times New Roman"/>
          <w:sz w:val="28"/>
          <w:szCs w:val="28"/>
          <w:vertAlign w:val="subscript"/>
          <w:lang w:val="ru"/>
        </w:rPr>
        <w:t>4</w:t>
      </w:r>
      <w:r>
        <w:rPr>
          <w:rFonts w:ascii="Times New Roman" w:hAnsi="Times New Roman" w:cs="Times New Roman"/>
          <w:sz w:val="28"/>
          <w:szCs w:val="28"/>
          <w:lang w:val="ru"/>
        </w:rPr>
        <w:t xml:space="preserve"> та 0,01N NaOH. Таким чином, іони SO</w:t>
      </w:r>
      <w:r>
        <w:rPr>
          <w:rFonts w:ascii="Times New Roman" w:hAnsi="Times New Roman" w:cs="Times New Roman"/>
          <w:sz w:val="28"/>
          <w:szCs w:val="28"/>
          <w:vertAlign w:val="subscript"/>
          <w:lang w:val="ru"/>
        </w:rPr>
        <w:t>4</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що виділялися з розчину міді більшої концент</w:t>
      </w:r>
      <w:r>
        <w:rPr>
          <w:rFonts w:ascii="Times New Roman" w:hAnsi="Times New Roman" w:cs="Times New Roman"/>
          <w:sz w:val="28"/>
          <w:szCs w:val="28"/>
          <w:lang w:val="ru"/>
        </w:rPr>
        <w:t>рації під час сорбції зумовлювали, відповідно, і більше зниження водневого показнику.</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Зважаючи</w:t>
      </w:r>
      <w:r>
        <w:rPr>
          <w:rFonts w:ascii="Times New Roman" w:hAnsi="Times New Roman" w:cs="Times New Roman"/>
          <w:bCs/>
          <w:sz w:val="28"/>
          <w:szCs w:val="28"/>
          <w:lang w:val="ru"/>
        </w:rPr>
        <w:t xml:space="preserve"> на досить високі показники рН у попередніх дослідах і схильність міді до утворення осадів при рН більше 7, було вирішено провести “холостий” дослід, який дозволи</w:t>
      </w:r>
      <w:r>
        <w:rPr>
          <w:rFonts w:ascii="Times New Roman" w:hAnsi="Times New Roman" w:cs="Times New Roman"/>
          <w:bCs/>
          <w:sz w:val="28"/>
          <w:szCs w:val="28"/>
          <w:lang w:val="ru"/>
        </w:rPr>
        <w:t>в би оцінити вклад самого по собі підвищення рН до вилучення іонів міді. Так як більш за все помітно випадіння осадів при великій концентрації міді в вихідному розчині, першим проведеним дослідом став дослід при концентрації міді 150 мг/дм</w:t>
      </w:r>
      <w:r>
        <w:rPr>
          <w:rFonts w:ascii="Times New Roman" w:hAnsi="Times New Roman" w:cs="Times New Roman"/>
          <w:bCs/>
          <w:sz w:val="28"/>
          <w:szCs w:val="28"/>
          <w:vertAlign w:val="superscript"/>
          <w:lang w:val="ru"/>
        </w:rPr>
        <w:t xml:space="preserve">3 </w:t>
      </w:r>
      <w:r>
        <w:rPr>
          <w:rFonts w:ascii="Times New Roman" w:hAnsi="Times New Roman" w:cs="Times New Roman"/>
          <w:bCs/>
          <w:sz w:val="28"/>
          <w:szCs w:val="28"/>
          <w:lang w:val="ru"/>
        </w:rPr>
        <w:t xml:space="preserve">(таб. 3.4). </w:t>
      </w:r>
    </w:p>
    <w:p w:rsidR="00F1629C" w:rsidRDefault="00E671D2">
      <w:pPr>
        <w:spacing w:line="360" w:lineRule="auto"/>
        <w:ind w:firstLine="700"/>
        <w:jc w:val="both"/>
      </w:pPr>
      <w:r>
        <w:rPr>
          <w:noProof/>
          <w:lang w:val="ru-RU" w:eastAsia="ru-RU"/>
        </w:rPr>
        <mc:AlternateContent>
          <mc:Choice Requires="wps">
            <w:drawing>
              <wp:anchor distT="0" distB="0" distL="114300" distR="114300" simplePos="0" relativeHeight="251697152" behindDoc="0" locked="0" layoutInCell="1" allowOverlap="1">
                <wp:simplePos x="0" y="0"/>
                <wp:positionH relativeFrom="column">
                  <wp:posOffset>4738370</wp:posOffset>
                </wp:positionH>
                <wp:positionV relativeFrom="paragraph">
                  <wp:posOffset>1212850</wp:posOffset>
                </wp:positionV>
                <wp:extent cx="9525" cy="381000"/>
                <wp:effectExtent l="4445" t="0" r="5080" b="0"/>
                <wp:wrapNone/>
                <wp:docPr id="52" name="Straight Connector 52"/>
                <wp:cNvGraphicFramePr/>
                <a:graphic xmlns:a="http://schemas.openxmlformats.org/drawingml/2006/main">
                  <a:graphicData uri="http://schemas.microsoft.com/office/word/2010/wordprocessingShape">
                    <wps:wsp>
                      <wps:cNvCnPr/>
                      <wps:spPr>
                        <a:xfrm flipV="1">
                          <a:off x="5818505" y="6325870"/>
                          <a:ext cx="9525" cy="3810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1E01D0" id="Straight Connector 52"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373.1pt,95.5pt" to="373.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96128" behindDoc="0" locked="0" layoutInCell="1" allowOverlap="1">
                <wp:simplePos x="0" y="0"/>
                <wp:positionH relativeFrom="column">
                  <wp:posOffset>3419475</wp:posOffset>
                </wp:positionH>
                <wp:positionV relativeFrom="paragraph">
                  <wp:posOffset>708025</wp:posOffset>
                </wp:positionV>
                <wp:extent cx="61595" cy="742950"/>
                <wp:effectExtent l="4445" t="635" r="10160" b="18415"/>
                <wp:wrapNone/>
                <wp:docPr id="51" name="Straight Connector 51"/>
                <wp:cNvGraphicFramePr/>
                <a:graphic xmlns:a="http://schemas.openxmlformats.org/drawingml/2006/main">
                  <a:graphicData uri="http://schemas.microsoft.com/office/word/2010/wordprocessingShape">
                    <wps:wsp>
                      <wps:cNvCnPr/>
                      <wps:spPr>
                        <a:xfrm>
                          <a:off x="4499610" y="5821045"/>
                          <a:ext cx="61595" cy="7429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EEC6E18" id="Straight Connector 51"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269.25pt,55.75pt" to="274.1pt,1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95104" behindDoc="0" locked="0" layoutInCell="1" allowOverlap="1">
                <wp:simplePos x="0" y="0"/>
                <wp:positionH relativeFrom="column">
                  <wp:posOffset>4614545</wp:posOffset>
                </wp:positionH>
                <wp:positionV relativeFrom="paragraph">
                  <wp:posOffset>1593850</wp:posOffset>
                </wp:positionV>
                <wp:extent cx="247650" cy="304165"/>
                <wp:effectExtent l="0" t="0" r="0" b="635"/>
                <wp:wrapNone/>
                <wp:docPr id="50" name="Text Box 50"/>
                <wp:cNvGraphicFramePr/>
                <a:graphic xmlns:a="http://schemas.openxmlformats.org/drawingml/2006/main">
                  <a:graphicData uri="http://schemas.microsoft.com/office/word/2010/wordprocessingShape">
                    <wps:wsp>
                      <wps:cNvSpPr txBox="1"/>
                      <wps:spPr>
                        <a:xfrm>
                          <a:off x="5694680" y="6706870"/>
                          <a:ext cx="247650" cy="3041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50" o:spid="_x0000_s1038" type="#_x0000_t202" style="position:absolute;left:0;text-align:left;margin-left:363.35pt;margin-top:125.5pt;width:19.5pt;height:23.9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694080" behindDoc="0" locked="0" layoutInCell="1" allowOverlap="1">
                <wp:simplePos x="0" y="0"/>
                <wp:positionH relativeFrom="column">
                  <wp:posOffset>3290570</wp:posOffset>
                </wp:positionH>
                <wp:positionV relativeFrom="paragraph">
                  <wp:posOffset>431800</wp:posOffset>
                </wp:positionV>
                <wp:extent cx="257175" cy="276225"/>
                <wp:effectExtent l="0" t="0" r="9525" b="9525"/>
                <wp:wrapNone/>
                <wp:docPr id="49" name="Text Box 49"/>
                <wp:cNvGraphicFramePr/>
                <a:graphic xmlns:a="http://schemas.openxmlformats.org/drawingml/2006/main">
                  <a:graphicData uri="http://schemas.microsoft.com/office/word/2010/wordprocessingShape">
                    <wps:wsp>
                      <wps:cNvSpPr txBox="1"/>
                      <wps:spPr>
                        <a:xfrm>
                          <a:off x="4370705" y="5544820"/>
                          <a:ext cx="257175" cy="2762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49" o:spid="_x0000_s1039" type="#_x0000_t202" style="position:absolute;left:0;text-align:left;margin-left:259.1pt;margin-top:34pt;width:20.25pt;height:21.7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4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1629C" w:rsidRDefault="00E671D2">
      <w:pPr>
        <w:spacing w:line="360" w:lineRule="auto"/>
        <w:ind w:firstLine="700"/>
        <w:jc w:val="both"/>
        <w:rPr>
          <w:rFonts w:ascii="Times New Roman" w:hAnsi="Times New Roman" w:cs="Times New Roman"/>
          <w:bCs/>
          <w:sz w:val="28"/>
          <w:szCs w:val="28"/>
          <w:vertAlign w:val="subscript"/>
          <w:lang w:val="ru"/>
        </w:rPr>
      </w:pPr>
      <w:r>
        <w:rPr>
          <w:rFonts w:ascii="Times New Roman" w:hAnsi="Times New Roman" w:cs="Times New Roman"/>
          <w:bCs/>
          <w:sz w:val="28"/>
          <w:szCs w:val="28"/>
          <w:lang w:val="ru"/>
        </w:rPr>
        <w:t>Рисунок 3.19 - залежність рН розчину після сорбції від рН розчину перед сорбцією при вихідній концентрації міді у розчині 5 (1) та 10 (2) мг/дм</w:t>
      </w:r>
      <w:r>
        <w:rPr>
          <w:rFonts w:ascii="Times New Roman" w:hAnsi="Times New Roman" w:cs="Times New Roman"/>
          <w:bCs/>
          <w:sz w:val="28"/>
          <w:szCs w:val="28"/>
          <w:vertAlign w:val="superscript"/>
          <w:lang w:val="ru"/>
        </w:rPr>
        <w:t>3</w:t>
      </w:r>
    </w:p>
    <w:p w:rsidR="00F1629C" w:rsidRDefault="00F1629C">
      <w:pPr>
        <w:spacing w:line="360" w:lineRule="auto"/>
        <w:jc w:val="both"/>
        <w:rPr>
          <w:rFonts w:ascii="Times New Roman" w:hAnsi="Times New Roman" w:cs="Times New Roman"/>
          <w:bCs/>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 xml:space="preserve">Вже при рН 7,73 ефективність вилучення міді становила 90 % за рахунок гідролізу та подальшого фільтрування на фільтрі “синя стрічка”.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Таблиця 3.4 - ефективність вилучення міді за рН 7,7 при використанні магнетиту та без нього</w:t>
      </w:r>
    </w:p>
    <w:tbl>
      <w:tblPr>
        <w:tblW w:w="5580" w:type="dxa"/>
        <w:jc w:val="center"/>
        <w:tblLayout w:type="fixed"/>
        <w:tblCellMar>
          <w:left w:w="0" w:type="dxa"/>
          <w:right w:w="0" w:type="dxa"/>
        </w:tblCellMar>
        <w:tblLook w:val="04A0" w:firstRow="1" w:lastRow="0" w:firstColumn="1" w:lastColumn="0" w:noHBand="0" w:noVBand="1"/>
      </w:tblPr>
      <w:tblGrid>
        <w:gridCol w:w="2245"/>
        <w:gridCol w:w="1668"/>
        <w:gridCol w:w="1667"/>
      </w:tblGrid>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t, год</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С</w:t>
            </w:r>
            <w:r>
              <w:rPr>
                <w:rFonts w:ascii="Times New Roman" w:eastAsia="SimSun" w:hAnsi="Times New Roman" w:cs="Times New Roman"/>
                <w:color w:val="000000"/>
                <w:sz w:val="28"/>
                <w:szCs w:val="28"/>
                <w:vertAlign w:val="subscript"/>
                <w:lang w:val="en-US" w:eastAsia="zh-CN" w:bidi="ar"/>
              </w:rPr>
              <w:t>0</w:t>
            </w:r>
            <w:r>
              <w:rPr>
                <w:rFonts w:ascii="Times New Roman" w:eastAsia="SimSun" w:hAnsi="Times New Roman" w:cs="Times New Roman"/>
                <w:color w:val="000000"/>
                <w:sz w:val="28"/>
                <w:szCs w:val="28"/>
                <w:lang w:val="en-US" w:eastAsia="zh-CN" w:bidi="ar"/>
              </w:rPr>
              <w:t>, мг/дм</w:t>
            </w:r>
            <w:r>
              <w:rPr>
                <w:rFonts w:ascii="Times New Roman" w:eastAsia="SimSun" w:hAnsi="Times New Roman" w:cs="Times New Roman"/>
                <w:color w:val="000000"/>
                <w:sz w:val="28"/>
                <w:szCs w:val="28"/>
                <w:vertAlign w:val="superscript"/>
                <w:lang w:val="en-US" w:eastAsia="zh-CN" w:bidi="ar"/>
              </w:rPr>
              <w:t>3</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150</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150</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рН</w:t>
            </w:r>
            <w:r>
              <w:rPr>
                <w:rFonts w:ascii="Times New Roman" w:eastAsia="SimSun" w:hAnsi="Times New Roman" w:cs="Times New Roman"/>
                <w:color w:val="000000"/>
                <w:sz w:val="28"/>
                <w:szCs w:val="28"/>
                <w:vertAlign w:val="subscript"/>
                <w:lang w:val="en-US" w:eastAsia="zh-CN" w:bidi="ar"/>
              </w:rPr>
              <w:t>0</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5,42</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5,36</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рН</w:t>
            </w:r>
            <w:r>
              <w:rPr>
                <w:rFonts w:ascii="Times New Roman" w:eastAsia="SimSun" w:hAnsi="Times New Roman" w:cs="Times New Roman"/>
                <w:color w:val="000000"/>
                <w:sz w:val="28"/>
                <w:szCs w:val="28"/>
                <w:vertAlign w:val="subscript"/>
                <w:lang w:val="en-US" w:eastAsia="zh-CN" w:bidi="ar"/>
              </w:rPr>
              <w:t>доведене</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ru" w:eastAsia="zh-CN" w:bidi="ar"/>
              </w:rPr>
              <w:t>7</w:t>
            </w:r>
            <w:r>
              <w:rPr>
                <w:rFonts w:ascii="Times New Roman" w:eastAsia="SimSun" w:hAnsi="Times New Roman" w:cs="Times New Roman"/>
                <w:color w:val="000000"/>
                <w:sz w:val="28"/>
                <w:szCs w:val="28"/>
                <w:lang w:val="en-US" w:eastAsia="zh-CN" w:bidi="ar"/>
              </w:rPr>
              <w:t>,75</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ru" w:eastAsia="zh-CN" w:bidi="ar"/>
              </w:rPr>
              <w:t>7</w:t>
            </w:r>
            <w:r>
              <w:rPr>
                <w:rFonts w:ascii="Times New Roman" w:eastAsia="SimSun" w:hAnsi="Times New Roman" w:cs="Times New Roman"/>
                <w:color w:val="000000"/>
                <w:sz w:val="28"/>
                <w:szCs w:val="28"/>
                <w:lang w:val="en-US" w:eastAsia="zh-CN" w:bidi="ar"/>
              </w:rPr>
              <w:t>,73</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V</w:t>
            </w:r>
            <w:r>
              <w:rPr>
                <w:rFonts w:ascii="Times New Roman" w:eastAsia="SimSun" w:hAnsi="Times New Roman" w:cs="Times New Roman"/>
                <w:color w:val="000000"/>
                <w:sz w:val="28"/>
                <w:szCs w:val="28"/>
                <w:vertAlign w:val="subscript"/>
                <w:lang w:val="en-US" w:eastAsia="zh-CN" w:bidi="ar"/>
              </w:rPr>
              <w:t>магнетиту</w:t>
            </w:r>
            <w:r>
              <w:rPr>
                <w:rFonts w:ascii="Times New Roman" w:eastAsia="SimSun" w:hAnsi="Times New Roman" w:cs="Times New Roman"/>
                <w:color w:val="000000"/>
                <w:sz w:val="28"/>
                <w:szCs w:val="28"/>
                <w:lang w:val="en-US" w:eastAsia="zh-CN" w:bidi="ar"/>
              </w:rPr>
              <w:t>, cм</w:t>
            </w:r>
            <w:r>
              <w:rPr>
                <w:rFonts w:ascii="Times New Roman" w:eastAsia="SimSun" w:hAnsi="Times New Roman" w:cs="Times New Roman"/>
                <w:color w:val="000000"/>
                <w:sz w:val="28"/>
                <w:szCs w:val="28"/>
                <w:vertAlign w:val="superscript"/>
                <w:lang w:val="en-US" w:eastAsia="zh-CN" w:bidi="ar"/>
              </w:rPr>
              <w:t>3</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8,70</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0,00</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C</w:t>
            </w:r>
            <w:r>
              <w:rPr>
                <w:rFonts w:ascii="Times New Roman" w:eastAsia="SimSun" w:hAnsi="Times New Roman" w:cs="Times New Roman"/>
                <w:color w:val="000000"/>
                <w:sz w:val="28"/>
                <w:szCs w:val="28"/>
                <w:vertAlign w:val="subscript"/>
                <w:lang w:val="en-US" w:eastAsia="zh-CN" w:bidi="ar"/>
              </w:rPr>
              <w:t>магнетиту</w:t>
            </w:r>
            <w:r>
              <w:rPr>
                <w:rFonts w:ascii="Times New Roman" w:eastAsia="SimSun" w:hAnsi="Times New Roman" w:cs="Times New Roman"/>
                <w:color w:val="000000"/>
                <w:sz w:val="28"/>
                <w:szCs w:val="28"/>
                <w:lang w:val="en-US" w:eastAsia="zh-CN" w:bidi="ar"/>
              </w:rPr>
              <w:t>, г/дм</w:t>
            </w:r>
            <w:r>
              <w:rPr>
                <w:rFonts w:ascii="Times New Roman" w:eastAsia="SimSun" w:hAnsi="Times New Roman" w:cs="Times New Roman"/>
                <w:color w:val="000000"/>
                <w:sz w:val="28"/>
                <w:szCs w:val="28"/>
                <w:vertAlign w:val="superscript"/>
                <w:lang w:val="en-US" w:eastAsia="zh-CN" w:bidi="ar"/>
              </w:rPr>
              <w:t>3</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2,30</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0,00</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V</w:t>
            </w:r>
            <w:r>
              <w:rPr>
                <w:rFonts w:ascii="Times New Roman" w:eastAsia="SimSun" w:hAnsi="Times New Roman" w:cs="Times New Roman"/>
                <w:color w:val="000000"/>
                <w:sz w:val="28"/>
                <w:szCs w:val="28"/>
                <w:vertAlign w:val="subscript"/>
                <w:lang w:val="ru" w:eastAsia="zh-CN" w:bidi="ar"/>
              </w:rPr>
              <w:t>проби</w:t>
            </w:r>
            <w:r>
              <w:rPr>
                <w:rFonts w:ascii="Times New Roman" w:eastAsia="SimSun" w:hAnsi="Times New Roman" w:cs="Times New Roman"/>
                <w:color w:val="000000"/>
                <w:sz w:val="28"/>
                <w:szCs w:val="28"/>
                <w:lang w:val="en-US" w:eastAsia="zh-CN" w:bidi="ar"/>
              </w:rPr>
              <w:t>, c</w:t>
            </w:r>
            <w:r>
              <w:rPr>
                <w:rFonts w:ascii="Times New Roman" w:eastAsia="SimSun" w:hAnsi="Times New Roman" w:cs="Times New Roman"/>
                <w:color w:val="000000"/>
                <w:sz w:val="28"/>
                <w:szCs w:val="28"/>
                <w:lang w:val="ru" w:eastAsia="zh-CN" w:bidi="ar"/>
              </w:rPr>
              <w:t>м</w:t>
            </w:r>
            <w:r>
              <w:rPr>
                <w:rFonts w:ascii="Times New Roman" w:eastAsia="SimSun" w:hAnsi="Times New Roman" w:cs="Times New Roman"/>
                <w:color w:val="000000"/>
                <w:sz w:val="28"/>
                <w:szCs w:val="28"/>
                <w:vertAlign w:val="superscript"/>
                <w:lang w:val="en-US" w:eastAsia="zh-CN" w:bidi="ar"/>
              </w:rPr>
              <w:t>3</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100,00</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100,00</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C</w:t>
            </w:r>
            <w:r>
              <w:rPr>
                <w:rFonts w:ascii="Times New Roman" w:eastAsia="SimSun" w:hAnsi="Times New Roman" w:cs="Times New Roman"/>
                <w:color w:val="000000"/>
                <w:sz w:val="28"/>
                <w:szCs w:val="28"/>
                <w:vertAlign w:val="subscript"/>
                <w:lang w:val="en-US" w:eastAsia="zh-CN" w:bidi="ar"/>
              </w:rPr>
              <w:t>к</w:t>
            </w:r>
            <w:r>
              <w:rPr>
                <w:rFonts w:ascii="Times New Roman" w:eastAsia="SimSun" w:hAnsi="Times New Roman" w:cs="Times New Roman"/>
                <w:color w:val="000000"/>
                <w:sz w:val="28"/>
                <w:szCs w:val="28"/>
                <w:lang w:val="en-US" w:eastAsia="zh-CN" w:bidi="ar"/>
              </w:rPr>
              <w:t>, мг/дм</w:t>
            </w:r>
            <w:r>
              <w:rPr>
                <w:rFonts w:ascii="Times New Roman" w:eastAsia="SimSun" w:hAnsi="Times New Roman" w:cs="Times New Roman"/>
                <w:color w:val="000000"/>
                <w:sz w:val="28"/>
                <w:szCs w:val="28"/>
                <w:vertAlign w:val="superscript"/>
                <w:lang w:val="en-US" w:eastAsia="zh-CN" w:bidi="ar"/>
              </w:rPr>
              <w:t>3</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10,89</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14,14</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pH</w:t>
            </w:r>
            <w:r>
              <w:rPr>
                <w:rFonts w:ascii="Times New Roman" w:eastAsia="SimSun" w:hAnsi="Times New Roman" w:cs="Times New Roman"/>
                <w:color w:val="000000"/>
                <w:sz w:val="28"/>
                <w:szCs w:val="28"/>
                <w:vertAlign w:val="subscript"/>
                <w:lang w:val="en-US" w:eastAsia="zh-CN" w:bidi="ar"/>
              </w:rPr>
              <w:t>к</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6,60</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6,42</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E, %</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92,74</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90,57</w:t>
            </w:r>
          </w:p>
        </w:tc>
      </w:tr>
      <w:tr w:rsidR="00F1629C">
        <w:trPr>
          <w:trHeight w:val="90"/>
          <w:jc w:val="center"/>
        </w:trPr>
        <w:tc>
          <w:tcPr>
            <w:tcW w:w="2245"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А, г/г</w:t>
            </w:r>
          </w:p>
        </w:tc>
        <w:tc>
          <w:tcPr>
            <w:tcW w:w="1668"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0,70</w:t>
            </w:r>
          </w:p>
        </w:tc>
        <w:tc>
          <w:tcPr>
            <w:tcW w:w="1667" w:type="dxa"/>
            <w:tcBorders>
              <w:top w:val="single" w:sz="2" w:space="0" w:color="000000"/>
              <w:left w:val="single" w:sz="2" w:space="0" w:color="000000"/>
              <w:bottom w:val="single" w:sz="2" w:space="0" w:color="000000"/>
              <w:right w:val="single" w:sz="2" w:space="0" w:color="000000"/>
            </w:tcBorders>
            <w:shd w:val="clear" w:color="auto" w:fill="auto"/>
            <w:noWrap/>
            <w:tcMar>
              <w:top w:w="15" w:type="dxa"/>
              <w:left w:w="15" w:type="dxa"/>
              <w:right w:w="15" w:type="dxa"/>
            </w:tcMar>
            <w:vAlign w:val="center"/>
          </w:tcPr>
          <w:p w:rsidR="00F1629C" w:rsidRDefault="00E671D2">
            <w:pPr>
              <w:spacing w:line="240" w:lineRule="auto"/>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w:t>
            </w:r>
          </w:p>
        </w:tc>
      </w:tr>
    </w:tbl>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При більш низьких концентраціях цей показник значно знижується до 60% при аналогічному рН вихідного розчину (рис. 3.20). Також помітний вплив саме магнетиту на процес вилучення міді з води, проте з підвищенням рН ця різниця досить швидко нівелюється, особл</w:t>
      </w:r>
      <w:r>
        <w:rPr>
          <w:rFonts w:ascii="Times New Roman" w:hAnsi="Times New Roman" w:cs="Times New Roman"/>
          <w:bCs/>
          <w:sz w:val="28"/>
          <w:szCs w:val="28"/>
          <w:lang w:val="ru"/>
        </w:rPr>
        <w:t xml:space="preserve">иво за високих концентрацій.  Проте, все ж цікавим залишається той факт, що навіть проба без додавання гідроксиду натрію продемонструвала ефективність вилучення міді 51,85 %.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Очевидно, що таке зниження концентрації міді може бути лише результатом дії філь</w:t>
      </w:r>
      <w:r>
        <w:rPr>
          <w:rFonts w:ascii="Times New Roman" w:hAnsi="Times New Roman" w:cs="Times New Roman"/>
          <w:bCs/>
          <w:sz w:val="28"/>
          <w:szCs w:val="28"/>
          <w:lang w:val="ru"/>
        </w:rPr>
        <w:t xml:space="preserve">трувального паперу “синя стрічка”. Тому було вирішено виміряти концентрацію міді у розчині до початку фільтрування та після нього за інших умов рівних (рис. 3.21). Результати показали, що фільтрування дійсно </w:t>
      </w:r>
    </w:p>
    <w:p w:rsidR="00F1629C" w:rsidRDefault="00E671D2">
      <w:pPr>
        <w:spacing w:line="360" w:lineRule="auto"/>
        <w:jc w:val="center"/>
        <w:rPr>
          <w:rFonts w:ascii="Times New Roman" w:hAnsi="Times New Roman" w:cs="Times New Roman"/>
          <w:bCs/>
          <w:sz w:val="28"/>
          <w:szCs w:val="28"/>
          <w:lang w:val="ru"/>
        </w:rPr>
      </w:pPr>
      <w:r>
        <w:rPr>
          <w:noProof/>
          <w:lang w:val="ru-RU" w:eastAsia="ru-RU"/>
        </w:rPr>
        <mc:AlternateContent>
          <mc:Choice Requires="wps">
            <w:drawing>
              <wp:anchor distT="0" distB="0" distL="114300" distR="114300" simplePos="0" relativeHeight="251701248" behindDoc="0" locked="0" layoutInCell="1" allowOverlap="1">
                <wp:simplePos x="0" y="0"/>
                <wp:positionH relativeFrom="column">
                  <wp:posOffset>4005580</wp:posOffset>
                </wp:positionH>
                <wp:positionV relativeFrom="paragraph">
                  <wp:posOffset>1227455</wp:posOffset>
                </wp:positionV>
                <wp:extent cx="361950" cy="205105"/>
                <wp:effectExtent l="2540" t="4445" r="16510" b="19050"/>
                <wp:wrapNone/>
                <wp:docPr id="59" name="Straight Connector 59"/>
                <wp:cNvGraphicFramePr/>
                <a:graphic xmlns:a="http://schemas.openxmlformats.org/drawingml/2006/main">
                  <a:graphicData uri="http://schemas.microsoft.com/office/word/2010/wordprocessingShape">
                    <wps:wsp>
                      <wps:cNvCnPr/>
                      <wps:spPr>
                        <a:xfrm flipH="1" flipV="1">
                          <a:off x="5085715" y="1947545"/>
                          <a:ext cx="361950" cy="20510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986195" id="Straight Connector 59" o:spid="_x0000_s1026" style="position:absolute;flip:x y;z-index:251701248;visibility:visible;mso-wrap-style:square;mso-wrap-distance-left:9pt;mso-wrap-distance-top:0;mso-wrap-distance-right:9pt;mso-wrap-distance-bottom:0;mso-position-horizontal:absolute;mso-position-horizontal-relative:text;mso-position-vertical:absolute;mso-position-vertical-relative:text" from="315.4pt,96.65pt" to="343.9pt,1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00224" behindDoc="0" locked="0" layoutInCell="1" allowOverlap="1">
                <wp:simplePos x="0" y="0"/>
                <wp:positionH relativeFrom="column">
                  <wp:posOffset>2529205</wp:posOffset>
                </wp:positionH>
                <wp:positionV relativeFrom="paragraph">
                  <wp:posOffset>532130</wp:posOffset>
                </wp:positionV>
                <wp:extent cx="247650" cy="247650"/>
                <wp:effectExtent l="3175" t="3175" r="15875" b="15875"/>
                <wp:wrapNone/>
                <wp:docPr id="58" name="Straight Connector 58"/>
                <wp:cNvGraphicFramePr/>
                <a:graphic xmlns:a="http://schemas.openxmlformats.org/drawingml/2006/main">
                  <a:graphicData uri="http://schemas.microsoft.com/office/word/2010/wordprocessingShape">
                    <wps:wsp>
                      <wps:cNvCnPr/>
                      <wps:spPr>
                        <a:xfrm flipH="1" flipV="1">
                          <a:off x="3609340" y="1252220"/>
                          <a:ext cx="247650" cy="2476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5E1094B" id="Straight Connector 58" o:spid="_x0000_s1026" style="position:absolute;flip:x y;z-index:251700224;visibility:visible;mso-wrap-style:square;mso-wrap-distance-left:9pt;mso-wrap-distance-top:0;mso-wrap-distance-right:9pt;mso-wrap-distance-bottom:0;mso-position-horizontal:absolute;mso-position-horizontal-relative:text;mso-position-vertical:absolute;mso-position-vertical-relative:text" from="199.15pt,41.9pt" to="218.65pt,6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699200" behindDoc="0" locked="0" layoutInCell="1" allowOverlap="1">
                <wp:simplePos x="0" y="0"/>
                <wp:positionH relativeFrom="column">
                  <wp:posOffset>2776855</wp:posOffset>
                </wp:positionH>
                <wp:positionV relativeFrom="paragraph">
                  <wp:posOffset>617855</wp:posOffset>
                </wp:positionV>
                <wp:extent cx="342900" cy="323850"/>
                <wp:effectExtent l="0" t="0" r="0" b="0"/>
                <wp:wrapNone/>
                <wp:docPr id="57" name="Text Box 57"/>
                <wp:cNvGraphicFramePr/>
                <a:graphic xmlns:a="http://schemas.openxmlformats.org/drawingml/2006/main">
                  <a:graphicData uri="http://schemas.microsoft.com/office/word/2010/wordprocessingShape">
                    <wps:wsp>
                      <wps:cNvSpPr txBox="1"/>
                      <wps:spPr>
                        <a:xfrm>
                          <a:off x="3856990" y="1337945"/>
                          <a:ext cx="342900" cy="3238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57" o:spid="_x0000_s1040" type="#_x0000_t202" style="position:absolute;left:0;text-align:left;margin-left:218.65pt;margin-top:48.65pt;width:27pt;height:25.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mc:AlternateContent>
          <mc:Choice Requires="wps">
            <w:drawing>
              <wp:anchor distT="0" distB="0" distL="114300" distR="114300" simplePos="0" relativeHeight="251698176" behindDoc="0" locked="0" layoutInCell="1" allowOverlap="1">
                <wp:simplePos x="0" y="0"/>
                <wp:positionH relativeFrom="column">
                  <wp:posOffset>4367530</wp:posOffset>
                </wp:positionH>
                <wp:positionV relativeFrom="paragraph">
                  <wp:posOffset>1284605</wp:posOffset>
                </wp:positionV>
                <wp:extent cx="304800" cy="295275"/>
                <wp:effectExtent l="0" t="0" r="0" b="9525"/>
                <wp:wrapNone/>
                <wp:docPr id="56" name="Text Box 56"/>
                <wp:cNvGraphicFramePr/>
                <a:graphic xmlns:a="http://schemas.openxmlformats.org/drawingml/2006/main">
                  <a:graphicData uri="http://schemas.microsoft.com/office/word/2010/wordprocessingShape">
                    <wps:wsp>
                      <wps:cNvSpPr txBox="1"/>
                      <wps:spPr>
                        <a:xfrm>
                          <a:off x="5447665" y="2004695"/>
                          <a:ext cx="304800" cy="2952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56" o:spid="_x0000_s1041" type="#_x0000_t202" style="position:absolute;left:0;text-align:left;margin-left:343.9pt;margin-top:101.15pt;width:24pt;height:23.2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w:drawing>
          <wp:inline distT="0" distB="0" distL="114300" distR="114300">
            <wp:extent cx="5486400" cy="2743200"/>
            <wp:effectExtent l="4445" t="4445" r="14605" b="14605"/>
            <wp:docPr id="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Рисунок</w:t>
      </w:r>
      <w:r>
        <w:rPr>
          <w:rFonts w:ascii="Times New Roman" w:hAnsi="Times New Roman" w:cs="Times New Roman"/>
          <w:bCs/>
          <w:sz w:val="28"/>
          <w:szCs w:val="28"/>
          <w:lang w:val="ru"/>
        </w:rPr>
        <w:t xml:space="preserve"> 3.20 - залежність ефективності вилучення міді від рН вихідного розчину при застосуванні магнетиту (1) та без нього (2)</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jc w:val="both"/>
        <w:rPr>
          <w:rFonts w:ascii="Times New Roman" w:hAnsi="Times New Roman" w:cs="Times New Roman"/>
          <w:bCs/>
          <w:sz w:val="28"/>
          <w:szCs w:val="28"/>
          <w:lang w:val="ru"/>
        </w:rPr>
      </w:pPr>
      <w:r>
        <w:rPr>
          <w:rFonts w:ascii="Times New Roman" w:hAnsi="Times New Roman" w:cs="Times New Roman"/>
          <w:bCs/>
          <w:sz w:val="28"/>
          <w:szCs w:val="28"/>
          <w:lang w:val="ru"/>
        </w:rPr>
        <w:t>спричинює великий вплив на ефективність вилучення міді без використання магнетиту. Таким чином, концентрація міді у пробі, в яку не дод</w:t>
      </w:r>
      <w:r>
        <w:rPr>
          <w:rFonts w:ascii="Times New Roman" w:hAnsi="Times New Roman" w:cs="Times New Roman"/>
          <w:bCs/>
          <w:sz w:val="28"/>
          <w:szCs w:val="28"/>
          <w:lang w:val="ru"/>
        </w:rPr>
        <w:t>авався магнетит, зменшилася лише на 0,04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що знаходиться в межах статистичної похибки вимірювань. У цьому досліді продемонстровано що рН дійсно має великий вплив на процес вилучення міді, проте цей вплив виявився значно меншим до фільтрування, аніж після нього. Так, за однакової кислотності сере</w:t>
      </w:r>
      <w:r>
        <w:rPr>
          <w:rFonts w:ascii="Times New Roman" w:hAnsi="Times New Roman" w:cs="Times New Roman"/>
          <w:bCs/>
          <w:sz w:val="28"/>
          <w:szCs w:val="28"/>
          <w:lang w:val="ru"/>
        </w:rPr>
        <w:t>довища, концентрація міді складала 20,08 та 91,49 % для нефільтрованого та фільтрованого розчинів відповідно. Варто зауважити, що у випадку з пробами, в які додавався магнетит, ефективність видалення міді практично не зменшилась (максимальна різниця у конц</w:t>
      </w:r>
      <w:r>
        <w:rPr>
          <w:rFonts w:ascii="Times New Roman" w:hAnsi="Times New Roman" w:cs="Times New Roman"/>
          <w:bCs/>
          <w:sz w:val="28"/>
          <w:szCs w:val="28"/>
          <w:lang w:val="ru"/>
        </w:rPr>
        <w:t>ентраціях складає 7,33 %), а у одній з проб навіть збільшилась, у порівнянні з фільтрованим розчином, виконаним у тих самих умовах. Важко сказати чим саме викликане зростання концентрації міді у розчині після фільтрування. Робочою гіпотезею є часткове окис</w:t>
      </w:r>
      <w:r>
        <w:rPr>
          <w:rFonts w:ascii="Times New Roman" w:hAnsi="Times New Roman" w:cs="Times New Roman"/>
          <w:bCs/>
          <w:sz w:val="28"/>
          <w:szCs w:val="28"/>
          <w:lang w:val="ru"/>
        </w:rPr>
        <w:t xml:space="preserve">лення магнетиту киснем повітря та, відповідно, руйнування його пористої структури та втрата магнітних властивостей, що сприяє вимиванню міді під час фільтрування з поверхні магнетиту.  </w:t>
      </w:r>
    </w:p>
    <w:p w:rsidR="00F1629C" w:rsidRDefault="00E671D2">
      <w:pPr>
        <w:spacing w:line="360" w:lineRule="auto"/>
        <w:jc w:val="center"/>
        <w:rPr>
          <w:lang w:val="ru"/>
        </w:rPr>
      </w:pPr>
      <w:r>
        <w:rPr>
          <w:noProof/>
          <w:lang w:val="ru-RU" w:eastAsia="ru-RU"/>
        </w:rPr>
        <mc:AlternateContent>
          <mc:Choice Requires="wps">
            <w:drawing>
              <wp:anchor distT="0" distB="0" distL="114300" distR="114300" simplePos="0" relativeHeight="255269888" behindDoc="0" locked="0" layoutInCell="1" allowOverlap="1">
                <wp:simplePos x="0" y="0"/>
                <wp:positionH relativeFrom="column">
                  <wp:posOffset>2804795</wp:posOffset>
                </wp:positionH>
                <wp:positionV relativeFrom="paragraph">
                  <wp:posOffset>316230</wp:posOffset>
                </wp:positionV>
                <wp:extent cx="38100" cy="228600"/>
                <wp:effectExtent l="4445" t="635" r="14605" b="18415"/>
                <wp:wrapNone/>
                <wp:docPr id="136" name="Straight Connector 136"/>
                <wp:cNvGraphicFramePr/>
                <a:graphic xmlns:a="http://schemas.openxmlformats.org/drawingml/2006/main">
                  <a:graphicData uri="http://schemas.microsoft.com/office/word/2010/wordprocessingShape">
                    <wps:wsp>
                      <wps:cNvCnPr/>
                      <wps:spPr>
                        <a:xfrm flipH="1" flipV="1">
                          <a:off x="3884930" y="4204335"/>
                          <a:ext cx="38100" cy="2286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EEF2C0" id="Straight Connector 136" o:spid="_x0000_s1026" style="position:absolute;flip:x y;z-index:255269888;visibility:visible;mso-wrap-style:square;mso-wrap-distance-left:9pt;mso-wrap-distance-top:0;mso-wrap-distance-right:9pt;mso-wrap-distance-bottom:0;mso-position-horizontal:absolute;mso-position-horizontal-relative:text;mso-position-vertical:absolute;mso-position-vertical-relative:text" from="220.85pt,24.9pt" to="223.8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5268864" behindDoc="0" locked="0" layoutInCell="1" allowOverlap="1">
                <wp:simplePos x="0" y="0"/>
                <wp:positionH relativeFrom="column">
                  <wp:posOffset>3890645</wp:posOffset>
                </wp:positionH>
                <wp:positionV relativeFrom="paragraph">
                  <wp:posOffset>1716405</wp:posOffset>
                </wp:positionV>
                <wp:extent cx="219075" cy="257175"/>
                <wp:effectExtent l="3810" t="3175" r="5715" b="6350"/>
                <wp:wrapNone/>
                <wp:docPr id="114" name="Straight Connector 114"/>
                <wp:cNvGraphicFramePr/>
                <a:graphic xmlns:a="http://schemas.openxmlformats.org/drawingml/2006/main">
                  <a:graphicData uri="http://schemas.microsoft.com/office/word/2010/wordprocessingShape">
                    <wps:wsp>
                      <wps:cNvCnPr/>
                      <wps:spPr>
                        <a:xfrm>
                          <a:off x="4970780" y="5604510"/>
                          <a:ext cx="219075" cy="2571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6BA8F65" id="Straight Connector 114" o:spid="_x0000_s1026" style="position:absolute;z-index:255268864;visibility:visible;mso-wrap-style:square;mso-wrap-distance-left:9pt;mso-wrap-distance-top:0;mso-wrap-distance-right:9pt;mso-wrap-distance-bottom:0;mso-position-horizontal:absolute;mso-position-horizontal-relative:text;mso-position-vertical:absolute;mso-position-vertical-relative:text" from="306.35pt,135.15pt" to="323.6pt,1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5267840" behindDoc="0" locked="0" layoutInCell="1" allowOverlap="1">
                <wp:simplePos x="0" y="0"/>
                <wp:positionH relativeFrom="column">
                  <wp:posOffset>3576320</wp:posOffset>
                </wp:positionH>
                <wp:positionV relativeFrom="paragraph">
                  <wp:posOffset>1564005</wp:posOffset>
                </wp:positionV>
                <wp:extent cx="314325" cy="304800"/>
                <wp:effectExtent l="0" t="0" r="9525" b="0"/>
                <wp:wrapNone/>
                <wp:docPr id="24" name="Text Box 24"/>
                <wp:cNvGraphicFramePr/>
                <a:graphic xmlns:a="http://schemas.openxmlformats.org/drawingml/2006/main">
                  <a:graphicData uri="http://schemas.microsoft.com/office/word/2010/wordprocessingShape">
                    <wps:wsp>
                      <wps:cNvSpPr txBox="1"/>
                      <wps:spPr>
                        <a:xfrm>
                          <a:off x="4656455" y="5452110"/>
                          <a:ext cx="314325" cy="3048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24" o:spid="_x0000_s1042" type="#_x0000_t202" style="position:absolute;left:0;text-align:left;margin-left:281.6pt;margin-top:123.15pt;width:24.75pt;height:24pt;z-index:255267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5266816" behindDoc="0" locked="0" layoutInCell="1" allowOverlap="1">
                <wp:simplePos x="0" y="0"/>
                <wp:positionH relativeFrom="column">
                  <wp:posOffset>2690495</wp:posOffset>
                </wp:positionH>
                <wp:positionV relativeFrom="paragraph">
                  <wp:posOffset>544830</wp:posOffset>
                </wp:positionV>
                <wp:extent cx="304800" cy="238125"/>
                <wp:effectExtent l="0" t="0" r="0" b="9525"/>
                <wp:wrapNone/>
                <wp:docPr id="17" name="Text Box 17"/>
                <wp:cNvGraphicFramePr/>
                <a:graphic xmlns:a="http://schemas.openxmlformats.org/drawingml/2006/main">
                  <a:graphicData uri="http://schemas.microsoft.com/office/word/2010/wordprocessingShape">
                    <wps:wsp>
                      <wps:cNvSpPr txBox="1"/>
                      <wps:spPr>
                        <a:xfrm>
                          <a:off x="3770630" y="4432935"/>
                          <a:ext cx="304800" cy="2381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17" o:spid="_x0000_s1043" type="#_x0000_t202" style="position:absolute;left:0;text-align:left;margin-left:211.85pt;margin-top:42.9pt;width:24pt;height:18.75pt;z-index:255266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6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lang w:val="ru"/>
        </w:rPr>
        <w:t xml:space="preserve"> </w:t>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Рисунок 3.21 - залежність ефективності вилучення міді в</w:t>
      </w:r>
      <w:r>
        <w:rPr>
          <w:rFonts w:ascii="Times New Roman" w:hAnsi="Times New Roman" w:cs="Times New Roman"/>
          <w:sz w:val="28"/>
          <w:szCs w:val="28"/>
          <w:lang w:val="ru"/>
        </w:rPr>
        <w:t>ід вихідного рН розчину із використанням магнетиту (1) та без нього (2) перед фільтруванням на паперовому фільтрі “синя стрічка”</w:t>
      </w:r>
    </w:p>
    <w:p w:rsidR="00F1629C" w:rsidRDefault="00F1629C">
      <w:pPr>
        <w:spacing w:line="360" w:lineRule="auto"/>
        <w:ind w:firstLine="700"/>
        <w:jc w:val="both"/>
        <w:rPr>
          <w:rFonts w:ascii="Times New Roman" w:hAnsi="Times New Roman" w:cs="Times New Roman"/>
          <w:sz w:val="28"/>
          <w:szCs w:val="28"/>
          <w:lang w:val="ru"/>
        </w:rPr>
      </w:pP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Подальші</w:t>
      </w:r>
      <w:r>
        <w:rPr>
          <w:rFonts w:ascii="Times New Roman" w:hAnsi="Times New Roman" w:cs="Times New Roman"/>
          <w:bCs/>
          <w:sz w:val="28"/>
          <w:szCs w:val="28"/>
          <w:lang w:val="ru"/>
        </w:rPr>
        <w:t xml:space="preserve"> досліди проводилися з метою визначити оптимальну модифікацію магнетиту для ефективного виділення міді з водних розчин</w:t>
      </w:r>
      <w:r>
        <w:rPr>
          <w:rFonts w:ascii="Times New Roman" w:hAnsi="Times New Roman" w:cs="Times New Roman"/>
          <w:bCs/>
          <w:sz w:val="28"/>
          <w:szCs w:val="28"/>
          <w:lang w:val="ru"/>
        </w:rPr>
        <w:t>ів. В ході експерименту було оцінено ефективність вилучення міді за допомогою трьох модифікацій магнетиту: магнетит з відношенням двовалентного заліза до трьохвалентного як 1:2, магнетит з відношенням двовалентного заліза до трьохвалентного як 1:1, та магн</w:t>
      </w:r>
      <w:r>
        <w:rPr>
          <w:rFonts w:ascii="Times New Roman" w:hAnsi="Times New Roman" w:cs="Times New Roman"/>
          <w:bCs/>
          <w:sz w:val="28"/>
          <w:szCs w:val="28"/>
          <w:lang w:val="ru"/>
        </w:rPr>
        <w:t>етит з відношенням двовалентного заліза до трьохвалентного як 1:2, модифікований Na</w:t>
      </w:r>
      <w:r>
        <w:rPr>
          <w:rFonts w:ascii="Times New Roman" w:hAnsi="Times New Roman" w:cs="Times New Roman"/>
          <w:bCs/>
          <w:sz w:val="28"/>
          <w:szCs w:val="28"/>
          <w:vertAlign w:val="subscript"/>
          <w:lang w:val="ru"/>
        </w:rPr>
        <w:t>2</w:t>
      </w:r>
      <w:r>
        <w:rPr>
          <w:rFonts w:ascii="Times New Roman" w:hAnsi="Times New Roman" w:cs="Times New Roman"/>
          <w:bCs/>
          <w:sz w:val="28"/>
          <w:szCs w:val="28"/>
          <w:lang w:val="ru"/>
        </w:rPr>
        <w:t>S (рис. 3.22 та 3.23). Результати дослідів показали, що найвищою ефективністю вилучення іонів міді із води характеризується магнетит зі співвідношенням двовалентного заліза</w:t>
      </w:r>
      <w:r>
        <w:rPr>
          <w:rFonts w:ascii="Times New Roman" w:hAnsi="Times New Roman" w:cs="Times New Roman"/>
          <w:bCs/>
          <w:sz w:val="28"/>
          <w:szCs w:val="28"/>
          <w:lang w:val="ru"/>
        </w:rPr>
        <w:t xml:space="preserve"> до трьохвалентного 1:1. </w:t>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Ефективність вилучення іонів міді для магнетиту 1:1 при рН розчину, що дорівнює 8, складає 99,84 %, що відповідає сорбційній ємності 0,024 г міді на грам магнетиту. Таке значення рН також було оптимальним для усіх інших модифікаці</w:t>
      </w:r>
      <w:r>
        <w:rPr>
          <w:rFonts w:ascii="Times New Roman" w:hAnsi="Times New Roman" w:cs="Times New Roman"/>
          <w:bCs/>
          <w:sz w:val="28"/>
          <w:szCs w:val="28"/>
          <w:lang w:val="ru"/>
        </w:rPr>
        <w:t>й магнетиту. Так, значення ступеню вилучення склали 95,76 та 94,6 %, а сорбційна ємність була 0,023 та 0,022 г/г для магнетиту 2:1 та магнетиту 2:1, модифікованого Na</w:t>
      </w:r>
      <w:r>
        <w:rPr>
          <w:rFonts w:ascii="Times New Roman" w:hAnsi="Times New Roman" w:cs="Times New Roman"/>
          <w:bCs/>
          <w:sz w:val="28"/>
          <w:szCs w:val="28"/>
          <w:vertAlign w:val="subscript"/>
          <w:lang w:val="ru"/>
        </w:rPr>
        <w:t>2</w:t>
      </w:r>
      <w:r>
        <w:rPr>
          <w:rFonts w:ascii="Times New Roman" w:hAnsi="Times New Roman" w:cs="Times New Roman"/>
          <w:bCs/>
          <w:sz w:val="28"/>
          <w:szCs w:val="28"/>
          <w:lang w:val="ru"/>
        </w:rPr>
        <w:t>S відповідно.</w:t>
      </w:r>
    </w:p>
    <w:p w:rsidR="00F1629C" w:rsidRDefault="00F1629C">
      <w:pPr>
        <w:spacing w:line="360" w:lineRule="auto"/>
        <w:ind w:firstLine="700"/>
        <w:jc w:val="both"/>
        <w:rPr>
          <w:rFonts w:ascii="Times New Roman" w:hAnsi="Times New Roman" w:cs="Times New Roman"/>
          <w:bCs/>
          <w:sz w:val="28"/>
          <w:szCs w:val="28"/>
          <w:lang w:val="ru"/>
        </w:rPr>
      </w:pPr>
    </w:p>
    <w:p w:rsidR="00F1629C" w:rsidRDefault="00E671D2">
      <w:pPr>
        <w:spacing w:line="360" w:lineRule="auto"/>
        <w:jc w:val="center"/>
      </w:pPr>
      <w:r>
        <w:rPr>
          <w:noProof/>
          <w:lang w:val="ru-RU" w:eastAsia="ru-RU"/>
        </w:rPr>
        <mc:AlternateContent>
          <mc:Choice Requires="wps">
            <w:drawing>
              <wp:anchor distT="0" distB="0" distL="114300" distR="114300" simplePos="0" relativeHeight="251710464" behindDoc="0" locked="0" layoutInCell="1" allowOverlap="1">
                <wp:simplePos x="0" y="0"/>
                <wp:positionH relativeFrom="column">
                  <wp:posOffset>3609975</wp:posOffset>
                </wp:positionH>
                <wp:positionV relativeFrom="paragraph">
                  <wp:posOffset>636270</wp:posOffset>
                </wp:positionV>
                <wp:extent cx="4445" cy="305435"/>
                <wp:effectExtent l="4445" t="0" r="10160" b="18415"/>
                <wp:wrapNone/>
                <wp:docPr id="71" name="Straight Connector 71"/>
                <wp:cNvGraphicFramePr/>
                <a:graphic xmlns:a="http://schemas.openxmlformats.org/drawingml/2006/main">
                  <a:graphicData uri="http://schemas.microsoft.com/office/word/2010/wordprocessingShape">
                    <wps:wsp>
                      <wps:cNvCnPr/>
                      <wps:spPr>
                        <a:xfrm flipV="1">
                          <a:off x="4690110" y="2070735"/>
                          <a:ext cx="4445" cy="3054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C74052" id="Straight Connector 71" o:spid="_x0000_s1026" style="position:absolute;flip:y;z-index:251710464;visibility:visible;mso-wrap-style:square;mso-wrap-distance-left:9pt;mso-wrap-distance-top:0;mso-wrap-distance-right:9pt;mso-wrap-distance-bottom:0;mso-position-horizontal:absolute;mso-position-horizontal-relative:text;mso-position-vertical:absolute;mso-position-vertical-relative:text" from="284.25pt,50.1pt" to="284.6pt,7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09440" behindDoc="0" locked="0" layoutInCell="1" allowOverlap="1">
                <wp:simplePos x="0" y="0"/>
                <wp:positionH relativeFrom="column">
                  <wp:posOffset>2299970</wp:posOffset>
                </wp:positionH>
                <wp:positionV relativeFrom="paragraph">
                  <wp:posOffset>436245</wp:posOffset>
                </wp:positionV>
                <wp:extent cx="295275" cy="257810"/>
                <wp:effectExtent l="3175" t="3810" r="6350" b="5080"/>
                <wp:wrapNone/>
                <wp:docPr id="70" name="Straight Connector 70"/>
                <wp:cNvGraphicFramePr/>
                <a:graphic xmlns:a="http://schemas.openxmlformats.org/drawingml/2006/main">
                  <a:graphicData uri="http://schemas.microsoft.com/office/word/2010/wordprocessingShape">
                    <wps:wsp>
                      <wps:cNvCnPr/>
                      <wps:spPr>
                        <a:xfrm flipV="1">
                          <a:off x="3380105" y="1870710"/>
                          <a:ext cx="295275" cy="25781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6C217A" id="Straight Connector 70" o:spid="_x0000_s1026" style="position:absolute;flip:y;z-index:251709440;visibility:visible;mso-wrap-style:square;mso-wrap-distance-left:9pt;mso-wrap-distance-top:0;mso-wrap-distance-right:9pt;mso-wrap-distance-bottom:0;mso-position-horizontal:absolute;mso-position-horizontal-relative:text;mso-position-vertical:absolute;mso-position-vertical-relative:text" from="181.1pt,34.35pt" to="204.35pt,5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08416" behindDoc="0" locked="0" layoutInCell="1" allowOverlap="1">
                <wp:simplePos x="0" y="0"/>
                <wp:positionH relativeFrom="column">
                  <wp:posOffset>1776095</wp:posOffset>
                </wp:positionH>
                <wp:positionV relativeFrom="paragraph">
                  <wp:posOffset>260985</wp:posOffset>
                </wp:positionV>
                <wp:extent cx="552450" cy="118110"/>
                <wp:effectExtent l="1270" t="4445" r="17780" b="10795"/>
                <wp:wrapNone/>
                <wp:docPr id="69" name="Straight Connector 69"/>
                <wp:cNvGraphicFramePr/>
                <a:graphic xmlns:a="http://schemas.openxmlformats.org/drawingml/2006/main">
                  <a:graphicData uri="http://schemas.microsoft.com/office/word/2010/wordprocessingShape">
                    <wps:wsp>
                      <wps:cNvCnPr/>
                      <wps:spPr>
                        <a:xfrm>
                          <a:off x="2856230" y="1695450"/>
                          <a:ext cx="552450" cy="11811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458204" id="Straight Connector 69" o:spid="_x0000_s1026" style="position:absolute;z-index:251708416;visibility:visible;mso-wrap-style:square;mso-wrap-distance-left:9pt;mso-wrap-distance-top:0;mso-wrap-distance-right:9pt;mso-wrap-distance-bottom:0;mso-position-horizontal:absolute;mso-position-horizontal-relative:text;mso-position-vertical:absolute;mso-position-vertical-relative:text" from="139.85pt,20.55pt" to="183.35pt,2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04320" behindDoc="0" locked="0" layoutInCell="1" allowOverlap="1">
                <wp:simplePos x="0" y="0"/>
                <wp:positionH relativeFrom="column">
                  <wp:posOffset>3423920</wp:posOffset>
                </wp:positionH>
                <wp:positionV relativeFrom="paragraph">
                  <wp:posOffset>941705</wp:posOffset>
                </wp:positionV>
                <wp:extent cx="371475" cy="323850"/>
                <wp:effectExtent l="0" t="0" r="9525" b="0"/>
                <wp:wrapNone/>
                <wp:docPr id="65" name="Text Box 65"/>
                <wp:cNvGraphicFramePr/>
                <a:graphic xmlns:a="http://schemas.openxmlformats.org/drawingml/2006/main">
                  <a:graphicData uri="http://schemas.microsoft.com/office/word/2010/wordprocessingShape">
                    <wps:wsp>
                      <wps:cNvSpPr txBox="1"/>
                      <wps:spPr>
                        <a:xfrm>
                          <a:off x="4504055" y="2376170"/>
                          <a:ext cx="371475" cy="3238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5" o:spid="_x0000_s1044" type="#_x0000_t202" style="position:absolute;left:0;text-align:left;margin-left:269.6pt;margin-top:74.15pt;width:29.25pt;height:25.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" fillcolor="white [3201]" stroked="f" strokeweight=".5pt">
                <v:textbox>
                  <w:txbxContent>
                    <w:p w:rsidR="00F1629C" w:rsidRDefault="00E671D2">
                      <w:pPr>
                        <w:rPr>
                          <w:lang w:val="ru"/>
                        </w:rPr>
                      </w:pPr>
                      <w:r>
                        <w:rPr>
                          <w:lang w:val="ru"/>
                        </w:rPr>
                        <w:t>3</w:t>
                      </w:r>
                    </w:p>
                  </w:txbxContent>
                </v:textbox>
              </v:shape>
            </w:pict>
          </mc:Fallback>
        </mc:AlternateContent>
      </w:r>
      <w:r>
        <w:rPr>
          <w:noProof/>
          <w:lang w:val="ru-RU" w:eastAsia="ru-RU"/>
        </w:rPr>
        <mc:AlternateContent>
          <mc:Choice Requires="wps">
            <w:drawing>
              <wp:anchor distT="0" distB="0" distL="114300" distR="114300" simplePos="0" relativeHeight="251703296" behindDoc="0" locked="0" layoutInCell="1" allowOverlap="1">
                <wp:simplePos x="0" y="0"/>
                <wp:positionH relativeFrom="column">
                  <wp:posOffset>2166620</wp:posOffset>
                </wp:positionH>
                <wp:positionV relativeFrom="paragraph">
                  <wp:posOffset>694055</wp:posOffset>
                </wp:positionV>
                <wp:extent cx="266700" cy="257175"/>
                <wp:effectExtent l="0" t="0" r="0" b="9525"/>
                <wp:wrapNone/>
                <wp:docPr id="64" name="Text Box 64"/>
                <wp:cNvGraphicFramePr/>
                <a:graphic xmlns:a="http://schemas.openxmlformats.org/drawingml/2006/main">
                  <a:graphicData uri="http://schemas.microsoft.com/office/word/2010/wordprocessingShape">
                    <wps:wsp>
                      <wps:cNvSpPr txBox="1"/>
                      <wps:spPr>
                        <a:xfrm>
                          <a:off x="3246755" y="2128520"/>
                          <a:ext cx="266700" cy="25717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4" o:spid="_x0000_s1045" type="#_x0000_t202" style="position:absolute;left:0;text-align:left;margin-left:170.6pt;margin-top:54.65pt;width:21pt;height:20.25pt;z-index:251703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702272" behindDoc="0" locked="0" layoutInCell="1" allowOverlap="1">
                <wp:simplePos x="0" y="0"/>
                <wp:positionH relativeFrom="column">
                  <wp:posOffset>1490345</wp:posOffset>
                </wp:positionH>
                <wp:positionV relativeFrom="paragraph">
                  <wp:posOffset>141605</wp:posOffset>
                </wp:positionV>
                <wp:extent cx="285750" cy="238125"/>
                <wp:effectExtent l="0" t="0" r="0" b="9525"/>
                <wp:wrapNone/>
                <wp:docPr id="63" name="Text Box 63"/>
                <wp:cNvGraphicFramePr/>
                <a:graphic xmlns:a="http://schemas.openxmlformats.org/drawingml/2006/main">
                  <a:graphicData uri="http://schemas.microsoft.com/office/word/2010/wordprocessingShape">
                    <wps:wsp>
                      <wps:cNvSpPr txBox="1"/>
                      <wps:spPr>
                        <a:xfrm>
                          <a:off x="2570480" y="1576070"/>
                          <a:ext cx="285750" cy="2381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3" o:spid="_x0000_s1046" type="#_x0000_t202" style="position:absolute;left:0;text-align:left;margin-left:117.35pt;margin-top:11.15pt;width:22.5pt;height:18.7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6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1629C" w:rsidRDefault="00E671D2">
      <w:pPr>
        <w:spacing w:line="360" w:lineRule="auto"/>
        <w:ind w:firstLine="700"/>
        <w:jc w:val="both"/>
        <w:rPr>
          <w:rFonts w:ascii="Times New Roman"/>
          <w:lang w:val="ru"/>
        </w:rPr>
      </w:pPr>
      <w:r>
        <w:rPr>
          <w:rFonts w:ascii="Times New Roman" w:hAnsi="Times New Roman" w:cs="Times New Roman"/>
          <w:sz w:val="28"/>
          <w:szCs w:val="28"/>
          <w:lang w:val="ru"/>
        </w:rPr>
        <w:t>Рисунок 3.22 - залежність ефективності вилучення іонів</w:t>
      </w:r>
      <w:r>
        <w:rPr>
          <w:rFonts w:ascii="Times New Roman" w:hAnsi="Times New Roman" w:cs="Times New Roman"/>
          <w:sz w:val="28"/>
          <w:szCs w:val="28"/>
          <w:lang w:val="ru"/>
        </w:rPr>
        <w:t xml:space="preserve"> міді з розчину від рН розчину при використанні магнетиту 1:1 (1), 2:1 (2) та 2:1 з Na</w:t>
      </w:r>
      <w:r>
        <w:rPr>
          <w:rFonts w:ascii="Times New Roman" w:hAnsi="Times New Roman" w:cs="Times New Roman"/>
          <w:sz w:val="28"/>
          <w:szCs w:val="28"/>
          <w:vertAlign w:val="subscript"/>
          <w:lang w:val="ru"/>
        </w:rPr>
        <w:t>2</w:t>
      </w:r>
      <w:r>
        <w:rPr>
          <w:rFonts w:ascii="Times New Roman" w:hAnsi="Times New Roman" w:cs="Times New Roman"/>
          <w:sz w:val="28"/>
          <w:szCs w:val="28"/>
          <w:lang w:val="ru"/>
        </w:rPr>
        <w:t>S (3)</w:t>
      </w:r>
      <w:r>
        <w:rPr>
          <w:rFonts w:ascii="Times New Roman"/>
          <w:lang w:val="ru"/>
        </w:rPr>
        <w:t xml:space="preserve"> </w:t>
      </w:r>
    </w:p>
    <w:p w:rsidR="00F1629C" w:rsidRDefault="00E671D2">
      <w:pPr>
        <w:spacing w:line="360" w:lineRule="auto"/>
        <w:ind w:firstLine="700"/>
        <w:jc w:val="both"/>
        <w:rPr>
          <w:rFonts w:ascii="Times New Roman"/>
          <w:lang w:val="ru"/>
        </w:rPr>
      </w:pPr>
      <w:r>
        <w:rPr>
          <w:rFonts w:ascii="Times New Roman" w:hAnsi="Times New Roman" w:cs="Times New Roman"/>
          <w:sz w:val="28"/>
          <w:szCs w:val="28"/>
          <w:lang w:val="ru"/>
        </w:rPr>
        <w:t xml:space="preserve">Отже, при вилученні іонів міді, кожен з оцінених методів має право на життя та виявляється достатьньо ефективним при виконанні певних умов. Так, нанофільтрація є </w:t>
      </w:r>
      <w:r>
        <w:rPr>
          <w:rFonts w:ascii="Times New Roman" w:hAnsi="Times New Roman" w:cs="Times New Roman"/>
          <w:sz w:val="28"/>
          <w:szCs w:val="28"/>
          <w:lang w:val="ru"/>
        </w:rPr>
        <w:t>найбільш ефективною за використання комплексоутворювача НТМФК у концентраціях 25-50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найбільш ефективним іонообмінним методом вилучення міді є сорбція останньої на катіоніті КУ-2-8 у Na</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-формі у динамічних умовах, що забезпечує</w:t>
      </w:r>
      <w:r>
        <w:rPr>
          <w:rFonts w:ascii="Times New Roman" w:hAnsi="Times New Roman" w:cs="Times New Roman"/>
          <w:sz w:val="28"/>
          <w:szCs w:val="28"/>
          <w:lang w:val="ru"/>
        </w:rPr>
        <w:t xml:space="preserve"> повне вилучення міді </w:t>
      </w:r>
      <w:r>
        <w:rPr>
          <w:rFonts w:ascii="Times New Roman" w:hAnsi="Times New Roman" w:cs="Times New Roman"/>
          <w:sz w:val="28"/>
          <w:szCs w:val="28"/>
          <w:lang w:val="ru"/>
        </w:rPr>
        <w:t>при порядку концентрацій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Ефективним методом пом’якшення водопровідної води м. Києва є використання катіоніту DOWEX-MAC-3 в Н</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 xml:space="preserve">-формі. </w:t>
      </w:r>
    </w:p>
    <w:p w:rsidR="00F1629C" w:rsidRDefault="00F1629C">
      <w:pPr>
        <w:spacing w:line="360" w:lineRule="auto"/>
        <w:ind w:firstLine="700"/>
        <w:jc w:val="both"/>
        <w:rPr>
          <w:rFonts w:ascii="Times New Roman"/>
          <w:lang w:val="ru"/>
        </w:rPr>
      </w:pPr>
    </w:p>
    <w:p w:rsidR="00F1629C" w:rsidRDefault="00E671D2">
      <w:pPr>
        <w:spacing w:line="360" w:lineRule="auto"/>
        <w:jc w:val="center"/>
      </w:pPr>
      <w:r>
        <w:rPr>
          <w:noProof/>
          <w:lang w:val="ru-RU" w:eastAsia="ru-RU"/>
        </w:rPr>
        <mc:AlternateContent>
          <mc:Choice Requires="wps">
            <w:drawing>
              <wp:anchor distT="0" distB="0" distL="114300" distR="114300" simplePos="0" relativeHeight="251713536" behindDoc="0" locked="0" layoutInCell="1" allowOverlap="1">
                <wp:simplePos x="0" y="0"/>
                <wp:positionH relativeFrom="column">
                  <wp:posOffset>3286125</wp:posOffset>
                </wp:positionH>
                <wp:positionV relativeFrom="paragraph">
                  <wp:posOffset>809625</wp:posOffset>
                </wp:positionV>
                <wp:extent cx="13970" cy="504825"/>
                <wp:effectExtent l="4445" t="0" r="19685" b="9525"/>
                <wp:wrapNone/>
                <wp:docPr id="74" name="Straight Connector 74"/>
                <wp:cNvGraphicFramePr/>
                <a:graphic xmlns:a="http://schemas.openxmlformats.org/drawingml/2006/main">
                  <a:graphicData uri="http://schemas.microsoft.com/office/word/2010/wordprocessingShape">
                    <wps:wsp>
                      <wps:cNvCnPr/>
                      <wps:spPr>
                        <a:xfrm flipV="1">
                          <a:off x="4366260" y="5903595"/>
                          <a:ext cx="13970" cy="5048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E3335F" id="Straight Connector 74" o:spid="_x0000_s1026" style="position:absolute;flip:y;z-index:251713536;visibility:visible;mso-wrap-style:square;mso-wrap-distance-left:9pt;mso-wrap-distance-top:0;mso-wrap-distance-right:9pt;mso-wrap-distance-bottom:0;mso-position-horizontal:absolute;mso-position-horizontal-relative:text;mso-position-vertical:absolute;mso-position-vertical-relative:text" from="258.75pt,63.75pt" to="259.8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12512" behindDoc="0" locked="0" layoutInCell="1" allowOverlap="1">
                <wp:simplePos x="0" y="0"/>
                <wp:positionH relativeFrom="column">
                  <wp:posOffset>1852295</wp:posOffset>
                </wp:positionH>
                <wp:positionV relativeFrom="paragraph">
                  <wp:posOffset>952500</wp:posOffset>
                </wp:positionV>
                <wp:extent cx="152400" cy="695325"/>
                <wp:effectExtent l="4445" t="1270" r="14605" b="8255"/>
                <wp:wrapNone/>
                <wp:docPr id="73" name="Straight Connector 73"/>
                <wp:cNvGraphicFramePr/>
                <a:graphic xmlns:a="http://schemas.openxmlformats.org/drawingml/2006/main">
                  <a:graphicData uri="http://schemas.microsoft.com/office/word/2010/wordprocessingShape">
                    <wps:wsp>
                      <wps:cNvCnPr/>
                      <wps:spPr>
                        <a:xfrm flipH="1" flipV="1">
                          <a:off x="2932430" y="6046470"/>
                          <a:ext cx="152400" cy="6953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D2DED5" id="Straight Connector 73" o:spid="_x0000_s1026" style="position:absolute;flip:x y;z-index:251712512;visibility:visible;mso-wrap-style:square;mso-wrap-distance-left:9pt;mso-wrap-distance-top:0;mso-wrap-distance-right:9pt;mso-wrap-distance-bottom:0;mso-position-horizontal:absolute;mso-position-horizontal-relative:text;mso-position-vertical:absolute;mso-position-vertical-relative:text" from="145.85pt,75pt" to="157.85pt,1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11488" behindDoc="0" locked="0" layoutInCell="1" allowOverlap="1">
                <wp:simplePos x="0" y="0"/>
                <wp:positionH relativeFrom="column">
                  <wp:posOffset>1680845</wp:posOffset>
                </wp:positionH>
                <wp:positionV relativeFrom="paragraph">
                  <wp:posOffset>452755</wp:posOffset>
                </wp:positionV>
                <wp:extent cx="361950" cy="147320"/>
                <wp:effectExtent l="1905" t="4445" r="17145" b="19685"/>
                <wp:wrapNone/>
                <wp:docPr id="72" name="Straight Connector 72"/>
                <wp:cNvGraphicFramePr/>
                <a:graphic xmlns:a="http://schemas.openxmlformats.org/drawingml/2006/main">
                  <a:graphicData uri="http://schemas.microsoft.com/office/word/2010/wordprocessingShape">
                    <wps:wsp>
                      <wps:cNvCnPr/>
                      <wps:spPr>
                        <a:xfrm>
                          <a:off x="2760980" y="5546725"/>
                          <a:ext cx="361950" cy="1473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288870" id="Straight Connector 72" o:spid="_x0000_s1026" style="position:absolute;z-index:251711488;visibility:visible;mso-wrap-style:square;mso-wrap-distance-left:9pt;mso-wrap-distance-top:0;mso-wrap-distance-right:9pt;mso-wrap-distance-bottom:0;mso-position-horizontal:absolute;mso-position-horizontal-relative:text;mso-position-vertical:absolute;mso-position-vertical-relative:text" from="132.35pt,35.65pt" to="160.85pt,4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1707392" behindDoc="0" locked="0" layoutInCell="1" allowOverlap="1">
                <wp:simplePos x="0" y="0"/>
                <wp:positionH relativeFrom="column">
                  <wp:posOffset>3081020</wp:posOffset>
                </wp:positionH>
                <wp:positionV relativeFrom="paragraph">
                  <wp:posOffset>1314450</wp:posOffset>
                </wp:positionV>
                <wp:extent cx="409575" cy="323850"/>
                <wp:effectExtent l="0" t="0" r="9525" b="0"/>
                <wp:wrapNone/>
                <wp:docPr id="68" name="Text Box 68"/>
                <wp:cNvGraphicFramePr/>
                <a:graphic xmlns:a="http://schemas.openxmlformats.org/drawingml/2006/main">
                  <a:graphicData uri="http://schemas.microsoft.com/office/word/2010/wordprocessingShape">
                    <wps:wsp>
                      <wps:cNvSpPr txBox="1"/>
                      <wps:spPr>
                        <a:xfrm>
                          <a:off x="4161155" y="6408420"/>
                          <a:ext cx="409575" cy="3238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8" o:spid="_x0000_s1047" type="#_x0000_t202" style="position:absolute;left:0;text-align:left;margin-left:242.6pt;margin-top:103.5pt;width:32.25pt;height:25.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" fillcolor="white [3201]" stroked="f" strokeweight=".5pt">
                <v:textbox>
                  <w:txbxContent>
                    <w:p w:rsidR="00F1629C" w:rsidRDefault="00E671D2">
                      <w:pPr>
                        <w:rPr>
                          <w:lang w:val="ru"/>
                        </w:rPr>
                      </w:pPr>
                      <w:r>
                        <w:rPr>
                          <w:lang w:val="ru"/>
                        </w:rPr>
                        <w:t>3</w:t>
                      </w:r>
                    </w:p>
                  </w:txbxContent>
                </v:textbox>
              </v:shape>
            </w:pict>
          </mc:Fallback>
        </mc:AlternateContent>
      </w:r>
      <w:r>
        <w:rPr>
          <w:noProof/>
          <w:lang w:val="ru-RU" w:eastAsia="ru-RU"/>
        </w:rPr>
        <mc:AlternateContent>
          <mc:Choice Requires="wps">
            <w:drawing>
              <wp:anchor distT="0" distB="0" distL="114300" distR="114300" simplePos="0" relativeHeight="251706368" behindDoc="0" locked="0" layoutInCell="1" allowOverlap="1">
                <wp:simplePos x="0" y="0"/>
                <wp:positionH relativeFrom="column">
                  <wp:posOffset>1814195</wp:posOffset>
                </wp:positionH>
                <wp:positionV relativeFrom="paragraph">
                  <wp:posOffset>1647825</wp:posOffset>
                </wp:positionV>
                <wp:extent cx="381000" cy="323850"/>
                <wp:effectExtent l="0" t="0" r="0" b="0"/>
                <wp:wrapNone/>
                <wp:docPr id="67" name="Text Box 67"/>
                <wp:cNvGraphicFramePr/>
                <a:graphic xmlns:a="http://schemas.openxmlformats.org/drawingml/2006/main">
                  <a:graphicData uri="http://schemas.microsoft.com/office/word/2010/wordprocessingShape">
                    <wps:wsp>
                      <wps:cNvSpPr txBox="1"/>
                      <wps:spPr>
                        <a:xfrm>
                          <a:off x="2894330" y="6741795"/>
                          <a:ext cx="381000" cy="3238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7" o:spid="_x0000_s1048" type="#_x0000_t202" style="position:absolute;left:0;text-align:left;margin-left:142.85pt;margin-top:129.75pt;width:30pt;height:25.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" fillcolor="white [3201]" stroked="f" strokeweight=".5pt">
                <v:textbox>
                  <w:txbxContent>
                    <w:p w:rsidR="00F1629C" w:rsidRDefault="00E671D2">
                      <w:pPr>
                        <w:rPr>
                          <w:lang w:val="ru"/>
                        </w:rPr>
                      </w:pPr>
                      <w:r>
                        <w:rPr>
                          <w:lang w:val="ru"/>
                        </w:rPr>
                        <w:t>2</w:t>
                      </w:r>
                    </w:p>
                  </w:txbxContent>
                </v:textbox>
              </v:shape>
            </w:pict>
          </mc:Fallback>
        </mc:AlternateContent>
      </w:r>
      <w:r>
        <w:rPr>
          <w:noProof/>
          <w:lang w:val="ru-RU" w:eastAsia="ru-RU"/>
        </w:rPr>
        <mc:AlternateContent>
          <mc:Choice Requires="wps">
            <w:drawing>
              <wp:anchor distT="0" distB="0" distL="114300" distR="114300" simplePos="0" relativeHeight="251705344" behindDoc="0" locked="0" layoutInCell="1" allowOverlap="1">
                <wp:simplePos x="0" y="0"/>
                <wp:positionH relativeFrom="column">
                  <wp:posOffset>1356995</wp:posOffset>
                </wp:positionH>
                <wp:positionV relativeFrom="paragraph">
                  <wp:posOffset>295275</wp:posOffset>
                </wp:positionV>
                <wp:extent cx="323850" cy="314325"/>
                <wp:effectExtent l="0" t="0" r="0" b="9525"/>
                <wp:wrapNone/>
                <wp:docPr id="66" name="Text Box 66"/>
                <wp:cNvGraphicFramePr/>
                <a:graphic xmlns:a="http://schemas.openxmlformats.org/drawingml/2006/main">
                  <a:graphicData uri="http://schemas.microsoft.com/office/word/2010/wordprocessingShape">
                    <wps:wsp>
                      <wps:cNvSpPr txBox="1"/>
                      <wps:spPr>
                        <a:xfrm>
                          <a:off x="2437130" y="5389245"/>
                          <a:ext cx="323850" cy="3143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F1629C" w:rsidRDefault="00E671D2">
                            <w:pPr>
                              <w:rPr>
                                <w:lang w:val="ru"/>
                              </w:rPr>
                            </w:pPr>
                            <w:r>
                              <w:rPr>
                                <w:lang w:val="ru"/>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6" o:spid="_x0000_s1049" type="#_x0000_t202" style="position:absolute;left:0;text-align:left;margin-left:106.85pt;margin-top:23.25pt;width:25.5pt;height:24.75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" fillcolor="white [3201]" stroked="f" strokeweight=".5pt">
                <v:textbox>
                  <w:txbxContent>
                    <w:p w:rsidR="00F1629C" w:rsidRDefault="00E671D2">
                      <w:pPr>
                        <w:rPr>
                          <w:lang w:val="ru"/>
                        </w:rPr>
                      </w:pPr>
                      <w:r>
                        <w:rPr>
                          <w:lang w:val="ru"/>
                        </w:rPr>
                        <w:t>1</w:t>
                      </w:r>
                    </w:p>
                  </w:txbxContent>
                </v:textbox>
              </v:shape>
            </w:pict>
          </mc:Fallback>
        </mc:AlternateContent>
      </w:r>
      <w:r>
        <w:rPr>
          <w:noProof/>
          <w:lang w:val="ru-RU" w:eastAsia="ru-RU"/>
        </w:rPr>
        <w:drawing>
          <wp:inline distT="0" distB="0" distL="114300" distR="114300">
            <wp:extent cx="5486400" cy="2743200"/>
            <wp:effectExtent l="4445" t="4445" r="14605" b="14605"/>
            <wp:docPr id="6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1629C" w:rsidRDefault="00E671D2">
      <w:pPr>
        <w:spacing w:line="360" w:lineRule="auto"/>
        <w:ind w:firstLine="700"/>
        <w:jc w:val="both"/>
        <w:rPr>
          <w:rFonts w:ascii="Times New Roman"/>
          <w:lang w:val="ru"/>
        </w:rPr>
      </w:pPr>
      <w:r>
        <w:rPr>
          <w:rFonts w:ascii="Times New Roman" w:hAnsi="Times New Roman" w:cs="Times New Roman"/>
          <w:sz w:val="28"/>
          <w:szCs w:val="28"/>
          <w:lang w:val="ru"/>
        </w:rPr>
        <w:t>Рисунок 3.23 - залежність сорбційної ємності магнетиту по іонах Cu</w:t>
      </w:r>
      <w:r>
        <w:rPr>
          <w:rFonts w:ascii="Times New Roman" w:hAnsi="Times New Roman" w:cs="Times New Roman"/>
          <w:sz w:val="28"/>
          <w:szCs w:val="28"/>
          <w:vertAlign w:val="superscript"/>
          <w:lang w:val="ru"/>
        </w:rPr>
        <w:t>2+</w:t>
      </w:r>
      <w:r>
        <w:rPr>
          <w:rFonts w:ascii="Times New Roman" w:hAnsi="Times New Roman" w:cs="Times New Roman"/>
          <w:sz w:val="28"/>
          <w:szCs w:val="28"/>
          <w:lang w:val="ru"/>
        </w:rPr>
        <w:t xml:space="preserve"> від рН розчину при викор</w:t>
      </w:r>
      <w:r>
        <w:rPr>
          <w:rFonts w:ascii="Times New Roman" w:hAnsi="Times New Roman" w:cs="Times New Roman"/>
          <w:sz w:val="28"/>
          <w:szCs w:val="28"/>
          <w:lang w:val="ru"/>
        </w:rPr>
        <w:t>истанні магнетиту 1:1 (1), 2:1 (2) та 2:1 з Na</w:t>
      </w:r>
      <w:r>
        <w:rPr>
          <w:rFonts w:ascii="Times New Roman" w:hAnsi="Times New Roman" w:cs="Times New Roman"/>
          <w:sz w:val="28"/>
          <w:szCs w:val="28"/>
          <w:vertAlign w:val="subscript"/>
          <w:lang w:val="ru"/>
        </w:rPr>
        <w:t>2</w:t>
      </w:r>
      <w:r>
        <w:rPr>
          <w:rFonts w:ascii="Times New Roman" w:hAnsi="Times New Roman" w:cs="Times New Roman"/>
          <w:sz w:val="28"/>
          <w:szCs w:val="28"/>
          <w:lang w:val="ru"/>
        </w:rPr>
        <w:t>S (3)</w:t>
      </w:r>
      <w:r>
        <w:rPr>
          <w:rFonts w:ascii="Times New Roman"/>
          <w:lang w:val="ru"/>
        </w:rPr>
        <w:t xml:space="preserve"> </w:t>
      </w:r>
    </w:p>
    <w:p w:rsidR="00F1629C" w:rsidRDefault="00F1629C">
      <w:pPr>
        <w:spacing w:line="360" w:lineRule="auto"/>
        <w:ind w:firstLine="700"/>
        <w:jc w:val="both"/>
        <w:rPr>
          <w:rFonts w:ascii="Times New Roman"/>
          <w:lang w:val="ru"/>
        </w:rPr>
      </w:pP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Також, за забезпечення рН на рівні 8 одиниць, ефективним, дешевим та простим засобом вилучення міді є магнетит із відношенням двох- та трьохвалентного заліза 1:1, який, доречі, демонструє результати по</w:t>
      </w:r>
      <w:r>
        <w:rPr>
          <w:rFonts w:ascii="Times New Roman" w:hAnsi="Times New Roman" w:cs="Times New Roman"/>
          <w:sz w:val="28"/>
          <w:szCs w:val="28"/>
          <w:lang w:val="ru"/>
        </w:rPr>
        <w:t xml:space="preserve"> ефективності очищення води на рівні 99,8 % у статичних умовах, хоча обидва досліджених катіоніти у обох формах у статиці не перевищували ступінь вилучення 74 %.</w:t>
      </w:r>
    </w:p>
    <w:p w:rsidR="00F1629C" w:rsidRDefault="00F1629C">
      <w:pPr>
        <w:tabs>
          <w:tab w:val="left" w:pos="284"/>
          <w:tab w:val="left" w:pos="4018"/>
        </w:tabs>
        <w:spacing w:after="0" w:line="360" w:lineRule="auto"/>
        <w:jc w:val="both"/>
        <w:rPr>
          <w:rFonts w:ascii="Times New Roman" w:hAnsi="Times New Roman" w:cs="Times New Roman"/>
          <w:b/>
          <w:i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3.2 Оцінка ефективності вилучення іонів свинцю з води</w:t>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 xml:space="preserve">3.2.1 Оцінка ефективності </w:t>
      </w:r>
      <w:r>
        <w:rPr>
          <w:rFonts w:ascii="Times New Roman" w:hAnsi="Times New Roman" w:cs="Times New Roman"/>
          <w:b/>
          <w:iCs/>
          <w:sz w:val="28"/>
          <w:szCs w:val="28"/>
          <w:lang w:val="ru"/>
        </w:rPr>
        <w:t>нанофільтраційного вилучення іонів свинцю з води</w:t>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
          <w:iCs/>
          <w:sz w:val="28"/>
          <w:szCs w:val="28"/>
          <w:lang w:val="ru"/>
        </w:rPr>
        <w:tab/>
      </w:r>
      <w:r>
        <w:rPr>
          <w:rFonts w:ascii="Times New Roman" w:hAnsi="Times New Roman" w:cs="Times New Roman"/>
          <w:bCs/>
          <w:iCs/>
          <w:sz w:val="28"/>
          <w:szCs w:val="28"/>
          <w:lang w:val="ru"/>
        </w:rPr>
        <w:t>Нажаль, використання усіх зазначених раніше комплексоутворювачів виявилось неефективним при виділенні з води іонів свинцю (таб. 3.5). Це пов’язано з тим, що свинець, навідміну від міді, утворює нестійкі ком</w:t>
      </w:r>
      <w:r>
        <w:rPr>
          <w:rFonts w:ascii="Times New Roman" w:hAnsi="Times New Roman" w:cs="Times New Roman"/>
          <w:bCs/>
          <w:iCs/>
          <w:sz w:val="28"/>
          <w:szCs w:val="28"/>
          <w:lang w:val="ru"/>
        </w:rPr>
        <w:t>плексні сполуки з використаними реагентами. Найбільш ефективним методом вилучення іонів свинцю з розчину виявилося додавання хлориду кальцію та карбонату натрію. Це призводило до співосадження свинцю у розчині спільно з карбонатом кальцію та, відповідно, д</w:t>
      </w:r>
      <w:r>
        <w:rPr>
          <w:rFonts w:ascii="Times New Roman" w:hAnsi="Times New Roman" w:cs="Times New Roman"/>
          <w:bCs/>
          <w:iCs/>
          <w:sz w:val="28"/>
          <w:szCs w:val="28"/>
          <w:lang w:val="ru"/>
        </w:rPr>
        <w:t xml:space="preserve">авало можливість кількісного виділення свинцю з розчину. Так, селективність мембрани підвищувалась до 100%, у порівнянні з 5,4% при додаванні 0,005Н трилону Б. Слід зазначити що за тих самих умов при використанні трилону Б селективність мембрани ОПМН-П по </w:t>
      </w:r>
      <w:r>
        <w:rPr>
          <w:rFonts w:ascii="Times New Roman" w:hAnsi="Times New Roman" w:cs="Times New Roman"/>
          <w:bCs/>
          <w:iCs/>
          <w:sz w:val="28"/>
          <w:szCs w:val="28"/>
          <w:lang w:val="ru"/>
        </w:rPr>
        <w:t>міді складала 77 %.</w:t>
      </w:r>
    </w:p>
    <w:p w:rsidR="00F1629C" w:rsidRDefault="00F1629C">
      <w:pPr>
        <w:tabs>
          <w:tab w:val="left" w:pos="284"/>
          <w:tab w:val="left" w:pos="4018"/>
        </w:tabs>
        <w:spacing w:after="0" w:line="360" w:lineRule="auto"/>
        <w:jc w:val="center"/>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ab/>
        <w:t>Таблиця 3.5 - селективність мембрани ОПМН-П по іонах свинцю при використанні різних додаткових засобів очистки води від іонів свинцю.</w:t>
      </w:r>
    </w:p>
    <w:tbl>
      <w:tblPr>
        <w:tblW w:w="9668" w:type="dxa"/>
        <w:tblLayout w:type="fixed"/>
        <w:tblCellMar>
          <w:left w:w="0" w:type="dxa"/>
          <w:right w:w="0" w:type="dxa"/>
        </w:tblCellMar>
        <w:tblLook w:val="04A0" w:firstRow="1" w:lastRow="0" w:firstColumn="1" w:lastColumn="0" w:noHBand="0" w:noVBand="1"/>
      </w:tblPr>
      <w:tblGrid>
        <w:gridCol w:w="1205"/>
        <w:gridCol w:w="1209"/>
        <w:gridCol w:w="1396"/>
        <w:gridCol w:w="1018"/>
        <w:gridCol w:w="1218"/>
        <w:gridCol w:w="1207"/>
        <w:gridCol w:w="1208"/>
        <w:gridCol w:w="1207"/>
      </w:tblGrid>
      <w:tr w:rsidR="00F1629C">
        <w:trPr>
          <w:trHeight w:val="285"/>
        </w:trPr>
        <w:tc>
          <w:tcPr>
            <w:tcW w:w="1205"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 xml:space="preserve">№ </w:t>
            </w:r>
            <w:r>
              <w:rPr>
                <w:rFonts w:ascii="Times New Roman" w:eastAsia="SimSun" w:hAnsi="Times New Roman" w:cs="Times New Roman"/>
                <w:color w:val="000000"/>
                <w:sz w:val="28"/>
                <w:szCs w:val="28"/>
                <w:lang w:val="ru" w:eastAsia="zh-CN" w:bidi="ar"/>
              </w:rPr>
              <w:t>з</w:t>
            </w:r>
            <w:r>
              <w:rPr>
                <w:rFonts w:ascii="Times New Roman" w:eastAsia="SimSun" w:hAnsi="Times New Roman" w:cs="Times New Roman"/>
                <w:color w:val="000000"/>
                <w:sz w:val="28"/>
                <w:szCs w:val="28"/>
                <w:lang w:val="en-US" w:eastAsia="zh-CN" w:bidi="ar"/>
              </w:rPr>
              <w:t>п</w:t>
            </w:r>
          </w:p>
        </w:tc>
        <w:tc>
          <w:tcPr>
            <w:tcW w:w="1209"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Реагент</w:t>
            </w:r>
          </w:p>
        </w:tc>
        <w:tc>
          <w:tcPr>
            <w:tcW w:w="1396"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vertAlign w:val="superscript"/>
                <w:lang w:val="ru"/>
              </w:rPr>
            </w:pPr>
            <w:r>
              <w:rPr>
                <w:rFonts w:ascii="Times New Roman" w:eastAsia="SimSun" w:hAnsi="Times New Roman" w:cs="Times New Roman"/>
                <w:color w:val="000000"/>
                <w:sz w:val="28"/>
                <w:szCs w:val="28"/>
                <w:lang w:val="en-US" w:eastAsia="zh-CN" w:bidi="ar"/>
              </w:rPr>
              <w:t>Доза реаген-ту,</w:t>
            </w:r>
            <w:r>
              <w:rPr>
                <w:rFonts w:ascii="Times New Roman" w:eastAsia="SimSun" w:hAnsi="Times New Roman" w:cs="Times New Roman"/>
                <w:color w:val="000000"/>
                <w:sz w:val="28"/>
                <w:szCs w:val="28"/>
                <w:lang w:val="ru" w:eastAsia="zh-CN" w:bidi="ar"/>
              </w:rPr>
              <w:t xml:space="preserve"> мг/дм</w:t>
            </w:r>
            <w:r>
              <w:rPr>
                <w:rFonts w:ascii="Times New Roman" w:eastAsia="SimSun" w:hAnsi="Times New Roman" w:cs="Times New Roman"/>
                <w:color w:val="000000"/>
                <w:sz w:val="28"/>
                <w:szCs w:val="28"/>
                <w:vertAlign w:val="superscript"/>
                <w:lang w:val="ru" w:eastAsia="zh-CN" w:bidi="ar"/>
              </w:rPr>
              <w:t>3</w:t>
            </w:r>
          </w:p>
        </w:tc>
        <w:tc>
          <w:tcPr>
            <w:tcW w:w="101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А, %</w:t>
            </w:r>
          </w:p>
        </w:tc>
        <w:tc>
          <w:tcPr>
            <w:tcW w:w="121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рН</w:t>
            </w:r>
          </w:p>
        </w:tc>
        <w:tc>
          <w:tcPr>
            <w:tcW w:w="2415" w:type="dxa"/>
            <w:gridSpan w:val="2"/>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[Pb</w:t>
            </w:r>
            <w:r>
              <w:rPr>
                <w:rFonts w:ascii="Times New Roman" w:eastAsia="SimSun" w:hAnsi="Times New Roman" w:cs="Times New Roman"/>
                <w:color w:val="000000"/>
                <w:sz w:val="28"/>
                <w:szCs w:val="28"/>
                <w:vertAlign w:val="superscript"/>
                <w:lang w:val="en-US" w:eastAsia="zh-CN" w:bidi="ar"/>
              </w:rPr>
              <w:t>2+</w:t>
            </w:r>
            <w:r>
              <w:rPr>
                <w:rFonts w:ascii="Times New Roman" w:eastAsia="SimSun" w:hAnsi="Times New Roman" w:cs="Times New Roman"/>
                <w:color w:val="000000"/>
                <w:sz w:val="28"/>
                <w:szCs w:val="28"/>
                <w:lang w:val="en-US" w:eastAsia="zh-CN" w:bidi="ar"/>
              </w:rPr>
              <w:t>], мг/дм</w:t>
            </w:r>
            <w:r>
              <w:rPr>
                <w:rFonts w:ascii="Times New Roman" w:eastAsia="SimSun" w:hAnsi="Times New Roman" w:cs="Times New Roman"/>
                <w:color w:val="000000"/>
                <w:sz w:val="28"/>
                <w:szCs w:val="28"/>
                <w:vertAlign w:val="superscript"/>
                <w:lang w:val="en-US" w:eastAsia="zh-CN" w:bidi="ar"/>
              </w:rPr>
              <w:t>3</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R, %</w:t>
            </w:r>
          </w:p>
        </w:tc>
      </w:tr>
      <w:tr w:rsidR="00F1629C">
        <w:trPr>
          <w:trHeight w:val="285"/>
        </w:trPr>
        <w:tc>
          <w:tcPr>
            <w:tcW w:w="1205"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9"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396"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01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1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Вих.</w:t>
            </w:r>
          </w:p>
        </w:tc>
        <w:tc>
          <w:tcPr>
            <w:tcW w:w="120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Перм.</w:t>
            </w: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r>
      <w:tr w:rsidR="00F1629C">
        <w:trPr>
          <w:trHeight w:val="280"/>
        </w:trPr>
        <w:tc>
          <w:tcPr>
            <w:tcW w:w="1205"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w:t>
            </w:r>
          </w:p>
        </w:tc>
        <w:tc>
          <w:tcPr>
            <w:tcW w:w="1209"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w:t>
            </w:r>
          </w:p>
        </w:tc>
        <w:tc>
          <w:tcPr>
            <w:tcW w:w="1396"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w:t>
            </w:r>
          </w:p>
        </w:tc>
        <w:tc>
          <w:tcPr>
            <w:tcW w:w="101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90</w:t>
            </w:r>
          </w:p>
        </w:tc>
        <w:tc>
          <w:tcPr>
            <w:tcW w:w="121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2,66/2,68</w:t>
            </w: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0,08</w:t>
            </w:r>
          </w:p>
        </w:tc>
        <w:tc>
          <w:tcPr>
            <w:tcW w:w="120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0,078</w:t>
            </w: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2,75</w:t>
            </w:r>
          </w:p>
        </w:tc>
      </w:tr>
      <w:tr w:rsidR="00F1629C">
        <w:trPr>
          <w:trHeight w:val="280"/>
        </w:trPr>
        <w:tc>
          <w:tcPr>
            <w:tcW w:w="1205"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w:t>
            </w:r>
          </w:p>
        </w:tc>
        <w:tc>
          <w:tcPr>
            <w:tcW w:w="1209"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w:t>
            </w:r>
          </w:p>
        </w:tc>
        <w:tc>
          <w:tcPr>
            <w:tcW w:w="1396"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w:t>
            </w:r>
          </w:p>
        </w:tc>
        <w:tc>
          <w:tcPr>
            <w:tcW w:w="101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90</w:t>
            </w:r>
          </w:p>
        </w:tc>
        <w:tc>
          <w:tcPr>
            <w:tcW w:w="121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6,18/6,10</w:t>
            </w: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0,082</w:t>
            </w:r>
          </w:p>
        </w:tc>
        <w:tc>
          <w:tcPr>
            <w:tcW w:w="120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0,077</w:t>
            </w: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6,1</w:t>
            </w:r>
          </w:p>
        </w:tc>
      </w:tr>
      <w:tr w:rsidR="00F1629C">
        <w:trPr>
          <w:trHeight w:val="280"/>
        </w:trPr>
        <w:tc>
          <w:tcPr>
            <w:tcW w:w="1205"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3</w:t>
            </w:r>
          </w:p>
        </w:tc>
        <w:tc>
          <w:tcPr>
            <w:tcW w:w="1209"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Трилон Б</w:t>
            </w:r>
          </w:p>
        </w:tc>
        <w:tc>
          <w:tcPr>
            <w:tcW w:w="1396"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50</w:t>
            </w:r>
          </w:p>
        </w:tc>
        <w:tc>
          <w:tcPr>
            <w:tcW w:w="101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90</w:t>
            </w:r>
          </w:p>
        </w:tc>
        <w:tc>
          <w:tcPr>
            <w:tcW w:w="121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9,24/9,22</w:t>
            </w: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0,1</w:t>
            </w:r>
          </w:p>
        </w:tc>
        <w:tc>
          <w:tcPr>
            <w:tcW w:w="1208"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0,094</w:t>
            </w:r>
          </w:p>
        </w:tc>
        <w:tc>
          <w:tcPr>
            <w:tcW w:w="1207" w:type="dxa"/>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5,4</w:t>
            </w:r>
          </w:p>
        </w:tc>
      </w:tr>
      <w:tr w:rsidR="00F1629C">
        <w:trPr>
          <w:trHeight w:val="360"/>
        </w:trPr>
        <w:tc>
          <w:tcPr>
            <w:tcW w:w="1205" w:type="dxa"/>
            <w:vMerge w:val="restart"/>
            <w:tcBorders>
              <w:top w:val="single" w:sz="2" w:space="0" w:color="000000"/>
              <w:left w:val="single" w:sz="2" w:space="0" w:color="000000"/>
              <w:bottom w:val="single" w:sz="2" w:space="0" w:color="000000"/>
              <w:right w:val="nil"/>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w:t>
            </w:r>
          </w:p>
        </w:tc>
        <w:tc>
          <w:tcPr>
            <w:tcW w:w="1209"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CaCl</w:t>
            </w:r>
            <w:r>
              <w:rPr>
                <w:rFonts w:ascii="Times New Roman" w:eastAsia="SimSun" w:hAnsi="Times New Roman" w:cs="Times New Roman"/>
                <w:color w:val="000000"/>
                <w:sz w:val="28"/>
                <w:szCs w:val="28"/>
                <w:vertAlign w:val="subscript"/>
                <w:lang w:val="en-US" w:eastAsia="zh-CN" w:bidi="ar"/>
              </w:rPr>
              <w:t>2</w:t>
            </w:r>
          </w:p>
        </w:tc>
        <w:tc>
          <w:tcPr>
            <w:tcW w:w="1396"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20</w:t>
            </w:r>
          </w:p>
        </w:tc>
        <w:tc>
          <w:tcPr>
            <w:tcW w:w="1018"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w:t>
            </w:r>
          </w:p>
        </w:tc>
        <w:tc>
          <w:tcPr>
            <w:tcW w:w="121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9,50/7,56</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0,1</w:t>
            </w:r>
          </w:p>
        </w:tc>
        <w:tc>
          <w:tcPr>
            <w:tcW w:w="120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w:t>
            </w:r>
          </w:p>
        </w:tc>
      </w:tr>
      <w:tr w:rsidR="00F1629C">
        <w:trPr>
          <w:trHeight w:val="360"/>
        </w:trPr>
        <w:tc>
          <w:tcPr>
            <w:tcW w:w="1205" w:type="dxa"/>
            <w:vMerge/>
            <w:tcBorders>
              <w:top w:val="single" w:sz="2" w:space="0" w:color="000000"/>
              <w:left w:val="single" w:sz="2" w:space="0" w:color="000000"/>
              <w:bottom w:val="single" w:sz="2" w:space="0" w:color="000000"/>
              <w:right w:val="nil"/>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Na</w:t>
            </w:r>
            <w:r>
              <w:rPr>
                <w:rFonts w:ascii="Times New Roman" w:eastAsia="SimSun" w:hAnsi="Times New Roman" w:cs="Times New Roman"/>
                <w:color w:val="000000"/>
                <w:sz w:val="28"/>
                <w:szCs w:val="28"/>
                <w:vertAlign w:val="subscript"/>
                <w:lang w:val="en-US" w:eastAsia="zh-CN" w:bidi="ar"/>
              </w:rPr>
              <w:t>2</w:t>
            </w:r>
            <w:r>
              <w:rPr>
                <w:rFonts w:ascii="Times New Roman" w:eastAsia="SimSun" w:hAnsi="Times New Roman" w:cs="Times New Roman"/>
                <w:color w:val="000000"/>
                <w:sz w:val="28"/>
                <w:szCs w:val="28"/>
                <w:lang w:val="en-US" w:eastAsia="zh-CN" w:bidi="ar"/>
              </w:rPr>
              <w:t>CO</w:t>
            </w:r>
            <w:r>
              <w:rPr>
                <w:rFonts w:ascii="Times New Roman" w:eastAsia="SimSun" w:hAnsi="Times New Roman" w:cs="Times New Roman"/>
                <w:color w:val="000000"/>
                <w:sz w:val="28"/>
                <w:szCs w:val="28"/>
                <w:vertAlign w:val="subscript"/>
                <w:lang w:val="en-US" w:eastAsia="zh-CN" w:bidi="ar"/>
              </w:rPr>
              <w:t>3</w:t>
            </w:r>
          </w:p>
        </w:tc>
        <w:tc>
          <w:tcPr>
            <w:tcW w:w="1396"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25</w:t>
            </w:r>
          </w:p>
        </w:tc>
        <w:tc>
          <w:tcPr>
            <w:tcW w:w="1018"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1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r>
      <w:tr w:rsidR="00F1629C">
        <w:trPr>
          <w:trHeight w:val="360"/>
        </w:trPr>
        <w:tc>
          <w:tcPr>
            <w:tcW w:w="1205" w:type="dxa"/>
            <w:vMerge w:val="restart"/>
            <w:tcBorders>
              <w:top w:val="single" w:sz="2" w:space="0" w:color="000000"/>
              <w:left w:val="single" w:sz="2" w:space="0" w:color="000000"/>
              <w:bottom w:val="single" w:sz="2" w:space="0" w:color="000000"/>
              <w:right w:val="nil"/>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w:t>
            </w:r>
          </w:p>
        </w:tc>
        <w:tc>
          <w:tcPr>
            <w:tcW w:w="1209"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CaCl</w:t>
            </w:r>
            <w:r>
              <w:rPr>
                <w:rFonts w:ascii="Times New Roman" w:eastAsia="SimSun" w:hAnsi="Times New Roman" w:cs="Times New Roman"/>
                <w:color w:val="000000"/>
                <w:sz w:val="28"/>
                <w:szCs w:val="28"/>
                <w:vertAlign w:val="subscript"/>
                <w:lang w:val="en-US" w:eastAsia="zh-CN" w:bidi="ar"/>
              </w:rPr>
              <w:t>2</w:t>
            </w:r>
          </w:p>
        </w:tc>
        <w:tc>
          <w:tcPr>
            <w:tcW w:w="1396"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20</w:t>
            </w:r>
          </w:p>
        </w:tc>
        <w:tc>
          <w:tcPr>
            <w:tcW w:w="1018"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w:t>
            </w:r>
          </w:p>
        </w:tc>
        <w:tc>
          <w:tcPr>
            <w:tcW w:w="121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9,20/7,55</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1∙10-5</w:t>
            </w:r>
          </w:p>
        </w:tc>
        <w:tc>
          <w:tcPr>
            <w:tcW w:w="120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w:t>
            </w:r>
          </w:p>
        </w:tc>
      </w:tr>
      <w:tr w:rsidR="00F1629C">
        <w:trPr>
          <w:trHeight w:val="360"/>
        </w:trPr>
        <w:tc>
          <w:tcPr>
            <w:tcW w:w="1205" w:type="dxa"/>
            <w:vMerge/>
            <w:tcBorders>
              <w:top w:val="single" w:sz="2" w:space="0" w:color="000000"/>
              <w:left w:val="single" w:sz="2" w:space="0" w:color="000000"/>
              <w:bottom w:val="single" w:sz="2" w:space="0" w:color="000000"/>
              <w:right w:val="nil"/>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Na</w:t>
            </w:r>
            <w:r>
              <w:rPr>
                <w:rFonts w:ascii="Times New Roman" w:eastAsia="SimSun" w:hAnsi="Times New Roman" w:cs="Times New Roman"/>
                <w:color w:val="000000"/>
                <w:sz w:val="28"/>
                <w:szCs w:val="28"/>
                <w:vertAlign w:val="subscript"/>
                <w:lang w:val="en-US" w:eastAsia="zh-CN" w:bidi="ar"/>
              </w:rPr>
              <w:t>2</w:t>
            </w:r>
            <w:r>
              <w:rPr>
                <w:rFonts w:ascii="Times New Roman" w:eastAsia="SimSun" w:hAnsi="Times New Roman" w:cs="Times New Roman"/>
                <w:color w:val="000000"/>
                <w:sz w:val="28"/>
                <w:szCs w:val="28"/>
                <w:lang w:val="en-US" w:eastAsia="zh-CN" w:bidi="ar"/>
              </w:rPr>
              <w:t>CO</w:t>
            </w:r>
            <w:r>
              <w:rPr>
                <w:rFonts w:ascii="Times New Roman" w:eastAsia="SimSun" w:hAnsi="Times New Roman" w:cs="Times New Roman"/>
                <w:color w:val="000000"/>
                <w:sz w:val="28"/>
                <w:szCs w:val="28"/>
                <w:vertAlign w:val="subscript"/>
                <w:lang w:val="en-US" w:eastAsia="zh-CN" w:bidi="ar"/>
              </w:rPr>
              <w:t>3</w:t>
            </w:r>
          </w:p>
        </w:tc>
        <w:tc>
          <w:tcPr>
            <w:tcW w:w="1396"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25</w:t>
            </w:r>
          </w:p>
        </w:tc>
        <w:tc>
          <w:tcPr>
            <w:tcW w:w="1018"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1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r>
      <w:tr w:rsidR="00F1629C">
        <w:trPr>
          <w:trHeight w:val="360"/>
        </w:trPr>
        <w:tc>
          <w:tcPr>
            <w:tcW w:w="1205" w:type="dxa"/>
            <w:vMerge w:val="restart"/>
            <w:tcBorders>
              <w:top w:val="single" w:sz="2" w:space="0" w:color="000000"/>
              <w:left w:val="single" w:sz="2" w:space="0" w:color="000000"/>
              <w:bottom w:val="single" w:sz="2" w:space="0" w:color="000000"/>
              <w:right w:val="nil"/>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w:t>
            </w:r>
          </w:p>
        </w:tc>
        <w:tc>
          <w:tcPr>
            <w:tcW w:w="1209"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CaCl</w:t>
            </w:r>
            <w:r>
              <w:rPr>
                <w:rFonts w:ascii="Times New Roman" w:eastAsia="SimSun" w:hAnsi="Times New Roman" w:cs="Times New Roman"/>
                <w:color w:val="000000"/>
                <w:sz w:val="28"/>
                <w:szCs w:val="28"/>
                <w:vertAlign w:val="subscript"/>
                <w:lang w:val="en-US" w:eastAsia="zh-CN" w:bidi="ar"/>
              </w:rPr>
              <w:t>2</w:t>
            </w:r>
          </w:p>
        </w:tc>
        <w:tc>
          <w:tcPr>
            <w:tcW w:w="1396" w:type="dxa"/>
            <w:tcBorders>
              <w:top w:val="single" w:sz="2" w:space="0" w:color="000000"/>
              <w:left w:val="single" w:sz="2" w:space="0" w:color="000000"/>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20</w:t>
            </w:r>
          </w:p>
        </w:tc>
        <w:tc>
          <w:tcPr>
            <w:tcW w:w="1018"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w:t>
            </w:r>
          </w:p>
        </w:tc>
        <w:tc>
          <w:tcPr>
            <w:tcW w:w="121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9,20/7,63</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1∙10-8</w:t>
            </w:r>
          </w:p>
        </w:tc>
        <w:tc>
          <w:tcPr>
            <w:tcW w:w="120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0</w:t>
            </w:r>
          </w:p>
        </w:tc>
        <w:tc>
          <w:tcPr>
            <w:tcW w:w="1207"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100</w:t>
            </w:r>
          </w:p>
        </w:tc>
      </w:tr>
      <w:tr w:rsidR="00F1629C">
        <w:trPr>
          <w:trHeight w:val="360"/>
        </w:trPr>
        <w:tc>
          <w:tcPr>
            <w:tcW w:w="1205" w:type="dxa"/>
            <w:vMerge/>
            <w:tcBorders>
              <w:top w:val="single" w:sz="2" w:space="0" w:color="000000"/>
              <w:left w:val="single" w:sz="2" w:space="0" w:color="000000"/>
              <w:bottom w:val="single" w:sz="2" w:space="0" w:color="000000"/>
              <w:right w:val="nil"/>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9"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Na</w:t>
            </w:r>
            <w:r>
              <w:rPr>
                <w:rFonts w:ascii="Times New Roman" w:eastAsia="SimSun" w:hAnsi="Times New Roman" w:cs="Times New Roman"/>
                <w:color w:val="000000"/>
                <w:sz w:val="28"/>
                <w:szCs w:val="28"/>
                <w:vertAlign w:val="subscript"/>
                <w:lang w:val="en-US" w:eastAsia="zh-CN" w:bidi="ar"/>
              </w:rPr>
              <w:t>2</w:t>
            </w:r>
            <w:r>
              <w:rPr>
                <w:rFonts w:ascii="Times New Roman" w:eastAsia="SimSun" w:hAnsi="Times New Roman" w:cs="Times New Roman"/>
                <w:color w:val="000000"/>
                <w:sz w:val="28"/>
                <w:szCs w:val="28"/>
                <w:lang w:val="en-US" w:eastAsia="zh-CN" w:bidi="ar"/>
              </w:rPr>
              <w:t>CO</w:t>
            </w:r>
            <w:r>
              <w:rPr>
                <w:rFonts w:ascii="Times New Roman" w:eastAsia="SimSun" w:hAnsi="Times New Roman" w:cs="Times New Roman"/>
                <w:color w:val="000000"/>
                <w:sz w:val="28"/>
                <w:szCs w:val="28"/>
                <w:vertAlign w:val="subscript"/>
                <w:lang w:val="en-US" w:eastAsia="zh-CN" w:bidi="ar"/>
              </w:rPr>
              <w:t>3</w:t>
            </w:r>
          </w:p>
        </w:tc>
        <w:tc>
          <w:tcPr>
            <w:tcW w:w="1396"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25</w:t>
            </w:r>
          </w:p>
        </w:tc>
        <w:tc>
          <w:tcPr>
            <w:tcW w:w="1018"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1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1207"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r>
    </w:tbl>
    <w:p w:rsidR="00F1629C" w:rsidRDefault="00F1629C">
      <w:pPr>
        <w:tabs>
          <w:tab w:val="left" w:pos="284"/>
          <w:tab w:val="left" w:pos="4018"/>
        </w:tabs>
        <w:spacing w:after="0" w:line="360" w:lineRule="auto"/>
        <w:jc w:val="center"/>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Cs/>
          <w:iCs/>
          <w:sz w:val="28"/>
          <w:szCs w:val="28"/>
          <w:lang w:val="ru"/>
        </w:rPr>
        <w:tab/>
      </w:r>
      <w:r>
        <w:rPr>
          <w:rFonts w:ascii="Times New Roman" w:hAnsi="Times New Roman" w:cs="Times New Roman"/>
          <w:b/>
          <w:iCs/>
          <w:sz w:val="28"/>
          <w:szCs w:val="28"/>
          <w:lang w:val="ru"/>
        </w:rPr>
        <w:t>3.2.2 Оцінка ефективності іонообмінного вилучення іонів свинцю з води</w:t>
      </w:r>
    </w:p>
    <w:p w:rsidR="00F1629C" w:rsidRDefault="00E671D2">
      <w:pPr>
        <w:tabs>
          <w:tab w:val="left" w:pos="7215"/>
        </w:tabs>
        <w:spacing w:after="0" w:line="360" w:lineRule="auto"/>
        <w:ind w:right="-1" w:firstLineChars="100" w:firstLine="280"/>
        <w:jc w:val="both"/>
        <w:rPr>
          <w:rFonts w:ascii="Times New Roman" w:hAnsi="Times New Roman"/>
          <w:bCs/>
          <w:sz w:val="28"/>
          <w:szCs w:val="28"/>
          <w:lang w:val="ru"/>
        </w:rPr>
      </w:pPr>
      <w:r>
        <w:rPr>
          <w:rFonts w:ascii="Times New Roman" w:hAnsi="Times New Roman"/>
          <w:bCs/>
          <w:sz w:val="28"/>
          <w:szCs w:val="28"/>
        </w:rPr>
        <w:t xml:space="preserve">За </w:t>
      </w:r>
      <w:r>
        <w:rPr>
          <w:rFonts w:ascii="Times New Roman" w:hAnsi="Times New Roman"/>
          <w:bCs/>
          <w:sz w:val="28"/>
          <w:szCs w:val="28"/>
          <w:lang w:val="ru"/>
        </w:rPr>
        <w:t>рядом</w:t>
      </w:r>
      <w:r>
        <w:rPr>
          <w:rFonts w:ascii="Times New Roman" w:hAnsi="Times New Roman"/>
          <w:bCs/>
          <w:sz w:val="28"/>
          <w:szCs w:val="28"/>
          <w:lang w:val="ru"/>
        </w:rPr>
        <w:t xml:space="preserve"> селективності катіонітів за різними катіонами,</w:t>
      </w:r>
      <w:r>
        <w:rPr>
          <w:rFonts w:ascii="Times New Roman" w:hAnsi="Times New Roman"/>
          <w:bCs/>
          <w:sz w:val="28"/>
          <w:szCs w:val="28"/>
        </w:rPr>
        <w:t xml:space="preserve"> селективність катіонітів по </w:t>
      </w:r>
      <w:r>
        <w:rPr>
          <w:rFonts w:ascii="Times New Roman" w:hAnsi="Times New Roman"/>
          <w:bCs/>
          <w:sz w:val="28"/>
          <w:szCs w:val="28"/>
          <w:lang w:val="ru"/>
        </w:rPr>
        <w:t>і</w:t>
      </w:r>
      <w:r>
        <w:rPr>
          <w:rFonts w:ascii="Times New Roman" w:hAnsi="Times New Roman"/>
          <w:bCs/>
          <w:sz w:val="28"/>
          <w:szCs w:val="28"/>
        </w:rPr>
        <w:t xml:space="preserve">онах міді вища, в порівнянні з </w:t>
      </w:r>
      <w:r>
        <w:rPr>
          <w:rFonts w:ascii="Times New Roman" w:hAnsi="Times New Roman"/>
          <w:bCs/>
          <w:sz w:val="28"/>
          <w:szCs w:val="28"/>
          <w:lang w:val="ru"/>
        </w:rPr>
        <w:t>і</w:t>
      </w:r>
      <w:r>
        <w:rPr>
          <w:rFonts w:ascii="Times New Roman" w:hAnsi="Times New Roman"/>
          <w:bCs/>
          <w:sz w:val="28"/>
          <w:szCs w:val="28"/>
        </w:rPr>
        <w:t xml:space="preserve">онами жорсткості, але нижча в порівнянні з </w:t>
      </w:r>
      <w:r>
        <w:rPr>
          <w:rFonts w:ascii="Times New Roman" w:hAnsi="Times New Roman"/>
          <w:bCs/>
          <w:sz w:val="28"/>
          <w:szCs w:val="28"/>
          <w:lang w:val="ru"/>
        </w:rPr>
        <w:t>і</w:t>
      </w:r>
      <w:r>
        <w:rPr>
          <w:rFonts w:ascii="Times New Roman" w:hAnsi="Times New Roman"/>
          <w:bCs/>
          <w:sz w:val="28"/>
          <w:szCs w:val="28"/>
        </w:rPr>
        <w:t xml:space="preserve">онами свинцю. </w:t>
      </w:r>
      <w:r>
        <w:rPr>
          <w:rFonts w:ascii="Times New Roman" w:hAnsi="Times New Roman"/>
          <w:bCs/>
          <w:sz w:val="28"/>
          <w:szCs w:val="28"/>
          <w:lang w:val="ru"/>
        </w:rPr>
        <w:t>Таке</w:t>
      </w:r>
      <w:r>
        <w:rPr>
          <w:rFonts w:ascii="Times New Roman" w:hAnsi="Times New Roman"/>
          <w:bCs/>
          <w:sz w:val="28"/>
          <w:szCs w:val="28"/>
          <w:lang w:val="ru"/>
        </w:rPr>
        <w:t xml:space="preserve"> положення справ різко</w:t>
      </w:r>
      <w:r>
        <w:rPr>
          <w:rFonts w:ascii="Times New Roman" w:hAnsi="Times New Roman"/>
          <w:bCs/>
          <w:sz w:val="28"/>
          <w:szCs w:val="28"/>
        </w:rPr>
        <w:t xml:space="preserve"> змінюється при переході до сильно розведених розчинів. При концентраціях нижче 0,1 мкг/дм</w:t>
      </w:r>
      <w:r>
        <w:rPr>
          <w:rFonts w:ascii="Times New Roman" w:hAnsi="Times New Roman"/>
          <w:bCs/>
          <w:sz w:val="28"/>
          <w:szCs w:val="28"/>
          <w:vertAlign w:val="superscript"/>
        </w:rPr>
        <w:t>3</w:t>
      </w:r>
      <w:r>
        <w:rPr>
          <w:rFonts w:ascii="Times New Roman" w:hAnsi="Times New Roman"/>
          <w:bCs/>
          <w:sz w:val="28"/>
          <w:szCs w:val="28"/>
        </w:rPr>
        <w:t xml:space="preserve"> </w:t>
      </w:r>
      <w:r>
        <w:rPr>
          <w:rFonts w:ascii="Times New Roman" w:hAnsi="Times New Roman"/>
          <w:bCs/>
          <w:sz w:val="28"/>
          <w:szCs w:val="28"/>
          <w:lang w:val="ru"/>
        </w:rPr>
        <w:t>і</w:t>
      </w:r>
      <w:r>
        <w:rPr>
          <w:rFonts w:ascii="Times New Roman" w:hAnsi="Times New Roman"/>
          <w:bCs/>
          <w:sz w:val="28"/>
          <w:szCs w:val="28"/>
        </w:rPr>
        <w:t xml:space="preserve">они міді практично не сорбуються, на відміну від </w:t>
      </w:r>
      <w:r>
        <w:rPr>
          <w:rFonts w:ascii="Times New Roman" w:hAnsi="Times New Roman"/>
          <w:bCs/>
          <w:sz w:val="28"/>
          <w:szCs w:val="28"/>
          <w:lang w:val="ru"/>
        </w:rPr>
        <w:t>і</w:t>
      </w:r>
      <w:r>
        <w:rPr>
          <w:rFonts w:ascii="Times New Roman" w:hAnsi="Times New Roman"/>
          <w:bCs/>
          <w:sz w:val="28"/>
          <w:szCs w:val="28"/>
        </w:rPr>
        <w:t xml:space="preserve">онів свинцю, для яких ступінь вилучення сягає практично 100 % (табл. </w:t>
      </w:r>
      <w:r>
        <w:rPr>
          <w:rFonts w:ascii="Times New Roman" w:hAnsi="Times New Roman"/>
          <w:bCs/>
          <w:sz w:val="28"/>
          <w:szCs w:val="28"/>
          <w:lang w:val="en"/>
        </w:rPr>
        <w:t>3</w:t>
      </w:r>
      <w:r>
        <w:rPr>
          <w:rFonts w:ascii="Times New Roman" w:hAnsi="Times New Roman"/>
          <w:bCs/>
          <w:sz w:val="28"/>
          <w:szCs w:val="28"/>
        </w:rPr>
        <w:t>.1)</w:t>
      </w:r>
      <w:r>
        <w:rPr>
          <w:rFonts w:ascii="Times New Roman" w:hAnsi="Times New Roman"/>
          <w:bCs/>
          <w:sz w:val="28"/>
          <w:szCs w:val="28"/>
        </w:rPr>
        <w:t>.</w:t>
      </w:r>
      <w:r>
        <w:rPr>
          <w:rFonts w:ascii="Times New Roman" w:hAnsi="Times New Roman"/>
          <w:bCs/>
          <w:sz w:val="28"/>
          <w:szCs w:val="28"/>
          <w:lang w:val="ru"/>
        </w:rPr>
        <w:t xml:space="preserve"> Об’єм іоніту в даному випадку складав 20 см</w:t>
      </w:r>
      <w:r>
        <w:rPr>
          <w:rFonts w:ascii="Times New Roman" w:hAnsi="Times New Roman"/>
          <w:bCs/>
          <w:sz w:val="28"/>
          <w:szCs w:val="28"/>
          <w:vertAlign w:val="superscript"/>
          <w:lang w:val="ru"/>
        </w:rPr>
        <w:t>3</w:t>
      </w:r>
      <w:r>
        <w:rPr>
          <w:rFonts w:ascii="Times New Roman" w:hAnsi="Times New Roman"/>
          <w:bCs/>
          <w:sz w:val="28"/>
          <w:szCs w:val="28"/>
          <w:lang w:val="ru"/>
        </w:rPr>
        <w:t>, а сам іоніт знаходився у Na</w:t>
      </w:r>
      <w:r>
        <w:rPr>
          <w:rFonts w:ascii="Times New Roman" w:hAnsi="Times New Roman"/>
          <w:bCs/>
          <w:sz w:val="28"/>
          <w:szCs w:val="28"/>
          <w:vertAlign w:val="superscript"/>
          <w:lang w:val="ru"/>
        </w:rPr>
        <w:t>+</w:t>
      </w:r>
      <w:r>
        <w:rPr>
          <w:rFonts w:ascii="Times New Roman" w:hAnsi="Times New Roman"/>
          <w:bCs/>
          <w:sz w:val="28"/>
          <w:szCs w:val="28"/>
          <w:lang w:val="ru"/>
        </w:rPr>
        <w:t>-формі.</w:t>
      </w: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При пропусканні 5 дм</w:t>
      </w:r>
      <w:r>
        <w:rPr>
          <w:rFonts w:ascii="Times New Roman" w:hAnsi="Times New Roman"/>
          <w:bCs/>
          <w:sz w:val="28"/>
          <w:szCs w:val="28"/>
          <w:vertAlign w:val="superscript"/>
        </w:rPr>
        <w:t>3</w:t>
      </w:r>
      <w:r>
        <w:rPr>
          <w:rFonts w:ascii="Times New Roman" w:hAnsi="Times New Roman"/>
          <w:bCs/>
          <w:sz w:val="28"/>
          <w:szCs w:val="28"/>
        </w:rPr>
        <w:t xml:space="preserve"> розчину сульфату свинцю через DOWEX MAC-3 з початковою концентрацією </w:t>
      </w:r>
      <w:r>
        <w:rPr>
          <w:rFonts w:ascii="Times New Roman" w:hAnsi="Times New Roman"/>
          <w:bCs/>
          <w:sz w:val="28"/>
          <w:szCs w:val="28"/>
          <w:lang w:val="ru"/>
        </w:rPr>
        <w:t>0,</w:t>
      </w:r>
      <w:r>
        <w:rPr>
          <w:rFonts w:ascii="Times New Roman" w:hAnsi="Times New Roman"/>
          <w:bCs/>
          <w:sz w:val="28"/>
          <w:szCs w:val="28"/>
        </w:rPr>
        <w:t xml:space="preserve">2145 </w:t>
      </w:r>
      <w:r>
        <w:rPr>
          <w:rFonts w:ascii="Times New Roman" w:hAnsi="Times New Roman"/>
          <w:bCs/>
          <w:sz w:val="28"/>
          <w:szCs w:val="28"/>
          <w:lang w:val="ru"/>
        </w:rPr>
        <w:t>м</w:t>
      </w:r>
      <w:r>
        <w:rPr>
          <w:rFonts w:ascii="Times New Roman" w:hAnsi="Times New Roman"/>
          <w:bCs/>
          <w:sz w:val="28"/>
          <w:szCs w:val="28"/>
        </w:rPr>
        <w:t>г/дм</w:t>
      </w:r>
      <w:r>
        <w:rPr>
          <w:rFonts w:ascii="Times New Roman" w:hAnsi="Times New Roman"/>
          <w:bCs/>
          <w:sz w:val="28"/>
          <w:szCs w:val="28"/>
          <w:vertAlign w:val="superscript"/>
        </w:rPr>
        <w:t>3</w:t>
      </w:r>
      <w:r>
        <w:rPr>
          <w:rFonts w:ascii="Times New Roman" w:hAnsi="Times New Roman"/>
          <w:bCs/>
          <w:sz w:val="28"/>
          <w:szCs w:val="28"/>
        </w:rPr>
        <w:t xml:space="preserve"> концентрація в фільтраті не перевищувала </w:t>
      </w:r>
      <w:r>
        <w:rPr>
          <w:rFonts w:ascii="Times New Roman" w:hAnsi="Times New Roman"/>
          <w:bCs/>
          <w:sz w:val="28"/>
          <w:szCs w:val="28"/>
          <w:lang w:val="ru"/>
        </w:rPr>
        <w:t>0,00</w:t>
      </w:r>
      <w:r>
        <w:rPr>
          <w:rFonts w:ascii="Times New Roman" w:hAnsi="Times New Roman"/>
          <w:bCs/>
          <w:sz w:val="28"/>
          <w:szCs w:val="28"/>
        </w:rPr>
        <w:t>6</w:t>
      </w:r>
      <w:r>
        <w:rPr>
          <w:rFonts w:ascii="Times New Roman" w:hAnsi="Times New Roman"/>
          <w:bCs/>
          <w:sz w:val="28"/>
          <w:szCs w:val="28"/>
          <w:lang w:val="ru"/>
        </w:rPr>
        <w:t xml:space="preserve"> </w:t>
      </w:r>
      <w:r>
        <w:rPr>
          <w:rFonts w:ascii="Times New Roman" w:hAnsi="Times New Roman"/>
          <w:bCs/>
          <w:sz w:val="28"/>
          <w:szCs w:val="28"/>
        </w:rPr>
        <w:t>–</w:t>
      </w:r>
      <w:r>
        <w:rPr>
          <w:rFonts w:ascii="Times New Roman" w:hAnsi="Times New Roman"/>
          <w:bCs/>
          <w:sz w:val="28"/>
          <w:szCs w:val="28"/>
          <w:lang w:val="ru"/>
        </w:rPr>
        <w:t xml:space="preserve"> 0,0</w:t>
      </w:r>
      <w:r>
        <w:rPr>
          <w:rFonts w:ascii="Times New Roman" w:hAnsi="Times New Roman"/>
          <w:bCs/>
          <w:sz w:val="28"/>
          <w:szCs w:val="28"/>
        </w:rPr>
        <w:t xml:space="preserve">12 </w:t>
      </w:r>
      <w:r>
        <w:rPr>
          <w:rFonts w:ascii="Times New Roman" w:hAnsi="Times New Roman"/>
          <w:bCs/>
          <w:sz w:val="28"/>
          <w:szCs w:val="28"/>
          <w:lang w:val="ru"/>
        </w:rPr>
        <w:t>м</w:t>
      </w:r>
      <w:r>
        <w:rPr>
          <w:rFonts w:ascii="Times New Roman" w:hAnsi="Times New Roman"/>
          <w:bCs/>
          <w:sz w:val="28"/>
          <w:szCs w:val="28"/>
        </w:rPr>
        <w:t>г</w:t>
      </w:r>
      <w:r>
        <w:rPr>
          <w:rFonts w:ascii="Times New Roman" w:hAnsi="Times New Roman"/>
          <w:bCs/>
          <w:sz w:val="28"/>
          <w:szCs w:val="28"/>
        </w:rPr>
        <w:t>/дм</w:t>
      </w:r>
      <w:r>
        <w:rPr>
          <w:rFonts w:ascii="Times New Roman" w:hAnsi="Times New Roman"/>
          <w:bCs/>
          <w:sz w:val="28"/>
          <w:szCs w:val="28"/>
          <w:vertAlign w:val="superscript"/>
        </w:rPr>
        <w:t>3</w:t>
      </w:r>
      <w:r>
        <w:rPr>
          <w:rFonts w:ascii="Times New Roman" w:hAnsi="Times New Roman"/>
          <w:bCs/>
          <w:sz w:val="28"/>
          <w:szCs w:val="28"/>
        </w:rPr>
        <w:t xml:space="preserve">, а </w:t>
      </w:r>
      <w:r>
        <w:rPr>
          <w:rFonts w:ascii="Times New Roman" w:hAnsi="Times New Roman"/>
          <w:bCs/>
          <w:sz w:val="28"/>
          <w:szCs w:val="28"/>
        </w:rPr>
        <w:t>при 26 нг/дм</w:t>
      </w:r>
      <w:r>
        <w:rPr>
          <w:rFonts w:ascii="Times New Roman" w:hAnsi="Times New Roman"/>
          <w:bCs/>
          <w:sz w:val="28"/>
          <w:szCs w:val="28"/>
          <w:vertAlign w:val="superscript"/>
        </w:rPr>
        <w:t>3</w:t>
      </w:r>
      <w:r>
        <w:rPr>
          <w:rFonts w:ascii="Times New Roman" w:hAnsi="Times New Roman"/>
          <w:bCs/>
          <w:sz w:val="28"/>
          <w:szCs w:val="28"/>
        </w:rPr>
        <w:t xml:space="preserve"> 1,1 – 1,8 нг/дм</w:t>
      </w:r>
      <w:r>
        <w:rPr>
          <w:rFonts w:ascii="Times New Roman" w:hAnsi="Times New Roman"/>
          <w:bCs/>
          <w:sz w:val="28"/>
          <w:szCs w:val="28"/>
          <w:vertAlign w:val="superscript"/>
        </w:rPr>
        <w:t>3</w:t>
      </w:r>
      <w:r>
        <w:rPr>
          <w:rFonts w:ascii="Times New Roman" w:hAnsi="Times New Roman"/>
          <w:bCs/>
          <w:sz w:val="28"/>
          <w:szCs w:val="28"/>
        </w:rPr>
        <w:t>, що знаходиться в межах статистичної похибки вимірювань.</w:t>
      </w: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Ще кращі результати отримано при очищенні сильно розведених розчинів демонструє КУ-2-8 в 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 Так</w:t>
      </w:r>
      <w:r>
        <w:rPr>
          <w:rFonts w:ascii="Times New Roman" w:hAnsi="Times New Roman"/>
          <w:bCs/>
          <w:sz w:val="28"/>
          <w:szCs w:val="28"/>
        </w:rPr>
        <w:t>,</w:t>
      </w:r>
      <w:r>
        <w:rPr>
          <w:rFonts w:ascii="Times New Roman" w:hAnsi="Times New Roman"/>
          <w:bCs/>
          <w:sz w:val="28"/>
          <w:szCs w:val="28"/>
        </w:rPr>
        <w:t xml:space="preserve"> при вихідній концентрації йонів свинцю у розчині </w:t>
      </w:r>
      <w:r>
        <w:rPr>
          <w:rFonts w:ascii="Times New Roman" w:hAnsi="Times New Roman"/>
          <w:bCs/>
          <w:sz w:val="28"/>
          <w:szCs w:val="28"/>
          <w:lang w:val="ru"/>
        </w:rPr>
        <w:t>0,</w:t>
      </w:r>
      <w:r>
        <w:rPr>
          <w:rFonts w:ascii="Times New Roman" w:hAnsi="Times New Roman"/>
          <w:bCs/>
          <w:sz w:val="28"/>
          <w:szCs w:val="28"/>
        </w:rPr>
        <w:t xml:space="preserve">111 </w:t>
      </w:r>
      <w:r>
        <w:rPr>
          <w:rFonts w:ascii="Times New Roman" w:hAnsi="Times New Roman"/>
          <w:bCs/>
          <w:sz w:val="28"/>
          <w:szCs w:val="28"/>
          <w:lang w:val="ru"/>
        </w:rPr>
        <w:t>м</w:t>
      </w:r>
      <w:r>
        <w:rPr>
          <w:rFonts w:ascii="Times New Roman" w:hAnsi="Times New Roman"/>
          <w:bCs/>
          <w:sz w:val="28"/>
          <w:szCs w:val="28"/>
        </w:rPr>
        <w:t>г/дм</w:t>
      </w:r>
      <w:r>
        <w:rPr>
          <w:rFonts w:ascii="Times New Roman" w:hAnsi="Times New Roman"/>
          <w:bCs/>
          <w:sz w:val="28"/>
          <w:szCs w:val="28"/>
          <w:vertAlign w:val="superscript"/>
        </w:rPr>
        <w:t>3</w:t>
      </w:r>
      <w:r>
        <w:rPr>
          <w:rFonts w:ascii="Times New Roman" w:hAnsi="Times New Roman"/>
          <w:bCs/>
          <w:sz w:val="28"/>
          <w:szCs w:val="28"/>
        </w:rPr>
        <w:t xml:space="preserve"> с</w:t>
      </w:r>
      <w:r>
        <w:rPr>
          <w:rFonts w:ascii="Times New Roman" w:hAnsi="Times New Roman"/>
          <w:bCs/>
          <w:sz w:val="28"/>
          <w:szCs w:val="28"/>
        </w:rPr>
        <w:t xml:space="preserve">тупінь вилучення вже в першій пробі складає 99,3 %, з подальшим його підвищенням до 99,99 %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24</w:t>
      </w:r>
      <w:r>
        <w:rPr>
          <w:rFonts w:ascii="Times New Roman" w:hAnsi="Times New Roman"/>
          <w:bCs/>
          <w:sz w:val="28"/>
          <w:szCs w:val="28"/>
        </w:rPr>
        <w:t>).</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widowControl w:val="0"/>
        <w:suppressAutoHyphens/>
        <w:spacing w:after="0" w:line="360" w:lineRule="auto"/>
        <w:ind w:firstLine="567"/>
        <w:jc w:val="both"/>
        <w:rPr>
          <w:rFonts w:ascii="Times New Roman" w:hAnsi="Times New Roman"/>
          <w:sz w:val="28"/>
          <w:szCs w:val="28"/>
        </w:rPr>
      </w:pPr>
      <w:r>
        <w:rPr>
          <w:rFonts w:ascii="Times New Roman" w:hAnsi="Times New Roman"/>
          <w:sz w:val="28"/>
          <w:szCs w:val="28"/>
        </w:rPr>
        <w:t xml:space="preserve">Таблиця </w:t>
      </w:r>
      <w:r>
        <w:rPr>
          <w:rFonts w:ascii="Times New Roman" w:hAnsi="Times New Roman"/>
          <w:sz w:val="28"/>
          <w:szCs w:val="28"/>
          <w:lang w:val="en"/>
        </w:rPr>
        <w:t>3</w:t>
      </w:r>
      <w:r>
        <w:rPr>
          <w:rFonts w:ascii="Times New Roman" w:hAnsi="Times New Roman"/>
          <w:sz w:val="28"/>
          <w:szCs w:val="28"/>
        </w:rPr>
        <w:t>.</w:t>
      </w:r>
      <w:r>
        <w:rPr>
          <w:rFonts w:ascii="Times New Roman" w:hAnsi="Times New Roman"/>
          <w:sz w:val="28"/>
          <w:szCs w:val="28"/>
          <w:lang w:val="ru"/>
        </w:rPr>
        <w:t>6</w:t>
      </w:r>
      <w:r>
        <w:rPr>
          <w:rFonts w:ascii="Times New Roman" w:hAnsi="Times New Roman"/>
          <w:sz w:val="28"/>
          <w:szCs w:val="28"/>
        </w:rPr>
        <w:t xml:space="preserve"> – Залежність залишкової концентрації та ступеню вилучення </w:t>
      </w:r>
      <w:r>
        <w:rPr>
          <w:rFonts w:ascii="Times New Roman" w:hAnsi="Times New Roman"/>
          <w:sz w:val="28"/>
          <w:szCs w:val="28"/>
          <w:lang w:val="ru"/>
        </w:rPr>
        <w:t>і</w:t>
      </w:r>
      <w:r>
        <w:rPr>
          <w:rFonts w:ascii="Times New Roman" w:hAnsi="Times New Roman"/>
          <w:sz w:val="28"/>
          <w:szCs w:val="28"/>
        </w:rPr>
        <w:t xml:space="preserve">онів </w:t>
      </w:r>
      <w:r>
        <w:rPr>
          <w:rFonts w:ascii="Times New Roman" w:hAnsi="Times New Roman"/>
          <w:sz w:val="28"/>
          <w:szCs w:val="28"/>
          <w:lang w:val="ru"/>
        </w:rPr>
        <w:t>свинцю</w:t>
      </w:r>
      <w:r>
        <w:rPr>
          <w:rFonts w:ascii="Times New Roman" w:hAnsi="Times New Roman"/>
          <w:sz w:val="28"/>
          <w:szCs w:val="28"/>
        </w:rPr>
        <w:t xml:space="preserve"> та рН від пропущеного об’єму розчину нітрату свинцю в дистильованій</w:t>
      </w:r>
      <w:r>
        <w:rPr>
          <w:rFonts w:ascii="Times New Roman" w:hAnsi="Times New Roman"/>
          <w:sz w:val="28"/>
          <w:szCs w:val="28"/>
        </w:rPr>
        <w:t xml:space="preserve"> воді через іоніт </w:t>
      </w:r>
      <w:r>
        <w:rPr>
          <w:rFonts w:ascii="Times New Roman" w:hAnsi="Times New Roman"/>
          <w:sz w:val="28"/>
          <w:szCs w:val="28"/>
        </w:rPr>
        <w:t>DOWEX</w:t>
      </w:r>
      <w:r>
        <w:rPr>
          <w:rFonts w:ascii="Times New Roman" w:hAnsi="Times New Roman"/>
          <w:sz w:val="28"/>
          <w:szCs w:val="28"/>
          <w:lang w:val="ru"/>
        </w:rPr>
        <w:t>-</w:t>
      </w:r>
      <w:r>
        <w:rPr>
          <w:rFonts w:ascii="Times New Roman" w:hAnsi="Times New Roman"/>
          <w:sz w:val="28"/>
          <w:szCs w:val="28"/>
        </w:rPr>
        <w:t>MAC</w:t>
      </w:r>
      <w:r>
        <w:rPr>
          <w:rFonts w:ascii="Times New Roman" w:hAnsi="Times New Roman"/>
          <w:sz w:val="28"/>
          <w:szCs w:val="28"/>
        </w:rPr>
        <w:t xml:space="preserve">-3 </w:t>
      </w:r>
    </w:p>
    <w:tbl>
      <w:tblPr>
        <w:tblW w:w="9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3"/>
        <w:gridCol w:w="1177"/>
        <w:gridCol w:w="1039"/>
        <w:gridCol w:w="978"/>
        <w:gridCol w:w="978"/>
        <w:gridCol w:w="407"/>
        <w:gridCol w:w="407"/>
        <w:gridCol w:w="408"/>
        <w:gridCol w:w="407"/>
        <w:gridCol w:w="572"/>
        <w:gridCol w:w="573"/>
        <w:gridCol w:w="572"/>
        <w:gridCol w:w="573"/>
      </w:tblGrid>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sz w:val="24"/>
                <w:szCs w:val="24"/>
                <w:vertAlign w:val="subscript"/>
              </w:rPr>
              <w:t>пр.р</w:t>
            </w:r>
            <w:r>
              <w:rPr>
                <w:rFonts w:ascii="Times New Roman" w:hAnsi="Times New Roman" w:cs="Times New Roman"/>
                <w:sz w:val="24"/>
                <w:szCs w:val="24"/>
              </w:rPr>
              <w:t>, дм</w:t>
            </w:r>
            <w:r>
              <w:rPr>
                <w:rFonts w:ascii="Times New Roman" w:hAnsi="Times New Roman" w:cs="Times New Roman"/>
                <w:sz w:val="24"/>
                <w:szCs w:val="24"/>
                <w:vertAlign w:val="superscript"/>
              </w:rPr>
              <w:t>3</w:t>
            </w:r>
          </w:p>
        </w:tc>
        <w:tc>
          <w:tcPr>
            <w:tcW w:w="4172" w:type="dxa"/>
            <w:gridSpan w:val="4"/>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Pb</w:t>
            </w:r>
            <w:r>
              <w:rPr>
                <w:rFonts w:ascii="Times New Roman" w:hAnsi="Times New Roman" w:cs="Times New Roman"/>
                <w:sz w:val="24"/>
                <w:szCs w:val="24"/>
                <w:vertAlign w:val="superscript"/>
              </w:rPr>
              <w:t>2+</w:t>
            </w:r>
            <w:r>
              <w:rPr>
                <w:rFonts w:ascii="Times New Roman" w:hAnsi="Times New Roman" w:cs="Times New Roman"/>
                <w:sz w:val="24"/>
                <w:szCs w:val="24"/>
              </w:rPr>
              <w:t>],</w:t>
            </w:r>
            <w:r>
              <w:rPr>
                <w:rFonts w:ascii="Times New Roman" w:hAnsi="Times New Roman" w:cs="Times New Roman"/>
                <w:sz w:val="24"/>
                <w:szCs w:val="24"/>
              </w:rPr>
              <w:t>н</w:t>
            </w:r>
            <w:r>
              <w:rPr>
                <w:rFonts w:ascii="Times New Roman" w:hAnsi="Times New Roman" w:cs="Times New Roman"/>
                <w:sz w:val="24"/>
                <w:szCs w:val="24"/>
              </w:rPr>
              <w:t>г/дм</w:t>
            </w:r>
            <w:r>
              <w:rPr>
                <w:rFonts w:ascii="Times New Roman" w:hAnsi="Times New Roman" w:cs="Times New Roman"/>
                <w:sz w:val="24"/>
                <w:szCs w:val="24"/>
                <w:vertAlign w:val="superscript"/>
              </w:rPr>
              <w:t>3</w:t>
            </w:r>
          </w:p>
        </w:tc>
        <w:tc>
          <w:tcPr>
            <w:tcW w:w="1629" w:type="dxa"/>
            <w:gridSpan w:val="4"/>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рН</w:t>
            </w:r>
          </w:p>
        </w:tc>
        <w:tc>
          <w:tcPr>
            <w:tcW w:w="2290" w:type="dxa"/>
            <w:gridSpan w:val="4"/>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 %</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vertAlign w:val="superscript"/>
              </w:rPr>
            </w:pPr>
            <w:r>
              <w:rPr>
                <w:rFonts w:ascii="Times New Roman" w:hAnsi="Times New Roman" w:cs="Times New Roman"/>
                <w:sz w:val="24"/>
                <w:szCs w:val="24"/>
              </w:rPr>
              <w:t>3</w:t>
            </w:r>
            <w:r>
              <w:rPr>
                <w:rFonts w:ascii="Times New Roman" w:hAnsi="Times New Roman" w:cs="Times New Roman"/>
                <w:sz w:val="24"/>
                <w:szCs w:val="24"/>
                <w:vertAlign w:val="superscript"/>
              </w:rPr>
              <w:t>*</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4</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5</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vertAlign w:val="superscript"/>
              </w:rPr>
            </w:pPr>
            <w:r>
              <w:rPr>
                <w:rFonts w:ascii="Times New Roman" w:hAnsi="Times New Roman" w:cs="Times New Roman"/>
                <w:sz w:val="24"/>
                <w:szCs w:val="24"/>
              </w:rPr>
              <w:t>7</w:t>
            </w:r>
            <w:r>
              <w:rPr>
                <w:rFonts w:ascii="Times New Roman" w:hAnsi="Times New Roman" w:cs="Times New Roman"/>
                <w:sz w:val="24"/>
                <w:szCs w:val="24"/>
                <w:vertAlign w:val="superscript"/>
              </w:rPr>
              <w:t>*</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8</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9</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10</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vertAlign w:val="superscript"/>
              </w:rPr>
            </w:pPr>
            <w:r>
              <w:rPr>
                <w:rFonts w:ascii="Times New Roman" w:hAnsi="Times New Roman" w:cs="Times New Roman"/>
                <w:sz w:val="24"/>
                <w:szCs w:val="24"/>
              </w:rPr>
              <w:t>11</w:t>
            </w:r>
            <w:r>
              <w:rPr>
                <w:rFonts w:ascii="Times New Roman" w:hAnsi="Times New Roman" w:cs="Times New Roman"/>
                <w:sz w:val="24"/>
                <w:szCs w:val="24"/>
                <w:vertAlign w:val="superscript"/>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12</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13</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vertAlign w:val="superscript"/>
              </w:rPr>
            </w:pPr>
            <w:r>
              <w:rPr>
                <w:rFonts w:ascii="Times New Roman" w:hAnsi="Times New Roman" w:cs="Times New Roman"/>
              </w:rPr>
              <w:t>214,5·10</w:t>
            </w:r>
            <w:r>
              <w:rPr>
                <w:rFonts w:ascii="Times New Roman" w:hAnsi="Times New Roman" w:cs="Times New Roman"/>
                <w:vertAlign w:val="superscript"/>
              </w:rPr>
              <w:t>3</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111·10</w:t>
            </w:r>
            <w:r>
              <w:rPr>
                <w:rFonts w:ascii="Times New Roman" w:hAnsi="Times New Roman" w:cs="Times New Roman"/>
                <w:sz w:val="24"/>
                <w:szCs w:val="24"/>
                <w:vertAlign w:val="superscript"/>
              </w:rPr>
              <w:t>3</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340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26</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2,2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2,0</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2,1</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2,0</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0,5</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9,0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7,7</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9,6</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8,5</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1,0</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8,0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8,4</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9,5</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1,5</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12,0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8,4</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8,7</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2,0</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7,0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27</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1,1</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7,2</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9,1</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100</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96,5</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94,2</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2,5</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6,5</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1,7·10</w:t>
            </w:r>
            <w:r>
              <w:rPr>
                <w:rFonts w:ascii="Times New Roman" w:hAnsi="Times New Roman" w:cs="Times New Roman"/>
                <w:sz w:val="24"/>
                <w:szCs w:val="24"/>
                <w:vertAlign w:val="superscript"/>
              </w:rPr>
              <w:t>2</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12</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7,4</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8,9</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9,1</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99,8</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94,7</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95,4</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3,0</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6,2</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2,7·10</w:t>
            </w:r>
            <w:r>
              <w:rPr>
                <w:rFonts w:ascii="Times New Roman" w:hAnsi="Times New Roman" w:cs="Times New Roman"/>
                <w:sz w:val="24"/>
                <w:szCs w:val="24"/>
                <w:vertAlign w:val="superscript"/>
              </w:rPr>
              <w:t>3</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18</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1,5</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9,1</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7,1</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97,5</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95,6</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95,8</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3,5</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3,3·10</w:t>
            </w:r>
            <w:r>
              <w:rPr>
                <w:rFonts w:ascii="Times New Roman" w:hAnsi="Times New Roman" w:cs="Times New Roman"/>
                <w:sz w:val="24"/>
                <w:szCs w:val="24"/>
                <w:vertAlign w:val="superscript"/>
              </w:rPr>
              <w:t>3</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15</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1,3</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6,9</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8,9</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98,3</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95,3</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4,0</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1,9·10</w:t>
            </w:r>
            <w:r>
              <w:rPr>
                <w:rFonts w:ascii="Times New Roman" w:hAnsi="Times New Roman" w:cs="Times New Roman"/>
                <w:sz w:val="24"/>
                <w:szCs w:val="24"/>
                <w:vertAlign w:val="superscript"/>
              </w:rPr>
              <w:t>3</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24</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1,5</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7,4</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8,8</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8,9</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97,0</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93,3</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95,0</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4,5</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2,7·10</w:t>
            </w:r>
            <w:r>
              <w:rPr>
                <w:rFonts w:ascii="Times New Roman" w:hAnsi="Times New Roman" w:cs="Times New Roman"/>
                <w:sz w:val="24"/>
                <w:szCs w:val="24"/>
                <w:vertAlign w:val="superscript"/>
              </w:rPr>
              <w:t>2</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23</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1,8</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7,1</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98,3</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93,1</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5,0</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6,0</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1,8</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9,2</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8,8</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99,9</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rPr>
            </w:pPr>
            <w:r>
              <w:rPr>
                <w:rFonts w:ascii="Times New Roman" w:hAnsi="Times New Roman" w:cs="Times New Roman"/>
              </w:rPr>
              <w:t>93,1</w:t>
            </w:r>
          </w:p>
        </w:tc>
      </w:tr>
      <w:tr w:rsidR="00F1629C">
        <w:trPr>
          <w:trHeight w:val="322"/>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с.i</w:t>
            </w:r>
            <w:r>
              <w:rPr>
                <w:rFonts w:ascii="Times New Roman" w:hAnsi="Times New Roman" w:cs="Times New Roman"/>
                <w:sz w:val="24"/>
                <w:szCs w:val="24"/>
              </w:rPr>
              <w:t>, мг</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,072</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0,497</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13·10</w:t>
            </w:r>
            <w:r>
              <w:rPr>
                <w:rFonts w:ascii="Times New Roman" w:hAnsi="Times New Roman" w:cs="Times New Roman"/>
                <w:sz w:val="24"/>
                <w:szCs w:val="24"/>
                <w:vertAlign w:val="superscript"/>
              </w:rPr>
              <w:t>–4</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12·10</w:t>
            </w:r>
            <w:r>
              <w:rPr>
                <w:rFonts w:ascii="Times New Roman" w:hAnsi="Times New Roman" w:cs="Times New Roman"/>
                <w:sz w:val="24"/>
                <w:szCs w:val="24"/>
                <w:vertAlign w:val="superscript"/>
              </w:rPr>
              <w:t>–5</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r>
      <w:tr w:rsidR="00F1629C">
        <w:trPr>
          <w:trHeight w:val="330"/>
          <w:jc w:val="center"/>
        </w:trPr>
        <w:tc>
          <w:tcPr>
            <w:tcW w:w="176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ОДЄ, мг/дм</w:t>
            </w:r>
            <w:r>
              <w:rPr>
                <w:rFonts w:ascii="Times New Roman" w:hAnsi="Times New Roman" w:cs="Times New Roman"/>
                <w:sz w:val="24"/>
                <w:szCs w:val="24"/>
                <w:vertAlign w:val="superscript"/>
              </w:rPr>
              <w:t>3</w:t>
            </w:r>
          </w:p>
        </w:tc>
        <w:tc>
          <w:tcPr>
            <w:tcW w:w="117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53,6</w:t>
            </w:r>
          </w:p>
        </w:tc>
        <w:tc>
          <w:tcPr>
            <w:tcW w:w="1039"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49,7</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65·10</w:t>
            </w:r>
            <w:r>
              <w:rPr>
                <w:rFonts w:ascii="Times New Roman" w:hAnsi="Times New Roman" w:cs="Times New Roman"/>
                <w:sz w:val="24"/>
                <w:szCs w:val="24"/>
                <w:vertAlign w:val="superscript"/>
              </w:rPr>
              <w:t>–3</w:t>
            </w:r>
          </w:p>
        </w:tc>
        <w:tc>
          <w:tcPr>
            <w:tcW w:w="97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62·10</w:t>
            </w:r>
            <w:r>
              <w:rPr>
                <w:rFonts w:ascii="Times New Roman" w:hAnsi="Times New Roman" w:cs="Times New Roman"/>
                <w:sz w:val="24"/>
                <w:szCs w:val="24"/>
                <w:vertAlign w:val="superscript"/>
              </w:rPr>
              <w:t>–4</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408"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407"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2"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c>
          <w:tcPr>
            <w:tcW w:w="573" w:type="dxa"/>
            <w:vAlign w:val="center"/>
          </w:tcPr>
          <w:p w:rsidR="00F1629C" w:rsidRDefault="00E671D2">
            <w:pPr>
              <w:widowControl w:val="0"/>
              <w:suppressAutoHyphens/>
              <w:spacing w:after="0" w:line="360" w:lineRule="auto"/>
              <w:ind w:leftChars="-50" w:left="-110" w:rightChars="-50" w:right="-110"/>
              <w:jc w:val="center"/>
              <w:rPr>
                <w:rFonts w:ascii="Times New Roman" w:hAnsi="Times New Roman" w:cs="Times New Roman"/>
                <w:sz w:val="24"/>
                <w:szCs w:val="24"/>
              </w:rPr>
            </w:pPr>
            <w:r>
              <w:rPr>
                <w:rFonts w:ascii="Times New Roman" w:hAnsi="Times New Roman" w:cs="Times New Roman"/>
                <w:sz w:val="24"/>
                <w:szCs w:val="24"/>
              </w:rPr>
              <w:t>–</w:t>
            </w:r>
          </w:p>
        </w:tc>
      </w:tr>
    </w:tbl>
    <w:p w:rsidR="00F1629C" w:rsidRDefault="00E671D2">
      <w:pPr>
        <w:widowControl w:val="0"/>
        <w:suppressAutoHyphens/>
        <w:spacing w:after="0" w:line="360" w:lineRule="auto"/>
        <w:jc w:val="both"/>
        <w:rPr>
          <w:rFonts w:ascii="Times New Roman" w:hAnsi="Times New Roman"/>
          <w:sz w:val="28"/>
          <w:szCs w:val="28"/>
        </w:rPr>
      </w:pPr>
      <w:r>
        <w:rPr>
          <w:noProof/>
          <w:sz w:val="21"/>
          <w:szCs w:val="21"/>
          <w:lang w:val="ru-RU" w:eastAsia="ru-RU"/>
        </w:rPr>
        <w:drawing>
          <wp:anchor distT="85090" distB="34290" distL="223520" distR="223520" simplePos="0" relativeHeight="252138496" behindDoc="0" locked="0" layoutInCell="1" allowOverlap="1">
            <wp:simplePos x="0" y="0"/>
            <wp:positionH relativeFrom="column">
              <wp:posOffset>329565</wp:posOffset>
            </wp:positionH>
            <wp:positionV relativeFrom="paragraph">
              <wp:posOffset>51435</wp:posOffset>
            </wp:positionV>
            <wp:extent cx="5486400" cy="2169795"/>
            <wp:effectExtent l="0" t="0" r="0" b="1905"/>
            <wp:wrapTopAndBottom/>
            <wp:docPr id="22"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F1629C" w:rsidRDefault="00E671D2">
      <w:pPr>
        <w:widowControl w:val="0"/>
        <w:suppressAutoHyphens/>
        <w:spacing w:after="0" w:line="360" w:lineRule="auto"/>
        <w:ind w:firstLine="567"/>
        <w:jc w:val="both"/>
        <w:rPr>
          <w:rFonts w:ascii="Times New Roman" w:hAnsi="Times New Roman"/>
          <w:sz w:val="28"/>
          <w:szCs w:val="28"/>
        </w:rPr>
      </w:pPr>
      <w:r>
        <w:rPr>
          <w:rFonts w:ascii="Times New Roman" w:hAnsi="Times New Roman"/>
          <w:sz w:val="28"/>
          <w:szCs w:val="28"/>
        </w:rPr>
        <w:t xml:space="preserve">Рис. </w:t>
      </w:r>
      <w:r>
        <w:rPr>
          <w:rFonts w:ascii="Times New Roman" w:hAnsi="Times New Roman"/>
          <w:sz w:val="28"/>
          <w:szCs w:val="28"/>
          <w:lang w:val="en"/>
        </w:rPr>
        <w:t>3</w:t>
      </w:r>
      <w:r>
        <w:rPr>
          <w:rFonts w:ascii="Times New Roman" w:hAnsi="Times New Roman"/>
          <w:sz w:val="28"/>
          <w:szCs w:val="28"/>
        </w:rPr>
        <w:t>.</w:t>
      </w:r>
      <w:r>
        <w:rPr>
          <w:rFonts w:ascii="Times New Roman" w:hAnsi="Times New Roman"/>
          <w:sz w:val="28"/>
          <w:szCs w:val="28"/>
          <w:lang w:val="ru"/>
        </w:rPr>
        <w:t>24</w:t>
      </w:r>
      <w:r>
        <w:rPr>
          <w:rFonts w:ascii="Times New Roman" w:hAnsi="Times New Roman"/>
          <w:sz w:val="28"/>
          <w:szCs w:val="28"/>
        </w:rPr>
        <w:t xml:space="preserve"> – Залежність концентрації йонів </w:t>
      </w:r>
      <w:r>
        <w:rPr>
          <w:rFonts w:ascii="Times New Roman" w:hAnsi="Times New Roman"/>
          <w:sz w:val="28"/>
          <w:szCs w:val="28"/>
          <w:lang w:val="ru"/>
        </w:rPr>
        <w:t>свинцю</w:t>
      </w:r>
      <w:r>
        <w:rPr>
          <w:rFonts w:ascii="Times New Roman" w:hAnsi="Times New Roman"/>
          <w:sz w:val="28"/>
          <w:szCs w:val="28"/>
        </w:rPr>
        <w:t xml:space="preserve"> (1), рН (2) та ступеню вилучення (</w:t>
      </w:r>
      <w:r>
        <w:rPr>
          <w:rFonts w:ascii="Times New Roman" w:hAnsi="Times New Roman"/>
          <w:sz w:val="28"/>
          <w:szCs w:val="28"/>
          <w:lang w:val="en-US"/>
        </w:rPr>
        <w:t>A</w:t>
      </w:r>
      <w:r>
        <w:rPr>
          <w:rFonts w:ascii="Times New Roman" w:hAnsi="Times New Roman"/>
          <w:sz w:val="28"/>
          <w:szCs w:val="28"/>
        </w:rPr>
        <w:t xml:space="preserve">) йонів </w:t>
      </w:r>
      <w:r>
        <w:rPr>
          <w:rFonts w:ascii="Times New Roman" w:hAnsi="Times New Roman"/>
          <w:sz w:val="28"/>
          <w:szCs w:val="28"/>
          <w:lang w:val="ru"/>
        </w:rPr>
        <w:t>свинцю</w:t>
      </w:r>
      <w:r>
        <w:rPr>
          <w:rFonts w:ascii="Times New Roman" w:hAnsi="Times New Roman"/>
          <w:sz w:val="28"/>
          <w:szCs w:val="28"/>
          <w:vertAlign w:val="superscript"/>
        </w:rPr>
        <w:t xml:space="preserve"> </w:t>
      </w:r>
      <w:r>
        <w:rPr>
          <w:rFonts w:ascii="Times New Roman" w:hAnsi="Times New Roman"/>
          <w:sz w:val="28"/>
          <w:szCs w:val="28"/>
        </w:rPr>
        <w:t xml:space="preserve">(3) від об’єму пропущеного розчину </w:t>
      </w:r>
      <w:r>
        <w:rPr>
          <w:rFonts w:ascii="Times New Roman" w:hAnsi="Times New Roman"/>
          <w:spacing w:val="-2"/>
          <w:sz w:val="28"/>
          <w:szCs w:val="28"/>
        </w:rPr>
        <w:t xml:space="preserve">нітрату свинцю </w:t>
      </w:r>
      <w:r>
        <w:rPr>
          <w:rFonts w:ascii="Times New Roman" w:hAnsi="Times New Roman"/>
          <w:spacing w:val="-2"/>
          <w:sz w:val="28"/>
          <w:szCs w:val="28"/>
          <w:lang w:val="ru"/>
        </w:rPr>
        <w:t>з</w:t>
      </w:r>
      <w:r>
        <w:rPr>
          <w:rFonts w:ascii="Times New Roman" w:hAnsi="Times New Roman"/>
          <w:spacing w:val="-2"/>
          <w:sz w:val="28"/>
          <w:szCs w:val="28"/>
          <w:lang w:val="ru"/>
        </w:rPr>
        <w:t xml:space="preserve"> вихідною концентрацією свинцю 0,111 мг/дм</w:t>
      </w:r>
      <w:r>
        <w:rPr>
          <w:rFonts w:ascii="Times New Roman" w:hAnsi="Times New Roman"/>
          <w:spacing w:val="-2"/>
          <w:sz w:val="28"/>
          <w:szCs w:val="28"/>
          <w:vertAlign w:val="superscript"/>
          <w:lang w:val="ru"/>
        </w:rPr>
        <w:t>3</w:t>
      </w:r>
      <w:r>
        <w:rPr>
          <w:rFonts w:ascii="Times New Roman" w:hAnsi="Times New Roman"/>
          <w:spacing w:val="-2"/>
          <w:sz w:val="28"/>
          <w:szCs w:val="28"/>
        </w:rPr>
        <w:t xml:space="preserve"> через іон</w:t>
      </w:r>
      <w:r>
        <w:rPr>
          <w:rFonts w:ascii="Times New Roman" w:hAnsi="Times New Roman"/>
          <w:spacing w:val="-2"/>
          <w:sz w:val="28"/>
          <w:szCs w:val="28"/>
          <w:lang w:val="ru"/>
        </w:rPr>
        <w:t>іт</w:t>
      </w:r>
      <w:r>
        <w:rPr>
          <w:rFonts w:ascii="Times New Roman" w:hAnsi="Times New Roman"/>
          <w:spacing w:val="-2"/>
          <w:sz w:val="28"/>
          <w:szCs w:val="28"/>
        </w:rPr>
        <w:t xml:space="preserve"> КУ-2-8</w:t>
      </w:r>
      <w:r>
        <w:rPr>
          <w:rFonts w:ascii="Times New Roman" w:hAnsi="Times New Roman"/>
          <w:sz w:val="28"/>
          <w:szCs w:val="28"/>
        </w:rPr>
        <w:t xml:space="preserve"> в </w:t>
      </w:r>
      <w:r>
        <w:rPr>
          <w:rFonts w:ascii="Times New Roman" w:hAnsi="Times New Roman"/>
          <w:sz w:val="28"/>
          <w:szCs w:val="28"/>
        </w:rPr>
        <w:t>Na</w:t>
      </w:r>
      <w:r>
        <w:rPr>
          <w:rFonts w:ascii="Times New Roman" w:hAnsi="Times New Roman"/>
          <w:sz w:val="28"/>
          <w:szCs w:val="28"/>
          <w:vertAlign w:val="superscript"/>
        </w:rPr>
        <w:t>+</w:t>
      </w:r>
      <w:r>
        <w:rPr>
          <w:rFonts w:ascii="Times New Roman" w:hAnsi="Times New Roman"/>
          <w:sz w:val="28"/>
          <w:szCs w:val="28"/>
        </w:rPr>
        <w:t>-формі</w:t>
      </w:r>
    </w:p>
    <w:p w:rsidR="00F1629C" w:rsidRDefault="00F1629C">
      <w:pPr>
        <w:widowControl w:val="0"/>
        <w:suppressAutoHyphens/>
        <w:spacing w:after="0" w:line="360" w:lineRule="auto"/>
        <w:ind w:firstLine="567"/>
        <w:jc w:val="both"/>
        <w:rPr>
          <w:rFonts w:ascii="Times New Roman" w:hAnsi="Times New Roman"/>
          <w:sz w:val="28"/>
          <w:szCs w:val="28"/>
        </w:rPr>
      </w:pPr>
    </w:p>
    <w:p w:rsidR="00F1629C" w:rsidRDefault="00E671D2">
      <w:pPr>
        <w:pStyle w:val="11"/>
        <w:widowControl w:val="0"/>
        <w:suppressAutoHyphens/>
        <w:spacing w:after="0" w:line="360" w:lineRule="auto"/>
        <w:ind w:left="0" w:firstLine="567"/>
        <w:jc w:val="both"/>
        <w:rPr>
          <w:rFonts w:ascii="Times New Roman" w:hAnsi="Times New Roman"/>
          <w:bCs/>
          <w:sz w:val="28"/>
          <w:szCs w:val="28"/>
          <w:lang w:val="ru"/>
        </w:rPr>
      </w:pPr>
      <w:r>
        <w:rPr>
          <w:rFonts w:ascii="Times New Roman" w:hAnsi="Times New Roman"/>
          <w:bCs/>
          <w:sz w:val="28"/>
          <w:szCs w:val="28"/>
        </w:rPr>
        <w:t xml:space="preserve">Слід звернути увагу на те, що слабкоксилотний катіоніт DOWEX MAC-3 практично однаково ефективно сорбує свинець як з водопровідної, так і з дистильованої води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25</w:t>
      </w:r>
      <w:r>
        <w:rPr>
          <w:rFonts w:ascii="Times New Roman" w:hAnsi="Times New Roman"/>
          <w:bCs/>
          <w:sz w:val="28"/>
          <w:szCs w:val="28"/>
        </w:rPr>
        <w:t>).</w:t>
      </w:r>
      <w:r>
        <w:rPr>
          <w:rFonts w:ascii="Times New Roman" w:hAnsi="Times New Roman"/>
          <w:bCs/>
          <w:sz w:val="28"/>
          <w:szCs w:val="28"/>
          <w:lang w:val="en"/>
        </w:rPr>
        <w:t xml:space="preserve"> </w:t>
      </w:r>
      <w:r>
        <w:rPr>
          <w:rFonts w:ascii="Times New Roman" w:hAnsi="Times New Roman"/>
          <w:bCs/>
          <w:sz w:val="28"/>
          <w:szCs w:val="28"/>
          <w:lang w:val="ru"/>
        </w:rPr>
        <w:t>Жорстіксть водопровідної води складала 4,32 мг-екв/дм</w:t>
      </w:r>
      <w:r>
        <w:rPr>
          <w:rFonts w:ascii="Times New Roman" w:hAnsi="Times New Roman"/>
          <w:bCs/>
          <w:sz w:val="28"/>
          <w:szCs w:val="28"/>
          <w:vertAlign w:val="superscript"/>
          <w:lang w:val="ru"/>
        </w:rPr>
        <w:t>3</w:t>
      </w:r>
      <w:r>
        <w:rPr>
          <w:rFonts w:ascii="Times New Roman" w:hAnsi="Times New Roman"/>
          <w:bCs/>
          <w:sz w:val="28"/>
          <w:szCs w:val="28"/>
          <w:lang w:val="ru"/>
        </w:rPr>
        <w:t>, а об’єм іоніту - 20 см</w:t>
      </w:r>
      <w:r>
        <w:rPr>
          <w:rFonts w:ascii="Times New Roman" w:hAnsi="Times New Roman"/>
          <w:bCs/>
          <w:sz w:val="28"/>
          <w:szCs w:val="28"/>
          <w:vertAlign w:val="superscript"/>
          <w:lang w:val="ru"/>
        </w:rPr>
        <w:t>3</w:t>
      </w:r>
      <w:r>
        <w:rPr>
          <w:rFonts w:ascii="Times New Roman" w:hAnsi="Times New Roman"/>
          <w:bCs/>
          <w:sz w:val="28"/>
          <w:szCs w:val="28"/>
          <w:lang w:val="ru"/>
        </w:rPr>
        <w:t>.</w:t>
      </w:r>
    </w:p>
    <w:p w:rsidR="00F1629C" w:rsidRDefault="00E671D2">
      <w:pPr>
        <w:pStyle w:val="11"/>
        <w:widowControl w:val="0"/>
        <w:suppressAutoHyphens/>
        <w:spacing w:after="0" w:line="360" w:lineRule="auto"/>
        <w:ind w:left="0" w:firstLine="567"/>
        <w:jc w:val="both"/>
        <w:rPr>
          <w:rFonts w:ascii="Times New Roman" w:hAnsi="Times New Roman"/>
          <w:bCs/>
          <w:sz w:val="28"/>
          <w:szCs w:val="28"/>
        </w:rPr>
      </w:pPr>
      <w:r>
        <w:rPr>
          <w:rFonts w:ascii="Times New Roman" w:hAnsi="Times New Roman"/>
          <w:bCs/>
          <w:sz w:val="28"/>
          <w:szCs w:val="28"/>
        </w:rPr>
        <w:t xml:space="preserve">При </w:t>
      </w:r>
      <w:r>
        <w:rPr>
          <w:rFonts w:ascii="Times New Roman" w:hAnsi="Times New Roman"/>
          <w:bCs/>
          <w:sz w:val="28"/>
          <w:szCs w:val="28"/>
        </w:rPr>
        <w:t>початковій концентрації йонів свинцю 1</w:t>
      </w:r>
      <w:r>
        <w:rPr>
          <w:rFonts w:ascii="Times New Roman" w:hAnsi="Times New Roman"/>
          <w:bCs/>
          <w:sz w:val="28"/>
          <w:szCs w:val="28"/>
          <w:lang w:val="ru"/>
        </w:rPr>
        <w:t>,</w:t>
      </w:r>
      <w:r>
        <w:rPr>
          <w:rFonts w:ascii="Times New Roman" w:hAnsi="Times New Roman"/>
          <w:bCs/>
          <w:sz w:val="28"/>
          <w:szCs w:val="28"/>
        </w:rPr>
        <w:t xml:space="preserve">1 </w:t>
      </w:r>
      <w:r>
        <w:rPr>
          <w:rFonts w:ascii="Times New Roman" w:hAnsi="Times New Roman"/>
          <w:bCs/>
          <w:sz w:val="28"/>
          <w:szCs w:val="28"/>
          <w:lang w:val="ru"/>
        </w:rPr>
        <w:t>мк</w:t>
      </w:r>
      <w:r>
        <w:rPr>
          <w:rFonts w:ascii="Times New Roman" w:hAnsi="Times New Roman"/>
          <w:bCs/>
          <w:sz w:val="28"/>
          <w:szCs w:val="28"/>
        </w:rPr>
        <w:t>г/дм</w:t>
      </w:r>
      <w:r>
        <w:rPr>
          <w:rFonts w:ascii="Times New Roman" w:hAnsi="Times New Roman"/>
          <w:bCs/>
          <w:sz w:val="28"/>
          <w:szCs w:val="28"/>
          <w:vertAlign w:val="superscript"/>
        </w:rPr>
        <w:t>3</w:t>
      </w:r>
      <w:r>
        <w:rPr>
          <w:rFonts w:ascii="Times New Roman" w:hAnsi="Times New Roman"/>
          <w:bCs/>
          <w:sz w:val="28"/>
          <w:szCs w:val="28"/>
        </w:rPr>
        <w:t xml:space="preserve"> у водопровідній та 2</w:t>
      </w:r>
      <w:r>
        <w:rPr>
          <w:rFonts w:ascii="Times New Roman" w:hAnsi="Times New Roman"/>
          <w:bCs/>
          <w:sz w:val="28"/>
          <w:szCs w:val="28"/>
          <w:lang w:val="ru"/>
        </w:rPr>
        <w:t>,</w:t>
      </w:r>
      <w:r>
        <w:rPr>
          <w:rFonts w:ascii="Times New Roman" w:hAnsi="Times New Roman"/>
          <w:bCs/>
          <w:sz w:val="28"/>
          <w:szCs w:val="28"/>
        </w:rPr>
        <w:t xml:space="preserve">5 </w:t>
      </w:r>
      <w:r>
        <w:rPr>
          <w:rFonts w:ascii="Times New Roman" w:hAnsi="Times New Roman"/>
          <w:bCs/>
          <w:sz w:val="28"/>
          <w:szCs w:val="28"/>
          <w:lang w:val="ru"/>
        </w:rPr>
        <w:t>мк</w:t>
      </w:r>
      <w:r>
        <w:rPr>
          <w:rFonts w:ascii="Times New Roman" w:hAnsi="Times New Roman"/>
          <w:bCs/>
          <w:sz w:val="28"/>
          <w:szCs w:val="28"/>
        </w:rPr>
        <w:t>г/дм</w:t>
      </w:r>
      <w:r>
        <w:rPr>
          <w:rFonts w:ascii="Times New Roman" w:hAnsi="Times New Roman"/>
          <w:bCs/>
          <w:sz w:val="28"/>
          <w:szCs w:val="28"/>
          <w:vertAlign w:val="superscript"/>
        </w:rPr>
        <w:t>3</w:t>
      </w:r>
      <w:r>
        <w:rPr>
          <w:rFonts w:ascii="Times New Roman" w:hAnsi="Times New Roman"/>
          <w:bCs/>
          <w:sz w:val="28"/>
          <w:szCs w:val="28"/>
        </w:rPr>
        <w:t xml:space="preserve"> у дистиляті їх концентрація у фільтраті складала 4–23 та 2–18 нг/дм</w:t>
      </w:r>
      <w:r>
        <w:rPr>
          <w:rFonts w:ascii="Times New Roman" w:hAnsi="Times New Roman"/>
          <w:bCs/>
          <w:sz w:val="28"/>
          <w:szCs w:val="28"/>
          <w:vertAlign w:val="superscript"/>
        </w:rPr>
        <w:t>3</w:t>
      </w:r>
      <w:r>
        <w:rPr>
          <w:rFonts w:ascii="Times New Roman" w:hAnsi="Times New Roman"/>
          <w:bCs/>
          <w:sz w:val="28"/>
          <w:szCs w:val="28"/>
        </w:rPr>
        <w:t xml:space="preserve"> відповідно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26</w:t>
      </w:r>
      <w:r>
        <w:rPr>
          <w:rFonts w:ascii="Times New Roman" w:hAnsi="Times New Roman"/>
          <w:bCs/>
          <w:sz w:val="28"/>
          <w:szCs w:val="28"/>
        </w:rPr>
        <w:t>), а ступінь вилучення свинцю не падала нижче 99 %, як і у випадку з КУ-2-8 в 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w:t>
      </w:r>
      <w:r>
        <w:rPr>
          <w:rFonts w:ascii="Times New Roman" w:hAnsi="Times New Roman"/>
          <w:bCs/>
          <w:sz w:val="28"/>
          <w:szCs w:val="28"/>
        </w:rPr>
        <w:t>і.</w:t>
      </w:r>
    </w:p>
    <w:p w:rsidR="00F1629C" w:rsidRDefault="00E671D2">
      <w:pPr>
        <w:tabs>
          <w:tab w:val="left" w:pos="7215"/>
        </w:tabs>
        <w:spacing w:after="0" w:line="360" w:lineRule="auto"/>
        <w:ind w:right="-1" w:firstLine="540"/>
        <w:jc w:val="both"/>
        <w:rPr>
          <w:rFonts w:ascii="Times New Roman" w:hAnsi="Times New Roman"/>
          <w:sz w:val="28"/>
          <w:szCs w:val="28"/>
        </w:rPr>
      </w:pPr>
      <w:r>
        <w:rPr>
          <w:rFonts w:ascii="Times New Roman" w:hAnsi="Times New Roman"/>
          <w:bCs/>
          <w:sz w:val="28"/>
          <w:szCs w:val="28"/>
        </w:rPr>
        <w:t>Пояснити такі вражаючі результати можна утворенням комплексних сполук за участі йонів свинцю в слабокислому середовищі. Адже, як вже було сказано, при сорбції кат</w:t>
      </w:r>
      <w:r>
        <w:rPr>
          <w:rFonts w:ascii="Times New Roman" w:hAnsi="Times New Roman"/>
          <w:bCs/>
          <w:sz w:val="28"/>
          <w:szCs w:val="28"/>
        </w:rPr>
        <w:t>і</w:t>
      </w:r>
      <w:r>
        <w:rPr>
          <w:rFonts w:ascii="Times New Roman" w:hAnsi="Times New Roman"/>
          <w:bCs/>
          <w:sz w:val="28"/>
          <w:szCs w:val="28"/>
        </w:rPr>
        <w:t>онів на слабокислому іоніті в Н</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 відбувається підкислення розчину за рахунок витисн</w:t>
      </w:r>
      <w:r>
        <w:rPr>
          <w:rFonts w:ascii="Times New Roman" w:hAnsi="Times New Roman"/>
          <w:bCs/>
          <w:sz w:val="28"/>
          <w:szCs w:val="28"/>
        </w:rPr>
        <w:t>ення протонів з йонообмінної смоли, що спричинює асоціацію карбоксильних груп катіоніту з подальшою втратою обмінної ємності. Але, в даному випадку, гідрокарбонат–ан</w:t>
      </w:r>
      <w:r>
        <w:rPr>
          <w:rFonts w:ascii="Times New Roman" w:hAnsi="Times New Roman"/>
          <w:bCs/>
          <w:sz w:val="28"/>
          <w:szCs w:val="28"/>
        </w:rPr>
        <w:t>і</w:t>
      </w:r>
      <w:r>
        <w:rPr>
          <w:rFonts w:ascii="Times New Roman" w:hAnsi="Times New Roman"/>
          <w:bCs/>
          <w:sz w:val="28"/>
          <w:szCs w:val="28"/>
        </w:rPr>
        <w:t>они, що містяться у водопровідній воді, слугують буфером, і це не дає розчину підкислювати</w:t>
      </w:r>
      <w:r>
        <w:rPr>
          <w:rFonts w:ascii="Times New Roman" w:hAnsi="Times New Roman"/>
          <w:bCs/>
          <w:sz w:val="28"/>
          <w:szCs w:val="28"/>
        </w:rPr>
        <w:t>сь завдяки вит</w:t>
      </w:r>
      <w:r>
        <w:rPr>
          <w:rFonts w:ascii="Times New Roman" w:hAnsi="Times New Roman"/>
          <w:bCs/>
          <w:sz w:val="28"/>
          <w:szCs w:val="28"/>
        </w:rPr>
        <w:t>и</w:t>
      </w:r>
      <w:r>
        <w:rPr>
          <w:rFonts w:ascii="Times New Roman" w:hAnsi="Times New Roman"/>
          <w:bCs/>
          <w:sz w:val="28"/>
          <w:szCs w:val="28"/>
        </w:rPr>
        <w:t>сненню діоксиду вуглецю при розкладанні вугільної кислоти.</w:t>
      </w:r>
    </w:p>
    <w:p w:rsidR="00F1629C" w:rsidRDefault="00E671D2">
      <w:pPr>
        <w:tabs>
          <w:tab w:val="left" w:pos="7215"/>
        </w:tabs>
        <w:spacing w:after="0" w:line="360" w:lineRule="auto"/>
        <w:ind w:right="-1"/>
        <w:jc w:val="center"/>
        <w:rPr>
          <w:rFonts w:ascii="Times New Roman" w:hAnsi="Times New Roman"/>
          <w:sz w:val="28"/>
          <w:szCs w:val="28"/>
          <w:lang w:eastAsia="ru-RU"/>
        </w:rPr>
      </w:pPr>
      <w:r>
        <w:rPr>
          <w:rFonts w:ascii="Times New Roman" w:hAnsi="Times New Roman"/>
          <w:noProof/>
          <w:sz w:val="28"/>
          <w:szCs w:val="28"/>
          <w:lang w:val="ru-RU" w:eastAsia="ru-RU"/>
        </w:rPr>
        <w:drawing>
          <wp:inline distT="0" distB="0" distL="114300" distR="114300">
            <wp:extent cx="5486400" cy="2743200"/>
            <wp:effectExtent l="0" t="0" r="0" b="0"/>
            <wp:docPr id="2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1629C" w:rsidRDefault="00E671D2">
      <w:pPr>
        <w:pStyle w:val="11"/>
        <w:widowControl w:val="0"/>
        <w:suppressAutoHyphen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lang w:val="ru"/>
        </w:rPr>
        <w:t>унок</w:t>
      </w:r>
      <w:r>
        <w:rPr>
          <w:rFonts w:ascii="Times New Roman" w:hAnsi="Times New Roman" w:cs="Times New Roman"/>
          <w:sz w:val="28"/>
          <w:szCs w:val="28"/>
        </w:rPr>
        <w:t xml:space="preserve"> </w:t>
      </w:r>
      <w:r>
        <w:rPr>
          <w:rFonts w:ascii="Times New Roman" w:hAnsi="Times New Roman" w:cs="Times New Roman"/>
          <w:sz w:val="28"/>
          <w:szCs w:val="28"/>
          <w:lang w:val="en"/>
        </w:rPr>
        <w:t>3</w:t>
      </w:r>
      <w:r>
        <w:rPr>
          <w:rFonts w:ascii="Times New Roman" w:hAnsi="Times New Roman" w:cs="Times New Roman"/>
          <w:sz w:val="28"/>
          <w:szCs w:val="28"/>
        </w:rPr>
        <w:t>.</w:t>
      </w:r>
      <w:r>
        <w:rPr>
          <w:rFonts w:ascii="Times New Roman" w:hAnsi="Times New Roman" w:cs="Times New Roman"/>
          <w:sz w:val="28"/>
          <w:szCs w:val="28"/>
          <w:lang w:val="ru"/>
        </w:rPr>
        <w:t>25</w:t>
      </w:r>
      <w:r>
        <w:rPr>
          <w:rFonts w:ascii="Times New Roman" w:hAnsi="Times New Roman" w:cs="Times New Roman"/>
          <w:sz w:val="28"/>
          <w:szCs w:val="28"/>
        </w:rPr>
        <w:t xml:space="preserve"> – Залежність концентрації іонів свинцю (1; 2) та жорсткості (3) розчинів свинцю у водопровідній</w:t>
      </w:r>
      <w:r>
        <w:rPr>
          <w:rFonts w:ascii="Times New Roman" w:hAnsi="Times New Roman" w:cs="Times New Roman"/>
          <w:sz w:val="28"/>
          <w:szCs w:val="28"/>
          <w:lang w:val="ru"/>
        </w:rPr>
        <w:t xml:space="preserve"> (1, 3)</w:t>
      </w:r>
      <w:r>
        <w:rPr>
          <w:rFonts w:ascii="Times New Roman" w:hAnsi="Times New Roman" w:cs="Times New Roman"/>
          <w:sz w:val="28"/>
          <w:szCs w:val="28"/>
        </w:rPr>
        <w:t xml:space="preserve"> та дистильованій воді</w:t>
      </w:r>
      <w:r>
        <w:rPr>
          <w:rFonts w:ascii="Times New Roman" w:hAnsi="Times New Roman" w:cs="Times New Roman"/>
          <w:sz w:val="28"/>
          <w:szCs w:val="28"/>
          <w:lang w:val="ru"/>
        </w:rPr>
        <w:t xml:space="preserve"> з початковими концентраціями свинцю 1,1 (1, 3) та 2,5 (2) мкг/дм</w:t>
      </w:r>
      <w:r>
        <w:rPr>
          <w:rFonts w:ascii="Times New Roman" w:hAnsi="Times New Roman" w:cs="Times New Roman"/>
          <w:sz w:val="28"/>
          <w:szCs w:val="28"/>
          <w:vertAlign w:val="superscript"/>
          <w:lang w:val="ru"/>
        </w:rPr>
        <w:t>3</w:t>
      </w:r>
      <w:r>
        <w:rPr>
          <w:rFonts w:ascii="Times New Roman" w:hAnsi="Times New Roman" w:cs="Times New Roman"/>
          <w:sz w:val="28"/>
          <w:szCs w:val="28"/>
        </w:rPr>
        <w:t xml:space="preserve"> від </w:t>
      </w:r>
      <w:r>
        <w:rPr>
          <w:rFonts w:ascii="Times New Roman" w:hAnsi="Times New Roman" w:cs="Times New Roman"/>
          <w:spacing w:val="-8"/>
          <w:sz w:val="28"/>
          <w:szCs w:val="28"/>
        </w:rPr>
        <w:t xml:space="preserve">пропущених об’ємів розчинів через катіоніт </w:t>
      </w:r>
      <w:r>
        <w:rPr>
          <w:rFonts w:ascii="Times New Roman" w:hAnsi="Times New Roman" w:cs="Times New Roman"/>
          <w:spacing w:val="-8"/>
          <w:sz w:val="28"/>
          <w:szCs w:val="28"/>
          <w:lang w:val="en-US"/>
        </w:rPr>
        <w:t>DOWEX</w:t>
      </w:r>
      <w:r>
        <w:rPr>
          <w:rFonts w:ascii="Times New Roman" w:hAnsi="Times New Roman" w:cs="Times New Roman"/>
          <w:spacing w:val="-8"/>
          <w:sz w:val="28"/>
          <w:szCs w:val="28"/>
        </w:rPr>
        <w:t xml:space="preserve"> </w:t>
      </w:r>
      <w:r>
        <w:rPr>
          <w:rFonts w:ascii="Times New Roman" w:hAnsi="Times New Roman" w:cs="Times New Roman"/>
          <w:spacing w:val="-8"/>
          <w:sz w:val="28"/>
          <w:szCs w:val="28"/>
          <w:lang w:val="en-US"/>
        </w:rPr>
        <w:t>MAC</w:t>
      </w:r>
      <w:r>
        <w:rPr>
          <w:rFonts w:ascii="Times New Roman" w:hAnsi="Times New Roman" w:cs="Times New Roman"/>
          <w:spacing w:val="-8"/>
          <w:sz w:val="28"/>
          <w:szCs w:val="28"/>
        </w:rPr>
        <w:t xml:space="preserve">-3 в </w:t>
      </w:r>
      <w:r>
        <w:rPr>
          <w:rFonts w:ascii="Times New Roman" w:hAnsi="Times New Roman" w:cs="Times New Roman"/>
          <w:spacing w:val="-8"/>
          <w:sz w:val="28"/>
          <w:szCs w:val="28"/>
          <w:lang w:val="ru"/>
        </w:rPr>
        <w:t>кислій</w:t>
      </w:r>
      <w:r>
        <w:rPr>
          <w:rFonts w:ascii="Times New Roman" w:hAnsi="Times New Roman" w:cs="Times New Roman"/>
          <w:spacing w:val="-8"/>
          <w:sz w:val="28"/>
          <w:szCs w:val="28"/>
          <w:lang w:val="ru"/>
        </w:rPr>
        <w:t xml:space="preserve"> </w:t>
      </w:r>
      <w:r>
        <w:rPr>
          <w:rFonts w:ascii="Times New Roman" w:hAnsi="Times New Roman" w:cs="Times New Roman"/>
          <w:spacing w:val="-8"/>
          <w:sz w:val="28"/>
          <w:szCs w:val="28"/>
        </w:rPr>
        <w:t>формі</w:t>
      </w:r>
      <w:r>
        <w:rPr>
          <w:rFonts w:ascii="Times New Roman" w:hAnsi="Times New Roman" w:cs="Times New Roman"/>
          <w:sz w:val="28"/>
          <w:szCs w:val="28"/>
        </w:rPr>
        <w:t xml:space="preserve"> </w:t>
      </w:r>
    </w:p>
    <w:p w:rsidR="00F1629C" w:rsidRDefault="00F1629C">
      <w:pPr>
        <w:tabs>
          <w:tab w:val="left" w:pos="7215"/>
        </w:tabs>
        <w:spacing w:after="0" w:line="360" w:lineRule="auto"/>
        <w:ind w:right="-1"/>
        <w:jc w:val="both"/>
        <w:rPr>
          <w:rFonts w:ascii="Times New Roman" w:hAnsi="Times New Roman"/>
          <w:sz w:val="28"/>
          <w:szCs w:val="28"/>
          <w:lang w:eastAsia="ru-RU"/>
        </w:rPr>
      </w:pPr>
    </w:p>
    <w:p w:rsidR="00F1629C" w:rsidRDefault="00E671D2">
      <w:pPr>
        <w:tabs>
          <w:tab w:val="left" w:pos="7215"/>
        </w:tabs>
        <w:spacing w:after="0" w:line="360" w:lineRule="auto"/>
        <w:ind w:right="-1"/>
        <w:jc w:val="center"/>
        <w:rPr>
          <w:rFonts w:ascii="Times New Roman" w:hAnsi="Times New Roman"/>
          <w:bCs/>
          <w:sz w:val="28"/>
          <w:szCs w:val="28"/>
        </w:rPr>
      </w:pPr>
      <w:r>
        <w:rPr>
          <w:rFonts w:ascii="Times New Roman" w:hAnsi="Times New Roman"/>
          <w:noProof/>
          <w:sz w:val="28"/>
          <w:szCs w:val="28"/>
          <w:lang w:val="ru-RU" w:eastAsia="ru-RU"/>
        </w:rPr>
        <w:drawing>
          <wp:inline distT="0" distB="0" distL="114300" distR="114300">
            <wp:extent cx="5486400" cy="2743200"/>
            <wp:effectExtent l="0" t="0" r="0" b="0"/>
            <wp:docPr id="21"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F1629C" w:rsidRDefault="00E671D2">
      <w:pPr>
        <w:pStyle w:val="11"/>
        <w:widowControl w:val="0"/>
        <w:suppressAutoHyphens/>
        <w:spacing w:after="0" w:line="360" w:lineRule="auto"/>
        <w:ind w:left="0" w:firstLine="567"/>
        <w:jc w:val="both"/>
        <w:rPr>
          <w:rFonts w:ascii="Times New Roman" w:hAnsi="Times New Roman" w:cs="Times New Roman"/>
          <w:sz w:val="28"/>
          <w:szCs w:val="28"/>
          <w:lang w:val="en"/>
        </w:rPr>
      </w:pPr>
      <w:r>
        <w:rPr>
          <w:rFonts w:ascii="Times New Roman" w:hAnsi="Times New Roman" w:cs="Times New Roman"/>
          <w:sz w:val="28"/>
          <w:szCs w:val="28"/>
        </w:rPr>
        <w:t xml:space="preserve">Рис. </w:t>
      </w:r>
      <w:r>
        <w:rPr>
          <w:rFonts w:ascii="Times New Roman" w:hAnsi="Times New Roman" w:cs="Times New Roman"/>
          <w:sz w:val="28"/>
          <w:szCs w:val="28"/>
          <w:lang w:val="en"/>
        </w:rPr>
        <w:t>3</w:t>
      </w:r>
      <w:r>
        <w:rPr>
          <w:rFonts w:ascii="Times New Roman" w:hAnsi="Times New Roman" w:cs="Times New Roman"/>
          <w:sz w:val="28"/>
          <w:szCs w:val="28"/>
        </w:rPr>
        <w:t>.</w:t>
      </w:r>
      <w:r>
        <w:rPr>
          <w:rFonts w:ascii="Times New Roman" w:hAnsi="Times New Roman" w:cs="Times New Roman"/>
          <w:sz w:val="28"/>
          <w:szCs w:val="28"/>
          <w:lang w:val="ru"/>
        </w:rPr>
        <w:t>2</w:t>
      </w:r>
      <w:r>
        <w:rPr>
          <w:rFonts w:ascii="Times New Roman" w:hAnsi="Times New Roman" w:cs="Times New Roman"/>
          <w:sz w:val="28"/>
          <w:szCs w:val="28"/>
        </w:rPr>
        <w:t xml:space="preserve">6 – ступеню вилучення йонів </w:t>
      </w:r>
      <w:r>
        <w:rPr>
          <w:rFonts w:ascii="Times New Roman" w:hAnsi="Times New Roman" w:cs="Times New Roman"/>
          <w:sz w:val="28"/>
          <w:szCs w:val="28"/>
        </w:rPr>
        <w:t>Pb</w:t>
      </w:r>
      <w:r>
        <w:rPr>
          <w:rFonts w:ascii="Times New Roman" w:hAnsi="Times New Roman" w:cs="Times New Roman"/>
          <w:sz w:val="28"/>
          <w:szCs w:val="28"/>
          <w:vertAlign w:val="superscript"/>
        </w:rPr>
        <w:t>2+</w:t>
      </w:r>
      <w:r>
        <w:rPr>
          <w:rFonts w:ascii="Times New Roman" w:hAnsi="Times New Roman" w:cs="Times New Roman"/>
          <w:sz w:val="28"/>
          <w:szCs w:val="28"/>
        </w:rPr>
        <w:t xml:space="preserve"> та рН розчинів свинцю у водопровідній </w:t>
      </w:r>
      <w:r>
        <w:rPr>
          <w:rFonts w:ascii="Times New Roman" w:hAnsi="Times New Roman" w:cs="Times New Roman"/>
          <w:sz w:val="28"/>
          <w:szCs w:val="28"/>
          <w:lang w:val="ru"/>
        </w:rPr>
        <w:t>(1, 3)</w:t>
      </w:r>
      <w:r>
        <w:rPr>
          <w:rFonts w:ascii="Times New Roman" w:hAnsi="Times New Roman" w:cs="Times New Roman"/>
          <w:sz w:val="28"/>
          <w:szCs w:val="28"/>
        </w:rPr>
        <w:t xml:space="preserve"> та дистильованій </w:t>
      </w:r>
      <w:r>
        <w:rPr>
          <w:rFonts w:ascii="Times New Roman" w:hAnsi="Times New Roman" w:cs="Times New Roman"/>
          <w:sz w:val="28"/>
          <w:szCs w:val="28"/>
          <w:lang w:val="ru"/>
        </w:rPr>
        <w:t>(2)</w:t>
      </w:r>
      <w:r>
        <w:rPr>
          <w:rFonts w:ascii="Times New Roman" w:hAnsi="Times New Roman" w:cs="Times New Roman"/>
          <w:sz w:val="28"/>
          <w:szCs w:val="28"/>
        </w:rPr>
        <w:t xml:space="preserve"> воді</w:t>
      </w:r>
      <w:r>
        <w:rPr>
          <w:rFonts w:ascii="Times New Roman" w:hAnsi="Times New Roman" w:cs="Times New Roman"/>
          <w:sz w:val="28"/>
          <w:szCs w:val="28"/>
          <w:lang w:val="ru"/>
        </w:rPr>
        <w:t xml:space="preserve"> з початковими концентраціями свинцю 1,1 (1, 3) та 2,5 (2) мкг/дм</w:t>
      </w:r>
      <w:r>
        <w:rPr>
          <w:rFonts w:ascii="Times New Roman" w:hAnsi="Times New Roman" w:cs="Times New Roman"/>
          <w:sz w:val="28"/>
          <w:szCs w:val="28"/>
          <w:vertAlign w:val="superscript"/>
          <w:lang w:val="ru"/>
        </w:rPr>
        <w:t>3</w:t>
      </w:r>
      <w:r>
        <w:rPr>
          <w:rFonts w:ascii="Times New Roman" w:hAnsi="Times New Roman" w:cs="Times New Roman"/>
          <w:sz w:val="28"/>
          <w:szCs w:val="28"/>
        </w:rPr>
        <w:t xml:space="preserve"> від </w:t>
      </w:r>
      <w:r>
        <w:rPr>
          <w:rFonts w:ascii="Times New Roman" w:hAnsi="Times New Roman" w:cs="Times New Roman"/>
          <w:spacing w:val="-8"/>
          <w:sz w:val="28"/>
          <w:szCs w:val="28"/>
        </w:rPr>
        <w:t xml:space="preserve">об’єму пропущеного розчину через іонообмінну смолу </w:t>
      </w:r>
      <w:r>
        <w:rPr>
          <w:rFonts w:ascii="Times New Roman" w:hAnsi="Times New Roman" w:cs="Times New Roman"/>
          <w:spacing w:val="-8"/>
          <w:sz w:val="28"/>
          <w:szCs w:val="28"/>
          <w:lang w:val="en-US"/>
        </w:rPr>
        <w:t>DOWEX</w:t>
      </w:r>
      <w:r>
        <w:rPr>
          <w:rFonts w:ascii="Times New Roman" w:hAnsi="Times New Roman" w:cs="Times New Roman"/>
          <w:spacing w:val="-8"/>
          <w:sz w:val="28"/>
          <w:szCs w:val="28"/>
        </w:rPr>
        <w:t>MAC</w:t>
      </w:r>
      <w:r>
        <w:rPr>
          <w:rFonts w:ascii="Times New Roman" w:hAnsi="Times New Roman" w:cs="Times New Roman"/>
          <w:spacing w:val="-8"/>
          <w:sz w:val="28"/>
          <w:szCs w:val="28"/>
        </w:rPr>
        <w:t xml:space="preserve">-3 в </w:t>
      </w:r>
      <w:r>
        <w:rPr>
          <w:rFonts w:ascii="Times New Roman" w:hAnsi="Times New Roman" w:cs="Times New Roman"/>
          <w:spacing w:val="-8"/>
          <w:sz w:val="28"/>
          <w:szCs w:val="28"/>
          <w:lang w:val="ru"/>
        </w:rPr>
        <w:t>кислій</w:t>
      </w:r>
      <w:r>
        <w:rPr>
          <w:rFonts w:ascii="Times New Roman" w:hAnsi="Times New Roman" w:cs="Times New Roman"/>
          <w:spacing w:val="-8"/>
          <w:sz w:val="28"/>
          <w:szCs w:val="28"/>
          <w:lang w:val="ru"/>
        </w:rPr>
        <w:t xml:space="preserve"> </w:t>
      </w:r>
      <w:r>
        <w:rPr>
          <w:rFonts w:ascii="Times New Roman" w:hAnsi="Times New Roman" w:cs="Times New Roman"/>
          <w:spacing w:val="-8"/>
          <w:sz w:val="28"/>
          <w:szCs w:val="28"/>
        </w:rPr>
        <w:t>формі</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3.3 Оцінка ефективності вилучення іонів нікелю з води</w:t>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 xml:space="preserve">3.3.1 Оцінка ефективності нанофільтраційного </w:t>
      </w:r>
      <w:r>
        <w:rPr>
          <w:rFonts w:ascii="Times New Roman" w:hAnsi="Times New Roman" w:cs="Times New Roman"/>
          <w:b/>
          <w:iCs/>
          <w:sz w:val="28"/>
          <w:szCs w:val="28"/>
          <w:lang w:val="ru"/>
        </w:rPr>
        <w:t>вилучення іонів нікелю з води</w:t>
      </w:r>
    </w:p>
    <w:p w:rsidR="00F1629C" w:rsidRDefault="00E671D2">
      <w:pPr>
        <w:tabs>
          <w:tab w:val="left" w:pos="284"/>
          <w:tab w:val="left" w:pos="4018"/>
        </w:tabs>
        <w:spacing w:after="0" w:line="360" w:lineRule="auto"/>
        <w:jc w:val="both"/>
        <w:rPr>
          <w:rFonts w:ascii="Times New Roman" w:hAnsi="Times New Roman"/>
          <w:bCs/>
          <w:sz w:val="28"/>
          <w:szCs w:val="28"/>
          <w:lang w:val="ru"/>
        </w:rPr>
      </w:pPr>
      <w:r>
        <w:rPr>
          <w:rFonts w:ascii="Times New Roman" w:hAnsi="Times New Roman" w:cs="Times New Roman"/>
          <w:b/>
          <w:iCs/>
          <w:sz w:val="28"/>
          <w:szCs w:val="28"/>
          <w:lang w:val="ru"/>
        </w:rPr>
        <w:tab/>
      </w:r>
      <w:r>
        <w:rPr>
          <w:rFonts w:ascii="Times New Roman" w:hAnsi="Times New Roman" w:cs="Times New Roman"/>
          <w:bCs/>
          <w:iCs/>
          <w:sz w:val="28"/>
          <w:szCs w:val="28"/>
          <w:lang w:val="ru"/>
        </w:rPr>
        <w:t>При вилученні нікелю нанофільтраційним методом було також застосовано аніонні комплексоутворювачі, як і у випадку з міддю. А саме,</w:t>
      </w:r>
      <w:r>
        <w:rPr>
          <w:rFonts w:ascii="Times New Roman" w:hAnsi="Times New Roman"/>
          <w:bCs/>
          <w:sz w:val="28"/>
          <w:szCs w:val="28"/>
        </w:rPr>
        <w:t xml:space="preserve"> було </w:t>
      </w:r>
      <w:r>
        <w:rPr>
          <w:rFonts w:ascii="Times New Roman" w:hAnsi="Times New Roman"/>
          <w:bCs/>
          <w:sz w:val="28"/>
          <w:szCs w:val="28"/>
        </w:rPr>
        <w:t>застосовано</w:t>
      </w:r>
      <w:r>
        <w:rPr>
          <w:rFonts w:ascii="Times New Roman" w:hAnsi="Times New Roman"/>
          <w:bCs/>
          <w:sz w:val="28"/>
          <w:szCs w:val="28"/>
        </w:rPr>
        <w:t xml:space="preserve"> ОЕДФК, НТМФК та трилон Б. Результати досліджень наведено на </w:t>
      </w:r>
      <w:r>
        <w:rPr>
          <w:rFonts w:ascii="Times New Roman" w:hAnsi="Times New Roman"/>
          <w:bCs/>
          <w:sz w:val="28"/>
          <w:szCs w:val="28"/>
        </w:rPr>
        <w:t>р</w:t>
      </w:r>
      <w:r>
        <w:rPr>
          <w:rFonts w:ascii="Times New Roman" w:hAnsi="Times New Roman"/>
          <w:bCs/>
          <w:sz w:val="28"/>
          <w:szCs w:val="28"/>
        </w:rPr>
        <w:t xml:space="preserve">ис. </w:t>
      </w:r>
      <w:r>
        <w:rPr>
          <w:rFonts w:ascii="Times New Roman" w:hAnsi="Times New Roman"/>
          <w:bCs/>
          <w:sz w:val="28"/>
          <w:szCs w:val="28"/>
          <w:lang w:val="ru"/>
        </w:rPr>
        <w:t>3.27</w:t>
      </w:r>
      <w:r>
        <w:rPr>
          <w:rFonts w:ascii="Times New Roman" w:hAnsi="Times New Roman"/>
          <w:bCs/>
          <w:sz w:val="28"/>
          <w:szCs w:val="28"/>
        </w:rPr>
        <w:t xml:space="preserve">. </w:t>
      </w:r>
      <w:r>
        <w:rPr>
          <w:rFonts w:ascii="Times New Roman" w:hAnsi="Times New Roman"/>
          <w:bCs/>
          <w:sz w:val="28"/>
          <w:szCs w:val="28"/>
        </w:rPr>
        <w:t>Подібно до вилучення йонів міді з води, найкращих результатів було досягнуто за вико</w:t>
      </w:r>
      <w:r>
        <w:rPr>
          <w:rFonts w:ascii="Times New Roman" w:hAnsi="Times New Roman"/>
          <w:bCs/>
          <w:sz w:val="28"/>
          <w:szCs w:val="28"/>
        </w:rPr>
        <w:t>р</w:t>
      </w:r>
      <w:r>
        <w:rPr>
          <w:rFonts w:ascii="Times New Roman" w:hAnsi="Times New Roman"/>
          <w:bCs/>
          <w:sz w:val="28"/>
          <w:szCs w:val="28"/>
        </w:rPr>
        <w:t xml:space="preserve">истання НТМФК, в той час як ОЕДФК та трилон Б не показали себе достатньо ефективними. </w:t>
      </w:r>
      <w:r>
        <w:rPr>
          <w:rFonts w:ascii="Times New Roman" w:hAnsi="Times New Roman"/>
          <w:bCs/>
          <w:sz w:val="28"/>
          <w:szCs w:val="28"/>
          <w:lang w:val="ru"/>
        </w:rPr>
        <w:t>Концентрація</w:t>
      </w:r>
      <w:r>
        <w:rPr>
          <w:rFonts w:ascii="Times New Roman" w:hAnsi="Times New Roman"/>
          <w:bCs/>
          <w:sz w:val="28"/>
          <w:szCs w:val="28"/>
          <w:lang w:val="ru"/>
        </w:rPr>
        <w:t xml:space="preserve"> трилону Б у розчині складала 0,005 г-екв/дм</w:t>
      </w:r>
      <w:r>
        <w:rPr>
          <w:rFonts w:ascii="Times New Roman" w:hAnsi="Times New Roman"/>
          <w:bCs/>
          <w:sz w:val="28"/>
          <w:szCs w:val="28"/>
          <w:vertAlign w:val="superscript"/>
          <w:lang w:val="ru"/>
        </w:rPr>
        <w:t>3</w:t>
      </w:r>
      <w:r>
        <w:rPr>
          <w:rFonts w:ascii="Times New Roman" w:hAnsi="Times New Roman"/>
          <w:bCs/>
          <w:sz w:val="28"/>
          <w:szCs w:val="28"/>
          <w:lang w:val="ru"/>
        </w:rPr>
        <w:t>, а ОЕДФК та НТМФК - 50 мг/д</w:t>
      </w:r>
      <w:r>
        <w:rPr>
          <w:rFonts w:ascii="Times New Roman" w:hAnsi="Times New Roman"/>
          <w:bCs/>
          <w:sz w:val="28"/>
          <w:szCs w:val="28"/>
          <w:lang w:val="ru"/>
        </w:rPr>
        <w:t>м</w:t>
      </w:r>
      <w:r>
        <w:rPr>
          <w:rFonts w:ascii="Times New Roman" w:hAnsi="Times New Roman"/>
          <w:bCs/>
          <w:sz w:val="28"/>
          <w:szCs w:val="28"/>
          <w:vertAlign w:val="superscript"/>
          <w:lang w:val="ru"/>
        </w:rPr>
        <w:t>3</w:t>
      </w:r>
      <w:r>
        <w:rPr>
          <w:rFonts w:ascii="Times New Roman" w:hAnsi="Times New Roman"/>
          <w:bCs/>
          <w:sz w:val="28"/>
          <w:szCs w:val="28"/>
          <w:lang w:val="ru"/>
        </w:rPr>
        <w:t>. рН розчинів було 8,6, 8,3 та 8,0 для трилону Б, ОЕДФК та НТМФК відповідно.</w:t>
      </w:r>
    </w:p>
    <w:p w:rsidR="00F1629C" w:rsidRDefault="00F1629C">
      <w:pPr>
        <w:tabs>
          <w:tab w:val="left" w:pos="284"/>
          <w:tab w:val="left" w:pos="4018"/>
        </w:tabs>
        <w:spacing w:after="0" w:line="360" w:lineRule="auto"/>
        <w:jc w:val="both"/>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center"/>
        <w:rPr>
          <w:rFonts w:ascii="Times New Roman" w:hAnsi="Times New Roman" w:cs="Times New Roman"/>
          <w:bCs/>
          <w:iCs/>
          <w:sz w:val="28"/>
          <w:szCs w:val="28"/>
          <w:lang w:val="ru"/>
        </w:rPr>
      </w:pPr>
      <w:r>
        <w:rPr>
          <w:noProof/>
          <w:lang w:val="ru-RU" w:eastAsia="ru-RU"/>
        </w:rPr>
        <w:drawing>
          <wp:inline distT="0" distB="0" distL="0" distR="0">
            <wp:extent cx="5486400" cy="2743200"/>
            <wp:effectExtent l="0" t="0" r="0" b="0"/>
            <wp:docPr id="237"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ab/>
      </w:r>
      <w:r>
        <w:rPr>
          <w:rFonts w:ascii="Times New Roman" w:hAnsi="Times New Roman" w:cs="Times New Roman"/>
          <w:bCs/>
          <w:iCs/>
          <w:sz w:val="28"/>
          <w:szCs w:val="28"/>
          <w:lang w:val="ru"/>
        </w:rPr>
        <w:t xml:space="preserve">Рисунок 3.27 - залежність концентрації іонів нікелю в пермеаті (1, 2, 3) та концентраті (4, 5, 6) від об’єму профільтрованого розчину нікелю у дистильованій воді з вихідними концентраціями нікелю </w:t>
      </w:r>
      <w:r>
        <w:rPr>
          <w:rFonts w:ascii="Times New Roman" w:hAnsi="Times New Roman" w:cs="Times New Roman"/>
          <w:sz w:val="28"/>
          <w:szCs w:val="28"/>
        </w:rPr>
        <w:t>0,152 (1</w:t>
      </w:r>
      <w:r>
        <w:rPr>
          <w:rFonts w:ascii="Times New Roman" w:hAnsi="Times New Roman" w:cs="Times New Roman"/>
          <w:color w:val="212121"/>
          <w:sz w:val="28"/>
          <w:szCs w:val="28"/>
        </w:rPr>
        <w:t>;</w:t>
      </w:r>
      <w:r>
        <w:rPr>
          <w:rFonts w:ascii="Times New Roman" w:hAnsi="Times New Roman" w:cs="Times New Roman"/>
          <w:sz w:val="28"/>
          <w:szCs w:val="28"/>
        </w:rPr>
        <w:t xml:space="preserve"> 3</w:t>
      </w:r>
      <w:r>
        <w:rPr>
          <w:rFonts w:ascii="Times New Roman" w:hAnsi="Times New Roman" w:cs="Times New Roman"/>
          <w:color w:val="212121"/>
          <w:sz w:val="28"/>
          <w:szCs w:val="28"/>
        </w:rPr>
        <w:t>;</w:t>
      </w:r>
      <w:r>
        <w:rPr>
          <w:rFonts w:ascii="Times New Roman" w:hAnsi="Times New Roman" w:cs="Times New Roman"/>
          <w:sz w:val="28"/>
          <w:szCs w:val="28"/>
        </w:rPr>
        <w:t xml:space="preserve"> 4</w:t>
      </w:r>
      <w:r>
        <w:rPr>
          <w:rFonts w:ascii="Times New Roman" w:hAnsi="Times New Roman" w:cs="Times New Roman"/>
          <w:color w:val="212121"/>
          <w:sz w:val="28"/>
          <w:szCs w:val="28"/>
        </w:rPr>
        <w:t>;</w:t>
      </w:r>
      <w:r>
        <w:rPr>
          <w:rFonts w:ascii="Times New Roman" w:hAnsi="Times New Roman" w:cs="Times New Roman"/>
          <w:sz w:val="28"/>
          <w:szCs w:val="28"/>
        </w:rPr>
        <w:t xml:space="preserve"> 6) та 0.1 (2</w:t>
      </w:r>
      <w:r>
        <w:rPr>
          <w:rFonts w:ascii="Times New Roman" w:hAnsi="Times New Roman" w:cs="Times New Roman"/>
          <w:color w:val="212121"/>
          <w:sz w:val="28"/>
          <w:szCs w:val="28"/>
        </w:rPr>
        <w:t>;</w:t>
      </w:r>
      <w:r>
        <w:rPr>
          <w:rFonts w:ascii="Times New Roman" w:hAnsi="Times New Roman" w:cs="Times New Roman"/>
          <w:sz w:val="28"/>
          <w:szCs w:val="28"/>
        </w:rPr>
        <w:t xml:space="preserve"> 5) мг/дм</w:t>
      </w:r>
      <w:r>
        <w:rPr>
          <w:rFonts w:ascii="Times New Roman" w:hAnsi="Times New Roman" w:cs="Times New Roman"/>
          <w:sz w:val="28"/>
          <w:szCs w:val="28"/>
          <w:vertAlign w:val="superscript"/>
        </w:rPr>
        <w:t>3</w:t>
      </w:r>
    </w:p>
    <w:p w:rsidR="00F1629C" w:rsidRDefault="00F1629C">
      <w:pPr>
        <w:spacing w:line="360" w:lineRule="auto"/>
        <w:ind w:firstLine="700"/>
        <w:jc w:val="both"/>
        <w:rPr>
          <w:rFonts w:ascii="Times New Roman" w:hAnsi="Times New Roman" w:cs="Times New Roman"/>
          <w:sz w:val="28"/>
          <w:szCs w:val="28"/>
          <w:lang w:val="ru"/>
        </w:rPr>
      </w:pPr>
    </w:p>
    <w:p w:rsidR="00F1629C" w:rsidRDefault="00E671D2">
      <w:pPr>
        <w:tabs>
          <w:tab w:val="left" w:pos="7215"/>
        </w:tabs>
        <w:spacing w:after="0" w:line="360" w:lineRule="auto"/>
        <w:ind w:right="-1" w:firstLine="540"/>
        <w:jc w:val="both"/>
        <w:rPr>
          <w:rFonts w:ascii="Times New Roman" w:hAnsi="Times New Roman"/>
          <w:bCs/>
          <w:sz w:val="28"/>
          <w:szCs w:val="28"/>
          <w:lang w:val="ru"/>
        </w:rPr>
      </w:pPr>
      <w:r>
        <w:rPr>
          <w:rFonts w:ascii="Times New Roman" w:hAnsi="Times New Roman"/>
          <w:bCs/>
          <w:sz w:val="28"/>
          <w:szCs w:val="28"/>
          <w:lang w:val="ru"/>
        </w:rPr>
        <w:t>Для</w:t>
      </w:r>
      <w:r>
        <w:rPr>
          <w:rFonts w:ascii="Times New Roman" w:hAnsi="Times New Roman"/>
          <w:bCs/>
          <w:sz w:val="28"/>
          <w:szCs w:val="28"/>
          <w:lang w:val="ru"/>
        </w:rPr>
        <w:t xml:space="preserve"> дистильованої в</w:t>
      </w:r>
      <w:r>
        <w:rPr>
          <w:rFonts w:ascii="Times New Roman" w:hAnsi="Times New Roman"/>
          <w:bCs/>
          <w:sz w:val="28"/>
          <w:szCs w:val="28"/>
          <w:lang w:val="ru"/>
        </w:rPr>
        <w:t>оди ступінь вилучення нікелю складала 100% при використанні НТМФК у концентрації 50 мг/дм</w:t>
      </w:r>
      <w:r>
        <w:rPr>
          <w:rFonts w:ascii="Times New Roman" w:hAnsi="Times New Roman"/>
          <w:bCs/>
          <w:sz w:val="28"/>
          <w:szCs w:val="28"/>
          <w:vertAlign w:val="superscript"/>
          <w:lang w:val="ru"/>
        </w:rPr>
        <w:t>3</w:t>
      </w:r>
      <w:r>
        <w:rPr>
          <w:rFonts w:ascii="Times New Roman" w:hAnsi="Times New Roman"/>
          <w:bCs/>
          <w:sz w:val="28"/>
          <w:szCs w:val="28"/>
        </w:rPr>
        <w:t>, проте ефективність вилучення останнього з водопровідної води була значно нижчою</w:t>
      </w:r>
      <w:r>
        <w:rPr>
          <w:rFonts w:ascii="Times New Roman" w:hAnsi="Times New Roman"/>
          <w:bCs/>
          <w:sz w:val="28"/>
          <w:szCs w:val="28"/>
          <w:lang w:val="ru"/>
        </w:rPr>
        <w:t xml:space="preserve"> при використанні того ж комплексону</w:t>
      </w:r>
      <w:r>
        <w:rPr>
          <w:rFonts w:ascii="Times New Roman" w:hAnsi="Times New Roman"/>
          <w:bCs/>
          <w:sz w:val="28"/>
          <w:szCs w:val="28"/>
        </w:rPr>
        <w:t xml:space="preserve">. Концентрація нікелю знижувалася лише до 100 </w:t>
      </w:r>
      <w:r>
        <w:rPr>
          <w:rFonts w:ascii="Times New Roman" w:hAnsi="Times New Roman"/>
          <w:bCs/>
          <w:sz w:val="28"/>
          <w:szCs w:val="28"/>
        </w:rPr>
        <w:t>мкг/дм</w:t>
      </w:r>
      <w:r>
        <w:rPr>
          <w:rFonts w:ascii="Times New Roman" w:hAnsi="Times New Roman"/>
          <w:bCs/>
          <w:sz w:val="28"/>
          <w:szCs w:val="28"/>
          <w:vertAlign w:val="superscript"/>
        </w:rPr>
        <w:t xml:space="preserve">3 </w:t>
      </w:r>
      <w:r>
        <w:rPr>
          <w:rFonts w:ascii="Times New Roman" w:hAnsi="Times New Roman"/>
          <w:bCs/>
          <w:sz w:val="28"/>
          <w:szCs w:val="28"/>
        </w:rPr>
        <w:t>зі 125 мкг/дм</w:t>
      </w:r>
      <w:r>
        <w:rPr>
          <w:rFonts w:ascii="Times New Roman" w:hAnsi="Times New Roman"/>
          <w:bCs/>
          <w:sz w:val="28"/>
          <w:szCs w:val="28"/>
          <w:vertAlign w:val="superscript"/>
        </w:rPr>
        <w:t xml:space="preserve">3 </w:t>
      </w:r>
      <w:r>
        <w:rPr>
          <w:rFonts w:ascii="Times New Roman" w:hAnsi="Times New Roman"/>
          <w:bCs/>
          <w:sz w:val="28"/>
          <w:szCs w:val="28"/>
        </w:rPr>
        <w:t xml:space="preserve">(рис. </w:t>
      </w:r>
      <w:r>
        <w:rPr>
          <w:rFonts w:ascii="Times New Roman" w:hAnsi="Times New Roman"/>
          <w:bCs/>
          <w:sz w:val="28"/>
          <w:szCs w:val="28"/>
          <w:lang w:val="ru"/>
        </w:rPr>
        <w:t>3</w:t>
      </w:r>
      <w:r>
        <w:rPr>
          <w:rFonts w:ascii="Times New Roman" w:hAnsi="Times New Roman"/>
          <w:bCs/>
          <w:sz w:val="28"/>
          <w:szCs w:val="28"/>
        </w:rPr>
        <w:t>.</w:t>
      </w:r>
      <w:r>
        <w:rPr>
          <w:rFonts w:ascii="Times New Roman" w:hAnsi="Times New Roman"/>
          <w:bCs/>
          <w:sz w:val="28"/>
          <w:szCs w:val="28"/>
          <w:lang w:val="ru"/>
        </w:rPr>
        <w:t>28</w:t>
      </w:r>
      <w:r>
        <w:rPr>
          <w:rFonts w:ascii="Times New Roman" w:hAnsi="Times New Roman"/>
          <w:bCs/>
          <w:sz w:val="28"/>
          <w:szCs w:val="28"/>
        </w:rPr>
        <w:t>).</w:t>
      </w:r>
      <w:r>
        <w:rPr>
          <w:rFonts w:ascii="Times New Roman" w:hAnsi="Times New Roman"/>
          <w:bCs/>
          <w:sz w:val="28"/>
          <w:szCs w:val="28"/>
          <w:lang w:val="ru"/>
        </w:rPr>
        <w:t xml:space="preserve"> Жорсткість водопровідної води складала 4,6 мг-екв/дм</w:t>
      </w:r>
      <w:r>
        <w:rPr>
          <w:rFonts w:ascii="Times New Roman" w:hAnsi="Times New Roman"/>
          <w:bCs/>
          <w:sz w:val="28"/>
          <w:szCs w:val="28"/>
          <w:vertAlign w:val="superscript"/>
          <w:lang w:val="ru"/>
        </w:rPr>
        <w:t>3</w:t>
      </w:r>
      <w:r>
        <w:rPr>
          <w:rFonts w:ascii="Times New Roman" w:hAnsi="Times New Roman"/>
          <w:bCs/>
          <w:sz w:val="28"/>
          <w:szCs w:val="28"/>
          <w:lang w:val="ru"/>
        </w:rPr>
        <w:t>, а рН = 8,02.</w:t>
      </w:r>
    </w:p>
    <w:p w:rsidR="00F1629C" w:rsidRDefault="00F1629C">
      <w:pPr>
        <w:spacing w:line="240" w:lineRule="auto"/>
        <w:ind w:firstLine="700"/>
        <w:jc w:val="both"/>
        <w:rPr>
          <w:rFonts w:ascii="Times New Roman" w:hAnsi="Times New Roman" w:cs="Times New Roman"/>
          <w:sz w:val="28"/>
          <w:szCs w:val="28"/>
          <w:lang w:val="ru"/>
        </w:rPr>
      </w:pPr>
    </w:p>
    <w:p w:rsidR="00F1629C" w:rsidRDefault="00E671D2">
      <w:pPr>
        <w:spacing w:line="360" w:lineRule="auto"/>
        <w:jc w:val="center"/>
        <w:rPr>
          <w:rFonts w:ascii="Times New Roman" w:hAnsi="Times New Roman" w:cs="Times New Roman"/>
          <w:sz w:val="28"/>
          <w:szCs w:val="28"/>
          <w:lang w:val="ru"/>
        </w:rPr>
      </w:pPr>
      <w:r>
        <w:rPr>
          <w:noProof/>
          <w:lang w:val="ru-RU" w:eastAsia="ru-RU"/>
        </w:rPr>
        <w:drawing>
          <wp:inline distT="0" distB="0" distL="0" distR="0">
            <wp:extent cx="5486400" cy="1828800"/>
            <wp:effectExtent l="0" t="0" r="0" b="0"/>
            <wp:docPr id="239"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Рисунок 3.28 - залежність концентрації іонів нікелю (1, 2) та іонів жорсткості (2, 3) у пермеаті (1, 3) та концентраті (2, 4) від ступеня відбору пер</w:t>
      </w:r>
      <w:r>
        <w:rPr>
          <w:rFonts w:ascii="Times New Roman" w:hAnsi="Times New Roman" w:cs="Times New Roman"/>
          <w:sz w:val="28"/>
          <w:szCs w:val="28"/>
          <w:lang w:val="ru"/>
        </w:rPr>
        <w:t>меату при використанні НТМФК для фільтрації розчину нікелю у водопровідній воді</w:t>
      </w:r>
    </w:p>
    <w:p w:rsidR="00F1629C" w:rsidRDefault="00F1629C">
      <w:pPr>
        <w:spacing w:line="240" w:lineRule="auto"/>
        <w:ind w:firstLine="700"/>
        <w:jc w:val="both"/>
        <w:rPr>
          <w:rFonts w:ascii="Times New Roman" w:hAnsi="Times New Roman" w:cs="Times New Roman"/>
          <w:sz w:val="28"/>
          <w:szCs w:val="28"/>
          <w:lang w:val="ru"/>
        </w:rPr>
      </w:pPr>
    </w:p>
    <w:p w:rsidR="00F1629C" w:rsidRDefault="00E671D2">
      <w:pPr>
        <w:tabs>
          <w:tab w:val="left" w:pos="7215"/>
        </w:tabs>
        <w:spacing w:after="0" w:line="360" w:lineRule="auto"/>
        <w:ind w:right="-1" w:firstLine="540"/>
        <w:jc w:val="both"/>
        <w:rPr>
          <w:rFonts w:ascii="Times New Roman" w:hAnsi="Times New Roman"/>
          <w:bCs/>
          <w:sz w:val="28"/>
          <w:szCs w:val="28"/>
          <w:lang w:val="ru"/>
        </w:rPr>
      </w:pPr>
      <w:r>
        <w:rPr>
          <w:rFonts w:ascii="Times New Roman" w:hAnsi="Times New Roman"/>
          <w:bCs/>
          <w:sz w:val="28"/>
          <w:szCs w:val="28"/>
        </w:rPr>
        <w:t>Повного вилучення нікелю</w:t>
      </w:r>
      <w:r>
        <w:rPr>
          <w:rFonts w:ascii="Times New Roman" w:hAnsi="Times New Roman"/>
          <w:bCs/>
          <w:sz w:val="28"/>
          <w:szCs w:val="28"/>
          <w:lang w:val="ru"/>
        </w:rPr>
        <w:t xml:space="preserve"> нанофільтраційним методом</w:t>
      </w:r>
      <w:r>
        <w:rPr>
          <w:rFonts w:ascii="Times New Roman" w:hAnsi="Times New Roman"/>
          <w:bCs/>
          <w:sz w:val="28"/>
          <w:szCs w:val="28"/>
        </w:rPr>
        <w:t xml:space="preserve"> було досягнуто п</w:t>
      </w:r>
      <w:r>
        <w:rPr>
          <w:rFonts w:ascii="Times New Roman" w:hAnsi="Times New Roman"/>
          <w:bCs/>
          <w:sz w:val="28"/>
          <w:szCs w:val="28"/>
          <w:lang w:val="ru"/>
        </w:rPr>
        <w:t>ри</w:t>
      </w:r>
      <w:r>
        <w:rPr>
          <w:rFonts w:ascii="Times New Roman" w:hAnsi="Times New Roman"/>
          <w:bCs/>
          <w:sz w:val="28"/>
          <w:szCs w:val="28"/>
        </w:rPr>
        <w:t xml:space="preserve"> пропусканн</w:t>
      </w:r>
      <w:r>
        <w:rPr>
          <w:rFonts w:ascii="Times New Roman" w:hAnsi="Times New Roman"/>
          <w:bCs/>
          <w:sz w:val="28"/>
          <w:szCs w:val="28"/>
          <w:lang w:val="ru"/>
        </w:rPr>
        <w:t>і</w:t>
      </w:r>
      <w:r>
        <w:rPr>
          <w:rFonts w:ascii="Times New Roman" w:hAnsi="Times New Roman"/>
          <w:bCs/>
          <w:sz w:val="28"/>
          <w:szCs w:val="28"/>
        </w:rPr>
        <w:t xml:space="preserve"> розчину</w:t>
      </w:r>
      <w:r>
        <w:rPr>
          <w:rFonts w:ascii="Times New Roman" w:hAnsi="Times New Roman"/>
          <w:bCs/>
          <w:sz w:val="28"/>
          <w:szCs w:val="28"/>
          <w:lang w:val="ru"/>
        </w:rPr>
        <w:t xml:space="preserve"> нікелю у водопровідній воді</w:t>
      </w:r>
      <w:r>
        <w:rPr>
          <w:rFonts w:ascii="Times New Roman" w:hAnsi="Times New Roman"/>
          <w:bCs/>
          <w:sz w:val="28"/>
          <w:szCs w:val="28"/>
        </w:rPr>
        <w:t xml:space="preserve"> через аніоніт АВ–17–8</w:t>
      </w:r>
      <w:r>
        <w:rPr>
          <w:rFonts w:ascii="Times New Roman" w:hAnsi="Times New Roman"/>
          <w:bCs/>
          <w:sz w:val="28"/>
          <w:szCs w:val="28"/>
          <w:lang w:val="ru"/>
        </w:rPr>
        <w:t xml:space="preserve"> в ОН</w:t>
      </w:r>
      <w:r>
        <w:rPr>
          <w:rFonts w:ascii="Times New Roman" w:hAnsi="Times New Roman"/>
          <w:bCs/>
          <w:sz w:val="28"/>
          <w:szCs w:val="28"/>
          <w:vertAlign w:val="superscript"/>
          <w:lang w:val="ru"/>
        </w:rPr>
        <w:t>-</w:t>
      </w:r>
      <w:r>
        <w:rPr>
          <w:rFonts w:ascii="Times New Roman" w:hAnsi="Times New Roman"/>
          <w:bCs/>
          <w:sz w:val="28"/>
          <w:szCs w:val="28"/>
          <w:lang w:val="ru"/>
        </w:rPr>
        <w:t>-формі</w:t>
      </w:r>
      <w:r>
        <w:rPr>
          <w:rFonts w:ascii="Times New Roman" w:hAnsi="Times New Roman"/>
          <w:bCs/>
          <w:sz w:val="28"/>
          <w:szCs w:val="28"/>
        </w:rPr>
        <w:t>, доведення рН до 8,5 та</w:t>
      </w:r>
      <w:r>
        <w:rPr>
          <w:rFonts w:ascii="Times New Roman" w:hAnsi="Times New Roman"/>
          <w:bCs/>
          <w:sz w:val="28"/>
          <w:szCs w:val="28"/>
        </w:rPr>
        <w:t xml:space="preserve"> додавання НТМФК у концентрації 50 мг/дм</w:t>
      </w:r>
      <w:r>
        <w:rPr>
          <w:rFonts w:ascii="Times New Roman" w:hAnsi="Times New Roman"/>
          <w:bCs/>
          <w:sz w:val="28"/>
          <w:szCs w:val="28"/>
          <w:vertAlign w:val="superscript"/>
        </w:rPr>
        <w:t>3</w:t>
      </w:r>
      <w:r>
        <w:rPr>
          <w:rFonts w:ascii="Times New Roman" w:hAnsi="Times New Roman"/>
          <w:bCs/>
          <w:sz w:val="28"/>
          <w:szCs w:val="28"/>
        </w:rPr>
        <w:t xml:space="preserve"> (рис. </w:t>
      </w:r>
      <w:r>
        <w:rPr>
          <w:rFonts w:ascii="Times New Roman" w:hAnsi="Times New Roman"/>
          <w:bCs/>
          <w:sz w:val="28"/>
          <w:szCs w:val="28"/>
          <w:lang w:val="ru"/>
        </w:rPr>
        <w:t>3.29</w:t>
      </w:r>
      <w:r>
        <w:rPr>
          <w:rFonts w:ascii="Times New Roman" w:hAnsi="Times New Roman"/>
          <w:bCs/>
          <w:sz w:val="28"/>
          <w:szCs w:val="28"/>
        </w:rPr>
        <w:t>).</w:t>
      </w:r>
      <w:r>
        <w:rPr>
          <w:rFonts w:ascii="Times New Roman" w:hAnsi="Times New Roman"/>
          <w:bCs/>
          <w:sz w:val="28"/>
          <w:szCs w:val="28"/>
          <w:lang w:val="ru"/>
        </w:rPr>
        <w:t xml:space="preserve"> Концентрація нікелю у вихідному розчині складала 0,1 мг/дм</w:t>
      </w:r>
      <w:r>
        <w:rPr>
          <w:rFonts w:ascii="Times New Roman" w:hAnsi="Times New Roman"/>
          <w:bCs/>
          <w:sz w:val="28"/>
          <w:szCs w:val="28"/>
          <w:vertAlign w:val="superscript"/>
          <w:lang w:val="ru"/>
        </w:rPr>
        <w:t>3</w:t>
      </w:r>
      <w:r>
        <w:rPr>
          <w:rFonts w:ascii="Times New Roman" w:hAnsi="Times New Roman"/>
          <w:bCs/>
          <w:sz w:val="28"/>
          <w:szCs w:val="28"/>
          <w:lang w:val="ru"/>
        </w:rPr>
        <w:t>, жорсткість водопровідної води була 2,3 мг-екв/дм</w:t>
      </w:r>
      <w:r>
        <w:rPr>
          <w:rFonts w:ascii="Times New Roman" w:hAnsi="Times New Roman"/>
          <w:bCs/>
          <w:sz w:val="28"/>
          <w:szCs w:val="28"/>
          <w:vertAlign w:val="superscript"/>
          <w:lang w:val="ru"/>
        </w:rPr>
        <w:t>3</w:t>
      </w:r>
      <w:r>
        <w:rPr>
          <w:rFonts w:ascii="Times New Roman" w:hAnsi="Times New Roman"/>
          <w:bCs/>
          <w:sz w:val="28"/>
          <w:szCs w:val="28"/>
          <w:lang w:val="ru"/>
        </w:rPr>
        <w:t>, а рН дорівнював 8,5.</w:t>
      </w:r>
    </w:p>
    <w:p w:rsidR="00F1629C" w:rsidRDefault="00F1629C">
      <w:pPr>
        <w:tabs>
          <w:tab w:val="left" w:pos="7215"/>
        </w:tabs>
        <w:spacing w:after="0" w:line="360" w:lineRule="auto"/>
        <w:ind w:right="-1" w:firstLine="540"/>
        <w:jc w:val="both"/>
        <w:rPr>
          <w:rFonts w:ascii="Times New Roman" w:hAnsi="Times New Roman"/>
          <w:bCs/>
          <w:sz w:val="28"/>
          <w:szCs w:val="28"/>
          <w:lang w:val="ru"/>
        </w:rPr>
      </w:pPr>
    </w:p>
    <w:p w:rsidR="00F1629C" w:rsidRDefault="00E671D2">
      <w:pPr>
        <w:tabs>
          <w:tab w:val="left" w:pos="7215"/>
        </w:tabs>
        <w:spacing w:after="0" w:line="360" w:lineRule="auto"/>
        <w:ind w:right="-1" w:firstLine="540"/>
        <w:jc w:val="both"/>
        <w:rPr>
          <w:lang w:val="en-US"/>
        </w:rPr>
      </w:pPr>
      <w:r>
        <w:rPr>
          <w:noProof/>
          <w:lang w:val="ru-RU" w:eastAsia="ru-RU"/>
        </w:rPr>
        <w:drawing>
          <wp:inline distT="0" distB="0" distL="0" distR="0">
            <wp:extent cx="5486400" cy="1828800"/>
            <wp:effectExtent l="0" t="0" r="0" b="0"/>
            <wp:docPr id="240"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1629C" w:rsidRDefault="00E671D2">
      <w:pPr>
        <w:tabs>
          <w:tab w:val="left" w:pos="7215"/>
        </w:tabs>
        <w:spacing w:after="0" w:line="360" w:lineRule="auto"/>
        <w:ind w:right="-1" w:firstLine="540"/>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3.29 - залежність концентрації міді у пермеаті (1), </w:t>
      </w:r>
      <w:r>
        <w:rPr>
          <w:rFonts w:ascii="Times New Roman" w:hAnsi="Times New Roman" w:cs="Times New Roman"/>
          <w:sz w:val="28"/>
          <w:szCs w:val="28"/>
          <w:lang w:val="ru"/>
        </w:rPr>
        <w:t>концентраті (2) та селективності мембрани від ступеня відбору пермеату після попереднього пропускання розчину сульфату нікелю у водопровідній воді через аніоніт АВ-17-8 у ОН</w:t>
      </w:r>
      <w:r>
        <w:rPr>
          <w:rFonts w:ascii="Times New Roman" w:hAnsi="Times New Roman" w:cs="Times New Roman"/>
          <w:sz w:val="28"/>
          <w:szCs w:val="28"/>
          <w:vertAlign w:val="superscript"/>
          <w:lang w:val="ru"/>
        </w:rPr>
        <w:t>-</w:t>
      </w:r>
      <w:r>
        <w:rPr>
          <w:rFonts w:ascii="Times New Roman" w:hAnsi="Times New Roman" w:cs="Times New Roman"/>
          <w:sz w:val="28"/>
          <w:szCs w:val="28"/>
          <w:lang w:val="ru"/>
        </w:rPr>
        <w:t>-формі</w:t>
      </w:r>
    </w:p>
    <w:p w:rsidR="00F1629C" w:rsidRDefault="00F1629C">
      <w:pPr>
        <w:tabs>
          <w:tab w:val="left" w:pos="7215"/>
        </w:tabs>
        <w:spacing w:after="0" w:line="360" w:lineRule="auto"/>
        <w:ind w:right="-1" w:firstLine="540"/>
        <w:jc w:val="both"/>
        <w:rPr>
          <w:rFonts w:ascii="Times New Roman" w:hAnsi="Times New Roman" w:cs="Times New Roman"/>
          <w:sz w:val="28"/>
          <w:szCs w:val="28"/>
          <w:lang w:val="ru"/>
        </w:rPr>
      </w:pPr>
    </w:p>
    <w:p w:rsidR="00F1629C" w:rsidRDefault="00E671D2">
      <w:pPr>
        <w:tabs>
          <w:tab w:val="left" w:pos="7215"/>
        </w:tabs>
        <w:spacing w:after="0" w:line="360" w:lineRule="auto"/>
        <w:ind w:right="-1" w:firstLine="540"/>
        <w:jc w:val="both"/>
        <w:rPr>
          <w:rFonts w:ascii="Times New Roman" w:hAnsi="Times New Roman" w:cs="Times New Roman"/>
          <w:b/>
          <w:iCs/>
          <w:sz w:val="28"/>
          <w:szCs w:val="28"/>
          <w:lang w:val="ru"/>
        </w:rPr>
      </w:pPr>
      <w:r>
        <w:rPr>
          <w:rFonts w:ascii="Times New Roman" w:hAnsi="Times New Roman" w:cs="Times New Roman"/>
          <w:b/>
          <w:iCs/>
          <w:sz w:val="28"/>
          <w:szCs w:val="28"/>
          <w:lang w:val="ru"/>
        </w:rPr>
        <w:t>3.3.2 Оцінка ефективності іонообмінного вилучення іонів нікелю з води</w:t>
      </w: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 xml:space="preserve">Для </w:t>
      </w:r>
      <w:r>
        <w:rPr>
          <w:rFonts w:ascii="Times New Roman" w:hAnsi="Times New Roman" w:cs="Times New Roman"/>
          <w:bCs/>
          <w:iCs/>
          <w:sz w:val="28"/>
          <w:szCs w:val="28"/>
          <w:lang w:val="ru"/>
        </w:rPr>
        <w:t>вилучення іонів нікелю використовувались також катіоніти КУ-2-8 та DOWEX-MAC-3 y H</w:t>
      </w:r>
      <w:r>
        <w:rPr>
          <w:rFonts w:ascii="Times New Roman" w:hAnsi="Times New Roman" w:cs="Times New Roman"/>
          <w:bCs/>
          <w:iCs/>
          <w:sz w:val="28"/>
          <w:szCs w:val="28"/>
          <w:vertAlign w:val="superscript"/>
          <w:lang w:val="ru"/>
        </w:rPr>
        <w:t>+</w:t>
      </w:r>
      <w:r>
        <w:rPr>
          <w:rFonts w:ascii="Times New Roman" w:hAnsi="Times New Roman" w:cs="Times New Roman"/>
          <w:bCs/>
          <w:iCs/>
          <w:sz w:val="28"/>
          <w:szCs w:val="28"/>
          <w:lang w:val="ru"/>
        </w:rPr>
        <w:t xml:space="preserve"> та Na</w:t>
      </w:r>
      <w:r>
        <w:rPr>
          <w:rFonts w:ascii="Times New Roman" w:hAnsi="Times New Roman" w:cs="Times New Roman"/>
          <w:bCs/>
          <w:iCs/>
          <w:sz w:val="28"/>
          <w:szCs w:val="28"/>
          <w:vertAlign w:val="superscript"/>
          <w:lang w:val="ru"/>
        </w:rPr>
        <w:t>+</w:t>
      </w:r>
      <w:r>
        <w:rPr>
          <w:rFonts w:ascii="Times New Roman" w:hAnsi="Times New Roman" w:cs="Times New Roman"/>
          <w:bCs/>
          <w:iCs/>
          <w:sz w:val="28"/>
          <w:szCs w:val="28"/>
          <w:lang w:val="ru"/>
        </w:rPr>
        <w:t>-формах, об’ємом 20 см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Досліди проводились на розчинах сульфату нікелю у водопровідній та дистильованій воді. Жорсткість водопровідної води під час дослідів складал</w:t>
      </w:r>
      <w:r>
        <w:rPr>
          <w:rFonts w:ascii="Times New Roman" w:hAnsi="Times New Roman" w:cs="Times New Roman"/>
          <w:bCs/>
          <w:iCs/>
          <w:sz w:val="28"/>
          <w:szCs w:val="28"/>
          <w:lang w:val="ru"/>
        </w:rPr>
        <w:t>а 4,8 - 5,5 мг-екв/дм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Вихідні концентрації нікелю складали 1,2 - 1,6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w:t>
      </w: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При використанні КУ-2-8 у різних формах, результати дослідів показали, що за таких вихідних концентрацій нікелю, кінцеві концентрації нікелю не перевищують 0,033 та 0,093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при сорбції нікелю з водопровідної та дистильованої води відповідно на КУ-2-8 у сольовій формі. Кисла форма того ж іоніту продемонструвала результати не вище 0,037 та 0,024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при сорбції нікелю з водопровідної та дистильованої води відповідно (рис. </w:t>
      </w:r>
      <w:r>
        <w:rPr>
          <w:rFonts w:ascii="Times New Roman" w:hAnsi="Times New Roman" w:cs="Times New Roman"/>
          <w:bCs/>
          <w:iCs/>
          <w:sz w:val="28"/>
          <w:szCs w:val="28"/>
          <w:lang w:val="ru"/>
        </w:rPr>
        <w:t>3.30). Важливо також відмітити, що ефективність вилучення іонів нікелю з водопровідної води за допомогою іонообмінної смоли КУ-2-8 практично не залежить від форми іоніту, хоча для дистильованої води різниця між кислою та сольовою формами вельми суттєва. Та</w:t>
      </w:r>
      <w:r>
        <w:rPr>
          <w:rFonts w:ascii="Times New Roman" w:hAnsi="Times New Roman" w:cs="Times New Roman"/>
          <w:bCs/>
          <w:iCs/>
          <w:sz w:val="28"/>
          <w:szCs w:val="28"/>
          <w:lang w:val="ru"/>
        </w:rPr>
        <w:t>кож зацікавленість викликає повне вилучення з води іонів жорсткості, чого при попередніх та майбутніх дослідах з іншими металами помічено не було. Після іонообмінного вилучення іонів важких металів, жорсткість води залишалась, принаймні, на рівні 10</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мг-е</w:t>
      </w:r>
      <w:r>
        <w:rPr>
          <w:rFonts w:ascii="Times New Roman" w:hAnsi="Times New Roman" w:cs="Times New Roman"/>
          <w:bCs/>
          <w:iCs/>
          <w:sz w:val="28"/>
          <w:szCs w:val="28"/>
          <w:lang w:val="ru"/>
        </w:rPr>
        <w:t>кв/дм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w:t>
      </w: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Високу ефективність вилучення іонів нікелю з розчинів сульфату нікелю у водопровідній та дистильованій воді продемонстрував катіоніт DOWEX-MAC-3, незалежно від форми іоніту.</w:t>
      </w: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 xml:space="preserve">Так, максимальна концентрація іонів нікелю у профільтрованому розчині </w:t>
      </w:r>
      <w:r>
        <w:rPr>
          <w:rFonts w:ascii="Times New Roman" w:hAnsi="Times New Roman" w:cs="Times New Roman"/>
          <w:bCs/>
          <w:iCs/>
          <w:sz w:val="28"/>
          <w:szCs w:val="28"/>
          <w:lang w:val="ru"/>
        </w:rPr>
        <w:t>складала 0,023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при вихідній концентрації нікелю у розчині 1,6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що відповідає ступеню вилучення нікелю 98,6%. В усіх інших випадках, кінцеві концентрації нікелю були значно менше (рис. 3.31). </w:t>
      </w:r>
    </w:p>
    <w:p w:rsidR="00F1629C" w:rsidRDefault="00F1629C">
      <w:pPr>
        <w:tabs>
          <w:tab w:val="left" w:pos="7215"/>
        </w:tabs>
        <w:spacing w:after="0" w:line="360" w:lineRule="auto"/>
        <w:ind w:right="-1" w:firstLine="540"/>
        <w:jc w:val="both"/>
        <w:rPr>
          <w:rFonts w:ascii="Times New Roman" w:hAnsi="Times New Roman" w:cs="Times New Roman"/>
          <w:bCs/>
          <w:iCs/>
          <w:sz w:val="28"/>
          <w:szCs w:val="28"/>
          <w:lang w:val="ru"/>
        </w:rPr>
      </w:pP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noProof/>
          <w:lang w:val="ru-RU" w:eastAsia="ru-RU"/>
        </w:rPr>
        <mc:AlternateContent>
          <mc:Choice Requires="wps">
            <w:drawing>
              <wp:anchor distT="0" distB="0" distL="114300" distR="114300" simplePos="0" relativeHeight="252144640" behindDoc="0" locked="0" layoutInCell="1" allowOverlap="1">
                <wp:simplePos x="0" y="0"/>
                <wp:positionH relativeFrom="column">
                  <wp:posOffset>4271645</wp:posOffset>
                </wp:positionH>
                <wp:positionV relativeFrom="paragraph">
                  <wp:posOffset>434340</wp:posOffset>
                </wp:positionV>
                <wp:extent cx="47625" cy="285750"/>
                <wp:effectExtent l="4445" t="635" r="5080" b="18415"/>
                <wp:wrapNone/>
                <wp:docPr id="78" name="Straight Connector 78"/>
                <wp:cNvGraphicFramePr/>
                <a:graphic xmlns:a="http://schemas.openxmlformats.org/drawingml/2006/main">
                  <a:graphicData uri="http://schemas.microsoft.com/office/word/2010/wordprocessingShape">
                    <wps:wsp>
                      <wps:cNvCnPr/>
                      <wps:spPr>
                        <a:xfrm flipH="1">
                          <a:off x="5351780" y="6061075"/>
                          <a:ext cx="47625" cy="285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5128CB" id="Straight Connector 78" o:spid="_x0000_s1026" style="position:absolute;flip:x;z-index:252144640;visibility:visible;mso-wrap-style:square;mso-wrap-distance-left:9pt;mso-wrap-distance-top:0;mso-wrap-distance-right:9pt;mso-wrap-distance-bottom:0;mso-position-horizontal:absolute;mso-position-horizontal-relative:text;mso-position-vertical:absolute;mso-position-vertical-relative:text" from="336.35pt,34.2pt" to="340.1pt,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3616" behindDoc="0" locked="0" layoutInCell="1" allowOverlap="1">
                <wp:simplePos x="0" y="0"/>
                <wp:positionH relativeFrom="column">
                  <wp:posOffset>4100195</wp:posOffset>
                </wp:positionH>
                <wp:positionV relativeFrom="paragraph">
                  <wp:posOffset>1424940</wp:posOffset>
                </wp:positionV>
                <wp:extent cx="171450" cy="390525"/>
                <wp:effectExtent l="4445" t="1905" r="14605" b="7620"/>
                <wp:wrapNone/>
                <wp:docPr id="77" name="Straight Connector 77"/>
                <wp:cNvGraphicFramePr/>
                <a:graphic xmlns:a="http://schemas.openxmlformats.org/drawingml/2006/main">
                  <a:graphicData uri="http://schemas.microsoft.com/office/word/2010/wordprocessingShape">
                    <wps:wsp>
                      <wps:cNvCnPr/>
                      <wps:spPr>
                        <a:xfrm flipH="1">
                          <a:off x="5180330" y="7051675"/>
                          <a:ext cx="171450" cy="390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96D8617" id="Straight Connector 77" o:spid="_x0000_s1026" style="position:absolute;flip:x;z-index:252143616;visibility:visible;mso-wrap-style:square;mso-wrap-distance-left:9pt;mso-wrap-distance-top:0;mso-wrap-distance-right:9pt;mso-wrap-distance-bottom:0;mso-position-horizontal:absolute;mso-position-horizontal-relative:text;mso-position-vertical:absolute;mso-position-vertical-relative:text" from="322.85pt,112.2pt" to="336.35pt,1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2592" behindDoc="0" locked="0" layoutInCell="1" allowOverlap="1">
                <wp:simplePos x="0" y="0"/>
                <wp:positionH relativeFrom="column">
                  <wp:posOffset>4728845</wp:posOffset>
                </wp:positionH>
                <wp:positionV relativeFrom="paragraph">
                  <wp:posOffset>1339215</wp:posOffset>
                </wp:positionV>
                <wp:extent cx="28575" cy="371475"/>
                <wp:effectExtent l="4445" t="635" r="5080" b="8890"/>
                <wp:wrapNone/>
                <wp:docPr id="76" name="Straight Connector 76"/>
                <wp:cNvGraphicFramePr/>
                <a:graphic xmlns:a="http://schemas.openxmlformats.org/drawingml/2006/main">
                  <a:graphicData uri="http://schemas.microsoft.com/office/word/2010/wordprocessingShape">
                    <wps:wsp>
                      <wps:cNvCnPr/>
                      <wps:spPr>
                        <a:xfrm>
                          <a:off x="5808980" y="6965950"/>
                          <a:ext cx="28575" cy="3714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5E7F97" id="Straight Connector 76" o:spid="_x0000_s1026" style="position:absolute;z-index:252142592;visibility:visible;mso-wrap-style:square;mso-wrap-distance-left:9pt;mso-wrap-distance-top:0;mso-wrap-distance-right:9pt;mso-wrap-distance-bottom:0;mso-position-horizontal:absolute;mso-position-horizontal-relative:text;mso-position-vertical:absolute;mso-position-vertical-relative:text" from="372.35pt,105.45pt" to="374.6pt,13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1568" behindDoc="0" locked="0" layoutInCell="1" allowOverlap="1">
                <wp:simplePos x="0" y="0"/>
                <wp:positionH relativeFrom="column">
                  <wp:posOffset>4462145</wp:posOffset>
                </wp:positionH>
                <wp:positionV relativeFrom="paragraph">
                  <wp:posOffset>1901190</wp:posOffset>
                </wp:positionV>
                <wp:extent cx="180975" cy="209550"/>
                <wp:effectExtent l="3810" t="3175" r="5715" b="15875"/>
                <wp:wrapNone/>
                <wp:docPr id="75" name="Straight Connector 75"/>
                <wp:cNvGraphicFramePr/>
                <a:graphic xmlns:a="http://schemas.openxmlformats.org/drawingml/2006/main">
                  <a:graphicData uri="http://schemas.microsoft.com/office/word/2010/wordprocessingShape">
                    <wps:wsp>
                      <wps:cNvCnPr/>
                      <wps:spPr>
                        <a:xfrm flipV="1">
                          <a:off x="5542280" y="7527925"/>
                          <a:ext cx="180975" cy="2095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27CCBF" id="Straight Connector 75" o:spid="_x0000_s1026" style="position:absolute;flip:y;z-index:252141568;visibility:visible;mso-wrap-style:square;mso-wrap-distance-left:9pt;mso-wrap-distance-top:0;mso-wrap-distance-right:9pt;mso-wrap-distance-bottom:0;mso-position-horizontal:absolute;mso-position-horizontal-relative:text;mso-position-vertical:absolute;mso-position-vertical-relative:text" from="351.35pt,149.7pt" to="365.6pt,1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0544" behindDoc="0" locked="0" layoutInCell="1" allowOverlap="1">
                <wp:simplePos x="0" y="0"/>
                <wp:positionH relativeFrom="column">
                  <wp:posOffset>3128645</wp:posOffset>
                </wp:positionH>
                <wp:positionV relativeFrom="paragraph">
                  <wp:posOffset>1796415</wp:posOffset>
                </wp:positionV>
                <wp:extent cx="9525" cy="561975"/>
                <wp:effectExtent l="0" t="0" r="0" b="0"/>
                <wp:wrapNone/>
                <wp:docPr id="53" name="Straight Connector 53"/>
                <wp:cNvGraphicFramePr/>
                <a:graphic xmlns:a="http://schemas.openxmlformats.org/drawingml/2006/main">
                  <a:graphicData uri="http://schemas.microsoft.com/office/word/2010/wordprocessingShape">
                    <wps:wsp>
                      <wps:cNvCnPr/>
                      <wps:spPr>
                        <a:xfrm flipH="1">
                          <a:off x="4208780" y="7423150"/>
                          <a:ext cx="9525" cy="5619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CDE6606" id="Straight Connector 53" o:spid="_x0000_s1026" style="position:absolute;flip:x;z-index:252140544;visibility:visible;mso-wrap-style:square;mso-wrap-distance-left:9pt;mso-wrap-distance-top:0;mso-wrap-distance-right:9pt;mso-wrap-distance-bottom:0;mso-position-horizontal:absolute;mso-position-horizontal-relative:text;mso-position-vertical:absolute;mso-position-vertical-relative:text" from="246.35pt,141.45pt" to="247.1pt,18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39520" behindDoc="0" locked="0" layoutInCell="1" allowOverlap="1">
                <wp:simplePos x="0" y="0"/>
                <wp:positionH relativeFrom="column">
                  <wp:posOffset>1933575</wp:posOffset>
                </wp:positionH>
                <wp:positionV relativeFrom="paragraph">
                  <wp:posOffset>1624965</wp:posOffset>
                </wp:positionV>
                <wp:extent cx="257175" cy="733425"/>
                <wp:effectExtent l="4445" t="1270" r="5080" b="8255"/>
                <wp:wrapNone/>
                <wp:docPr id="31" name="Straight Connector 31"/>
                <wp:cNvGraphicFramePr/>
                <a:graphic xmlns:a="http://schemas.openxmlformats.org/drawingml/2006/main">
                  <a:graphicData uri="http://schemas.microsoft.com/office/word/2010/wordprocessingShape">
                    <wps:wsp>
                      <wps:cNvCnPr/>
                      <wps:spPr>
                        <a:xfrm flipH="1">
                          <a:off x="3013710" y="7251700"/>
                          <a:ext cx="257175" cy="7334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B487D44" id="Straight Connector 31" o:spid="_x0000_s1026" style="position:absolute;flip:x;z-index:252139520;visibility:visible;mso-wrap-style:square;mso-wrap-distance-left:9pt;mso-wrap-distance-top:0;mso-wrap-distance-right:9pt;mso-wrap-distance-bottom:0;mso-position-horizontal:absolute;mso-position-horizontal-relative:text;mso-position-vertical:absolute;mso-position-vertical-relative:text" from="152.25pt,127.95pt" to="172.5pt,18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" strokecolor="black [3213]" strokeweight=".5pt">
                <v:stroke joinstyle="miter"/>
              </v:line>
            </w:pict>
          </mc:Fallback>
        </mc:AlternateContent>
      </w:r>
      <w:r>
        <w:rPr>
          <w:noProof/>
          <w:lang w:val="ru-RU" w:eastAsia="ru-RU"/>
        </w:rPr>
        <w:drawing>
          <wp:inline distT="0" distB="0" distL="0" distR="0">
            <wp:extent cx="5486400" cy="2743200"/>
            <wp:effectExtent l="0" t="0" r="0" b="0"/>
            <wp:docPr id="20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1629C" w:rsidRDefault="00E671D2">
      <w:pPr>
        <w:spacing w:line="360" w:lineRule="auto"/>
        <w:ind w:firstLine="700"/>
        <w:jc w:val="both"/>
        <w:rPr>
          <w:rFonts w:ascii="Times New Roman" w:hAnsi="Times New Roman" w:cs="Times New Roman"/>
          <w:bCs/>
          <w:sz w:val="28"/>
          <w:szCs w:val="28"/>
          <w:lang w:val="ru"/>
        </w:rPr>
      </w:pPr>
      <w:r>
        <w:rPr>
          <w:rFonts w:ascii="Times New Roman" w:hAnsi="Times New Roman" w:cs="Times New Roman"/>
          <w:bCs/>
          <w:sz w:val="28"/>
          <w:szCs w:val="28"/>
          <w:lang w:val="ru"/>
        </w:rPr>
        <w:t>Рисунок</w:t>
      </w:r>
      <w:r>
        <w:rPr>
          <w:rFonts w:ascii="Times New Roman" w:hAnsi="Times New Roman" w:cs="Times New Roman"/>
          <w:bCs/>
          <w:sz w:val="28"/>
          <w:szCs w:val="28"/>
          <w:lang w:val="ru"/>
        </w:rPr>
        <w:t xml:space="preserve"> 3.30 - залежність концентрації іо</w:t>
      </w:r>
      <w:r>
        <w:rPr>
          <w:rFonts w:ascii="Times New Roman" w:hAnsi="Times New Roman" w:cs="Times New Roman"/>
          <w:bCs/>
          <w:sz w:val="28"/>
          <w:szCs w:val="28"/>
          <w:lang w:val="ru"/>
        </w:rPr>
        <w:t>нів нікелю (1, 2, 3, 4) та жорсткості (5, 6) розчинів нікелю у водопровідній (1, 3, 5, 6) та дистильованій (2, 4) воді від об’єму профільтрованого через катіоніт КУ-2-8 у сольовій (1, 2, 5) та кислій (3, 4, 6) формі при вихідних концентраціях нікелю 1,52 (</w:t>
      </w:r>
      <w:r>
        <w:rPr>
          <w:rFonts w:ascii="Times New Roman" w:hAnsi="Times New Roman" w:cs="Times New Roman"/>
          <w:bCs/>
          <w:sz w:val="28"/>
          <w:szCs w:val="28"/>
          <w:lang w:val="ru"/>
        </w:rPr>
        <w:t>1, 5), 1,43 (2, 3, 6) та 1,23 (4) мг/дм</w:t>
      </w:r>
      <w:r>
        <w:rPr>
          <w:rFonts w:ascii="Times New Roman" w:hAnsi="Times New Roman" w:cs="Times New Roman"/>
          <w:bCs/>
          <w:sz w:val="28"/>
          <w:szCs w:val="28"/>
          <w:vertAlign w:val="superscript"/>
          <w:lang w:val="ru"/>
        </w:rPr>
        <w:t>3</w:t>
      </w:r>
      <w:r>
        <w:rPr>
          <w:rFonts w:ascii="Times New Roman" w:hAnsi="Times New Roman" w:cs="Times New Roman"/>
          <w:bCs/>
          <w:sz w:val="28"/>
          <w:szCs w:val="28"/>
          <w:lang w:val="ru"/>
        </w:rPr>
        <w:t xml:space="preserve">  </w:t>
      </w:r>
    </w:p>
    <w:p w:rsidR="00F1629C" w:rsidRDefault="00F1629C">
      <w:pPr>
        <w:rPr>
          <w:rFonts w:ascii="Times New Roman" w:hAnsi="Times New Roman" w:cs="Times New Roman"/>
          <w:b/>
          <w:sz w:val="28"/>
          <w:szCs w:val="28"/>
        </w:rPr>
      </w:pP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Пов’язати таке зниження ефективності іоніту можна з тим, що даний результат було отримано при фільтруванні розчину сульфату міді у дистильованій воді через катіоніт у кислій формі. Таке поєднання умов досліду спр</w:t>
      </w:r>
      <w:r>
        <w:rPr>
          <w:rFonts w:ascii="Times New Roman" w:hAnsi="Times New Roman" w:cs="Times New Roman"/>
          <w:bCs/>
          <w:iCs/>
          <w:sz w:val="28"/>
          <w:szCs w:val="28"/>
          <w:lang w:val="ru"/>
        </w:rPr>
        <w:t>ияє суттєвому зниженню рН розчину, що призводить до часткової ассоціації диссоційованих карбоксильних груп іоніту та, відповідно, до зниження його обмінної ємності. Об’єм іоніту під час дослідів також складав 20 см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жорсткість водопровідної води коливалас</w:t>
      </w:r>
      <w:r>
        <w:rPr>
          <w:rFonts w:ascii="Times New Roman" w:hAnsi="Times New Roman" w:cs="Times New Roman"/>
          <w:bCs/>
          <w:iCs/>
          <w:sz w:val="28"/>
          <w:szCs w:val="28"/>
          <w:lang w:val="ru"/>
        </w:rPr>
        <w:t>я в межах 4,8 - 4,9 мг-екв/дм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В перших пробах в усіх випадках ступінь вилучення іонів нікелю коливався в межах 99,5 - 99,7%. </w:t>
      </w:r>
    </w:p>
    <w:p w:rsidR="00F1629C" w:rsidRDefault="00E671D2">
      <w:pPr>
        <w:tabs>
          <w:tab w:val="left" w:pos="7215"/>
        </w:tabs>
        <w:spacing w:after="0" w:line="360" w:lineRule="auto"/>
        <w:ind w:right="-1" w:firstLine="540"/>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Таким чином, іонний обмін є придатним методом вилучення нікелю з розчинів сульфату нікелю як у водопровідній, так і у дистильова</w:t>
      </w:r>
      <w:r>
        <w:rPr>
          <w:rFonts w:ascii="Times New Roman" w:hAnsi="Times New Roman" w:cs="Times New Roman"/>
          <w:bCs/>
          <w:iCs/>
          <w:sz w:val="28"/>
          <w:szCs w:val="28"/>
          <w:lang w:val="ru"/>
        </w:rPr>
        <w:t>ній воді. Особливо високу ефективність демонструє катіоніт DOWEX-MAC-3 y Na</w:t>
      </w:r>
      <w:r>
        <w:rPr>
          <w:rFonts w:ascii="Times New Roman" w:hAnsi="Times New Roman" w:cs="Times New Roman"/>
          <w:bCs/>
          <w:iCs/>
          <w:sz w:val="28"/>
          <w:szCs w:val="28"/>
          <w:vertAlign w:val="superscript"/>
          <w:lang w:val="ru"/>
        </w:rPr>
        <w:t>+</w:t>
      </w:r>
      <w:r>
        <w:rPr>
          <w:rFonts w:ascii="Times New Roman" w:hAnsi="Times New Roman" w:cs="Times New Roman"/>
          <w:bCs/>
          <w:iCs/>
          <w:sz w:val="28"/>
          <w:szCs w:val="28"/>
          <w:lang w:val="ru"/>
        </w:rPr>
        <w:t>-формі.</w:t>
      </w:r>
    </w:p>
    <w:p w:rsidR="00F1629C" w:rsidRDefault="00E671D2">
      <w:pPr>
        <w:jc w:val="center"/>
        <w:rPr>
          <w:lang w:val="en-US"/>
        </w:rPr>
      </w:pPr>
      <w:r>
        <w:rPr>
          <w:noProof/>
          <w:lang w:val="ru-RU" w:eastAsia="ru-RU"/>
        </w:rPr>
        <mc:AlternateContent>
          <mc:Choice Requires="wps">
            <w:drawing>
              <wp:anchor distT="0" distB="0" distL="114300" distR="114300" simplePos="0" relativeHeight="253621248" behindDoc="0" locked="0" layoutInCell="1" allowOverlap="1">
                <wp:simplePos x="0" y="0"/>
                <wp:positionH relativeFrom="column">
                  <wp:posOffset>2585720</wp:posOffset>
                </wp:positionH>
                <wp:positionV relativeFrom="paragraph">
                  <wp:posOffset>1641475</wp:posOffset>
                </wp:positionV>
                <wp:extent cx="66675" cy="285750"/>
                <wp:effectExtent l="4445" t="1270" r="5080" b="17780"/>
                <wp:wrapNone/>
                <wp:docPr id="86" name="Straight Connector 86"/>
                <wp:cNvGraphicFramePr/>
                <a:graphic xmlns:a="http://schemas.openxmlformats.org/drawingml/2006/main">
                  <a:graphicData uri="http://schemas.microsoft.com/office/word/2010/wordprocessingShape">
                    <wps:wsp>
                      <wps:cNvCnPr/>
                      <wps:spPr>
                        <a:xfrm flipV="1">
                          <a:off x="3665855" y="2361565"/>
                          <a:ext cx="66675" cy="285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F3A48F8" id="Straight Connector 86" o:spid="_x0000_s1026" style="position:absolute;flip:y;z-index:253621248;visibility:visible;mso-wrap-style:square;mso-wrap-distance-left:9pt;mso-wrap-distance-top:0;mso-wrap-distance-right:9pt;mso-wrap-distance-bottom:0;mso-position-horizontal:absolute;mso-position-horizontal-relative:text;mso-position-vertical:absolute;mso-position-vertical-relative:text" from="203.6pt,129.25pt" to="208.85pt,1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3620224" behindDoc="0" locked="0" layoutInCell="1" allowOverlap="1">
                <wp:simplePos x="0" y="0"/>
                <wp:positionH relativeFrom="column">
                  <wp:posOffset>2861945</wp:posOffset>
                </wp:positionH>
                <wp:positionV relativeFrom="paragraph">
                  <wp:posOffset>1212850</wp:posOffset>
                </wp:positionV>
                <wp:extent cx="247650" cy="200025"/>
                <wp:effectExtent l="3175" t="3810" r="15875" b="5715"/>
                <wp:wrapNone/>
                <wp:docPr id="85" name="Straight Connector 85"/>
                <wp:cNvGraphicFramePr/>
                <a:graphic xmlns:a="http://schemas.openxmlformats.org/drawingml/2006/main">
                  <a:graphicData uri="http://schemas.microsoft.com/office/word/2010/wordprocessingShape">
                    <wps:wsp>
                      <wps:cNvCnPr/>
                      <wps:spPr>
                        <a:xfrm flipH="1">
                          <a:off x="3942080" y="1932940"/>
                          <a:ext cx="247650" cy="2000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CD03BD" id="Straight Connector 85" o:spid="_x0000_s1026" style="position:absolute;flip:x;z-index:253620224;visibility:visible;mso-wrap-style:square;mso-wrap-distance-left:9pt;mso-wrap-distance-top:0;mso-wrap-distance-right:9pt;mso-wrap-distance-bottom:0;mso-position-horizontal:absolute;mso-position-horizontal-relative:text;mso-position-vertical:absolute;mso-position-vertical-relative:text" from="225.35pt,95.5pt" to="244.85pt,1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3619200" behindDoc="0" locked="0" layoutInCell="1" allowOverlap="1">
                <wp:simplePos x="0" y="0"/>
                <wp:positionH relativeFrom="column">
                  <wp:posOffset>4224020</wp:posOffset>
                </wp:positionH>
                <wp:positionV relativeFrom="paragraph">
                  <wp:posOffset>155575</wp:posOffset>
                </wp:positionV>
                <wp:extent cx="9525" cy="438150"/>
                <wp:effectExtent l="4445" t="0" r="5080" b="0"/>
                <wp:wrapNone/>
                <wp:docPr id="84" name="Straight Connector 84"/>
                <wp:cNvGraphicFramePr/>
                <a:graphic xmlns:a="http://schemas.openxmlformats.org/drawingml/2006/main">
                  <a:graphicData uri="http://schemas.microsoft.com/office/word/2010/wordprocessingShape">
                    <wps:wsp>
                      <wps:cNvCnPr/>
                      <wps:spPr>
                        <a:xfrm flipV="1">
                          <a:off x="0" y="0"/>
                          <a:ext cx="9525" cy="438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A2FB17" id="Straight Connector 84" o:spid="_x0000_s1026" style="position:absolute;flip:y;z-index:253619200;visibility:visible;mso-wrap-style:square;mso-wrap-distance-left:9pt;mso-wrap-distance-top:0;mso-wrap-distance-right:9pt;mso-wrap-distance-bottom:0;mso-position-horizontal:absolute;mso-position-horizontal-relative:text;mso-position-vertical:absolute;mso-position-vertical-relative:text" from="332.6pt,12.25pt" to="333.35pt,4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3128704" behindDoc="0" locked="0" layoutInCell="1" allowOverlap="1">
                <wp:simplePos x="0" y="0"/>
                <wp:positionH relativeFrom="column">
                  <wp:posOffset>3843020</wp:posOffset>
                </wp:positionH>
                <wp:positionV relativeFrom="paragraph">
                  <wp:posOffset>165100</wp:posOffset>
                </wp:positionV>
                <wp:extent cx="9525" cy="438150"/>
                <wp:effectExtent l="4445" t="0" r="5080" b="0"/>
                <wp:wrapNone/>
                <wp:docPr id="83" name="Straight Connector 83"/>
                <wp:cNvGraphicFramePr/>
                <a:graphic xmlns:a="http://schemas.openxmlformats.org/drawingml/2006/main">
                  <a:graphicData uri="http://schemas.microsoft.com/office/word/2010/wordprocessingShape">
                    <wps:wsp>
                      <wps:cNvCnPr/>
                      <wps:spPr>
                        <a:xfrm flipV="1">
                          <a:off x="0" y="0"/>
                          <a:ext cx="9525" cy="438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9AD9A6" id="Straight Connector 83" o:spid="_x0000_s1026" style="position:absolute;flip:y;z-index:253128704;visibility:visible;mso-wrap-style:square;mso-wrap-distance-left:9pt;mso-wrap-distance-top:0;mso-wrap-distance-right:9pt;mso-wrap-distance-bottom:0;mso-position-horizontal:absolute;mso-position-horizontal-relative:text;mso-position-vertical:absolute;mso-position-vertical-relative:text" from="302.6pt,13pt" to="303.3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638208" behindDoc="0" locked="0" layoutInCell="1" allowOverlap="1">
                <wp:simplePos x="0" y="0"/>
                <wp:positionH relativeFrom="column">
                  <wp:posOffset>3452495</wp:posOffset>
                </wp:positionH>
                <wp:positionV relativeFrom="paragraph">
                  <wp:posOffset>127000</wp:posOffset>
                </wp:positionV>
                <wp:extent cx="9525" cy="438150"/>
                <wp:effectExtent l="4445" t="0" r="5080" b="0"/>
                <wp:wrapNone/>
                <wp:docPr id="82" name="Straight Connector 82"/>
                <wp:cNvGraphicFramePr/>
                <a:graphic xmlns:a="http://schemas.openxmlformats.org/drawingml/2006/main">
                  <a:graphicData uri="http://schemas.microsoft.com/office/word/2010/wordprocessingShape">
                    <wps:wsp>
                      <wps:cNvCnPr/>
                      <wps:spPr>
                        <a:xfrm flipV="1">
                          <a:off x="0" y="0"/>
                          <a:ext cx="9525" cy="438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0420C9" id="Straight Connector 82" o:spid="_x0000_s1026" style="position:absolute;flip:y;z-index:252638208;visibility:visible;mso-wrap-style:square;mso-wrap-distance-left:9pt;mso-wrap-distance-top:0;mso-wrap-distance-right:9pt;mso-wrap-distance-bottom:0;mso-position-horizontal:absolute;mso-position-horizontal-relative:text;mso-position-vertical:absolute;mso-position-vertical-relative:text" from="271.85pt,10pt" to="272.6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7712" behindDoc="0" locked="0" layoutInCell="1" allowOverlap="1">
                <wp:simplePos x="0" y="0"/>
                <wp:positionH relativeFrom="column">
                  <wp:posOffset>3090545</wp:posOffset>
                </wp:positionH>
                <wp:positionV relativeFrom="paragraph">
                  <wp:posOffset>165100</wp:posOffset>
                </wp:positionV>
                <wp:extent cx="9525" cy="438150"/>
                <wp:effectExtent l="4445" t="0" r="5080" b="0"/>
                <wp:wrapNone/>
                <wp:docPr id="81" name="Straight Connector 81"/>
                <wp:cNvGraphicFramePr/>
                <a:graphic xmlns:a="http://schemas.openxmlformats.org/drawingml/2006/main">
                  <a:graphicData uri="http://schemas.microsoft.com/office/word/2010/wordprocessingShape">
                    <wps:wsp>
                      <wps:cNvCnPr/>
                      <wps:spPr>
                        <a:xfrm flipV="1">
                          <a:off x="4170680" y="885190"/>
                          <a:ext cx="9525" cy="438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CBCE6E" id="Straight Connector 81" o:spid="_x0000_s1026" style="position:absolute;flip:y;z-index:252147712;visibility:visible;mso-wrap-style:square;mso-wrap-distance-left:9pt;mso-wrap-distance-top:0;mso-wrap-distance-right:9pt;mso-wrap-distance-bottom:0;mso-position-horizontal:absolute;mso-position-horizontal-relative:text;mso-position-vertical:absolute;mso-position-vertical-relative:text" from="243.35pt,13pt" to="244.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6688" behindDoc="0" locked="0" layoutInCell="1" allowOverlap="1">
                <wp:simplePos x="0" y="0"/>
                <wp:positionH relativeFrom="column">
                  <wp:posOffset>1776095</wp:posOffset>
                </wp:positionH>
                <wp:positionV relativeFrom="paragraph">
                  <wp:posOffset>269875</wp:posOffset>
                </wp:positionV>
                <wp:extent cx="152400" cy="276225"/>
                <wp:effectExtent l="4445" t="2540" r="14605" b="6985"/>
                <wp:wrapNone/>
                <wp:docPr id="80" name="Straight Connector 80"/>
                <wp:cNvGraphicFramePr/>
                <a:graphic xmlns:a="http://schemas.openxmlformats.org/drawingml/2006/main">
                  <a:graphicData uri="http://schemas.microsoft.com/office/word/2010/wordprocessingShape">
                    <wps:wsp>
                      <wps:cNvCnPr/>
                      <wps:spPr>
                        <a:xfrm flipV="1">
                          <a:off x="2856230" y="989965"/>
                          <a:ext cx="152400" cy="2762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468CF74" id="Straight Connector 80" o:spid="_x0000_s1026" style="position:absolute;flip:y;z-index:252146688;visibility:visible;mso-wrap-style:square;mso-wrap-distance-left:9pt;mso-wrap-distance-top:0;mso-wrap-distance-right:9pt;mso-wrap-distance-bottom:0;mso-position-horizontal:absolute;mso-position-horizontal-relative:text;mso-position-vertical:absolute;mso-position-vertical-relative:text" from="139.85pt,21.25pt" to="151.8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2145664" behindDoc="0" locked="0" layoutInCell="1" allowOverlap="1">
                <wp:simplePos x="0" y="0"/>
                <wp:positionH relativeFrom="column">
                  <wp:posOffset>2604770</wp:posOffset>
                </wp:positionH>
                <wp:positionV relativeFrom="paragraph">
                  <wp:posOffset>231775</wp:posOffset>
                </wp:positionV>
                <wp:extent cx="161925" cy="381000"/>
                <wp:effectExtent l="4445" t="1905" r="5080" b="17145"/>
                <wp:wrapNone/>
                <wp:docPr id="79" name="Straight Connector 79"/>
                <wp:cNvGraphicFramePr/>
                <a:graphic xmlns:a="http://schemas.openxmlformats.org/drawingml/2006/main">
                  <a:graphicData uri="http://schemas.microsoft.com/office/word/2010/wordprocessingShape">
                    <wps:wsp>
                      <wps:cNvCnPr/>
                      <wps:spPr>
                        <a:xfrm flipV="1">
                          <a:off x="3684905" y="951865"/>
                          <a:ext cx="161925" cy="3810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AB2841" id="Straight Connector 79" o:spid="_x0000_s1026" style="position:absolute;flip:y;z-index:252145664;visibility:visible;mso-wrap-style:square;mso-wrap-distance-left:9pt;mso-wrap-distance-top:0;mso-wrap-distance-right:9pt;mso-wrap-distance-bottom:0;mso-position-horizontal:absolute;mso-position-horizontal-relative:text;mso-position-vertical:absolute;mso-position-vertical-relative:text" from="205.1pt,18.25pt" to="217.85pt,4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" strokecolor="black [3213]" strokeweight=".5pt">
                <v:stroke joinstyle="miter"/>
              </v:line>
            </w:pict>
          </mc:Fallback>
        </mc:AlternateContent>
      </w:r>
      <w:r>
        <w:rPr>
          <w:noProof/>
          <w:lang w:val="ru-RU" w:eastAsia="ru-RU"/>
        </w:rPr>
        <w:drawing>
          <wp:inline distT="0" distB="0" distL="0" distR="0">
            <wp:extent cx="5486400" cy="2743200"/>
            <wp:effectExtent l="0" t="0" r="0" b="0"/>
            <wp:docPr id="21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1629C" w:rsidRDefault="00E671D2">
      <w:pPr>
        <w:spacing w:line="360" w:lineRule="auto"/>
        <w:ind w:firstLine="700"/>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3.31 - залежність ступеню вилучення іонів нікелю (1, 2, 3, 4) та рН розчину (5, 6, 7, 8) після фільтрування розчину сульфату міді у водопровідній (1, 3, </w:t>
      </w:r>
      <w:r>
        <w:rPr>
          <w:rFonts w:ascii="Times New Roman" w:hAnsi="Times New Roman" w:cs="Times New Roman"/>
          <w:sz w:val="28"/>
          <w:szCs w:val="28"/>
          <w:lang w:val="ru"/>
        </w:rPr>
        <w:t>5, 7) та дистильованій (2, 4, 6, 8) воді через катіоніт DOWEX-MAC-3 у кислій (3, 4, 7, 8) та сольовій (1, 2, 5, 6) формі при вихідних концентрації нікелю у розчинах 1,6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w:t>
      </w:r>
    </w:p>
    <w:p w:rsidR="00F1629C" w:rsidRDefault="00F1629C">
      <w:pPr>
        <w:spacing w:line="360" w:lineRule="auto"/>
        <w:ind w:firstLine="700"/>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3.4 Оцінка ефективності вилучення іонів кадмію з води</w:t>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3.4.1 Оцінка ефективно</w:t>
      </w:r>
      <w:r>
        <w:rPr>
          <w:rFonts w:ascii="Times New Roman" w:hAnsi="Times New Roman" w:cs="Times New Roman"/>
          <w:b/>
          <w:iCs/>
          <w:sz w:val="28"/>
          <w:szCs w:val="28"/>
          <w:lang w:val="ru"/>
        </w:rPr>
        <w:t>сті нанофільтраційного вилучення іонів кадмію з води</w:t>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
          <w:iCs/>
          <w:sz w:val="28"/>
          <w:szCs w:val="28"/>
          <w:lang w:val="ru"/>
        </w:rPr>
        <w:tab/>
      </w:r>
      <w:r>
        <w:rPr>
          <w:rFonts w:ascii="Times New Roman" w:hAnsi="Times New Roman" w:cs="Times New Roman"/>
          <w:bCs/>
          <w:iCs/>
          <w:sz w:val="28"/>
          <w:szCs w:val="28"/>
          <w:lang w:val="ru"/>
        </w:rPr>
        <w:t>При нанофільтраційному вилученні іонів кадмію з розчинів, окрім НТМФК, ОЕДФК та трилону Б також використовувалися такі комплексоутворювачі як ДДТН та Акватон.</w:t>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ab/>
        <w:t>Дослідження показали що ефективність компл</w:t>
      </w:r>
      <w:r>
        <w:rPr>
          <w:rFonts w:ascii="Times New Roman" w:hAnsi="Times New Roman" w:cs="Times New Roman"/>
          <w:bCs/>
          <w:iCs/>
          <w:sz w:val="28"/>
          <w:szCs w:val="28"/>
          <w:lang w:val="ru"/>
        </w:rPr>
        <w:t>ексонів, що успішно вилучали мідь з розчинів значно знижується у випадку з вилученням кадмію. Так, як видно з рисунку 3.32 та таблиці 3.7, НТМФК взагалі не сприяла підвищенню селективності мембрани ОПМН-П по іонах кадмію у дистильованій воді. Дещо краще (н</w:t>
      </w:r>
      <w:r>
        <w:rPr>
          <w:rFonts w:ascii="Times New Roman" w:hAnsi="Times New Roman" w:cs="Times New Roman"/>
          <w:bCs/>
          <w:iCs/>
          <w:sz w:val="28"/>
          <w:szCs w:val="28"/>
          <w:lang w:val="ru"/>
        </w:rPr>
        <w:t>а рівні 30%) впорався з задачею диетилдитіокарбомат натрію з акватоном, селективність 94 % забезпечувало використання 0,005Н трилону Б. Але повного вилучення кадмію було досягуто при використанні ОЕДФК, концентрацією 50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за різних вихідних концентрац</w:t>
      </w:r>
      <w:r>
        <w:rPr>
          <w:rFonts w:ascii="Times New Roman" w:hAnsi="Times New Roman" w:cs="Times New Roman"/>
          <w:bCs/>
          <w:iCs/>
          <w:sz w:val="28"/>
          <w:szCs w:val="28"/>
          <w:lang w:val="ru"/>
        </w:rPr>
        <w:t>ій іонів кадмію у розчинах</w:t>
      </w:r>
      <w:r>
        <w:rPr>
          <w:rFonts w:ascii="Times New Roman" w:hAnsi="Times New Roman" w:cs="Times New Roman"/>
          <w:bCs/>
          <w:iCs/>
          <w:sz w:val="28"/>
          <w:szCs w:val="28"/>
          <w:lang w:val="ru"/>
        </w:rPr>
        <w:t>.</w:t>
      </w:r>
    </w:p>
    <w:p w:rsidR="00F1629C" w:rsidRDefault="00E671D2">
      <w:pPr>
        <w:tabs>
          <w:tab w:val="left" w:pos="284"/>
          <w:tab w:val="left" w:pos="4018"/>
        </w:tabs>
        <w:spacing w:after="0" w:line="360" w:lineRule="auto"/>
        <w:jc w:val="center"/>
        <w:rPr>
          <w:lang w:val="en-US"/>
        </w:rPr>
      </w:pPr>
      <w:r>
        <w:rPr>
          <w:noProof/>
          <w:lang w:val="ru-RU" w:eastAsia="ru-RU"/>
        </w:rPr>
        <w:drawing>
          <wp:inline distT="0" distB="0" distL="0" distR="0">
            <wp:extent cx="5486400" cy="2743200"/>
            <wp:effectExtent l="0" t="0" r="0" b="0"/>
            <wp:docPr id="222"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1629C" w:rsidRDefault="00E671D2">
      <w:pPr>
        <w:widowControl w:val="0"/>
        <w:tabs>
          <w:tab w:val="left" w:pos="2420"/>
        </w:tabs>
        <w:spacing w:after="0" w:line="360" w:lineRule="auto"/>
        <w:ind w:firstLine="709"/>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3.32 - залежність селективності нанофільтраційної мембрани ОПМН-П по іонах кадмію від ступеня відбору пермеату при застосуванні комплексонів </w:t>
      </w:r>
      <w:r>
        <w:rPr>
          <w:rFonts w:ascii="Times New Roman" w:hAnsi="Times New Roman" w:cs="Times New Roman"/>
          <w:sz w:val="28"/>
          <w:szCs w:val="28"/>
        </w:rPr>
        <w:t>НТМФК (50 мг/дм</w:t>
      </w:r>
      <w:r>
        <w:rPr>
          <w:rFonts w:ascii="Times New Roman" w:hAnsi="Times New Roman" w:cs="Times New Roman"/>
          <w:sz w:val="28"/>
          <w:szCs w:val="28"/>
          <w:vertAlign w:val="superscript"/>
        </w:rPr>
        <w:t>3</w:t>
      </w:r>
      <w:r>
        <w:rPr>
          <w:rFonts w:ascii="Times New Roman" w:hAnsi="Times New Roman" w:cs="Times New Roman"/>
          <w:sz w:val="28"/>
          <w:szCs w:val="28"/>
        </w:rPr>
        <w:t>) (1), Трилону Б (0,005 N) (2), ОЕДФК (50 мг/дм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(3; 5; 6), </w:t>
      </w:r>
      <w:r>
        <w:rPr>
          <w:rFonts w:ascii="Times New Roman" w:hAnsi="Times New Roman" w:cs="Times New Roman"/>
          <w:sz w:val="28"/>
          <w:szCs w:val="28"/>
        </w:rPr>
        <w:t>Акватона (50 мг/дм</w:t>
      </w:r>
      <w:r>
        <w:rPr>
          <w:rFonts w:ascii="Times New Roman" w:hAnsi="Times New Roman" w:cs="Times New Roman"/>
          <w:sz w:val="28"/>
          <w:szCs w:val="28"/>
          <w:vertAlign w:val="superscript"/>
        </w:rPr>
        <w:t>3</w:t>
      </w:r>
      <w:r>
        <w:rPr>
          <w:rFonts w:ascii="Times New Roman" w:hAnsi="Times New Roman" w:cs="Times New Roman"/>
          <w:sz w:val="28"/>
          <w:szCs w:val="28"/>
        </w:rPr>
        <w:t>)</w:t>
      </w:r>
      <w:r>
        <w:rPr>
          <w:rFonts w:ascii="Times New Roman" w:hAnsi="Times New Roman" w:cs="Times New Roman"/>
          <w:sz w:val="28"/>
          <w:szCs w:val="28"/>
          <w:lang w:val="ru"/>
        </w:rPr>
        <w:t xml:space="preserve"> та</w:t>
      </w:r>
      <w:r>
        <w:rPr>
          <w:rFonts w:ascii="Times New Roman" w:hAnsi="Times New Roman" w:cs="Times New Roman"/>
          <w:sz w:val="28"/>
          <w:szCs w:val="28"/>
        </w:rPr>
        <w:t xml:space="preserve"> ДДТН (20 мг/дм</w:t>
      </w:r>
      <w:r>
        <w:rPr>
          <w:rFonts w:ascii="Times New Roman" w:hAnsi="Times New Roman" w:cs="Times New Roman"/>
          <w:sz w:val="28"/>
          <w:szCs w:val="28"/>
          <w:vertAlign w:val="superscript"/>
        </w:rPr>
        <w:t>3</w:t>
      </w:r>
      <w:r>
        <w:rPr>
          <w:rFonts w:ascii="Times New Roman" w:hAnsi="Times New Roman" w:cs="Times New Roman"/>
          <w:sz w:val="28"/>
          <w:szCs w:val="28"/>
        </w:rPr>
        <w:t>) (4)</w:t>
      </w:r>
      <w:r>
        <w:rPr>
          <w:rFonts w:ascii="Times New Roman" w:hAnsi="Times New Roman" w:cs="Times New Roman"/>
          <w:sz w:val="28"/>
          <w:szCs w:val="28"/>
          <w:lang w:val="ru"/>
        </w:rPr>
        <w:t xml:space="preserve"> при вихідних концентраціях кадмію </w:t>
      </w:r>
      <w:r>
        <w:rPr>
          <w:rFonts w:ascii="Times New Roman" w:hAnsi="Times New Roman" w:cs="Times New Roman"/>
          <w:sz w:val="28"/>
          <w:szCs w:val="28"/>
        </w:rPr>
        <w:t>0,125 (1), 0,100 (2; 3), 0,010 (4); 0,015 (5), 3,8∙10</w:t>
      </w:r>
      <w:r>
        <w:rPr>
          <w:rFonts w:ascii="Times New Roman" w:hAnsi="Times New Roman" w:cs="Times New Roman"/>
          <w:sz w:val="28"/>
          <w:szCs w:val="28"/>
          <w:vertAlign w:val="superscript"/>
        </w:rPr>
        <w:t>-6</w:t>
      </w:r>
      <w:r>
        <w:rPr>
          <w:rFonts w:ascii="Times New Roman" w:hAnsi="Times New Roman" w:cs="Times New Roman"/>
          <w:sz w:val="28"/>
          <w:szCs w:val="28"/>
        </w:rPr>
        <w:t xml:space="preserve"> (6)</w:t>
      </w:r>
      <w:r>
        <w:rPr>
          <w:rFonts w:ascii="Times New Roman" w:hAnsi="Times New Roman" w:cs="Times New Roman"/>
          <w:sz w:val="28"/>
          <w:szCs w:val="28"/>
          <w:lang w:val="ru"/>
        </w:rPr>
        <w:t xml:space="preserve"> мг/дм</w:t>
      </w:r>
      <w:r>
        <w:rPr>
          <w:rFonts w:ascii="Times New Roman" w:hAnsi="Times New Roman" w:cs="Times New Roman"/>
          <w:sz w:val="28"/>
          <w:szCs w:val="28"/>
          <w:vertAlign w:val="superscript"/>
          <w:lang w:val="ru"/>
        </w:rPr>
        <w:t>3</w:t>
      </w:r>
    </w:p>
    <w:p w:rsidR="00F1629C" w:rsidRDefault="00F1629C">
      <w:pPr>
        <w:widowControl w:val="0"/>
        <w:tabs>
          <w:tab w:val="left" w:pos="2420"/>
        </w:tabs>
        <w:spacing w:after="0" w:line="360" w:lineRule="auto"/>
        <w:ind w:firstLine="709"/>
        <w:jc w:val="both"/>
        <w:rPr>
          <w:rFonts w:ascii="Times New Roman" w:hAnsi="Times New Roman" w:cs="Times New Roman"/>
          <w:sz w:val="28"/>
          <w:szCs w:val="28"/>
          <w:lang w:val="ru"/>
        </w:rPr>
      </w:pPr>
    </w:p>
    <w:p w:rsidR="00F1629C" w:rsidRDefault="00E671D2">
      <w:pPr>
        <w:widowControl w:val="0"/>
        <w:tabs>
          <w:tab w:val="left" w:pos="2420"/>
        </w:tabs>
        <w:spacing w:after="0" w:line="360" w:lineRule="auto"/>
        <w:ind w:firstLine="709"/>
        <w:jc w:val="both"/>
        <w:rPr>
          <w:rFonts w:ascii="Times New Roman" w:hAnsi="Times New Roman" w:cs="Times New Roman"/>
          <w:sz w:val="28"/>
          <w:szCs w:val="28"/>
          <w:lang w:val="ru"/>
        </w:rPr>
      </w:pPr>
      <w:r>
        <w:rPr>
          <w:rFonts w:ascii="Times New Roman" w:hAnsi="Times New Roman" w:cs="Times New Roman"/>
          <w:sz w:val="28"/>
          <w:szCs w:val="28"/>
          <w:lang w:val="ru"/>
        </w:rPr>
        <w:t>Таблиця 3.7 - залежність селективності нанофільтраційної мембрани ОПМН-П від використання комплексоутворювачі</w:t>
      </w:r>
      <w:r>
        <w:rPr>
          <w:rFonts w:ascii="Times New Roman" w:hAnsi="Times New Roman" w:cs="Times New Roman"/>
          <w:sz w:val="28"/>
          <w:szCs w:val="28"/>
          <w:lang w:val="ru"/>
        </w:rPr>
        <w:t>в та вихідної концентрації кадмію у розчині</w:t>
      </w:r>
    </w:p>
    <w:tbl>
      <w:tblPr>
        <w:tblW w:w="9668" w:type="dxa"/>
        <w:tblLayout w:type="fixed"/>
        <w:tblCellMar>
          <w:left w:w="0" w:type="dxa"/>
          <w:right w:w="0" w:type="dxa"/>
        </w:tblCellMar>
        <w:tblLook w:val="04A0" w:firstRow="1" w:lastRow="0" w:firstColumn="1" w:lastColumn="0" w:noHBand="0" w:noVBand="1"/>
      </w:tblPr>
      <w:tblGrid>
        <w:gridCol w:w="1181"/>
        <w:gridCol w:w="2722"/>
        <w:gridCol w:w="1441"/>
        <w:gridCol w:w="1441"/>
        <w:gridCol w:w="1442"/>
        <w:gridCol w:w="1441"/>
      </w:tblGrid>
      <w:tr w:rsidR="00F1629C">
        <w:trPr>
          <w:trHeight w:val="960"/>
        </w:trPr>
        <w:tc>
          <w:tcPr>
            <w:tcW w:w="1181"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 пп</w:t>
            </w:r>
          </w:p>
        </w:tc>
        <w:tc>
          <w:tcPr>
            <w:tcW w:w="2722"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Комплексон, концентрація, мг/дм3 (г-екв/дм3)</w:t>
            </w:r>
          </w:p>
        </w:tc>
        <w:tc>
          <w:tcPr>
            <w:tcW w:w="1441"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рН</w:t>
            </w:r>
          </w:p>
        </w:tc>
        <w:tc>
          <w:tcPr>
            <w:tcW w:w="2883" w:type="dxa"/>
            <w:gridSpan w:val="2"/>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Концентрація кадмію, мг/дм3</w:t>
            </w:r>
          </w:p>
        </w:tc>
        <w:tc>
          <w:tcPr>
            <w:tcW w:w="1441"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R, %</w:t>
            </w:r>
          </w:p>
        </w:tc>
      </w:tr>
      <w:tr w:rsidR="00F1629C">
        <w:trPr>
          <w:trHeight w:val="570"/>
        </w:trPr>
        <w:tc>
          <w:tcPr>
            <w:tcW w:w="1181"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2722"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1441"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Вихідна</w:t>
            </w:r>
          </w:p>
        </w:tc>
        <w:tc>
          <w:tcPr>
            <w:tcW w:w="144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В перміаті</w:t>
            </w:r>
          </w:p>
        </w:tc>
        <w:tc>
          <w:tcPr>
            <w:tcW w:w="1441"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r>
      <w:tr w:rsidR="00F1629C">
        <w:trPr>
          <w:trHeight w:val="280"/>
        </w:trPr>
        <w:tc>
          <w:tcPr>
            <w:tcW w:w="1181"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1</w:t>
            </w:r>
          </w:p>
        </w:tc>
        <w:tc>
          <w:tcPr>
            <w:tcW w:w="272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НТМФК, 50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6,88</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0,125</w:t>
            </w:r>
          </w:p>
        </w:tc>
        <w:tc>
          <w:tcPr>
            <w:tcW w:w="144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0,127</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w:t>
            </w:r>
          </w:p>
        </w:tc>
      </w:tr>
      <w:tr w:rsidR="00F1629C">
        <w:trPr>
          <w:trHeight w:val="570"/>
        </w:trPr>
        <w:tc>
          <w:tcPr>
            <w:tcW w:w="1181" w:type="dxa"/>
            <w:vMerge w:val="restart"/>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2</w:t>
            </w:r>
          </w:p>
        </w:tc>
        <w:tc>
          <w:tcPr>
            <w:tcW w:w="2722" w:type="dxa"/>
            <w:tcBorders>
              <w:top w:val="nil"/>
              <w:left w:val="nil"/>
              <w:bottom w:val="nil"/>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Акватон, 50</w:t>
            </w:r>
          </w:p>
        </w:tc>
        <w:tc>
          <w:tcPr>
            <w:tcW w:w="1441" w:type="dxa"/>
            <w:vMerge w:val="restart"/>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6,46</w:t>
            </w:r>
          </w:p>
        </w:tc>
        <w:tc>
          <w:tcPr>
            <w:tcW w:w="1441" w:type="dxa"/>
            <w:vMerge w:val="restart"/>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0,01</w:t>
            </w:r>
          </w:p>
        </w:tc>
        <w:tc>
          <w:tcPr>
            <w:tcW w:w="1442" w:type="dxa"/>
            <w:vMerge w:val="restart"/>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7,4∙10-3</w:t>
            </w:r>
          </w:p>
        </w:tc>
        <w:tc>
          <w:tcPr>
            <w:tcW w:w="1441" w:type="dxa"/>
            <w:vMerge w:val="restart"/>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29,7</w:t>
            </w:r>
          </w:p>
        </w:tc>
      </w:tr>
      <w:tr w:rsidR="00F1629C">
        <w:trPr>
          <w:trHeight w:val="285"/>
        </w:trPr>
        <w:tc>
          <w:tcPr>
            <w:tcW w:w="1181" w:type="dxa"/>
            <w:vMerge/>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272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ДДТН, 20</w:t>
            </w:r>
          </w:p>
        </w:tc>
        <w:tc>
          <w:tcPr>
            <w:tcW w:w="1441" w:type="dxa"/>
            <w:vMerge/>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1441" w:type="dxa"/>
            <w:vMerge/>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1442" w:type="dxa"/>
            <w:vMerge/>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c>
          <w:tcPr>
            <w:tcW w:w="1441" w:type="dxa"/>
            <w:vMerge/>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4"/>
                <w:szCs w:val="24"/>
              </w:rPr>
            </w:pPr>
          </w:p>
        </w:tc>
      </w:tr>
      <w:tr w:rsidR="00F1629C">
        <w:trPr>
          <w:trHeight w:val="280"/>
        </w:trPr>
        <w:tc>
          <w:tcPr>
            <w:tcW w:w="1181"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3</w:t>
            </w:r>
          </w:p>
        </w:tc>
        <w:tc>
          <w:tcPr>
            <w:tcW w:w="272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 xml:space="preserve">Трилон Б, </w:t>
            </w:r>
            <w:r>
              <w:rPr>
                <w:rFonts w:ascii="Times New Roman" w:eastAsia="SimSun" w:hAnsi="Times New Roman" w:cs="Times New Roman"/>
                <w:color w:val="000000"/>
                <w:sz w:val="24"/>
                <w:szCs w:val="24"/>
                <w:lang w:val="en-US" w:eastAsia="zh-CN" w:bidi="ar"/>
              </w:rPr>
              <w:t>0.005N</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6,3</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0,1</w:t>
            </w:r>
          </w:p>
        </w:tc>
        <w:tc>
          <w:tcPr>
            <w:tcW w:w="144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5,7∙10</w:t>
            </w:r>
            <w:r>
              <w:rPr>
                <w:rFonts w:ascii="Times New Roman" w:eastAsia="SimSun" w:hAnsi="Times New Roman" w:cs="Times New Roman"/>
                <w:color w:val="000000"/>
                <w:sz w:val="24"/>
                <w:szCs w:val="24"/>
                <w:vertAlign w:val="superscript"/>
                <w:lang w:val="en-US" w:eastAsia="zh-CN" w:bidi="ar"/>
              </w:rPr>
              <w:t>-3</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94,3</w:t>
            </w:r>
          </w:p>
        </w:tc>
      </w:tr>
      <w:tr w:rsidR="00F1629C">
        <w:trPr>
          <w:trHeight w:val="280"/>
        </w:trPr>
        <w:tc>
          <w:tcPr>
            <w:tcW w:w="1181"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4</w:t>
            </w:r>
          </w:p>
        </w:tc>
        <w:tc>
          <w:tcPr>
            <w:tcW w:w="272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ОЕДФК, 50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6,75</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0,1</w:t>
            </w:r>
          </w:p>
        </w:tc>
        <w:tc>
          <w:tcPr>
            <w:tcW w:w="144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100</w:t>
            </w:r>
          </w:p>
        </w:tc>
      </w:tr>
      <w:tr w:rsidR="00F1629C">
        <w:trPr>
          <w:trHeight w:val="280"/>
        </w:trPr>
        <w:tc>
          <w:tcPr>
            <w:tcW w:w="1181"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5</w:t>
            </w:r>
          </w:p>
        </w:tc>
        <w:tc>
          <w:tcPr>
            <w:tcW w:w="272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ОЕДФК, 50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7,13</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1,5∙10</w:t>
            </w:r>
            <w:r>
              <w:rPr>
                <w:rFonts w:ascii="Times New Roman" w:eastAsia="SimSun" w:hAnsi="Times New Roman" w:cs="Times New Roman"/>
                <w:color w:val="000000"/>
                <w:sz w:val="24"/>
                <w:szCs w:val="24"/>
                <w:vertAlign w:val="superscript"/>
                <w:lang w:val="en-US" w:eastAsia="zh-CN" w:bidi="ar"/>
              </w:rPr>
              <w:t>-2</w:t>
            </w:r>
          </w:p>
        </w:tc>
        <w:tc>
          <w:tcPr>
            <w:tcW w:w="144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100</w:t>
            </w:r>
          </w:p>
        </w:tc>
      </w:tr>
      <w:tr w:rsidR="00F1629C">
        <w:trPr>
          <w:trHeight w:val="280"/>
        </w:trPr>
        <w:tc>
          <w:tcPr>
            <w:tcW w:w="1181"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6</w:t>
            </w:r>
          </w:p>
        </w:tc>
        <w:tc>
          <w:tcPr>
            <w:tcW w:w="272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ОЕДФК, 50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6,21</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3,8∙10</w:t>
            </w:r>
            <w:r>
              <w:rPr>
                <w:rFonts w:ascii="Times New Roman" w:eastAsia="SimSun" w:hAnsi="Times New Roman" w:cs="Times New Roman"/>
                <w:color w:val="000000"/>
                <w:sz w:val="24"/>
                <w:szCs w:val="24"/>
                <w:vertAlign w:val="superscript"/>
                <w:lang w:val="en-US" w:eastAsia="zh-CN" w:bidi="ar"/>
              </w:rPr>
              <w:t>-6</w:t>
            </w:r>
          </w:p>
        </w:tc>
        <w:tc>
          <w:tcPr>
            <w:tcW w:w="144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0</w:t>
            </w:r>
          </w:p>
        </w:tc>
        <w:tc>
          <w:tcPr>
            <w:tcW w:w="14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lang w:val="en-US" w:eastAsia="zh-CN" w:bidi="ar"/>
              </w:rPr>
              <w:t>100</w:t>
            </w:r>
          </w:p>
        </w:tc>
      </w:tr>
    </w:tbl>
    <w:p w:rsidR="00F1629C" w:rsidRDefault="00E671D2">
      <w:pPr>
        <w:widowControl w:val="0"/>
        <w:tabs>
          <w:tab w:val="left" w:pos="2420"/>
        </w:tabs>
        <w:spacing w:after="0" w:line="360" w:lineRule="auto"/>
        <w:ind w:firstLine="709"/>
        <w:jc w:val="both"/>
        <w:rPr>
          <w:rFonts w:ascii="Times New Roman" w:hAnsi="Times New Roman" w:cs="Times New Roman"/>
          <w:sz w:val="28"/>
          <w:szCs w:val="28"/>
          <w:lang w:val="ru"/>
        </w:rPr>
      </w:pPr>
      <w:r>
        <w:rPr>
          <w:rFonts w:ascii="Times New Roman" w:hAnsi="Times New Roman" w:cs="Times New Roman"/>
          <w:sz w:val="28"/>
          <w:szCs w:val="28"/>
          <w:lang w:val="ru"/>
        </w:rPr>
        <w:t xml:space="preserve">Причиною нульової ефективності НТМФК можна вважати утворення нею моноядерних, високорозчинних комплексів з іонами кадмію. І, </w:t>
      </w:r>
      <w:r>
        <w:rPr>
          <w:rFonts w:ascii="Times New Roman" w:hAnsi="Times New Roman" w:cs="Times New Roman"/>
          <w:sz w:val="28"/>
          <w:szCs w:val="28"/>
          <w:lang w:val="ru"/>
        </w:rPr>
        <w:t>навпаки, ОЕДФК з кадмієм утворює нерозчинні, крупні поліядерні комплекси, що схильні до утримання порами нанофільтраційної мембрани.</w:t>
      </w:r>
    </w:p>
    <w:p w:rsidR="00F1629C" w:rsidRDefault="00E671D2">
      <w:pPr>
        <w:widowControl w:val="0"/>
        <w:tabs>
          <w:tab w:val="left" w:pos="2420"/>
        </w:tabs>
        <w:spacing w:after="0" w:line="360" w:lineRule="auto"/>
        <w:ind w:firstLine="709"/>
        <w:jc w:val="both"/>
        <w:rPr>
          <w:rFonts w:ascii="Times New Roman" w:hAnsi="Times New Roman" w:cs="Times New Roman"/>
          <w:sz w:val="28"/>
          <w:szCs w:val="28"/>
          <w:lang w:val="ru"/>
        </w:rPr>
      </w:pPr>
      <w:r>
        <w:rPr>
          <w:rFonts w:ascii="Times New Roman" w:hAnsi="Times New Roman" w:cs="Times New Roman"/>
          <w:sz w:val="28"/>
          <w:szCs w:val="28"/>
          <w:lang w:val="ru"/>
        </w:rPr>
        <w:t>У випадку з кадмієм було також оцінено підвищення селективності мембрани за рахунок використання катіонних флокулянтів Poly</w:t>
      </w:r>
      <w:r>
        <w:rPr>
          <w:rFonts w:ascii="Times New Roman" w:hAnsi="Times New Roman" w:cs="Times New Roman"/>
          <w:sz w:val="28"/>
          <w:szCs w:val="28"/>
          <w:lang w:val="ru"/>
        </w:rPr>
        <w:t>min</w:t>
      </w:r>
      <w:r>
        <w:rPr>
          <w:rFonts w:ascii="Times New Roman" w:hAnsi="Times New Roman" w:cs="Times New Roman"/>
          <w:sz w:val="28"/>
          <w:szCs w:val="28"/>
        </w:rPr>
        <w:t xml:space="preserve">, </w:t>
      </w:r>
      <w:r>
        <w:rPr>
          <w:rFonts w:ascii="Times New Roman" w:hAnsi="Times New Roman" w:cs="Times New Roman"/>
          <w:sz w:val="28"/>
          <w:szCs w:val="28"/>
          <w:lang w:val="ru"/>
        </w:rPr>
        <w:t>Alcofix</w:t>
      </w:r>
      <w:r>
        <w:rPr>
          <w:rFonts w:ascii="Times New Roman" w:hAnsi="Times New Roman" w:cs="Times New Roman"/>
          <w:sz w:val="28"/>
          <w:szCs w:val="28"/>
        </w:rPr>
        <w:t xml:space="preserve">-169 та </w:t>
      </w:r>
      <w:r>
        <w:rPr>
          <w:rFonts w:ascii="Times New Roman" w:hAnsi="Times New Roman" w:cs="Times New Roman"/>
          <w:sz w:val="28"/>
          <w:szCs w:val="28"/>
          <w:lang w:val="ru"/>
        </w:rPr>
        <w:t>KlarAid</w:t>
      </w:r>
      <w:r>
        <w:rPr>
          <w:rFonts w:ascii="Times New Roman" w:hAnsi="Times New Roman" w:cs="Times New Roman"/>
          <w:sz w:val="28"/>
          <w:szCs w:val="28"/>
        </w:rPr>
        <w:t xml:space="preserve"> </w:t>
      </w:r>
      <w:r>
        <w:rPr>
          <w:rFonts w:ascii="Times New Roman" w:hAnsi="Times New Roman" w:cs="Times New Roman"/>
          <w:sz w:val="28"/>
          <w:szCs w:val="28"/>
          <w:lang w:val="ru"/>
        </w:rPr>
        <w:t>PC</w:t>
      </w:r>
      <w:r>
        <w:rPr>
          <w:rFonts w:ascii="Times New Roman" w:hAnsi="Times New Roman" w:cs="Times New Roman"/>
          <w:sz w:val="28"/>
          <w:szCs w:val="28"/>
        </w:rPr>
        <w:t>1194</w:t>
      </w:r>
      <w:r>
        <w:rPr>
          <w:rFonts w:ascii="Times New Roman" w:hAnsi="Times New Roman" w:cs="Times New Roman"/>
          <w:sz w:val="28"/>
          <w:szCs w:val="28"/>
          <w:lang w:val="ru"/>
        </w:rPr>
        <w:t xml:space="preserve"> (рис. 3.33). Під час дослідів, концентрації усіх флокулянтів складали 50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проте, жоден з них не показав таких результатів як ОЕДФК. </w:t>
      </w:r>
      <w:r>
        <w:rPr>
          <w:rFonts w:ascii="Times New Roman" w:hAnsi="Times New Roman" w:cs="Times New Roman"/>
          <w:sz w:val="28"/>
          <w:szCs w:val="28"/>
        </w:rPr>
        <w:t xml:space="preserve"> </w:t>
      </w:r>
      <w:r>
        <w:rPr>
          <w:rFonts w:ascii="Times New Roman" w:hAnsi="Times New Roman" w:cs="Times New Roman"/>
          <w:sz w:val="28"/>
          <w:szCs w:val="28"/>
          <w:lang w:val="ru"/>
        </w:rPr>
        <w:t>Так, тільки KlarAid</w:t>
      </w:r>
      <w:r>
        <w:rPr>
          <w:rFonts w:ascii="Times New Roman" w:hAnsi="Times New Roman" w:cs="Times New Roman"/>
          <w:sz w:val="28"/>
          <w:szCs w:val="28"/>
        </w:rPr>
        <w:t xml:space="preserve"> </w:t>
      </w:r>
      <w:r>
        <w:rPr>
          <w:rFonts w:ascii="Times New Roman" w:hAnsi="Times New Roman" w:cs="Times New Roman"/>
          <w:sz w:val="28"/>
          <w:szCs w:val="28"/>
          <w:lang w:val="ru"/>
        </w:rPr>
        <w:t>PC</w:t>
      </w:r>
      <w:r>
        <w:rPr>
          <w:rFonts w:ascii="Times New Roman" w:hAnsi="Times New Roman" w:cs="Times New Roman"/>
          <w:sz w:val="28"/>
          <w:szCs w:val="28"/>
        </w:rPr>
        <w:t>1194</w:t>
      </w:r>
      <w:r>
        <w:rPr>
          <w:rFonts w:ascii="Times New Roman" w:hAnsi="Times New Roman" w:cs="Times New Roman"/>
          <w:sz w:val="28"/>
          <w:szCs w:val="28"/>
          <w:lang w:val="ru"/>
        </w:rPr>
        <w:t xml:space="preserve"> продемонстрував підвищення селективності мембрани до п</w:t>
      </w:r>
      <w:r>
        <w:rPr>
          <w:rFonts w:ascii="Times New Roman" w:hAnsi="Times New Roman" w:cs="Times New Roman"/>
          <w:sz w:val="28"/>
          <w:szCs w:val="28"/>
          <w:lang w:val="ru"/>
        </w:rPr>
        <w:t>оказнику 92,6 %. Polymin та</w:t>
      </w:r>
      <w:r>
        <w:rPr>
          <w:rFonts w:ascii="Times New Roman" w:hAnsi="Times New Roman" w:cs="Times New Roman"/>
          <w:sz w:val="28"/>
          <w:szCs w:val="28"/>
        </w:rPr>
        <w:t xml:space="preserve"> </w:t>
      </w:r>
      <w:r>
        <w:rPr>
          <w:rFonts w:ascii="Times New Roman" w:hAnsi="Times New Roman" w:cs="Times New Roman"/>
          <w:sz w:val="28"/>
          <w:szCs w:val="28"/>
          <w:lang w:val="ru"/>
        </w:rPr>
        <w:t>Alcofix</w:t>
      </w:r>
      <w:r>
        <w:rPr>
          <w:rFonts w:ascii="Times New Roman" w:hAnsi="Times New Roman" w:cs="Times New Roman"/>
          <w:sz w:val="28"/>
          <w:szCs w:val="28"/>
        </w:rPr>
        <w:t>-169</w:t>
      </w:r>
      <w:r>
        <w:rPr>
          <w:rFonts w:ascii="Times New Roman" w:hAnsi="Times New Roman" w:cs="Times New Roman"/>
          <w:sz w:val="28"/>
          <w:szCs w:val="28"/>
          <w:lang w:val="ru"/>
        </w:rPr>
        <w:t xml:space="preserve"> впорались гірше: на 70,1 та 39,3 % відповідно. Таким чином, можна зробити висновок щодо значно більшої ефективності використання фосфонових кислот, аніж катіонних флокулянтів, при вилученні кадмію з дистильованої вод</w:t>
      </w:r>
      <w:r>
        <w:rPr>
          <w:rFonts w:ascii="Times New Roman" w:hAnsi="Times New Roman" w:cs="Times New Roman"/>
          <w:sz w:val="28"/>
          <w:szCs w:val="28"/>
          <w:lang w:val="ru"/>
        </w:rPr>
        <w:t>и нанофільтраційним методом.</w:t>
      </w:r>
    </w:p>
    <w:p w:rsidR="00F1629C" w:rsidRDefault="00F1629C">
      <w:pPr>
        <w:widowControl w:val="0"/>
        <w:tabs>
          <w:tab w:val="left" w:pos="2420"/>
        </w:tabs>
        <w:spacing w:after="0" w:line="360" w:lineRule="auto"/>
        <w:ind w:firstLine="709"/>
        <w:jc w:val="both"/>
        <w:rPr>
          <w:rFonts w:ascii="Times New Roman" w:hAnsi="Times New Roman" w:cs="Times New Roman"/>
          <w:sz w:val="28"/>
          <w:szCs w:val="28"/>
          <w:lang w:val="ru"/>
        </w:rPr>
      </w:pPr>
    </w:p>
    <w:p w:rsidR="00F1629C" w:rsidRDefault="00E671D2">
      <w:pPr>
        <w:widowControl w:val="0"/>
        <w:tabs>
          <w:tab w:val="left" w:pos="2420"/>
        </w:tabs>
        <w:spacing w:after="0" w:line="360" w:lineRule="auto"/>
        <w:ind w:firstLine="709"/>
        <w:jc w:val="both"/>
        <w:rPr>
          <w:rFonts w:ascii="Times New Roman" w:hAnsi="Times New Roman" w:cs="Times New Roman"/>
          <w:color w:val="212121"/>
          <w:sz w:val="28"/>
          <w:szCs w:val="28"/>
        </w:rPr>
      </w:pPr>
      <w:r>
        <w:rPr>
          <w:noProof/>
          <w:sz w:val="28"/>
          <w:lang w:val="ru-RU" w:eastAsia="ru-RU"/>
        </w:rPr>
        <mc:AlternateContent>
          <mc:Choice Requires="wps">
            <w:drawing>
              <wp:anchor distT="0" distB="0" distL="114300" distR="114300" simplePos="0" relativeHeight="253627392" behindDoc="0" locked="0" layoutInCell="1" allowOverlap="1">
                <wp:simplePos x="0" y="0"/>
                <wp:positionH relativeFrom="column">
                  <wp:posOffset>4319270</wp:posOffset>
                </wp:positionH>
                <wp:positionV relativeFrom="paragraph">
                  <wp:posOffset>330200</wp:posOffset>
                </wp:positionV>
                <wp:extent cx="28575" cy="219075"/>
                <wp:effectExtent l="4445" t="635" r="5080" b="8890"/>
                <wp:wrapNone/>
                <wp:docPr id="93" name="Straight Connector 93"/>
                <wp:cNvGraphicFramePr/>
                <a:graphic xmlns:a="http://schemas.openxmlformats.org/drawingml/2006/main">
                  <a:graphicData uri="http://schemas.microsoft.com/office/word/2010/wordprocessingShape">
                    <wps:wsp>
                      <wps:cNvCnPr/>
                      <wps:spPr>
                        <a:xfrm flipH="1" flipV="1">
                          <a:off x="5399405" y="5343525"/>
                          <a:ext cx="28575" cy="219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A36882" id="Straight Connector 93" o:spid="_x0000_s1026" style="position:absolute;flip:x y;z-index:253627392;visibility:visible;mso-wrap-style:square;mso-wrap-distance-left:9pt;mso-wrap-distance-top:0;mso-wrap-distance-right:9pt;mso-wrap-distance-bottom:0;mso-position-horizontal:absolute;mso-position-horizontal-relative:text;mso-position-vertical:absolute;mso-position-vertical-relative:text" from="340.1pt,26pt" to="342.35pt,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3626368" behindDoc="0" locked="0" layoutInCell="1" allowOverlap="1">
                <wp:simplePos x="0" y="0"/>
                <wp:positionH relativeFrom="column">
                  <wp:posOffset>3766820</wp:posOffset>
                </wp:positionH>
                <wp:positionV relativeFrom="paragraph">
                  <wp:posOffset>320675</wp:posOffset>
                </wp:positionV>
                <wp:extent cx="0" cy="200025"/>
                <wp:effectExtent l="4445" t="0" r="14605" b="9525"/>
                <wp:wrapNone/>
                <wp:docPr id="92" name="Straight Connector 92"/>
                <wp:cNvGraphicFramePr/>
                <a:graphic xmlns:a="http://schemas.openxmlformats.org/drawingml/2006/main">
                  <a:graphicData uri="http://schemas.microsoft.com/office/word/2010/wordprocessingShape">
                    <wps:wsp>
                      <wps:cNvCnPr/>
                      <wps:spPr>
                        <a:xfrm flipV="1">
                          <a:off x="4846955" y="5334000"/>
                          <a:ext cx="0" cy="2000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E5367E" id="Straight Connector 92" o:spid="_x0000_s1026" style="position:absolute;flip:y;z-index:253626368;visibility:visible;mso-wrap-style:square;mso-wrap-distance-left:9pt;mso-wrap-distance-top:0;mso-wrap-distance-right:9pt;mso-wrap-distance-bottom:0;mso-position-horizontal:absolute;mso-position-horizontal-relative:text;mso-position-vertical:absolute;mso-position-vertical-relative:text" from="296.6pt,25.25pt" to="296.6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3625344" behindDoc="0" locked="0" layoutInCell="1" allowOverlap="1">
                <wp:simplePos x="0" y="0"/>
                <wp:positionH relativeFrom="column">
                  <wp:posOffset>3338195</wp:posOffset>
                </wp:positionH>
                <wp:positionV relativeFrom="paragraph">
                  <wp:posOffset>330200</wp:posOffset>
                </wp:positionV>
                <wp:extent cx="9525" cy="200025"/>
                <wp:effectExtent l="4445" t="0" r="5080" b="8890"/>
                <wp:wrapNone/>
                <wp:docPr id="90" name="Straight Connector 90"/>
                <wp:cNvGraphicFramePr/>
                <a:graphic xmlns:a="http://schemas.openxmlformats.org/drawingml/2006/main">
                  <a:graphicData uri="http://schemas.microsoft.com/office/word/2010/wordprocessingShape">
                    <wps:wsp>
                      <wps:cNvCnPr/>
                      <wps:spPr>
                        <a:xfrm flipV="1">
                          <a:off x="4418330" y="5343525"/>
                          <a:ext cx="9525" cy="2000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A94509" id="Straight Connector 90" o:spid="_x0000_s1026" style="position:absolute;flip:y;z-index:253625344;visibility:visible;mso-wrap-style:square;mso-wrap-distance-left:9pt;mso-wrap-distance-top:0;mso-wrap-distance-right:9pt;mso-wrap-distance-bottom:0;mso-position-horizontal:absolute;mso-position-horizontal-relative:text;mso-position-vertical:absolute;mso-position-vertical-relative:text" from="262.85pt,26pt" to="263.6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3624320" behindDoc="0" locked="0" layoutInCell="1" allowOverlap="1">
                <wp:simplePos x="0" y="0"/>
                <wp:positionH relativeFrom="column">
                  <wp:posOffset>2395220</wp:posOffset>
                </wp:positionH>
                <wp:positionV relativeFrom="paragraph">
                  <wp:posOffset>377825</wp:posOffset>
                </wp:positionV>
                <wp:extent cx="95250" cy="219075"/>
                <wp:effectExtent l="4445" t="1905" r="14605" b="7620"/>
                <wp:wrapNone/>
                <wp:docPr id="89" name="Straight Connector 89"/>
                <wp:cNvGraphicFramePr/>
                <a:graphic xmlns:a="http://schemas.openxmlformats.org/drawingml/2006/main">
                  <a:graphicData uri="http://schemas.microsoft.com/office/word/2010/wordprocessingShape">
                    <wps:wsp>
                      <wps:cNvCnPr/>
                      <wps:spPr>
                        <a:xfrm flipV="1">
                          <a:off x="3475355" y="5391150"/>
                          <a:ext cx="95250" cy="219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5577DF" id="Straight Connector 89" o:spid="_x0000_s1026" style="position:absolute;flip:y;z-index:253624320;visibility:visible;mso-wrap-style:square;mso-wrap-distance-left:9pt;mso-wrap-distance-top:0;mso-wrap-distance-right:9pt;mso-wrap-distance-bottom:0;mso-position-horizontal:absolute;mso-position-horizontal-relative:text;mso-position-vertical:absolute;mso-position-vertical-relative:text" from="188.6pt,29.75pt" to="196.1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3623296" behindDoc="0" locked="0" layoutInCell="1" allowOverlap="1">
                <wp:simplePos x="0" y="0"/>
                <wp:positionH relativeFrom="column">
                  <wp:posOffset>3462020</wp:posOffset>
                </wp:positionH>
                <wp:positionV relativeFrom="paragraph">
                  <wp:posOffset>825500</wp:posOffset>
                </wp:positionV>
                <wp:extent cx="180975" cy="266700"/>
                <wp:effectExtent l="3810" t="2540" r="5715" b="16510"/>
                <wp:wrapNone/>
                <wp:docPr id="88" name="Straight Connector 88"/>
                <wp:cNvGraphicFramePr/>
                <a:graphic xmlns:a="http://schemas.openxmlformats.org/drawingml/2006/main">
                  <a:graphicData uri="http://schemas.microsoft.com/office/word/2010/wordprocessingShape">
                    <wps:wsp>
                      <wps:cNvCnPr/>
                      <wps:spPr>
                        <a:xfrm flipH="1" flipV="1">
                          <a:off x="4542155" y="5838825"/>
                          <a:ext cx="180975" cy="2667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488ECB" id="Straight Connector 88" o:spid="_x0000_s1026" style="position:absolute;flip:x y;z-index:253623296;visibility:visible;mso-wrap-style:square;mso-wrap-distance-left:9pt;mso-wrap-distance-top:0;mso-wrap-distance-right:9pt;mso-wrap-distance-bottom:0;mso-position-horizontal:absolute;mso-position-horizontal-relative:text;mso-position-vertical:absolute;mso-position-vertical-relative:text" from="272.6pt,65pt" to="286.8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3622272" behindDoc="0" locked="0" layoutInCell="1" allowOverlap="1">
                <wp:simplePos x="0" y="0"/>
                <wp:positionH relativeFrom="column">
                  <wp:posOffset>2804795</wp:posOffset>
                </wp:positionH>
                <wp:positionV relativeFrom="paragraph">
                  <wp:posOffset>1454150</wp:posOffset>
                </wp:positionV>
                <wp:extent cx="133350" cy="295275"/>
                <wp:effectExtent l="4445" t="1905" r="14605" b="7620"/>
                <wp:wrapNone/>
                <wp:docPr id="87" name="Straight Connector 87"/>
                <wp:cNvGraphicFramePr/>
                <a:graphic xmlns:a="http://schemas.openxmlformats.org/drawingml/2006/main">
                  <a:graphicData uri="http://schemas.microsoft.com/office/word/2010/wordprocessingShape">
                    <wps:wsp>
                      <wps:cNvCnPr/>
                      <wps:spPr>
                        <a:xfrm flipV="1">
                          <a:off x="3884930" y="6467475"/>
                          <a:ext cx="133350" cy="2952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FB9A2B" id="Straight Connector 87" o:spid="_x0000_s1026" style="position:absolute;flip:y;z-index:253622272;visibility:visible;mso-wrap-style:square;mso-wrap-distance-left:9pt;mso-wrap-distance-top:0;mso-wrap-distance-right:9pt;mso-wrap-distance-bottom:0;mso-position-horizontal:absolute;mso-position-horizontal-relative:text;mso-position-vertical:absolute;mso-position-vertical-relative:text" from="220.85pt,114.5pt" to="231.35pt,1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" strokecolor="black [3213]" strokeweight=".5pt">
                <v:stroke joinstyle="miter"/>
              </v:line>
            </w:pict>
          </mc:Fallback>
        </mc:AlternateContent>
      </w:r>
      <w:r>
        <w:rPr>
          <w:rFonts w:ascii="Times New Roman" w:hAnsi="Times New Roman" w:cs="Times New Roman"/>
          <w:noProof/>
          <w:color w:val="212121"/>
          <w:sz w:val="28"/>
          <w:szCs w:val="28"/>
          <w:lang w:val="ru-RU" w:eastAsia="ru-RU"/>
        </w:rPr>
        <w:drawing>
          <wp:inline distT="0" distB="0" distL="0" distR="0">
            <wp:extent cx="5486400" cy="2743200"/>
            <wp:effectExtent l="0" t="0" r="0" b="0"/>
            <wp:docPr id="224"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1629C" w:rsidRDefault="00E671D2">
      <w:pPr>
        <w:widowControl w:val="0"/>
        <w:tabs>
          <w:tab w:val="left" w:pos="2420"/>
        </w:tabs>
        <w:spacing w:after="0" w:line="360" w:lineRule="auto"/>
        <w:ind w:firstLine="709"/>
        <w:jc w:val="both"/>
        <w:rPr>
          <w:rFonts w:ascii="Times New Roman" w:hAnsi="Times New Roman" w:cs="Times New Roman"/>
          <w:sz w:val="28"/>
          <w:szCs w:val="28"/>
          <w:lang w:val="ru"/>
        </w:rPr>
      </w:pPr>
      <w:r>
        <w:rPr>
          <w:rFonts w:ascii="Times New Roman" w:hAnsi="Times New Roman" w:cs="Times New Roman"/>
          <w:sz w:val="28"/>
          <w:szCs w:val="28"/>
          <w:lang w:val="ru"/>
        </w:rPr>
        <w:t xml:space="preserve">Рисунок 3.33 - залежність продуктивності та селективності нанофільтраційної мембрани ОПМН-П по іонах кадмію від ступеня відбору пермеату за використання катіонних флокулянтів </w:t>
      </w:r>
      <w:r>
        <w:rPr>
          <w:rFonts w:ascii="Times New Roman" w:hAnsi="Times New Roman" w:cs="Times New Roman"/>
          <w:sz w:val="28"/>
          <w:szCs w:val="28"/>
        </w:rPr>
        <w:t>Polymin</w:t>
      </w:r>
      <w:r>
        <w:rPr>
          <w:rFonts w:ascii="Times New Roman" w:hAnsi="Times New Roman" w:cs="Times New Roman"/>
          <w:sz w:val="28"/>
          <w:szCs w:val="28"/>
        </w:rPr>
        <w:t xml:space="preserve"> (1; 4), </w:t>
      </w:r>
      <w:r>
        <w:rPr>
          <w:rFonts w:ascii="Times New Roman" w:hAnsi="Times New Roman" w:cs="Times New Roman"/>
          <w:spacing w:val="-3"/>
          <w:sz w:val="28"/>
          <w:szCs w:val="28"/>
        </w:rPr>
        <w:t>А</w:t>
      </w:r>
      <w:r>
        <w:rPr>
          <w:rFonts w:ascii="Times New Roman" w:hAnsi="Times New Roman" w:cs="Times New Roman"/>
          <w:spacing w:val="-3"/>
          <w:sz w:val="28"/>
          <w:szCs w:val="28"/>
        </w:rPr>
        <w:t>lcofix</w:t>
      </w:r>
      <w:r>
        <w:rPr>
          <w:rFonts w:ascii="Times New Roman" w:hAnsi="Times New Roman" w:cs="Times New Roman"/>
          <w:spacing w:val="-3"/>
          <w:sz w:val="28"/>
          <w:szCs w:val="28"/>
        </w:rPr>
        <w:t xml:space="preserve">-169 (2; 5) та </w:t>
      </w:r>
      <w:r>
        <w:rPr>
          <w:rFonts w:ascii="Times New Roman" w:hAnsi="Times New Roman" w:cs="Times New Roman"/>
          <w:spacing w:val="-3"/>
          <w:sz w:val="28"/>
          <w:szCs w:val="28"/>
        </w:rPr>
        <w:t>KlarAid PC1194 (3; 6)</w:t>
      </w:r>
      <w:r>
        <w:rPr>
          <w:rFonts w:ascii="Times New Roman" w:hAnsi="Times New Roman" w:cs="Times New Roman"/>
          <w:sz w:val="28"/>
          <w:szCs w:val="28"/>
          <w:lang w:val="ru"/>
        </w:rPr>
        <w:t xml:space="preserve"> при пропусканні розчину кадмію у дистильованій воді з вихідною концентрацією по іонах кадмію 0,01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w:t>
      </w:r>
    </w:p>
    <w:p w:rsidR="00F1629C" w:rsidRDefault="00F1629C">
      <w:pPr>
        <w:widowControl w:val="0"/>
        <w:tabs>
          <w:tab w:val="left" w:pos="2420"/>
        </w:tabs>
        <w:spacing w:after="0" w:line="360" w:lineRule="auto"/>
        <w:ind w:firstLine="709"/>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3.4.2 Оцінка ефективності нанофільтраційного вилучення іонів кадмію з води</w:t>
      </w:r>
    </w:p>
    <w:p w:rsidR="00F1629C" w:rsidRDefault="00E671D2">
      <w:pPr>
        <w:tabs>
          <w:tab w:val="left" w:pos="7215"/>
        </w:tabs>
        <w:spacing w:after="0" w:line="360" w:lineRule="auto"/>
        <w:ind w:right="-1" w:firstLineChars="100" w:firstLine="280"/>
        <w:jc w:val="both"/>
        <w:rPr>
          <w:rFonts w:ascii="Times New Roman" w:hAnsi="Times New Roman"/>
          <w:bCs/>
          <w:sz w:val="28"/>
          <w:szCs w:val="28"/>
        </w:rPr>
      </w:pPr>
      <w:r>
        <w:rPr>
          <w:rFonts w:ascii="Times New Roman" w:hAnsi="Times New Roman"/>
          <w:bCs/>
          <w:sz w:val="28"/>
          <w:szCs w:val="28"/>
        </w:rPr>
        <w:t>При сорбції йонів кадмію на КУ-2-8 в 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 xml:space="preserve">формі у </w:t>
      </w:r>
      <w:r>
        <w:rPr>
          <w:rFonts w:ascii="Times New Roman" w:hAnsi="Times New Roman"/>
          <w:bCs/>
          <w:sz w:val="28"/>
          <w:szCs w:val="28"/>
        </w:rPr>
        <w:t>дистильованій воді їх залишкова концентрація при пропусканні 5 дм</w:t>
      </w:r>
      <w:r>
        <w:rPr>
          <w:rFonts w:ascii="Times New Roman" w:hAnsi="Times New Roman"/>
          <w:bCs/>
          <w:sz w:val="28"/>
          <w:szCs w:val="28"/>
          <w:vertAlign w:val="superscript"/>
        </w:rPr>
        <w:t>3</w:t>
      </w:r>
      <w:r>
        <w:rPr>
          <w:rFonts w:ascii="Times New Roman" w:hAnsi="Times New Roman"/>
          <w:bCs/>
          <w:sz w:val="28"/>
          <w:szCs w:val="28"/>
        </w:rPr>
        <w:t xml:space="preserve"> води через 20 см</w:t>
      </w:r>
      <w:r>
        <w:rPr>
          <w:rFonts w:ascii="Times New Roman" w:hAnsi="Times New Roman"/>
          <w:bCs/>
          <w:sz w:val="28"/>
          <w:szCs w:val="28"/>
          <w:vertAlign w:val="superscript"/>
        </w:rPr>
        <w:t>3</w:t>
      </w:r>
      <w:r>
        <w:rPr>
          <w:rFonts w:ascii="Times New Roman" w:hAnsi="Times New Roman"/>
          <w:bCs/>
          <w:sz w:val="28"/>
          <w:szCs w:val="28"/>
        </w:rPr>
        <w:t xml:space="preserve"> іоніту не перевищувала 51*10</w:t>
      </w:r>
      <w:r>
        <w:rPr>
          <w:rFonts w:ascii="Times New Roman" w:hAnsi="Times New Roman"/>
          <w:bCs/>
          <w:sz w:val="28"/>
          <w:szCs w:val="28"/>
          <w:vertAlign w:val="superscript"/>
        </w:rPr>
        <w:t xml:space="preserve">3 </w:t>
      </w:r>
      <w:r>
        <w:rPr>
          <w:rFonts w:ascii="Times New Roman" w:hAnsi="Times New Roman"/>
          <w:bCs/>
          <w:sz w:val="28"/>
          <w:szCs w:val="28"/>
        </w:rPr>
        <w:t>нг/дм</w:t>
      </w:r>
      <w:r>
        <w:rPr>
          <w:rFonts w:ascii="Times New Roman" w:hAnsi="Times New Roman"/>
          <w:bCs/>
          <w:sz w:val="28"/>
          <w:szCs w:val="28"/>
          <w:vertAlign w:val="superscript"/>
        </w:rPr>
        <w:t>3</w:t>
      </w:r>
      <w:r>
        <w:rPr>
          <w:rFonts w:ascii="Times New Roman" w:hAnsi="Times New Roman"/>
          <w:bCs/>
          <w:sz w:val="28"/>
          <w:szCs w:val="28"/>
        </w:rPr>
        <w:t>. В той час як за тих же умов для водопровідної води концентрація кадмію у фільтраті не перевищувала 35*10</w:t>
      </w:r>
      <w:r>
        <w:rPr>
          <w:rFonts w:ascii="Times New Roman" w:hAnsi="Times New Roman"/>
          <w:bCs/>
          <w:sz w:val="28"/>
          <w:szCs w:val="28"/>
          <w:vertAlign w:val="superscript"/>
        </w:rPr>
        <w:t>3</w:t>
      </w:r>
      <w:r>
        <w:rPr>
          <w:rFonts w:ascii="Times New Roman" w:hAnsi="Times New Roman"/>
          <w:bCs/>
          <w:sz w:val="28"/>
          <w:szCs w:val="28"/>
        </w:rPr>
        <w:t xml:space="preserve"> нг/дм</w:t>
      </w:r>
      <w:r>
        <w:rPr>
          <w:rFonts w:ascii="Times New Roman" w:hAnsi="Times New Roman"/>
          <w:bCs/>
          <w:sz w:val="28"/>
          <w:szCs w:val="28"/>
          <w:vertAlign w:val="superscript"/>
        </w:rPr>
        <w:t>3</w:t>
      </w:r>
      <w:r>
        <w:rPr>
          <w:rFonts w:ascii="Times New Roman" w:hAnsi="Times New Roman"/>
          <w:bCs/>
          <w:sz w:val="28"/>
          <w:szCs w:val="28"/>
        </w:rPr>
        <w:t xml:space="preserve">, навіть не зважаючи </w:t>
      </w:r>
      <w:r>
        <w:rPr>
          <w:rFonts w:ascii="Times New Roman" w:hAnsi="Times New Roman"/>
          <w:bCs/>
          <w:sz w:val="28"/>
          <w:szCs w:val="28"/>
        </w:rPr>
        <w:t>на негативний вплив йонів жорсткості.</w:t>
      </w: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В кислій формі катіоніт КУ-2-8 продемонстрував ще кращі результати: залишкові концентрації не підіймались вище за 6,8*10</w:t>
      </w:r>
      <w:r>
        <w:rPr>
          <w:rFonts w:ascii="Times New Roman" w:hAnsi="Times New Roman"/>
          <w:bCs/>
          <w:sz w:val="28"/>
          <w:szCs w:val="28"/>
          <w:vertAlign w:val="superscript"/>
        </w:rPr>
        <w:t xml:space="preserve">3 </w:t>
      </w:r>
      <w:r>
        <w:rPr>
          <w:rFonts w:ascii="Times New Roman" w:hAnsi="Times New Roman"/>
          <w:bCs/>
          <w:sz w:val="28"/>
          <w:szCs w:val="28"/>
        </w:rPr>
        <w:t>та 3,8*10</w:t>
      </w:r>
      <w:r>
        <w:rPr>
          <w:rFonts w:ascii="Times New Roman" w:hAnsi="Times New Roman"/>
          <w:bCs/>
          <w:sz w:val="28"/>
          <w:szCs w:val="28"/>
          <w:vertAlign w:val="superscript"/>
        </w:rPr>
        <w:t xml:space="preserve">3 </w:t>
      </w:r>
      <w:r>
        <w:rPr>
          <w:rFonts w:ascii="Times New Roman" w:hAnsi="Times New Roman"/>
          <w:bCs/>
          <w:sz w:val="28"/>
          <w:szCs w:val="28"/>
        </w:rPr>
        <w:t>нг/дм</w:t>
      </w:r>
      <w:r>
        <w:rPr>
          <w:rFonts w:ascii="Times New Roman" w:hAnsi="Times New Roman"/>
          <w:bCs/>
          <w:sz w:val="28"/>
          <w:szCs w:val="28"/>
          <w:vertAlign w:val="superscript"/>
        </w:rPr>
        <w:t xml:space="preserve">3 </w:t>
      </w:r>
      <w:r>
        <w:rPr>
          <w:rFonts w:ascii="Times New Roman" w:hAnsi="Times New Roman"/>
          <w:bCs/>
          <w:sz w:val="28"/>
          <w:szCs w:val="28"/>
        </w:rPr>
        <w:t>для дистильованої та водопровідної води відповідно.</w:t>
      </w: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Ефективність вилучення йон</w:t>
      </w:r>
      <w:r>
        <w:rPr>
          <w:rFonts w:ascii="Times New Roman" w:hAnsi="Times New Roman"/>
          <w:bCs/>
          <w:sz w:val="28"/>
          <w:szCs w:val="28"/>
        </w:rPr>
        <w:t xml:space="preserve">ів кадмію для вище згаданих умов демонструє </w:t>
      </w:r>
      <w:r>
        <w:rPr>
          <w:rFonts w:ascii="Times New Roman" w:hAnsi="Times New Roman"/>
          <w:bCs/>
          <w:sz w:val="28"/>
          <w:szCs w:val="28"/>
        </w:rPr>
        <w:t>р</w:t>
      </w:r>
      <w:r>
        <w:rPr>
          <w:rFonts w:ascii="Times New Roman" w:hAnsi="Times New Roman"/>
          <w:bCs/>
          <w:sz w:val="28"/>
          <w:szCs w:val="28"/>
        </w:rPr>
        <w:t xml:space="preserve">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34</w:t>
      </w:r>
      <w:r>
        <w:rPr>
          <w:rFonts w:ascii="Times New Roman" w:hAnsi="Times New Roman"/>
          <w:bCs/>
          <w:sz w:val="28"/>
          <w:szCs w:val="28"/>
        </w:rPr>
        <w:t xml:space="preserve">. Для сольової форми ступінь вилучення кадмію складає 94,6–98,8 % і 96,2–99,3%, а для кислої форми 99,5–99,99 % та 99,6–99,9 % для дистильованої та водопровідної води відповідно. </w:t>
      </w: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Ситуація практично не з</w:t>
      </w:r>
      <w:r>
        <w:rPr>
          <w:rFonts w:ascii="Times New Roman" w:hAnsi="Times New Roman"/>
          <w:bCs/>
          <w:sz w:val="28"/>
          <w:szCs w:val="28"/>
        </w:rPr>
        <w:t xml:space="preserve">мінилась при використанні катіоніту DOWEX MAC-3 для вилучення йонів кадмію з водопровідної води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35</w:t>
      </w:r>
      <w:r>
        <w:rPr>
          <w:rFonts w:ascii="Times New Roman" w:hAnsi="Times New Roman"/>
          <w:bCs/>
          <w:sz w:val="28"/>
          <w:szCs w:val="28"/>
        </w:rPr>
        <w:t>). В 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 ступінь вилучення кадмію складав 97,3–99,5 % (залишкова концентрація кадмію не перевищувала 34*10</w:t>
      </w:r>
      <w:r>
        <w:rPr>
          <w:rFonts w:ascii="Times New Roman" w:hAnsi="Times New Roman"/>
          <w:bCs/>
          <w:sz w:val="28"/>
          <w:szCs w:val="28"/>
          <w:vertAlign w:val="superscript"/>
        </w:rPr>
        <w:t>3</w:t>
      </w:r>
      <w:r>
        <w:rPr>
          <w:rFonts w:ascii="Times New Roman" w:hAnsi="Times New Roman"/>
          <w:bCs/>
          <w:sz w:val="28"/>
          <w:szCs w:val="28"/>
        </w:rPr>
        <w:t xml:space="preserve"> нг/дм</w:t>
      </w:r>
      <w:r>
        <w:rPr>
          <w:rFonts w:ascii="Times New Roman" w:hAnsi="Times New Roman"/>
          <w:bCs/>
          <w:sz w:val="28"/>
          <w:szCs w:val="28"/>
          <w:vertAlign w:val="superscript"/>
        </w:rPr>
        <w:t>3</w:t>
      </w:r>
      <w:r>
        <w:rPr>
          <w:rFonts w:ascii="Times New Roman" w:hAnsi="Times New Roman"/>
          <w:bCs/>
          <w:sz w:val="28"/>
          <w:szCs w:val="28"/>
        </w:rPr>
        <w:t>), в Н</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 ступінь вилученн</w:t>
      </w:r>
      <w:r>
        <w:rPr>
          <w:rFonts w:ascii="Times New Roman" w:hAnsi="Times New Roman"/>
          <w:bCs/>
          <w:sz w:val="28"/>
          <w:szCs w:val="28"/>
        </w:rPr>
        <w:t>я складав 99,6–99,9 % (залишкова концентрація йоів кадмію досягала лише 3,4*10</w:t>
      </w:r>
      <w:r>
        <w:rPr>
          <w:rFonts w:ascii="Times New Roman" w:hAnsi="Times New Roman"/>
          <w:bCs/>
          <w:sz w:val="28"/>
          <w:szCs w:val="28"/>
          <w:vertAlign w:val="superscript"/>
        </w:rPr>
        <w:t>3</w:t>
      </w:r>
      <w:r>
        <w:rPr>
          <w:rFonts w:ascii="Times New Roman" w:hAnsi="Times New Roman"/>
          <w:bCs/>
          <w:sz w:val="28"/>
          <w:szCs w:val="28"/>
        </w:rPr>
        <w:t xml:space="preserve"> нг/дм</w:t>
      </w:r>
      <w:r>
        <w:rPr>
          <w:rFonts w:ascii="Times New Roman" w:hAnsi="Times New Roman"/>
          <w:bCs/>
          <w:sz w:val="28"/>
          <w:szCs w:val="28"/>
          <w:vertAlign w:val="superscript"/>
        </w:rPr>
        <w:t>3</w:t>
      </w:r>
      <w:r>
        <w:rPr>
          <w:rFonts w:ascii="Times New Roman" w:hAnsi="Times New Roman"/>
          <w:bCs/>
          <w:sz w:val="28"/>
          <w:szCs w:val="28"/>
        </w:rPr>
        <w:t>).</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tabs>
          <w:tab w:val="left" w:pos="7215"/>
        </w:tabs>
        <w:spacing w:after="0" w:line="360" w:lineRule="auto"/>
        <w:ind w:right="-1"/>
        <w:jc w:val="both"/>
        <w:rPr>
          <w:rFonts w:ascii="Times New Roman" w:hAnsi="Times New Roman"/>
          <w:bCs/>
          <w:sz w:val="28"/>
          <w:szCs w:val="28"/>
        </w:rPr>
      </w:pPr>
      <w:r>
        <w:rPr>
          <w:rFonts w:ascii="Times New Roman" w:hAnsi="Times New Roman"/>
          <w:noProof/>
          <w:sz w:val="28"/>
          <w:szCs w:val="28"/>
          <w:lang w:val="ru-RU" w:eastAsia="ru-RU"/>
        </w:rPr>
        <w:drawing>
          <wp:inline distT="0" distB="0" distL="114300" distR="114300">
            <wp:extent cx="3028950" cy="2266950"/>
            <wp:effectExtent l="0" t="0" r="0" b="0"/>
            <wp:docPr id="95" name="Pictur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Pr>
          <w:rFonts w:ascii="Times New Roman" w:hAnsi="Times New Roman"/>
          <w:noProof/>
          <w:sz w:val="28"/>
          <w:szCs w:val="28"/>
          <w:lang w:val="ru-RU" w:eastAsia="ru-RU"/>
        </w:rPr>
        <w:drawing>
          <wp:inline distT="0" distB="0" distL="114300" distR="114300">
            <wp:extent cx="2860675" cy="2261235"/>
            <wp:effectExtent l="0" t="0" r="15875" b="5715"/>
            <wp:docPr id="9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1629C" w:rsidRDefault="00E671D2">
      <w:pPr>
        <w:spacing w:after="0" w:line="360" w:lineRule="auto"/>
        <w:ind w:firstLineChars="250" w:firstLine="700"/>
        <w:jc w:val="both"/>
        <w:rPr>
          <w:rFonts w:ascii="Times New Roman" w:hAnsi="Times New Roman"/>
          <w:sz w:val="28"/>
          <w:szCs w:val="28"/>
        </w:rPr>
      </w:pPr>
      <w:r>
        <w:rPr>
          <w:rFonts w:ascii="Times New Roman" w:hAnsi="Times New Roman"/>
          <w:sz w:val="28"/>
          <w:szCs w:val="28"/>
        </w:rPr>
        <w:t>(a)</w:t>
      </w:r>
      <w:r>
        <w:rPr>
          <w:rFonts w:ascii="Times New Roman" w:hAnsi="Times New Roman"/>
          <w:sz w:val="28"/>
          <w:szCs w:val="28"/>
        </w:rPr>
        <w:t xml:space="preserve"> – </w:t>
      </w:r>
      <w:r>
        <w:rPr>
          <w:rFonts w:ascii="Times New Roman" w:hAnsi="Times New Roman"/>
          <w:sz w:val="28"/>
          <w:szCs w:val="28"/>
        </w:rPr>
        <w:t>[</w:t>
      </w:r>
      <w:r>
        <w:rPr>
          <w:rFonts w:ascii="Times New Roman" w:hAnsi="Times New Roman"/>
          <w:sz w:val="28"/>
          <w:szCs w:val="28"/>
          <w:lang w:val="en-US"/>
        </w:rPr>
        <w:t>Cd</w:t>
      </w:r>
      <w:r>
        <w:rPr>
          <w:rFonts w:ascii="Times New Roman" w:hAnsi="Times New Roman"/>
          <w:sz w:val="28"/>
          <w:szCs w:val="28"/>
          <w:vertAlign w:val="superscript"/>
        </w:rPr>
        <w:t>2+</w:t>
      </w:r>
      <w:r>
        <w:rPr>
          <w:rFonts w:ascii="Times New Roman" w:hAnsi="Times New Roman"/>
          <w:sz w:val="28"/>
          <w:szCs w:val="28"/>
        </w:rPr>
        <w:t xml:space="preserve">] </w:t>
      </w:r>
      <w:r>
        <w:rPr>
          <w:rFonts w:ascii="Times New Roman" w:hAnsi="Times New Roman"/>
          <w:sz w:val="28"/>
          <w:szCs w:val="28"/>
        </w:rPr>
        <w:t>(1; 2; 3; 4</w:t>
      </w:r>
      <w:r>
        <w:rPr>
          <w:rFonts w:ascii="Times New Roman" w:hAnsi="Times New Roman"/>
          <w:sz w:val="28"/>
          <w:szCs w:val="28"/>
        </w:rPr>
        <w:t>), Ж</w:t>
      </w:r>
      <w:r>
        <w:rPr>
          <w:rFonts w:ascii="Times New Roman" w:hAnsi="Times New Roman"/>
          <w:sz w:val="28"/>
          <w:szCs w:val="28"/>
        </w:rPr>
        <w:t xml:space="preserve"> (5; 6)</w:t>
      </w:r>
      <w:r>
        <w:rPr>
          <w:rFonts w:ascii="Times New Roman" w:hAnsi="Times New Roman"/>
          <w:sz w:val="28"/>
          <w:szCs w:val="28"/>
        </w:rPr>
        <w:t xml:space="preserve">              (б)</w:t>
      </w:r>
      <w:r>
        <w:rPr>
          <w:rFonts w:ascii="Times New Roman" w:hAnsi="Times New Roman"/>
          <w:sz w:val="28"/>
          <w:szCs w:val="28"/>
        </w:rPr>
        <w:t xml:space="preserve"> – </w:t>
      </w:r>
      <w:r>
        <w:rPr>
          <w:rFonts w:ascii="Times New Roman" w:hAnsi="Times New Roman"/>
          <w:sz w:val="28"/>
          <w:szCs w:val="28"/>
        </w:rPr>
        <w:t xml:space="preserve">А </w:t>
      </w:r>
      <w:r>
        <w:rPr>
          <w:rFonts w:ascii="Times New Roman" w:hAnsi="Times New Roman"/>
          <w:sz w:val="28"/>
          <w:szCs w:val="28"/>
        </w:rPr>
        <w:t>(1; 2; 3; 4</w:t>
      </w:r>
      <w:r>
        <w:rPr>
          <w:rFonts w:ascii="Times New Roman" w:hAnsi="Times New Roman"/>
          <w:sz w:val="28"/>
          <w:szCs w:val="28"/>
        </w:rPr>
        <w:t>), рН</w:t>
      </w:r>
      <w:r>
        <w:rPr>
          <w:rFonts w:ascii="Times New Roman" w:hAnsi="Times New Roman"/>
          <w:sz w:val="28"/>
          <w:szCs w:val="28"/>
        </w:rPr>
        <w:t xml:space="preserve"> (5; 6</w:t>
      </w:r>
      <w:r>
        <w:rPr>
          <w:rFonts w:ascii="Times New Roman" w:hAnsi="Times New Roman"/>
          <w:sz w:val="28"/>
          <w:szCs w:val="28"/>
        </w:rPr>
        <w:t>; 7; 8</w:t>
      </w:r>
      <w:r>
        <w:rPr>
          <w:rFonts w:ascii="Times New Roman" w:hAnsi="Times New Roman"/>
          <w:sz w:val="28"/>
          <w:szCs w:val="28"/>
        </w:rPr>
        <w:t>)</w:t>
      </w:r>
    </w:p>
    <w:p w:rsidR="00F1629C" w:rsidRDefault="00E671D2">
      <w:pPr>
        <w:tabs>
          <w:tab w:val="left" w:pos="7215"/>
        </w:tabs>
        <w:spacing w:after="0" w:line="360" w:lineRule="auto"/>
        <w:ind w:right="-1" w:firstLine="540"/>
        <w:jc w:val="both"/>
        <w:rPr>
          <w:rFonts w:ascii="Times New Roman" w:hAnsi="Times New Roman"/>
          <w:spacing w:val="-16"/>
          <w:sz w:val="28"/>
          <w:szCs w:val="28"/>
        </w:rPr>
      </w:pPr>
      <w:r>
        <w:rPr>
          <w:noProof/>
          <w:lang w:val="ru-RU" w:eastAsia="ru-RU"/>
        </w:rPr>
        <mc:AlternateContent>
          <mc:Choice Requires="wps">
            <w:drawing>
              <wp:anchor distT="0" distB="0" distL="114300" distR="114300" simplePos="0" relativeHeight="254159872" behindDoc="0" locked="0" layoutInCell="1" allowOverlap="1">
                <wp:simplePos x="0" y="0"/>
                <wp:positionH relativeFrom="column">
                  <wp:posOffset>2914650</wp:posOffset>
                </wp:positionH>
                <wp:positionV relativeFrom="paragraph">
                  <wp:posOffset>1924050</wp:posOffset>
                </wp:positionV>
                <wp:extent cx="552450" cy="635"/>
                <wp:effectExtent l="0" t="0" r="0" b="0"/>
                <wp:wrapNone/>
                <wp:docPr id="97" name="AutoShape 27"/>
                <wp:cNvGraphicFramePr/>
                <a:graphic xmlns:a="http://schemas.openxmlformats.org/drawingml/2006/main">
                  <a:graphicData uri="http://schemas.microsoft.com/office/word/2010/wordprocessingShape">
                    <wps:wsp>
                      <wps:cNvSpPr/>
                      <wps:spPr>
                        <a:xfrm flipV="1">
                          <a:off x="0" y="0"/>
                          <a:ext cx="552450" cy="635"/>
                        </a:xfrm>
                        <a:prstGeom prst="callout2">
                          <a:avLst>
                            <a:gd name="adj1" fmla="val -17900000"/>
                            <a:gd name="adj2" fmla="val -13796"/>
                            <a:gd name="adj3" fmla="val -17900000"/>
                            <a:gd name="adj4" fmla="val -13796"/>
                            <a:gd name="adj5" fmla="val -17900000"/>
                            <a:gd name="adj6" fmla="val -13796"/>
                          </a:avLst>
                        </a:prstGeom>
                        <a:solidFill>
                          <a:srgbClr val="FFFFFF"/>
                        </a:solidFill>
                        <a:ln w="9525" cap="flat" cmpd="sng">
                          <a:solidFill>
                            <a:srgbClr val="000000"/>
                          </a:solidFill>
                          <a:prstDash val="solid"/>
                          <a:miter/>
                          <a:headEnd type="none" w="med" len="med"/>
                          <a:tailEnd type="none" w="med" len="med"/>
                        </a:ln>
                        <a:effectLst/>
                      </wps:spPr>
                      <wps:txbx>
                        <w:txbxContent>
                          <w:p w:rsidR="00F1629C" w:rsidRDefault="00E671D2">
                            <w:r>
                              <w:t>2</w:t>
                            </w:r>
                          </w:p>
                        </w:txbxContent>
                      </wps:txbx>
                      <wps:bodyPr upright="1"/>
                    </wps:wsp>
                  </a:graphicData>
                </a:graphic>
              </wp:anchor>
            </w:drawing>
          </mc:Choice>
          <mc:Fallback>
            <w:pict>
              <v:shapetype id="_x0000_t42" coordsize="21600,21600" o:spt="42" adj="-10080,24300,-3600,4050,-1800,4050" path="m@0@1l@2@3@4@5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textborder="f"/>
              </v:shapetype>
              <v:shape id="AutoShape 27" o:spid="_x0000_s1050" type="#_x0000_t42" style="position:absolute;left:0;text-align:left;margin-left:229.5pt;margin-top:151.5pt;width:43.5pt;height:.05pt;flip:y;z-index:254159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" adj="-2980,-3866400,-2980,-3866400,-2980,-3866400">
                <v:textbox>
                  <w:txbxContent>
                    <w:p w:rsidR="00F1629C" w:rsidRDefault="00E671D2">
                      <w:r>
                        <w:t>2</w:t>
                      </w:r>
                    </w:p>
                  </w:txbxContent>
                </v:textbox>
              </v:shape>
            </w:pict>
          </mc:Fallback>
        </mc:AlternateContent>
      </w:r>
      <w:r>
        <w:rPr>
          <w:rFonts w:ascii="Times New Roman" w:hAnsi="Times New Roman"/>
          <w:sz w:val="28"/>
          <w:szCs w:val="28"/>
        </w:rPr>
        <w:t>Рис</w:t>
      </w:r>
      <w:r>
        <w:rPr>
          <w:rFonts w:ascii="Times New Roman" w:hAnsi="Times New Roman"/>
          <w:sz w:val="28"/>
          <w:szCs w:val="28"/>
        </w:rPr>
        <w:t xml:space="preserve">. </w:t>
      </w:r>
      <w:r>
        <w:rPr>
          <w:rFonts w:ascii="Times New Roman" w:hAnsi="Times New Roman"/>
          <w:sz w:val="28"/>
          <w:szCs w:val="28"/>
          <w:lang w:val="en"/>
        </w:rPr>
        <w:t>3</w:t>
      </w:r>
      <w:r>
        <w:rPr>
          <w:rFonts w:ascii="Times New Roman" w:hAnsi="Times New Roman"/>
          <w:sz w:val="28"/>
          <w:szCs w:val="28"/>
        </w:rPr>
        <w:t>.</w:t>
      </w:r>
      <w:r>
        <w:rPr>
          <w:rFonts w:ascii="Times New Roman" w:hAnsi="Times New Roman"/>
          <w:sz w:val="28"/>
          <w:szCs w:val="28"/>
          <w:lang w:val="ru"/>
        </w:rPr>
        <w:t>34</w:t>
      </w:r>
      <w:r>
        <w:rPr>
          <w:rFonts w:ascii="Times New Roman" w:hAnsi="Times New Roman"/>
          <w:sz w:val="28"/>
          <w:szCs w:val="28"/>
        </w:rPr>
        <w:t xml:space="preserve"> – Залежність концентрації йонів </w:t>
      </w:r>
      <w:r>
        <w:rPr>
          <w:rFonts w:ascii="Times New Roman" w:hAnsi="Times New Roman"/>
          <w:sz w:val="28"/>
          <w:szCs w:val="28"/>
          <w:lang w:val="en-US"/>
        </w:rPr>
        <w:t>Cd</w:t>
      </w:r>
      <w:r>
        <w:rPr>
          <w:rFonts w:ascii="Times New Roman" w:hAnsi="Times New Roman"/>
          <w:sz w:val="28"/>
          <w:szCs w:val="28"/>
          <w:vertAlign w:val="superscript"/>
        </w:rPr>
        <w:t>2+</w:t>
      </w:r>
      <w:r>
        <w:rPr>
          <w:rFonts w:ascii="Times New Roman" w:hAnsi="Times New Roman"/>
          <w:sz w:val="28"/>
          <w:szCs w:val="28"/>
        </w:rPr>
        <w:t xml:space="preserve"> та жорсткості (</w:t>
      </w:r>
      <w:r>
        <w:rPr>
          <w:rFonts w:ascii="Times New Roman" w:hAnsi="Times New Roman"/>
          <w:sz w:val="28"/>
          <w:szCs w:val="28"/>
        </w:rPr>
        <w:t>а</w:t>
      </w:r>
      <w:r>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t xml:space="preserve">ступеню вилучення йонів </w:t>
      </w:r>
      <w:r>
        <w:rPr>
          <w:rFonts w:ascii="Times New Roman" w:hAnsi="Times New Roman"/>
          <w:sz w:val="28"/>
          <w:szCs w:val="28"/>
          <w:lang w:val="en-US"/>
        </w:rPr>
        <w:t>Cd</w:t>
      </w:r>
      <w:r>
        <w:rPr>
          <w:rFonts w:ascii="Times New Roman" w:hAnsi="Times New Roman"/>
          <w:sz w:val="28"/>
          <w:szCs w:val="28"/>
          <w:vertAlign w:val="superscript"/>
        </w:rPr>
        <w:t>2+</w:t>
      </w:r>
      <w:r>
        <w:rPr>
          <w:rFonts w:ascii="Times New Roman" w:hAnsi="Times New Roman"/>
          <w:sz w:val="28"/>
          <w:szCs w:val="28"/>
        </w:rPr>
        <w:t xml:space="preserve"> та рН розчинів</w:t>
      </w:r>
      <w:r>
        <w:rPr>
          <w:rFonts w:ascii="Times New Roman" w:hAnsi="Times New Roman"/>
          <w:sz w:val="28"/>
          <w:szCs w:val="28"/>
        </w:rPr>
        <w:t xml:space="preserve"> (б)</w:t>
      </w:r>
      <w:r>
        <w:rPr>
          <w:rFonts w:ascii="Times New Roman" w:hAnsi="Times New Roman"/>
          <w:sz w:val="28"/>
          <w:szCs w:val="28"/>
          <w:lang w:val="en-US"/>
        </w:rPr>
        <w:t>CdSO</w:t>
      </w:r>
      <w:r>
        <w:rPr>
          <w:rFonts w:ascii="Times New Roman" w:hAnsi="Times New Roman"/>
          <w:sz w:val="28"/>
          <w:szCs w:val="28"/>
          <w:vertAlign w:val="subscript"/>
        </w:rPr>
        <w:t>4</w:t>
      </w:r>
      <w:r>
        <w:rPr>
          <w:rFonts w:ascii="Times New Roman" w:hAnsi="Times New Roman"/>
          <w:sz w:val="28"/>
          <w:szCs w:val="28"/>
        </w:rPr>
        <w:t xml:space="preserve"> у водопровідній (</w:t>
      </w:r>
      <w:r>
        <w:rPr>
          <w:rFonts w:ascii="Times New Roman" w:hAnsi="Times New Roman"/>
          <w:sz w:val="28"/>
          <w:szCs w:val="28"/>
        </w:rPr>
        <w:t>[Cd</w:t>
      </w:r>
      <w:r>
        <w:rPr>
          <w:rFonts w:ascii="Times New Roman" w:hAnsi="Times New Roman"/>
          <w:sz w:val="28"/>
          <w:szCs w:val="28"/>
          <w:vertAlign w:val="superscript"/>
        </w:rPr>
        <w:t>2+</w:t>
      </w:r>
      <w:r>
        <w:rPr>
          <w:rFonts w:ascii="Times New Roman" w:hAnsi="Times New Roman"/>
          <w:sz w:val="28"/>
          <w:szCs w:val="28"/>
        </w:rPr>
        <w:t>]</w:t>
      </w:r>
      <w:r>
        <w:rPr>
          <w:rFonts w:ascii="Times New Roman" w:hAnsi="Times New Roman"/>
          <w:sz w:val="28"/>
          <w:szCs w:val="28"/>
        </w:rPr>
        <w:t>, мкг/дм</w:t>
      </w:r>
      <w:r>
        <w:rPr>
          <w:rFonts w:ascii="Times New Roman" w:hAnsi="Times New Roman"/>
          <w:sz w:val="28"/>
          <w:szCs w:val="28"/>
          <w:vertAlign w:val="superscript"/>
        </w:rPr>
        <w:t>3</w:t>
      </w:r>
      <w:r>
        <w:rPr>
          <w:rFonts w:ascii="Times New Roman" w:hAnsi="Times New Roman"/>
          <w:sz w:val="28"/>
          <w:szCs w:val="28"/>
        </w:rPr>
        <w:t xml:space="preserve">: 920 (1; 5); 960 (2; 6); Ж=0,0052 (5) та 0,00468 (6) </w:t>
      </w:r>
      <w:r>
        <w:rPr>
          <w:rFonts w:ascii="Times New Roman" w:hAnsi="Times New Roman"/>
          <w:sz w:val="28"/>
          <w:szCs w:val="28"/>
        </w:rPr>
        <w:t>г-екв</w:t>
      </w:r>
      <w:r>
        <w:rPr>
          <w:rFonts w:ascii="Times New Roman" w:hAnsi="Times New Roman"/>
          <w:sz w:val="28"/>
          <w:szCs w:val="28"/>
        </w:rPr>
        <w:t>/дм</w:t>
      </w:r>
      <w:r>
        <w:rPr>
          <w:rFonts w:ascii="Times New Roman" w:hAnsi="Times New Roman"/>
          <w:sz w:val="28"/>
          <w:szCs w:val="28"/>
          <w:vertAlign w:val="superscript"/>
        </w:rPr>
        <w:t>3</w:t>
      </w:r>
      <w:r>
        <w:rPr>
          <w:rFonts w:ascii="Times New Roman" w:hAnsi="Times New Roman"/>
          <w:sz w:val="28"/>
          <w:szCs w:val="28"/>
        </w:rPr>
        <w:t>) та дистильованій (</w:t>
      </w:r>
      <w:r>
        <w:rPr>
          <w:rFonts w:ascii="Times New Roman" w:hAnsi="Times New Roman"/>
          <w:sz w:val="28"/>
          <w:szCs w:val="28"/>
        </w:rPr>
        <w:t>[Cd</w:t>
      </w:r>
      <w:r>
        <w:rPr>
          <w:rFonts w:ascii="Times New Roman" w:hAnsi="Times New Roman"/>
          <w:sz w:val="28"/>
          <w:szCs w:val="28"/>
          <w:vertAlign w:val="superscript"/>
        </w:rPr>
        <w:t>2+</w:t>
      </w:r>
      <w:r>
        <w:rPr>
          <w:rFonts w:ascii="Times New Roman" w:hAnsi="Times New Roman"/>
          <w:sz w:val="28"/>
          <w:szCs w:val="28"/>
        </w:rPr>
        <w:t>]</w:t>
      </w:r>
      <w:r>
        <w:rPr>
          <w:rFonts w:ascii="Times New Roman" w:hAnsi="Times New Roman"/>
          <w:sz w:val="28"/>
          <w:szCs w:val="28"/>
        </w:rPr>
        <w:t>, мкг/дм</w:t>
      </w:r>
      <w:r>
        <w:rPr>
          <w:rFonts w:ascii="Times New Roman" w:hAnsi="Times New Roman"/>
          <w:sz w:val="28"/>
          <w:szCs w:val="28"/>
          <w:vertAlign w:val="superscript"/>
        </w:rPr>
        <w:t>3</w:t>
      </w:r>
      <w:r>
        <w:rPr>
          <w:rFonts w:ascii="Times New Roman" w:hAnsi="Times New Roman"/>
          <w:sz w:val="28"/>
          <w:szCs w:val="28"/>
        </w:rPr>
        <w:t xml:space="preserve">: 1298 (3); 950 (4)) воді від об’єму пропущеного розчину через </w:t>
      </w:r>
      <w:r>
        <w:rPr>
          <w:rFonts w:ascii="Times New Roman" w:hAnsi="Times New Roman"/>
          <w:sz w:val="28"/>
          <w:szCs w:val="28"/>
        </w:rPr>
        <w:t>іонітКУ-2-8</w:t>
      </w:r>
      <w:r>
        <w:rPr>
          <w:rFonts w:ascii="Times New Roman" w:hAnsi="Times New Roman"/>
          <w:sz w:val="28"/>
          <w:szCs w:val="28"/>
        </w:rPr>
        <w:t xml:space="preserve"> (</w:t>
      </w:r>
      <w:r>
        <w:rPr>
          <w:rFonts w:ascii="Times New Roman" w:hAnsi="Times New Roman"/>
          <w:sz w:val="28"/>
          <w:szCs w:val="28"/>
        </w:rPr>
        <w:t>V</w:t>
      </w:r>
      <w:r>
        <w:rPr>
          <w:rFonts w:ascii="Times New Roman" w:hAnsi="Times New Roman"/>
          <w:sz w:val="28"/>
          <w:szCs w:val="28"/>
          <w:vertAlign w:val="subscript"/>
        </w:rPr>
        <w:t>i</w:t>
      </w:r>
      <w:r>
        <w:rPr>
          <w:rFonts w:ascii="Times New Roman" w:hAnsi="Times New Roman"/>
          <w:sz w:val="28"/>
          <w:szCs w:val="28"/>
        </w:rPr>
        <w:t>=</w:t>
      </w:r>
      <w:r>
        <w:rPr>
          <w:rFonts w:ascii="Times New Roman" w:hAnsi="Times New Roman"/>
          <w:spacing w:val="-7"/>
          <w:sz w:val="28"/>
          <w:szCs w:val="28"/>
        </w:rPr>
        <w:t>20 см</w:t>
      </w:r>
      <w:r>
        <w:rPr>
          <w:rFonts w:ascii="Times New Roman" w:hAnsi="Times New Roman"/>
          <w:spacing w:val="-7"/>
          <w:sz w:val="28"/>
          <w:szCs w:val="28"/>
          <w:vertAlign w:val="superscript"/>
        </w:rPr>
        <w:t>3</w:t>
      </w:r>
      <w:r>
        <w:rPr>
          <w:rFonts w:ascii="Times New Roman" w:hAnsi="Times New Roman"/>
          <w:spacing w:val="-7"/>
          <w:sz w:val="28"/>
          <w:szCs w:val="28"/>
        </w:rPr>
        <w:t xml:space="preserve">) в сольовій (1; 4; 5) та  </w:t>
      </w:r>
      <w:r>
        <w:rPr>
          <w:rFonts w:ascii="Times New Roman" w:hAnsi="Times New Roman"/>
          <w:spacing w:val="-7"/>
          <w:sz w:val="28"/>
          <w:szCs w:val="28"/>
        </w:rPr>
        <w:t>Н+-формі</w:t>
      </w:r>
      <w:r>
        <w:rPr>
          <w:rFonts w:ascii="Times New Roman" w:hAnsi="Times New Roman"/>
          <w:spacing w:val="-7"/>
          <w:sz w:val="28"/>
          <w:szCs w:val="28"/>
        </w:rPr>
        <w:t xml:space="preserve"> (2; 3; 6) (ОДЄ</w:t>
      </w:r>
      <w:r>
        <w:rPr>
          <w:rFonts w:ascii="Times New Roman" w:hAnsi="Times New Roman"/>
          <w:spacing w:val="-7"/>
          <w:sz w:val="28"/>
          <w:szCs w:val="28"/>
          <w:vertAlign w:val="subscript"/>
        </w:rPr>
        <w:t>1</w:t>
      </w:r>
      <w:r>
        <w:rPr>
          <w:rFonts w:ascii="Times New Roman" w:hAnsi="Times New Roman"/>
          <w:spacing w:val="-7"/>
          <w:sz w:val="28"/>
          <w:szCs w:val="28"/>
        </w:rPr>
        <w:t xml:space="preserve">=0,22585 </w:t>
      </w:r>
      <w:r>
        <w:rPr>
          <w:rFonts w:ascii="Times New Roman" w:hAnsi="Times New Roman"/>
          <w:spacing w:val="-7"/>
          <w:sz w:val="28"/>
          <w:szCs w:val="28"/>
        </w:rPr>
        <w:t>г-екв</w:t>
      </w:r>
      <w:r>
        <w:rPr>
          <w:rFonts w:ascii="Times New Roman" w:hAnsi="Times New Roman"/>
          <w:spacing w:val="-7"/>
          <w:sz w:val="28"/>
          <w:szCs w:val="28"/>
        </w:rPr>
        <w:t>/дм</w:t>
      </w:r>
      <w:r>
        <w:rPr>
          <w:rFonts w:ascii="Times New Roman" w:hAnsi="Times New Roman"/>
          <w:spacing w:val="-7"/>
          <w:sz w:val="28"/>
          <w:szCs w:val="28"/>
          <w:vertAlign w:val="superscript"/>
        </w:rPr>
        <w:t>3</w:t>
      </w:r>
      <w:r>
        <w:rPr>
          <w:rFonts w:ascii="Times New Roman" w:hAnsi="Times New Roman"/>
          <w:spacing w:val="-7"/>
          <w:sz w:val="28"/>
          <w:szCs w:val="28"/>
        </w:rPr>
        <w:t>; ОДЄ</w:t>
      </w:r>
      <w:r>
        <w:rPr>
          <w:rFonts w:ascii="Times New Roman" w:hAnsi="Times New Roman"/>
          <w:spacing w:val="-7"/>
          <w:sz w:val="28"/>
          <w:szCs w:val="28"/>
          <w:vertAlign w:val="subscript"/>
        </w:rPr>
        <w:t>2</w:t>
      </w:r>
      <w:r>
        <w:rPr>
          <w:rFonts w:ascii="Times New Roman" w:hAnsi="Times New Roman"/>
          <w:spacing w:val="-7"/>
          <w:sz w:val="28"/>
          <w:szCs w:val="28"/>
        </w:rPr>
        <w:t xml:space="preserve">=0,239 </w:t>
      </w:r>
      <w:r>
        <w:rPr>
          <w:rFonts w:ascii="Times New Roman" w:hAnsi="Times New Roman"/>
          <w:spacing w:val="-7"/>
          <w:sz w:val="28"/>
          <w:szCs w:val="28"/>
        </w:rPr>
        <w:t>г-екв</w:t>
      </w:r>
      <w:r>
        <w:rPr>
          <w:rFonts w:ascii="Times New Roman" w:hAnsi="Times New Roman"/>
          <w:spacing w:val="-7"/>
          <w:sz w:val="28"/>
          <w:szCs w:val="28"/>
        </w:rPr>
        <w:t>/дм</w:t>
      </w:r>
      <w:r>
        <w:rPr>
          <w:rFonts w:ascii="Times New Roman" w:hAnsi="Times New Roman"/>
          <w:spacing w:val="-7"/>
          <w:sz w:val="28"/>
          <w:szCs w:val="28"/>
          <w:vertAlign w:val="superscript"/>
        </w:rPr>
        <w:t>3</w:t>
      </w:r>
      <w:r>
        <w:rPr>
          <w:rFonts w:ascii="Times New Roman" w:hAnsi="Times New Roman"/>
          <w:spacing w:val="-7"/>
          <w:sz w:val="28"/>
          <w:szCs w:val="28"/>
        </w:rPr>
        <w:t>;</w:t>
      </w:r>
      <w:r>
        <w:rPr>
          <w:rFonts w:ascii="Times New Roman" w:hAnsi="Times New Roman"/>
          <w:spacing w:val="-16"/>
          <w:sz w:val="28"/>
          <w:szCs w:val="28"/>
        </w:rPr>
        <w:t>ОДЄ</w:t>
      </w:r>
      <w:r>
        <w:rPr>
          <w:rFonts w:ascii="Times New Roman" w:hAnsi="Times New Roman"/>
          <w:spacing w:val="-16"/>
          <w:sz w:val="28"/>
          <w:szCs w:val="28"/>
          <w:vertAlign w:val="subscript"/>
        </w:rPr>
        <w:t>3</w:t>
      </w:r>
      <w:r>
        <w:rPr>
          <w:rFonts w:ascii="Times New Roman" w:hAnsi="Times New Roman"/>
          <w:spacing w:val="-16"/>
          <w:sz w:val="28"/>
          <w:szCs w:val="28"/>
        </w:rPr>
        <w:t xml:space="preserve">=0,3235 </w:t>
      </w:r>
      <w:r>
        <w:rPr>
          <w:rFonts w:ascii="Times New Roman" w:hAnsi="Times New Roman"/>
          <w:spacing w:val="-16"/>
          <w:sz w:val="28"/>
          <w:szCs w:val="28"/>
        </w:rPr>
        <w:t>г-екв</w:t>
      </w:r>
      <w:r>
        <w:rPr>
          <w:rFonts w:ascii="Times New Roman" w:hAnsi="Times New Roman"/>
          <w:spacing w:val="-16"/>
          <w:sz w:val="28"/>
          <w:szCs w:val="28"/>
        </w:rPr>
        <w:t>/дм</w:t>
      </w:r>
      <w:r>
        <w:rPr>
          <w:rFonts w:ascii="Times New Roman" w:hAnsi="Times New Roman"/>
          <w:spacing w:val="-16"/>
          <w:sz w:val="28"/>
          <w:szCs w:val="28"/>
          <w:vertAlign w:val="superscript"/>
        </w:rPr>
        <w:t>3</w:t>
      </w:r>
      <w:r>
        <w:rPr>
          <w:rFonts w:ascii="Times New Roman" w:hAnsi="Times New Roman"/>
          <w:spacing w:val="-16"/>
          <w:sz w:val="28"/>
          <w:szCs w:val="28"/>
        </w:rPr>
        <w:t>; ОДЄ</w:t>
      </w:r>
      <w:r>
        <w:rPr>
          <w:rFonts w:ascii="Times New Roman" w:hAnsi="Times New Roman"/>
          <w:spacing w:val="-16"/>
          <w:sz w:val="28"/>
          <w:szCs w:val="28"/>
          <w:vertAlign w:val="subscript"/>
        </w:rPr>
        <w:t>4</w:t>
      </w:r>
      <w:r>
        <w:rPr>
          <w:rFonts w:ascii="Times New Roman" w:hAnsi="Times New Roman"/>
          <w:spacing w:val="-16"/>
          <w:sz w:val="28"/>
          <w:szCs w:val="28"/>
        </w:rPr>
        <w:t>=0,2295</w:t>
      </w:r>
      <w:r>
        <w:rPr>
          <w:rFonts w:ascii="Times New Roman" w:hAnsi="Times New Roman"/>
          <w:spacing w:val="-16"/>
          <w:sz w:val="28"/>
          <w:szCs w:val="28"/>
        </w:rPr>
        <w:t> г-екв</w:t>
      </w:r>
      <w:r>
        <w:rPr>
          <w:rFonts w:ascii="Times New Roman" w:hAnsi="Times New Roman"/>
          <w:spacing w:val="-16"/>
          <w:sz w:val="28"/>
          <w:szCs w:val="28"/>
        </w:rPr>
        <w:t>/дм</w:t>
      </w:r>
      <w:r>
        <w:rPr>
          <w:rFonts w:ascii="Times New Roman" w:hAnsi="Times New Roman"/>
          <w:spacing w:val="-16"/>
          <w:sz w:val="28"/>
          <w:szCs w:val="28"/>
          <w:vertAlign w:val="superscript"/>
        </w:rPr>
        <w:t>3</w:t>
      </w:r>
      <w:r>
        <w:rPr>
          <w:rFonts w:ascii="Times New Roman" w:hAnsi="Times New Roman"/>
          <w:spacing w:val="-16"/>
          <w:sz w:val="28"/>
          <w:szCs w:val="28"/>
        </w:rPr>
        <w:t>; ОДЄ</w:t>
      </w:r>
      <w:r>
        <w:rPr>
          <w:rFonts w:ascii="Times New Roman" w:hAnsi="Times New Roman"/>
          <w:spacing w:val="-16"/>
          <w:sz w:val="28"/>
          <w:szCs w:val="28"/>
          <w:vertAlign w:val="subscript"/>
        </w:rPr>
        <w:t>5</w:t>
      </w:r>
      <w:r>
        <w:rPr>
          <w:rFonts w:ascii="Times New Roman" w:hAnsi="Times New Roman"/>
          <w:spacing w:val="-16"/>
          <w:sz w:val="28"/>
          <w:szCs w:val="28"/>
        </w:rPr>
        <w:t xml:space="preserve">=1,269 </w:t>
      </w:r>
      <w:r>
        <w:rPr>
          <w:rFonts w:ascii="Times New Roman" w:hAnsi="Times New Roman"/>
          <w:spacing w:val="-16"/>
          <w:sz w:val="28"/>
          <w:szCs w:val="28"/>
        </w:rPr>
        <w:t>г-екв</w:t>
      </w:r>
      <w:r>
        <w:rPr>
          <w:rFonts w:ascii="Times New Roman" w:hAnsi="Times New Roman"/>
          <w:spacing w:val="-16"/>
          <w:sz w:val="28"/>
          <w:szCs w:val="28"/>
        </w:rPr>
        <w:t>/дм</w:t>
      </w:r>
      <w:r>
        <w:rPr>
          <w:rFonts w:ascii="Times New Roman" w:hAnsi="Times New Roman"/>
          <w:spacing w:val="-16"/>
          <w:sz w:val="28"/>
          <w:szCs w:val="28"/>
          <w:vertAlign w:val="superscript"/>
        </w:rPr>
        <w:t>3</w:t>
      </w:r>
      <w:r>
        <w:rPr>
          <w:rFonts w:ascii="Times New Roman" w:hAnsi="Times New Roman"/>
          <w:spacing w:val="-16"/>
          <w:sz w:val="28"/>
          <w:szCs w:val="28"/>
        </w:rPr>
        <w:t>; ОДЄ</w:t>
      </w:r>
      <w:r>
        <w:rPr>
          <w:rFonts w:ascii="Times New Roman" w:hAnsi="Times New Roman"/>
          <w:spacing w:val="-16"/>
          <w:sz w:val="28"/>
          <w:szCs w:val="28"/>
          <w:vertAlign w:val="subscript"/>
        </w:rPr>
        <w:t>6</w:t>
      </w:r>
      <w:r>
        <w:rPr>
          <w:rFonts w:ascii="Times New Roman" w:hAnsi="Times New Roman"/>
          <w:spacing w:val="-16"/>
          <w:sz w:val="28"/>
          <w:szCs w:val="28"/>
        </w:rPr>
        <w:t xml:space="preserve">=1155 </w:t>
      </w:r>
      <w:r>
        <w:rPr>
          <w:rFonts w:ascii="Times New Roman" w:hAnsi="Times New Roman"/>
          <w:spacing w:val="-16"/>
          <w:sz w:val="28"/>
          <w:szCs w:val="28"/>
        </w:rPr>
        <w:t>г-екв</w:t>
      </w:r>
      <w:r>
        <w:rPr>
          <w:rFonts w:ascii="Times New Roman" w:hAnsi="Times New Roman"/>
          <w:spacing w:val="-16"/>
          <w:sz w:val="28"/>
          <w:szCs w:val="28"/>
        </w:rPr>
        <w:t>/дм</w:t>
      </w:r>
      <w:r>
        <w:rPr>
          <w:rFonts w:ascii="Times New Roman" w:hAnsi="Times New Roman"/>
          <w:spacing w:val="-16"/>
          <w:sz w:val="28"/>
          <w:szCs w:val="28"/>
          <w:vertAlign w:val="superscript"/>
        </w:rPr>
        <w:t>3</w:t>
      </w:r>
      <w:r>
        <w:rPr>
          <w:rFonts w:ascii="Times New Roman" w:hAnsi="Times New Roman"/>
          <w:spacing w:val="-16"/>
          <w:sz w:val="28"/>
          <w:szCs w:val="28"/>
        </w:rPr>
        <w:t>)</w:t>
      </w:r>
    </w:p>
    <w:p w:rsidR="00F1629C" w:rsidRDefault="00F1629C">
      <w:pPr>
        <w:tabs>
          <w:tab w:val="left" w:pos="7215"/>
        </w:tabs>
        <w:spacing w:after="0" w:line="360" w:lineRule="auto"/>
        <w:ind w:right="-1" w:firstLine="540"/>
        <w:jc w:val="both"/>
        <w:rPr>
          <w:rFonts w:ascii="Times New Roman" w:hAnsi="Times New Roman"/>
          <w:spacing w:val="-16"/>
          <w:sz w:val="28"/>
          <w:szCs w:val="28"/>
        </w:rPr>
      </w:pP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 xml:space="preserve">Проте у випадку з дистилятом DOWEX MAC-3 показав </w:t>
      </w:r>
      <w:r>
        <w:rPr>
          <w:rFonts w:ascii="Times New Roman" w:hAnsi="Times New Roman"/>
          <w:bCs/>
          <w:sz w:val="28"/>
          <w:szCs w:val="28"/>
        </w:rPr>
        <w:t>себе дещо краще: ступінь видалення йонів Cd</w:t>
      </w:r>
      <w:r>
        <w:rPr>
          <w:rFonts w:ascii="Times New Roman" w:hAnsi="Times New Roman"/>
          <w:bCs/>
          <w:sz w:val="28"/>
          <w:szCs w:val="28"/>
          <w:vertAlign w:val="superscript"/>
        </w:rPr>
        <w:t xml:space="preserve">2+ </w:t>
      </w:r>
      <w:r>
        <w:rPr>
          <w:rFonts w:ascii="Times New Roman" w:hAnsi="Times New Roman"/>
          <w:bCs/>
          <w:sz w:val="28"/>
          <w:szCs w:val="28"/>
        </w:rPr>
        <w:t>для кислої форми складав 96,8–99,12 % (залишкова концентрація кадмію не вище за 40*10</w:t>
      </w:r>
      <w:r>
        <w:rPr>
          <w:rFonts w:ascii="Times New Roman" w:hAnsi="Times New Roman"/>
          <w:bCs/>
          <w:sz w:val="28"/>
          <w:szCs w:val="28"/>
          <w:vertAlign w:val="superscript"/>
        </w:rPr>
        <w:t>3</w:t>
      </w:r>
      <w:r>
        <w:rPr>
          <w:rFonts w:ascii="Times New Roman" w:hAnsi="Times New Roman"/>
          <w:bCs/>
          <w:sz w:val="28"/>
          <w:szCs w:val="28"/>
        </w:rPr>
        <w:t xml:space="preserve"> нг/дм</w:t>
      </w:r>
      <w:r>
        <w:rPr>
          <w:rFonts w:ascii="Times New Roman" w:hAnsi="Times New Roman"/>
          <w:bCs/>
          <w:sz w:val="28"/>
          <w:szCs w:val="28"/>
          <w:vertAlign w:val="superscript"/>
        </w:rPr>
        <w:t>3</w:t>
      </w:r>
      <w:r>
        <w:rPr>
          <w:rFonts w:ascii="Times New Roman" w:hAnsi="Times New Roman"/>
          <w:bCs/>
          <w:sz w:val="28"/>
          <w:szCs w:val="28"/>
        </w:rPr>
        <w:t>), але у 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 ступінь вилучення зростає до 99,8–99,98 % (залишкова концентрація кадмію не перебільшувала 2,6*10</w:t>
      </w:r>
      <w:r>
        <w:rPr>
          <w:rFonts w:ascii="Times New Roman" w:hAnsi="Times New Roman"/>
          <w:bCs/>
          <w:sz w:val="28"/>
          <w:szCs w:val="28"/>
          <w:vertAlign w:val="superscript"/>
        </w:rPr>
        <w:t>3</w:t>
      </w:r>
      <w:r>
        <w:rPr>
          <w:rFonts w:ascii="Times New Roman" w:hAnsi="Times New Roman"/>
          <w:bCs/>
          <w:sz w:val="28"/>
          <w:szCs w:val="28"/>
        </w:rPr>
        <w:t xml:space="preserve"> нг/дм</w:t>
      </w:r>
      <w:r>
        <w:rPr>
          <w:rFonts w:ascii="Times New Roman" w:hAnsi="Times New Roman"/>
          <w:bCs/>
          <w:sz w:val="28"/>
          <w:szCs w:val="28"/>
          <w:vertAlign w:val="superscript"/>
        </w:rPr>
        <w:t>3</w:t>
      </w:r>
      <w:r>
        <w:rPr>
          <w:rFonts w:ascii="Times New Roman" w:hAnsi="Times New Roman"/>
          <w:bCs/>
          <w:sz w:val="28"/>
          <w:szCs w:val="28"/>
        </w:rPr>
        <w:t xml:space="preserve">), </w:t>
      </w:r>
      <w:r>
        <w:rPr>
          <w:rFonts w:ascii="Times New Roman" w:hAnsi="Times New Roman"/>
          <w:bCs/>
          <w:sz w:val="28"/>
          <w:szCs w:val="28"/>
        </w:rPr>
        <w:t>щ</w:t>
      </w:r>
      <w:r>
        <w:rPr>
          <w:rFonts w:ascii="Times New Roman" w:hAnsi="Times New Roman"/>
          <w:bCs/>
          <w:sz w:val="28"/>
          <w:szCs w:val="28"/>
        </w:rPr>
        <w:t>о дещо вище за КУ-2-8.</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tabs>
          <w:tab w:val="left" w:pos="7215"/>
        </w:tabs>
        <w:spacing w:after="0" w:line="360" w:lineRule="auto"/>
        <w:ind w:right="-1"/>
        <w:jc w:val="both"/>
        <w:rPr>
          <w:rFonts w:ascii="Times New Roman" w:hAnsi="Times New Roman"/>
          <w:bCs/>
          <w:sz w:val="28"/>
          <w:szCs w:val="28"/>
        </w:rPr>
      </w:pPr>
      <w:r>
        <w:rPr>
          <w:rFonts w:ascii="Times New Roman" w:hAnsi="Times New Roman"/>
          <w:noProof/>
          <w:sz w:val="28"/>
          <w:szCs w:val="28"/>
          <w:lang w:val="ru-RU" w:eastAsia="ru-RU"/>
        </w:rPr>
        <w:drawing>
          <wp:inline distT="0" distB="0" distL="114300" distR="114300">
            <wp:extent cx="3105150" cy="2329180"/>
            <wp:effectExtent l="0" t="0" r="0" b="13970"/>
            <wp:docPr id="9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Pr>
          <w:rFonts w:ascii="Times New Roman" w:hAnsi="Times New Roman"/>
          <w:noProof/>
          <w:sz w:val="28"/>
          <w:szCs w:val="28"/>
          <w:lang w:val="ru-RU" w:eastAsia="ru-RU"/>
        </w:rPr>
        <w:drawing>
          <wp:inline distT="0" distB="0" distL="114300" distR="114300">
            <wp:extent cx="2809875" cy="2343150"/>
            <wp:effectExtent l="0" t="0" r="9525" b="0"/>
            <wp:docPr id="99" name="Pictur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1629C" w:rsidRDefault="00E671D2">
      <w:pPr>
        <w:pStyle w:val="11"/>
        <w:widowControl w:val="0"/>
        <w:suppressAutoHyphens/>
        <w:spacing w:after="0" w:line="312" w:lineRule="auto"/>
        <w:ind w:left="0" w:firstLine="709"/>
        <w:jc w:val="both"/>
        <w:rPr>
          <w:rFonts w:ascii="Times New Roman" w:hAnsi="Times New Roman" w:cs="Times New Roman"/>
          <w:spacing w:val="-16"/>
          <w:sz w:val="28"/>
          <w:szCs w:val="28"/>
        </w:rPr>
      </w:pPr>
      <w:r>
        <w:rPr>
          <w:rFonts w:ascii="Times New Roman" w:hAnsi="Times New Roman" w:cs="Times New Roman"/>
          <w:sz w:val="28"/>
          <w:szCs w:val="28"/>
        </w:rPr>
        <w:t xml:space="preserve">Рис. </w:t>
      </w:r>
      <w:r>
        <w:rPr>
          <w:rFonts w:ascii="Times New Roman" w:hAnsi="Times New Roman" w:cs="Times New Roman"/>
          <w:sz w:val="28"/>
          <w:szCs w:val="28"/>
          <w:lang w:val="en"/>
        </w:rPr>
        <w:t>3</w:t>
      </w:r>
      <w:r>
        <w:rPr>
          <w:rFonts w:ascii="Times New Roman" w:hAnsi="Times New Roman" w:cs="Times New Roman"/>
          <w:sz w:val="28"/>
          <w:szCs w:val="28"/>
        </w:rPr>
        <w:t>.</w:t>
      </w:r>
      <w:r>
        <w:rPr>
          <w:rFonts w:ascii="Times New Roman" w:hAnsi="Times New Roman" w:cs="Times New Roman"/>
          <w:sz w:val="28"/>
          <w:szCs w:val="28"/>
          <w:lang w:val="ru"/>
        </w:rPr>
        <w:t>35</w:t>
      </w:r>
      <w:r>
        <w:rPr>
          <w:rFonts w:ascii="Times New Roman" w:hAnsi="Times New Roman" w:cs="Times New Roman"/>
          <w:sz w:val="28"/>
          <w:szCs w:val="28"/>
        </w:rPr>
        <w:t xml:space="preserve"> – Залежність концентрації йонів </w:t>
      </w:r>
      <w:r>
        <w:rPr>
          <w:rFonts w:ascii="Times New Roman" w:hAnsi="Times New Roman" w:cs="Times New Roman"/>
          <w:sz w:val="28"/>
          <w:szCs w:val="28"/>
          <w:lang w:val="en-US"/>
        </w:rPr>
        <w:t>Cd</w:t>
      </w:r>
      <w:r>
        <w:rPr>
          <w:rFonts w:ascii="Times New Roman" w:hAnsi="Times New Roman" w:cs="Times New Roman"/>
          <w:sz w:val="28"/>
          <w:szCs w:val="28"/>
          <w:vertAlign w:val="superscript"/>
        </w:rPr>
        <w:t>2+</w:t>
      </w:r>
      <w:r>
        <w:rPr>
          <w:rFonts w:ascii="Times New Roman" w:hAnsi="Times New Roman" w:cs="Times New Roman"/>
          <w:sz w:val="28"/>
          <w:szCs w:val="28"/>
        </w:rPr>
        <w:t xml:space="preserve"> та жорсткості (а), ступеню вилучення йонів </w:t>
      </w:r>
      <w:r>
        <w:rPr>
          <w:rFonts w:ascii="Times New Roman" w:hAnsi="Times New Roman" w:cs="Times New Roman"/>
          <w:sz w:val="28"/>
          <w:szCs w:val="28"/>
          <w:lang w:val="en-US"/>
        </w:rPr>
        <w:t>Cd</w:t>
      </w:r>
      <w:r>
        <w:rPr>
          <w:rFonts w:ascii="Times New Roman" w:hAnsi="Times New Roman" w:cs="Times New Roman"/>
          <w:sz w:val="28"/>
          <w:szCs w:val="28"/>
          <w:vertAlign w:val="superscript"/>
        </w:rPr>
        <w:t>2+</w:t>
      </w:r>
      <w:r>
        <w:rPr>
          <w:rFonts w:ascii="Times New Roman" w:hAnsi="Times New Roman" w:cs="Times New Roman"/>
          <w:sz w:val="28"/>
          <w:szCs w:val="28"/>
        </w:rPr>
        <w:t xml:space="preserve"> та рН розчинів (б) </w:t>
      </w:r>
      <w:r>
        <w:rPr>
          <w:rFonts w:ascii="Times New Roman" w:hAnsi="Times New Roman" w:cs="Times New Roman"/>
          <w:sz w:val="28"/>
          <w:szCs w:val="28"/>
          <w:lang w:val="en-US"/>
        </w:rPr>
        <w:t>CdSO</w:t>
      </w:r>
      <w:r>
        <w:rPr>
          <w:rFonts w:ascii="Times New Roman" w:hAnsi="Times New Roman" w:cs="Times New Roman"/>
          <w:sz w:val="28"/>
          <w:szCs w:val="28"/>
          <w:vertAlign w:val="subscript"/>
        </w:rPr>
        <w:t>4</w:t>
      </w:r>
      <w:r>
        <w:rPr>
          <w:rFonts w:ascii="Times New Roman" w:hAnsi="Times New Roman" w:cs="Times New Roman"/>
          <w:sz w:val="28"/>
          <w:szCs w:val="28"/>
        </w:rPr>
        <w:t xml:space="preserve"> у водопровідній ([</w:t>
      </w:r>
      <w:r>
        <w:rPr>
          <w:rFonts w:ascii="Times New Roman" w:hAnsi="Times New Roman" w:cs="Times New Roman"/>
          <w:sz w:val="28"/>
          <w:szCs w:val="28"/>
        </w:rPr>
        <w:t>Cd</w:t>
      </w:r>
      <w:r>
        <w:rPr>
          <w:rFonts w:ascii="Times New Roman" w:hAnsi="Times New Roman" w:cs="Times New Roman"/>
          <w:sz w:val="28"/>
          <w:szCs w:val="28"/>
          <w:vertAlign w:val="superscript"/>
        </w:rPr>
        <w:t>2+</w:t>
      </w:r>
      <w:r>
        <w:rPr>
          <w:rFonts w:ascii="Times New Roman" w:hAnsi="Times New Roman" w:cs="Times New Roman"/>
          <w:sz w:val="28"/>
          <w:szCs w:val="28"/>
        </w:rPr>
        <w:t>], мкг/дм</w:t>
      </w:r>
      <w:r>
        <w:rPr>
          <w:rFonts w:ascii="Times New Roman" w:hAnsi="Times New Roman" w:cs="Times New Roman"/>
          <w:sz w:val="28"/>
          <w:szCs w:val="28"/>
          <w:vertAlign w:val="superscript"/>
        </w:rPr>
        <w:t>3</w:t>
      </w:r>
      <w:r>
        <w:rPr>
          <w:rFonts w:ascii="Times New Roman" w:hAnsi="Times New Roman" w:cs="Times New Roman"/>
          <w:sz w:val="28"/>
          <w:szCs w:val="28"/>
        </w:rPr>
        <w:t>: 1236 (1; 5); 880 (2; 6); Ж=0,0052 (5) та 0,00468 (6) г-екв/дм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w:t>
      </w:r>
      <w:r>
        <w:rPr>
          <w:rFonts w:ascii="Times New Roman" w:hAnsi="Times New Roman" w:cs="Times New Roman"/>
          <w:sz w:val="28"/>
          <w:szCs w:val="28"/>
        </w:rPr>
        <w:t>та дистильованій ([</w:t>
      </w:r>
      <w:r>
        <w:rPr>
          <w:rFonts w:ascii="Times New Roman" w:hAnsi="Times New Roman" w:cs="Times New Roman"/>
          <w:sz w:val="28"/>
          <w:szCs w:val="28"/>
        </w:rPr>
        <w:t>Cd</w:t>
      </w:r>
      <w:r>
        <w:rPr>
          <w:rFonts w:ascii="Times New Roman" w:hAnsi="Times New Roman" w:cs="Times New Roman"/>
          <w:sz w:val="28"/>
          <w:szCs w:val="28"/>
          <w:vertAlign w:val="superscript"/>
        </w:rPr>
        <w:t>2+</w:t>
      </w:r>
      <w:r>
        <w:rPr>
          <w:rFonts w:ascii="Times New Roman" w:hAnsi="Times New Roman" w:cs="Times New Roman"/>
          <w:sz w:val="28"/>
          <w:szCs w:val="28"/>
        </w:rPr>
        <w:t>], мкг/дм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1340 (3); </w:t>
      </w:r>
      <w:r>
        <w:rPr>
          <w:rFonts w:ascii="Times New Roman" w:hAnsi="Times New Roman" w:cs="Times New Roman"/>
          <w:spacing w:val="-2"/>
          <w:kern w:val="28"/>
          <w:sz w:val="28"/>
          <w:szCs w:val="28"/>
        </w:rPr>
        <w:t xml:space="preserve">1250 </w:t>
      </w:r>
      <w:r>
        <w:rPr>
          <w:rFonts w:ascii="Times New Roman" w:hAnsi="Times New Roman" w:cs="Times New Roman"/>
          <w:spacing w:val="-6"/>
          <w:kern w:val="28"/>
          <w:sz w:val="28"/>
          <w:szCs w:val="28"/>
        </w:rPr>
        <w:t xml:space="preserve">(4)) воді від об’єму пропущеного розчину через іоніт </w:t>
      </w:r>
      <w:r>
        <w:rPr>
          <w:rFonts w:ascii="Times New Roman" w:hAnsi="Times New Roman" w:cs="Times New Roman"/>
          <w:spacing w:val="-6"/>
          <w:kern w:val="28"/>
          <w:sz w:val="28"/>
          <w:szCs w:val="28"/>
          <w:lang w:val="en-US"/>
        </w:rPr>
        <w:t>DOWEX</w:t>
      </w:r>
      <w:r>
        <w:rPr>
          <w:rFonts w:ascii="Times New Roman" w:hAnsi="Times New Roman" w:cs="Times New Roman"/>
          <w:spacing w:val="-6"/>
          <w:kern w:val="28"/>
          <w:sz w:val="28"/>
          <w:szCs w:val="28"/>
        </w:rPr>
        <w:t>MAC</w:t>
      </w:r>
      <w:r>
        <w:rPr>
          <w:rFonts w:ascii="Times New Roman" w:hAnsi="Times New Roman" w:cs="Times New Roman"/>
          <w:spacing w:val="-6"/>
          <w:kern w:val="28"/>
          <w:sz w:val="28"/>
          <w:szCs w:val="28"/>
        </w:rPr>
        <w:t>-3 (</w:t>
      </w:r>
      <w:r>
        <w:rPr>
          <w:rFonts w:ascii="Times New Roman" w:hAnsi="Times New Roman" w:cs="Times New Roman"/>
          <w:spacing w:val="-6"/>
          <w:kern w:val="28"/>
          <w:sz w:val="28"/>
          <w:szCs w:val="28"/>
          <w:lang w:val="en-US"/>
        </w:rPr>
        <w:t>V</w:t>
      </w:r>
      <w:r>
        <w:rPr>
          <w:rFonts w:ascii="Times New Roman" w:hAnsi="Times New Roman" w:cs="Times New Roman"/>
          <w:spacing w:val="-6"/>
          <w:kern w:val="28"/>
          <w:sz w:val="28"/>
          <w:szCs w:val="28"/>
          <w:vertAlign w:val="subscript"/>
          <w:lang w:val="en-US"/>
        </w:rPr>
        <w:t>i</w:t>
      </w:r>
      <w:r>
        <w:rPr>
          <w:rFonts w:ascii="Times New Roman" w:hAnsi="Times New Roman" w:cs="Times New Roman"/>
          <w:spacing w:val="-6"/>
          <w:kern w:val="28"/>
          <w:sz w:val="28"/>
          <w:szCs w:val="28"/>
        </w:rPr>
        <w:t>=</w:t>
      </w:r>
      <w:r>
        <w:rPr>
          <w:rFonts w:ascii="Times New Roman" w:hAnsi="Times New Roman" w:cs="Times New Roman"/>
          <w:spacing w:val="-6"/>
          <w:sz w:val="28"/>
          <w:szCs w:val="28"/>
        </w:rPr>
        <w:t>20 см</w:t>
      </w:r>
      <w:r>
        <w:rPr>
          <w:rFonts w:ascii="Times New Roman" w:hAnsi="Times New Roman" w:cs="Times New Roman"/>
          <w:spacing w:val="-6"/>
          <w:sz w:val="28"/>
          <w:szCs w:val="28"/>
          <w:vertAlign w:val="superscript"/>
        </w:rPr>
        <w:t>3</w:t>
      </w:r>
      <w:r>
        <w:rPr>
          <w:rFonts w:ascii="Times New Roman" w:hAnsi="Times New Roman" w:cs="Times New Roman"/>
          <w:spacing w:val="-6"/>
          <w:sz w:val="28"/>
          <w:szCs w:val="28"/>
        </w:rPr>
        <w:t>)</w:t>
      </w:r>
      <w:r>
        <w:rPr>
          <w:rFonts w:ascii="Times New Roman" w:hAnsi="Times New Roman" w:cs="Times New Roman"/>
          <w:sz w:val="28"/>
          <w:szCs w:val="28"/>
        </w:rPr>
        <w:t xml:space="preserve"> в сольовій (1; 3; 5) та Н+-формі (2; 4; 6) (ОДЄ</w:t>
      </w:r>
      <w:r>
        <w:rPr>
          <w:rFonts w:ascii="Times New Roman" w:hAnsi="Times New Roman" w:cs="Times New Roman"/>
          <w:sz w:val="28"/>
          <w:szCs w:val="28"/>
          <w:vertAlign w:val="subscript"/>
        </w:rPr>
        <w:t>1</w:t>
      </w:r>
      <w:r>
        <w:rPr>
          <w:rFonts w:ascii="Times New Roman" w:hAnsi="Times New Roman" w:cs="Times New Roman"/>
          <w:sz w:val="28"/>
          <w:szCs w:val="28"/>
        </w:rPr>
        <w:t>=0,3055 г/дм</w:t>
      </w:r>
      <w:r>
        <w:rPr>
          <w:rFonts w:ascii="Times New Roman" w:hAnsi="Times New Roman" w:cs="Times New Roman"/>
          <w:sz w:val="28"/>
          <w:szCs w:val="28"/>
          <w:vertAlign w:val="superscript"/>
        </w:rPr>
        <w:t>3</w:t>
      </w:r>
      <w:r>
        <w:rPr>
          <w:rFonts w:ascii="Times New Roman" w:hAnsi="Times New Roman" w:cs="Times New Roman"/>
          <w:sz w:val="28"/>
          <w:szCs w:val="28"/>
        </w:rPr>
        <w:t>; ОДЄ</w:t>
      </w:r>
      <w:r>
        <w:rPr>
          <w:rFonts w:ascii="Times New Roman" w:hAnsi="Times New Roman" w:cs="Times New Roman"/>
          <w:sz w:val="28"/>
          <w:szCs w:val="28"/>
          <w:vertAlign w:val="subscript"/>
        </w:rPr>
        <w:t>2</w:t>
      </w:r>
      <w:r>
        <w:rPr>
          <w:rFonts w:ascii="Times New Roman" w:hAnsi="Times New Roman" w:cs="Times New Roman"/>
          <w:sz w:val="28"/>
          <w:szCs w:val="28"/>
        </w:rPr>
        <w:t>=0,2195 г/дм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w:t>
      </w:r>
      <w:r>
        <w:rPr>
          <w:rFonts w:ascii="Times New Roman" w:hAnsi="Times New Roman" w:cs="Times New Roman"/>
          <w:spacing w:val="-16"/>
          <w:sz w:val="28"/>
          <w:szCs w:val="28"/>
        </w:rPr>
        <w:t>ОДЄ</w:t>
      </w:r>
      <w:r>
        <w:rPr>
          <w:rFonts w:ascii="Times New Roman" w:hAnsi="Times New Roman" w:cs="Times New Roman"/>
          <w:spacing w:val="-16"/>
          <w:sz w:val="28"/>
          <w:szCs w:val="28"/>
          <w:vertAlign w:val="subscript"/>
        </w:rPr>
        <w:t>3</w:t>
      </w:r>
      <w:r>
        <w:rPr>
          <w:rFonts w:ascii="Times New Roman" w:hAnsi="Times New Roman" w:cs="Times New Roman"/>
          <w:spacing w:val="-16"/>
          <w:sz w:val="28"/>
          <w:szCs w:val="28"/>
        </w:rPr>
        <w:t>=0,3345 г/дм</w:t>
      </w:r>
      <w:r>
        <w:rPr>
          <w:rFonts w:ascii="Times New Roman" w:hAnsi="Times New Roman" w:cs="Times New Roman"/>
          <w:spacing w:val="-16"/>
          <w:sz w:val="28"/>
          <w:szCs w:val="28"/>
          <w:vertAlign w:val="superscript"/>
        </w:rPr>
        <w:t>3</w:t>
      </w:r>
      <w:r>
        <w:rPr>
          <w:rFonts w:ascii="Times New Roman" w:hAnsi="Times New Roman" w:cs="Times New Roman"/>
          <w:spacing w:val="-16"/>
          <w:sz w:val="28"/>
          <w:szCs w:val="28"/>
        </w:rPr>
        <w:t>; ОДЄ</w:t>
      </w:r>
      <w:r>
        <w:rPr>
          <w:rFonts w:ascii="Times New Roman" w:hAnsi="Times New Roman" w:cs="Times New Roman"/>
          <w:spacing w:val="-16"/>
          <w:sz w:val="28"/>
          <w:szCs w:val="28"/>
          <w:vertAlign w:val="subscript"/>
        </w:rPr>
        <w:t>4</w:t>
      </w:r>
      <w:r>
        <w:rPr>
          <w:rFonts w:ascii="Times New Roman" w:hAnsi="Times New Roman" w:cs="Times New Roman"/>
          <w:spacing w:val="-16"/>
          <w:sz w:val="28"/>
          <w:szCs w:val="28"/>
        </w:rPr>
        <w:t>=0,307</w:t>
      </w:r>
      <w:r>
        <w:rPr>
          <w:rFonts w:ascii="Times New Roman" w:hAnsi="Times New Roman" w:cs="Times New Roman"/>
          <w:spacing w:val="-16"/>
          <w:sz w:val="28"/>
          <w:szCs w:val="28"/>
          <w:lang w:val="en-US"/>
        </w:rPr>
        <w:t> </w:t>
      </w:r>
      <w:r>
        <w:rPr>
          <w:rFonts w:ascii="Times New Roman" w:hAnsi="Times New Roman" w:cs="Times New Roman"/>
          <w:spacing w:val="-16"/>
          <w:sz w:val="28"/>
          <w:szCs w:val="28"/>
        </w:rPr>
        <w:t>г/дм</w:t>
      </w:r>
      <w:r>
        <w:rPr>
          <w:rFonts w:ascii="Times New Roman" w:hAnsi="Times New Roman" w:cs="Times New Roman"/>
          <w:spacing w:val="-16"/>
          <w:sz w:val="28"/>
          <w:szCs w:val="28"/>
          <w:vertAlign w:val="superscript"/>
        </w:rPr>
        <w:t>3</w:t>
      </w:r>
      <w:r>
        <w:rPr>
          <w:rFonts w:ascii="Times New Roman" w:hAnsi="Times New Roman" w:cs="Times New Roman"/>
          <w:spacing w:val="-16"/>
          <w:sz w:val="28"/>
          <w:szCs w:val="28"/>
        </w:rPr>
        <w:t>; ОДЄ</w:t>
      </w:r>
      <w:r>
        <w:rPr>
          <w:rFonts w:ascii="Times New Roman" w:hAnsi="Times New Roman" w:cs="Times New Roman"/>
          <w:spacing w:val="-16"/>
          <w:sz w:val="28"/>
          <w:szCs w:val="28"/>
          <w:vertAlign w:val="subscript"/>
        </w:rPr>
        <w:t>5</w:t>
      </w:r>
      <w:r>
        <w:rPr>
          <w:rFonts w:ascii="Times New Roman" w:hAnsi="Times New Roman" w:cs="Times New Roman"/>
          <w:spacing w:val="-16"/>
          <w:sz w:val="28"/>
          <w:szCs w:val="28"/>
        </w:rPr>
        <w:t>=1,2695</w:t>
      </w:r>
      <w:r>
        <w:rPr>
          <w:rFonts w:ascii="Times New Roman" w:hAnsi="Times New Roman" w:cs="Times New Roman"/>
          <w:spacing w:val="-16"/>
          <w:sz w:val="28"/>
          <w:szCs w:val="28"/>
        </w:rPr>
        <w:t xml:space="preserve"> г-екв/дм</w:t>
      </w:r>
      <w:r>
        <w:rPr>
          <w:rFonts w:ascii="Times New Roman" w:hAnsi="Times New Roman" w:cs="Times New Roman"/>
          <w:spacing w:val="-16"/>
          <w:sz w:val="28"/>
          <w:szCs w:val="28"/>
          <w:vertAlign w:val="superscript"/>
        </w:rPr>
        <w:t>3</w:t>
      </w:r>
      <w:r>
        <w:rPr>
          <w:rFonts w:ascii="Times New Roman" w:hAnsi="Times New Roman" w:cs="Times New Roman"/>
          <w:spacing w:val="-16"/>
          <w:sz w:val="28"/>
          <w:szCs w:val="28"/>
        </w:rPr>
        <w:t>; ОДЄ</w:t>
      </w:r>
      <w:r>
        <w:rPr>
          <w:rFonts w:ascii="Times New Roman" w:hAnsi="Times New Roman" w:cs="Times New Roman"/>
          <w:spacing w:val="-16"/>
          <w:sz w:val="28"/>
          <w:szCs w:val="28"/>
          <w:vertAlign w:val="subscript"/>
        </w:rPr>
        <w:t xml:space="preserve">6 </w:t>
      </w:r>
      <w:r>
        <w:rPr>
          <w:rFonts w:ascii="Times New Roman" w:hAnsi="Times New Roman" w:cs="Times New Roman"/>
          <w:spacing w:val="-16"/>
          <w:sz w:val="28"/>
          <w:szCs w:val="28"/>
        </w:rPr>
        <w:t>=1,144 г-екв/дм</w:t>
      </w:r>
      <w:r>
        <w:rPr>
          <w:rFonts w:ascii="Times New Roman" w:hAnsi="Times New Roman" w:cs="Times New Roman"/>
          <w:spacing w:val="-16"/>
          <w:sz w:val="28"/>
          <w:szCs w:val="28"/>
          <w:vertAlign w:val="superscript"/>
        </w:rPr>
        <w:t>3</w:t>
      </w:r>
      <w:r>
        <w:rPr>
          <w:rFonts w:ascii="Times New Roman" w:hAnsi="Times New Roman" w:cs="Times New Roman"/>
          <w:spacing w:val="-16"/>
          <w:sz w:val="28"/>
          <w:szCs w:val="28"/>
        </w:rPr>
        <w:t>)</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F1629C">
      <w:pPr>
        <w:tabs>
          <w:tab w:val="left" w:pos="284"/>
          <w:tab w:val="left" w:pos="4018"/>
        </w:tabs>
        <w:spacing w:after="0" w:line="360" w:lineRule="auto"/>
        <w:jc w:val="both"/>
        <w:rPr>
          <w:rFonts w:ascii="Times New Roman" w:hAnsi="Times New Roman" w:cs="Times New Roman"/>
          <w:b/>
          <w:i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3.5 Оцінка ефективності вилучення іонів цинку з води</w:t>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t>3.5.1 Оцінка ефективності нанофільтраційного вилучення іонів цинку з води</w:t>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
          <w:iCs/>
          <w:sz w:val="28"/>
          <w:szCs w:val="28"/>
          <w:lang w:val="ru"/>
        </w:rPr>
        <w:tab/>
      </w:r>
      <w:r>
        <w:rPr>
          <w:rFonts w:ascii="Times New Roman" w:hAnsi="Times New Roman" w:cs="Times New Roman"/>
          <w:bCs/>
          <w:iCs/>
          <w:sz w:val="28"/>
          <w:szCs w:val="28"/>
          <w:lang w:val="ru"/>
        </w:rPr>
        <w:t>При вилученні іонів цинку з води нанофільтраційним методом також застосовувалися такі ком</w:t>
      </w:r>
      <w:r>
        <w:rPr>
          <w:rFonts w:ascii="Times New Roman" w:hAnsi="Times New Roman" w:cs="Times New Roman"/>
          <w:bCs/>
          <w:iCs/>
          <w:sz w:val="28"/>
          <w:szCs w:val="28"/>
          <w:lang w:val="ru"/>
        </w:rPr>
        <w:t>плексоутворювачі як НТМФК та ОЕДФК. Як і у випадку з кадмієм, ОЕДФК демонструвала високу ступінь вилучення іонів цинку з дистильованої води (рис. 3.36). Концентрації обох кислот складали 50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рН розчинів під час дослідів коливався в межах 6,55 - 6,65</w:t>
      </w:r>
      <w:r>
        <w:rPr>
          <w:rFonts w:ascii="Times New Roman" w:hAnsi="Times New Roman" w:cs="Times New Roman"/>
          <w:bCs/>
          <w:iCs/>
          <w:sz w:val="28"/>
          <w:szCs w:val="28"/>
          <w:lang w:val="ru"/>
        </w:rPr>
        <w:t xml:space="preserve"> одиниць. Як видно з рисунку, ОЕДФК забезпечувала повне вилучення іоднів цинку з розчину, в той час як НТМФК обумовлювала селективність мембрани на рівні 0,48 %. </w:t>
      </w:r>
    </w:p>
    <w:p w:rsidR="00F1629C" w:rsidRDefault="00F1629C">
      <w:pPr>
        <w:tabs>
          <w:tab w:val="left" w:pos="284"/>
          <w:tab w:val="left" w:pos="4018"/>
        </w:tabs>
        <w:spacing w:after="0" w:line="360" w:lineRule="auto"/>
        <w:jc w:val="both"/>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center"/>
        <w:rPr>
          <w:rFonts w:ascii="Times New Roman" w:hAnsi="Times New Roman" w:cs="Times New Roman"/>
          <w:b/>
          <w:iCs/>
          <w:sz w:val="28"/>
          <w:szCs w:val="28"/>
          <w:lang w:val="ru"/>
        </w:rPr>
      </w:pPr>
      <w:r>
        <w:rPr>
          <w:noProof/>
          <w:lang w:val="ru-RU" w:eastAsia="ru-RU"/>
        </w:rPr>
        <mc:AlternateContent>
          <mc:Choice Requires="wps">
            <w:drawing>
              <wp:anchor distT="0" distB="0" distL="114300" distR="114300" simplePos="0" relativeHeight="254166016" behindDoc="0" locked="0" layoutInCell="1" allowOverlap="1">
                <wp:simplePos x="0" y="0"/>
                <wp:positionH relativeFrom="column">
                  <wp:posOffset>3900170</wp:posOffset>
                </wp:positionH>
                <wp:positionV relativeFrom="paragraph">
                  <wp:posOffset>2082800</wp:posOffset>
                </wp:positionV>
                <wp:extent cx="66675" cy="228600"/>
                <wp:effectExtent l="4445" t="1270" r="5080" b="17780"/>
                <wp:wrapNone/>
                <wp:docPr id="105" name="Straight Connector 105"/>
                <wp:cNvGraphicFramePr/>
                <a:graphic xmlns:a="http://schemas.openxmlformats.org/drawingml/2006/main">
                  <a:graphicData uri="http://schemas.microsoft.com/office/word/2010/wordprocessingShape">
                    <wps:wsp>
                      <wps:cNvCnPr/>
                      <wps:spPr>
                        <a:xfrm>
                          <a:off x="4980305" y="5255895"/>
                          <a:ext cx="66675" cy="2286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D47397" id="Straight Connector 105" o:spid="_x0000_s1026" style="position:absolute;z-index:254166016;visibility:visible;mso-wrap-style:square;mso-wrap-distance-left:9pt;mso-wrap-distance-top:0;mso-wrap-distance-right:9pt;mso-wrap-distance-bottom:0;mso-position-horizontal:absolute;mso-position-horizontal-relative:text;mso-position-vertical:absolute;mso-position-vertical-relative:text" from="307.1pt,164pt" to="312.3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4164992" behindDoc="0" locked="0" layoutInCell="1" allowOverlap="1">
                <wp:simplePos x="0" y="0"/>
                <wp:positionH relativeFrom="column">
                  <wp:posOffset>4366895</wp:posOffset>
                </wp:positionH>
                <wp:positionV relativeFrom="paragraph">
                  <wp:posOffset>2054225</wp:posOffset>
                </wp:positionV>
                <wp:extent cx="200025" cy="133350"/>
                <wp:effectExtent l="2540" t="3810" r="6985" b="15240"/>
                <wp:wrapNone/>
                <wp:docPr id="104" name="Straight Connector 104"/>
                <wp:cNvGraphicFramePr/>
                <a:graphic xmlns:a="http://schemas.openxmlformats.org/drawingml/2006/main">
                  <a:graphicData uri="http://schemas.microsoft.com/office/word/2010/wordprocessingShape">
                    <wps:wsp>
                      <wps:cNvCnPr/>
                      <wps:spPr>
                        <a:xfrm>
                          <a:off x="5447030" y="5227320"/>
                          <a:ext cx="200025" cy="1333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3124B57" id="Straight Connector 104" o:spid="_x0000_s1026" style="position:absolute;z-index:254164992;visibility:visible;mso-wrap-style:square;mso-wrap-distance-left:9pt;mso-wrap-distance-top:0;mso-wrap-distance-right:9pt;mso-wrap-distance-bottom:0;mso-position-horizontal:absolute;mso-position-horizontal-relative:text;mso-position-vertical:absolute;mso-position-vertical-relative:text" from="343.85pt,161.75pt" to="359.6pt,17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4163968" behindDoc="0" locked="0" layoutInCell="1" allowOverlap="1">
                <wp:simplePos x="0" y="0"/>
                <wp:positionH relativeFrom="column">
                  <wp:posOffset>4528820</wp:posOffset>
                </wp:positionH>
                <wp:positionV relativeFrom="paragraph">
                  <wp:posOffset>1539875</wp:posOffset>
                </wp:positionV>
                <wp:extent cx="161925" cy="152400"/>
                <wp:effectExtent l="3175" t="3175" r="6350" b="15875"/>
                <wp:wrapNone/>
                <wp:docPr id="103" name="Straight Connector 103"/>
                <wp:cNvGraphicFramePr/>
                <a:graphic xmlns:a="http://schemas.openxmlformats.org/drawingml/2006/main">
                  <a:graphicData uri="http://schemas.microsoft.com/office/word/2010/wordprocessingShape">
                    <wps:wsp>
                      <wps:cNvCnPr/>
                      <wps:spPr>
                        <a:xfrm flipH="1" flipV="1">
                          <a:off x="5608955" y="4712970"/>
                          <a:ext cx="161925"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02CC0B5" id="Straight Connector 103" o:spid="_x0000_s1026" style="position:absolute;flip:x y;z-index:254163968;visibility:visible;mso-wrap-style:square;mso-wrap-distance-left:9pt;mso-wrap-distance-top:0;mso-wrap-distance-right:9pt;mso-wrap-distance-bottom:0;mso-position-horizontal:absolute;mso-position-horizontal-relative:text;mso-position-vertical:absolute;mso-position-vertical-relative:text" from="356.6pt,121.25pt" to="369.35pt,13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4162944" behindDoc="0" locked="0" layoutInCell="1" allowOverlap="1">
                <wp:simplePos x="0" y="0"/>
                <wp:positionH relativeFrom="column">
                  <wp:posOffset>3414395</wp:posOffset>
                </wp:positionH>
                <wp:positionV relativeFrom="paragraph">
                  <wp:posOffset>1711325</wp:posOffset>
                </wp:positionV>
                <wp:extent cx="323850" cy="66675"/>
                <wp:effectExtent l="1270" t="4445" r="17780" b="5080"/>
                <wp:wrapNone/>
                <wp:docPr id="102" name="Straight Connector 102"/>
                <wp:cNvGraphicFramePr/>
                <a:graphic xmlns:a="http://schemas.openxmlformats.org/drawingml/2006/main">
                  <a:graphicData uri="http://schemas.microsoft.com/office/word/2010/wordprocessingShape">
                    <wps:wsp>
                      <wps:cNvCnPr/>
                      <wps:spPr>
                        <a:xfrm>
                          <a:off x="4494530" y="4884420"/>
                          <a:ext cx="323850" cy="666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5B324F8" id="Straight Connector 102" o:spid="_x0000_s1026" style="position:absolute;z-index:254162944;visibility:visible;mso-wrap-style:square;mso-wrap-distance-left:9pt;mso-wrap-distance-top:0;mso-wrap-distance-right:9pt;mso-wrap-distance-bottom:0;mso-position-horizontal:absolute;mso-position-horizontal-relative:text;mso-position-vertical:absolute;mso-position-vertical-relative:text" from="268.85pt,134.75pt" to="294.35pt,1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4161920" behindDoc="0" locked="0" layoutInCell="1" allowOverlap="1">
                <wp:simplePos x="0" y="0"/>
                <wp:positionH relativeFrom="column">
                  <wp:posOffset>3004820</wp:posOffset>
                </wp:positionH>
                <wp:positionV relativeFrom="paragraph">
                  <wp:posOffset>1187450</wp:posOffset>
                </wp:positionV>
                <wp:extent cx="266700" cy="161925"/>
                <wp:effectExtent l="2540" t="3810" r="16510" b="5715"/>
                <wp:wrapNone/>
                <wp:docPr id="101" name="Straight Connector 101"/>
                <wp:cNvGraphicFramePr/>
                <a:graphic xmlns:a="http://schemas.openxmlformats.org/drawingml/2006/main">
                  <a:graphicData uri="http://schemas.microsoft.com/office/word/2010/wordprocessingShape">
                    <wps:wsp>
                      <wps:cNvCnPr/>
                      <wps:spPr>
                        <a:xfrm>
                          <a:off x="4084955" y="4360545"/>
                          <a:ext cx="266700"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D9C452" id="Straight Connector 101" o:spid="_x0000_s1026" style="position:absolute;z-index:254161920;visibility:visible;mso-wrap-style:square;mso-wrap-distance-left:9pt;mso-wrap-distance-top:0;mso-wrap-distance-right:9pt;mso-wrap-distance-bottom:0;mso-position-horizontal:absolute;mso-position-horizontal-relative:text;mso-position-vertical:absolute;mso-position-vertical-relative:text" from="236.6pt,93.5pt" to="257.6pt,10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" strokecolor="black [3213]" strokeweight=".5pt">
                <v:stroke joinstyle="miter"/>
              </v:line>
            </w:pict>
          </mc:Fallback>
        </mc:AlternateContent>
      </w:r>
      <w:r>
        <w:rPr>
          <w:noProof/>
          <w:lang w:val="ru-RU" w:eastAsia="ru-RU"/>
        </w:rPr>
        <mc:AlternateContent>
          <mc:Choice Requires="wps">
            <w:drawing>
              <wp:anchor distT="0" distB="0" distL="114300" distR="114300" simplePos="0" relativeHeight="254160896" behindDoc="0" locked="0" layoutInCell="1" allowOverlap="1">
                <wp:simplePos x="0" y="0"/>
                <wp:positionH relativeFrom="column">
                  <wp:posOffset>3404870</wp:posOffset>
                </wp:positionH>
                <wp:positionV relativeFrom="paragraph">
                  <wp:posOffset>158750</wp:posOffset>
                </wp:positionV>
                <wp:extent cx="114300" cy="285750"/>
                <wp:effectExtent l="4445" t="1905" r="14605" b="17145"/>
                <wp:wrapNone/>
                <wp:docPr id="100" name="Straight Connector 100"/>
                <wp:cNvGraphicFramePr/>
                <a:graphic xmlns:a="http://schemas.openxmlformats.org/drawingml/2006/main">
                  <a:graphicData uri="http://schemas.microsoft.com/office/word/2010/wordprocessingShape">
                    <wps:wsp>
                      <wps:cNvCnPr/>
                      <wps:spPr>
                        <a:xfrm flipV="1">
                          <a:off x="4485005" y="3331845"/>
                          <a:ext cx="114300" cy="285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3B8200" id="Straight Connector 100" o:spid="_x0000_s1026" style="position:absolute;flip:y;z-index:254160896;visibility:visible;mso-wrap-style:square;mso-wrap-distance-left:9pt;mso-wrap-distance-top:0;mso-wrap-distance-right:9pt;mso-wrap-distance-bottom:0;mso-position-horizontal:absolute;mso-position-horizontal-relative:text;mso-position-vertical:absolute;mso-position-vertical-relative:text" from="268.1pt,12.5pt" to="277.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" strokecolor="black [3213]" strokeweight=".5pt">
                <v:stroke joinstyle="miter"/>
              </v:line>
            </w:pict>
          </mc:Fallback>
        </mc:AlternateContent>
      </w:r>
      <w:r>
        <w:rPr>
          <w:noProof/>
          <w:lang w:val="ru-RU" w:eastAsia="ru-RU"/>
        </w:rPr>
        <w:drawing>
          <wp:inline distT="0" distB="0" distL="0" distR="0">
            <wp:extent cx="5486400" cy="2743200"/>
            <wp:effectExtent l="0" t="0" r="0" b="0"/>
            <wp:docPr id="225"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1629C" w:rsidRDefault="00E671D2">
      <w:pPr>
        <w:tabs>
          <w:tab w:val="left" w:pos="284"/>
          <w:tab w:val="left" w:pos="4018"/>
        </w:tabs>
        <w:spacing w:after="0" w:line="360" w:lineRule="auto"/>
        <w:jc w:val="both"/>
        <w:rPr>
          <w:rFonts w:ascii="Times New Roman" w:hAnsi="Times New Roman" w:cs="Times New Roman"/>
          <w:b/>
          <w:iCs/>
          <w:sz w:val="28"/>
          <w:szCs w:val="28"/>
          <w:lang w:val="ru"/>
        </w:rPr>
      </w:pPr>
      <w:r>
        <w:rPr>
          <w:rFonts w:ascii="Times New Roman" w:hAnsi="Times New Roman" w:cs="Times New Roman"/>
          <w:b/>
          <w:iCs/>
          <w:sz w:val="28"/>
          <w:szCs w:val="28"/>
          <w:lang w:val="ru"/>
        </w:rPr>
        <w:tab/>
      </w:r>
      <w:r>
        <w:rPr>
          <w:rFonts w:ascii="Times New Roman" w:hAnsi="Times New Roman" w:cs="Times New Roman"/>
          <w:bCs/>
          <w:iCs/>
          <w:sz w:val="28"/>
          <w:szCs w:val="28"/>
          <w:lang w:val="ru"/>
        </w:rPr>
        <w:t>Рисунок 3.36 - залежність концентрації іонів цинку в пермеаті (1, 2) та концентраті</w:t>
      </w:r>
      <w:r>
        <w:rPr>
          <w:rFonts w:ascii="Times New Roman" w:hAnsi="Times New Roman" w:cs="Times New Roman"/>
          <w:bCs/>
          <w:iCs/>
          <w:sz w:val="28"/>
          <w:szCs w:val="28"/>
          <w:lang w:val="ru"/>
        </w:rPr>
        <w:t xml:space="preserve"> (3, 4), а також селективності (5, 6) від ступеня відбору пермеату при фільтруванні розчину сульфату цинку крізь мембрану ОПМН-П при коцентрації іонів цинку 0,1 (1, 3, 5) та 0,12 (2, 4, 6)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 xml:space="preserve"> з додаванням НТМФК (1, 3, 5) та ОЕДФК (2, 4, 6) </w:t>
      </w:r>
    </w:p>
    <w:p w:rsidR="00F1629C" w:rsidRDefault="00F1629C">
      <w:pPr>
        <w:widowControl w:val="0"/>
        <w:tabs>
          <w:tab w:val="left" w:pos="2420"/>
        </w:tabs>
        <w:spacing w:after="0" w:line="360" w:lineRule="auto"/>
        <w:ind w:firstLine="709"/>
        <w:jc w:val="both"/>
        <w:rPr>
          <w:rFonts w:ascii="Times New Roman" w:hAnsi="Times New Roman" w:cs="Times New Roman"/>
          <w:sz w:val="28"/>
          <w:szCs w:val="28"/>
          <w:lang w:val="ru"/>
        </w:rPr>
      </w:pPr>
    </w:p>
    <w:p w:rsidR="00F1629C" w:rsidRDefault="00E671D2">
      <w:pPr>
        <w:widowControl w:val="0"/>
        <w:tabs>
          <w:tab w:val="left" w:pos="2420"/>
        </w:tabs>
        <w:spacing w:after="0" w:line="360" w:lineRule="auto"/>
        <w:ind w:firstLine="709"/>
        <w:jc w:val="both"/>
        <w:rPr>
          <w:rFonts w:ascii="Times New Roman" w:hAnsi="Times New Roman" w:cs="Times New Roman"/>
          <w:sz w:val="28"/>
          <w:szCs w:val="28"/>
          <w:lang w:val="ru"/>
        </w:rPr>
      </w:pPr>
      <w:r>
        <w:rPr>
          <w:rFonts w:ascii="Times New Roman" w:hAnsi="Times New Roman" w:cs="Times New Roman"/>
          <w:sz w:val="28"/>
          <w:szCs w:val="28"/>
          <w:lang w:val="ru"/>
        </w:rPr>
        <w:t xml:space="preserve">ОЕДФК </w:t>
      </w:r>
      <w:r>
        <w:rPr>
          <w:rFonts w:ascii="Times New Roman" w:hAnsi="Times New Roman" w:cs="Times New Roman"/>
          <w:sz w:val="28"/>
          <w:szCs w:val="28"/>
          <w:lang w:val="ru"/>
        </w:rPr>
        <w:t>концентрацією 50 мг/дм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забезпечувала повне виділення цинку з розчину навіть за наднизької концентрації останнього - 0,01 мкг/дм</w:t>
      </w:r>
      <w:r>
        <w:rPr>
          <w:rFonts w:ascii="Times New Roman" w:hAnsi="Times New Roman" w:cs="Times New Roman"/>
          <w:sz w:val="28"/>
          <w:szCs w:val="28"/>
          <w:vertAlign w:val="superscript"/>
          <w:lang w:val="ru"/>
        </w:rPr>
        <w:t>3</w:t>
      </w:r>
      <w:r>
        <w:rPr>
          <w:rFonts w:ascii="Times New Roman" w:hAnsi="Times New Roman" w:cs="Times New Roman"/>
          <w:sz w:val="28"/>
          <w:szCs w:val="28"/>
          <w:lang w:val="ru"/>
        </w:rPr>
        <w:t xml:space="preserve"> (рис. 3.37). Досліди проводилися при розчиненні сульфату цинку у дистильованій та бідистильованій воді. </w:t>
      </w:r>
    </w:p>
    <w:p w:rsidR="00F1629C" w:rsidRDefault="00F1629C">
      <w:pPr>
        <w:widowControl w:val="0"/>
        <w:tabs>
          <w:tab w:val="left" w:pos="2420"/>
        </w:tabs>
        <w:spacing w:after="0" w:line="360" w:lineRule="auto"/>
        <w:ind w:firstLine="709"/>
        <w:jc w:val="both"/>
        <w:rPr>
          <w:rFonts w:ascii="Times New Roman" w:hAnsi="Times New Roman" w:cs="Times New Roman"/>
          <w:sz w:val="28"/>
          <w:szCs w:val="28"/>
          <w:lang w:val="ru"/>
        </w:rPr>
      </w:pPr>
    </w:p>
    <w:p w:rsidR="00F1629C" w:rsidRDefault="00E671D2">
      <w:pPr>
        <w:tabs>
          <w:tab w:val="left" w:pos="284"/>
          <w:tab w:val="left" w:pos="4018"/>
        </w:tabs>
        <w:spacing w:after="0" w:line="360" w:lineRule="auto"/>
        <w:jc w:val="center"/>
        <w:rPr>
          <w:rFonts w:ascii="Times New Roman" w:hAnsi="Times New Roman" w:cs="Times New Roman"/>
          <w:bCs/>
          <w:iCs/>
          <w:sz w:val="28"/>
          <w:szCs w:val="28"/>
          <w:lang w:val="en-US"/>
        </w:rPr>
      </w:pPr>
      <w:r>
        <w:rPr>
          <w:noProof/>
          <w:sz w:val="28"/>
          <w:lang w:val="ru-RU" w:eastAsia="ru-RU"/>
        </w:rPr>
        <mc:AlternateContent>
          <mc:Choice Requires="wps">
            <w:drawing>
              <wp:anchor distT="0" distB="0" distL="114300" distR="114300" simplePos="0" relativeHeight="254172160" behindDoc="0" locked="0" layoutInCell="1" allowOverlap="1">
                <wp:simplePos x="0" y="0"/>
                <wp:positionH relativeFrom="column">
                  <wp:posOffset>4528820</wp:posOffset>
                </wp:positionH>
                <wp:positionV relativeFrom="paragraph">
                  <wp:posOffset>2112645</wp:posOffset>
                </wp:positionV>
                <wp:extent cx="19050" cy="161925"/>
                <wp:effectExtent l="4445" t="0" r="14605" b="8255"/>
                <wp:wrapNone/>
                <wp:docPr id="112" name="Straight Connector 112"/>
                <wp:cNvGraphicFramePr/>
                <a:graphic xmlns:a="http://schemas.openxmlformats.org/drawingml/2006/main">
                  <a:graphicData uri="http://schemas.microsoft.com/office/word/2010/wordprocessingShape">
                    <wps:wsp>
                      <wps:cNvCnPr/>
                      <wps:spPr>
                        <a:xfrm>
                          <a:off x="5608955" y="3445510"/>
                          <a:ext cx="19050"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512C639" id="Straight Connector 112" o:spid="_x0000_s1026" style="position:absolute;z-index:254172160;visibility:visible;mso-wrap-style:square;mso-wrap-distance-left:9pt;mso-wrap-distance-top:0;mso-wrap-distance-right:9pt;mso-wrap-distance-bottom:0;mso-position-horizontal:absolute;mso-position-horizontal-relative:text;mso-position-vertical:absolute;mso-position-vertical-relative:text" from="356.6pt,166.35pt" to="358.1pt,17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4171136" behindDoc="0" locked="0" layoutInCell="1" allowOverlap="1">
                <wp:simplePos x="0" y="0"/>
                <wp:positionH relativeFrom="column">
                  <wp:posOffset>4033520</wp:posOffset>
                </wp:positionH>
                <wp:positionV relativeFrom="paragraph">
                  <wp:posOffset>2122170</wp:posOffset>
                </wp:positionV>
                <wp:extent cx="9525" cy="161925"/>
                <wp:effectExtent l="4445" t="0" r="5080" b="8255"/>
                <wp:wrapNone/>
                <wp:docPr id="110" name="Straight Connector 110"/>
                <wp:cNvGraphicFramePr/>
                <a:graphic xmlns:a="http://schemas.openxmlformats.org/drawingml/2006/main">
                  <a:graphicData uri="http://schemas.microsoft.com/office/word/2010/wordprocessingShape">
                    <wps:wsp>
                      <wps:cNvCnPr/>
                      <wps:spPr>
                        <a:xfrm>
                          <a:off x="5113655" y="3455035"/>
                          <a:ext cx="9525"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532A32" id="Straight Connector 110" o:spid="_x0000_s1026" style="position:absolute;z-index:254171136;visibility:visible;mso-wrap-style:square;mso-wrap-distance-left:9pt;mso-wrap-distance-top:0;mso-wrap-distance-right:9pt;mso-wrap-distance-bottom:0;mso-position-horizontal:absolute;mso-position-horizontal-relative:text;mso-position-vertical:absolute;mso-position-vertical-relative:text" from="317.6pt,167.1pt" to="318.35pt,17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4170112" behindDoc="0" locked="0" layoutInCell="1" allowOverlap="1">
                <wp:simplePos x="0" y="0"/>
                <wp:positionH relativeFrom="column">
                  <wp:posOffset>4757420</wp:posOffset>
                </wp:positionH>
                <wp:positionV relativeFrom="paragraph">
                  <wp:posOffset>1407795</wp:posOffset>
                </wp:positionV>
                <wp:extent cx="47625" cy="276225"/>
                <wp:effectExtent l="4445" t="635" r="5080" b="8890"/>
                <wp:wrapNone/>
                <wp:docPr id="109" name="Straight Connector 109"/>
                <wp:cNvGraphicFramePr/>
                <a:graphic xmlns:a="http://schemas.openxmlformats.org/drawingml/2006/main">
                  <a:graphicData uri="http://schemas.microsoft.com/office/word/2010/wordprocessingShape">
                    <wps:wsp>
                      <wps:cNvCnPr/>
                      <wps:spPr>
                        <a:xfrm flipH="1" flipV="1">
                          <a:off x="5837555" y="2740660"/>
                          <a:ext cx="47625" cy="2762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5804F7" id="Straight Connector 109" o:spid="_x0000_s1026" style="position:absolute;flip:x y;z-index:254170112;visibility:visible;mso-wrap-style:square;mso-wrap-distance-left:9pt;mso-wrap-distance-top:0;mso-wrap-distance-right:9pt;mso-wrap-distance-bottom:0;mso-position-horizontal:absolute;mso-position-horizontal-relative:text;mso-position-vertical:absolute;mso-position-vertical-relative:text" from="374.6pt,110.85pt" to="378.35pt,1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4169088" behindDoc="0" locked="0" layoutInCell="1" allowOverlap="1">
                <wp:simplePos x="0" y="0"/>
                <wp:positionH relativeFrom="column">
                  <wp:posOffset>4509770</wp:posOffset>
                </wp:positionH>
                <wp:positionV relativeFrom="paragraph">
                  <wp:posOffset>1055370</wp:posOffset>
                </wp:positionV>
                <wp:extent cx="257175" cy="371475"/>
                <wp:effectExtent l="3810" t="2540" r="5715" b="6985"/>
                <wp:wrapNone/>
                <wp:docPr id="108" name="Straight Connector 108"/>
                <wp:cNvGraphicFramePr/>
                <a:graphic xmlns:a="http://schemas.openxmlformats.org/drawingml/2006/main">
                  <a:graphicData uri="http://schemas.microsoft.com/office/word/2010/wordprocessingShape">
                    <wps:wsp>
                      <wps:cNvCnPr/>
                      <wps:spPr>
                        <a:xfrm>
                          <a:off x="5589905" y="2388235"/>
                          <a:ext cx="257175" cy="3714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5149136" id="Straight Connector 108" o:spid="_x0000_s1026" style="position:absolute;z-index:254169088;visibility:visible;mso-wrap-style:square;mso-wrap-distance-left:9pt;mso-wrap-distance-top:0;mso-wrap-distance-right:9pt;mso-wrap-distance-bottom:0;mso-position-horizontal:absolute;mso-position-horizontal-relative:text;mso-position-vertical:absolute;mso-position-vertical-relative:text" from="355.1pt,83.1pt" to="375.35pt,1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4168064" behindDoc="0" locked="0" layoutInCell="1" allowOverlap="1">
                <wp:simplePos x="0" y="0"/>
                <wp:positionH relativeFrom="column">
                  <wp:posOffset>3404870</wp:posOffset>
                </wp:positionH>
                <wp:positionV relativeFrom="paragraph">
                  <wp:posOffset>102870</wp:posOffset>
                </wp:positionV>
                <wp:extent cx="9525" cy="152400"/>
                <wp:effectExtent l="4445" t="0" r="5080" b="19050"/>
                <wp:wrapNone/>
                <wp:docPr id="107" name="Straight Connector 107"/>
                <wp:cNvGraphicFramePr/>
                <a:graphic xmlns:a="http://schemas.openxmlformats.org/drawingml/2006/main">
                  <a:graphicData uri="http://schemas.microsoft.com/office/word/2010/wordprocessingShape">
                    <wps:wsp>
                      <wps:cNvCnPr/>
                      <wps:spPr>
                        <a:xfrm flipV="1">
                          <a:off x="4485005" y="1435735"/>
                          <a:ext cx="9525"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BAEDA3" id="Straight Connector 107" o:spid="_x0000_s1026" style="position:absolute;flip:y;z-index:254168064;visibility:visible;mso-wrap-style:square;mso-wrap-distance-left:9pt;mso-wrap-distance-top:0;mso-wrap-distance-right:9pt;mso-wrap-distance-bottom:0;mso-position-horizontal:absolute;mso-position-horizontal-relative:text;mso-position-vertical:absolute;mso-position-vertical-relative:text" from="268.1pt,8.1pt" to="268.8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" strokecolor="black [3213]" strokeweight=".5pt">
                <v:stroke joinstyle="miter"/>
              </v:line>
            </w:pict>
          </mc:Fallback>
        </mc:AlternateContent>
      </w:r>
      <w:r>
        <w:rPr>
          <w:noProof/>
          <w:sz w:val="28"/>
          <w:lang w:val="ru-RU" w:eastAsia="ru-RU"/>
        </w:rPr>
        <mc:AlternateContent>
          <mc:Choice Requires="wps">
            <w:drawing>
              <wp:anchor distT="0" distB="0" distL="114300" distR="114300" simplePos="0" relativeHeight="254167040" behindDoc="0" locked="0" layoutInCell="1" allowOverlap="1">
                <wp:simplePos x="0" y="0"/>
                <wp:positionH relativeFrom="column">
                  <wp:posOffset>2557145</wp:posOffset>
                </wp:positionH>
                <wp:positionV relativeFrom="paragraph">
                  <wp:posOffset>121920</wp:posOffset>
                </wp:positionV>
                <wp:extent cx="9525" cy="200025"/>
                <wp:effectExtent l="4445" t="0" r="5080" b="8890"/>
                <wp:wrapNone/>
                <wp:docPr id="106" name="Straight Connector 106"/>
                <wp:cNvGraphicFramePr/>
                <a:graphic xmlns:a="http://schemas.openxmlformats.org/drawingml/2006/main">
                  <a:graphicData uri="http://schemas.microsoft.com/office/word/2010/wordprocessingShape">
                    <wps:wsp>
                      <wps:cNvCnPr/>
                      <wps:spPr>
                        <a:xfrm flipV="1">
                          <a:off x="3637280" y="1454785"/>
                          <a:ext cx="9525" cy="2000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64FF5E" id="Straight Connector 106" o:spid="_x0000_s1026" style="position:absolute;flip:y;z-index:254167040;visibility:visible;mso-wrap-style:square;mso-wrap-distance-left:9pt;mso-wrap-distance-top:0;mso-wrap-distance-right:9pt;mso-wrap-distance-bottom:0;mso-position-horizontal:absolute;mso-position-horizontal-relative:text;mso-position-vertical:absolute;mso-position-vertical-relative:text" from="201.35pt,9.6pt" to="202.1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" strokecolor="black [3213]" strokeweight=".5pt">
                <v:stroke joinstyle="miter"/>
              </v:line>
            </w:pict>
          </mc:Fallback>
        </mc:AlternateContent>
      </w:r>
      <w:r>
        <w:rPr>
          <w:rFonts w:ascii="Times New Roman" w:hAnsi="Times New Roman" w:cs="Times New Roman"/>
          <w:bCs/>
          <w:iCs/>
          <w:noProof/>
          <w:sz w:val="28"/>
          <w:szCs w:val="28"/>
          <w:lang w:val="ru-RU" w:eastAsia="ru-RU"/>
        </w:rPr>
        <w:drawing>
          <wp:inline distT="0" distB="0" distL="0" distR="0">
            <wp:extent cx="5486400" cy="2743200"/>
            <wp:effectExtent l="0" t="0" r="0" b="0"/>
            <wp:docPr id="226"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ab/>
        <w:t>Рисунок 3.3</w:t>
      </w:r>
      <w:r>
        <w:rPr>
          <w:rFonts w:ascii="Times New Roman" w:hAnsi="Times New Roman" w:cs="Times New Roman"/>
          <w:bCs/>
          <w:iCs/>
          <w:sz w:val="28"/>
          <w:szCs w:val="28"/>
          <w:lang w:val="ru"/>
        </w:rPr>
        <w:t>7 - залежність концентрації цинку у концентраті (1, 2) та пемреаті (3, 4) та селективності (5,6) нанофільтраційної мембрани ОПМН-П від ступеню відбору пермеату з використанням комплексону ОЕДФК при вихідній концентрації цинку 0,01 мкг/дм3 у дистильованій (</w:t>
      </w:r>
      <w:r>
        <w:rPr>
          <w:rFonts w:ascii="Times New Roman" w:hAnsi="Times New Roman" w:cs="Times New Roman"/>
          <w:bCs/>
          <w:iCs/>
          <w:sz w:val="28"/>
          <w:szCs w:val="28"/>
          <w:lang w:val="ru"/>
        </w:rPr>
        <w:t>1, 3, 5) та бідистильованій (2, 4, 6) воді</w:t>
      </w:r>
    </w:p>
    <w:p w:rsidR="00F1629C" w:rsidRDefault="00F1629C">
      <w:pPr>
        <w:tabs>
          <w:tab w:val="left" w:pos="284"/>
          <w:tab w:val="left" w:pos="4018"/>
        </w:tabs>
        <w:spacing w:after="0" w:line="360" w:lineRule="auto"/>
        <w:jc w:val="both"/>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ab/>
        <w:t xml:space="preserve">Проте, попри високу ефективність ОЕДФК для вилучення цинку з дистильованої та бідистильованої води, селективність мембрани суттєво знижується при вилученні цинку з водопровідної води (таб. 3.8). Досліди також </w:t>
      </w:r>
      <w:r>
        <w:rPr>
          <w:rFonts w:ascii="Times New Roman" w:hAnsi="Times New Roman" w:cs="Times New Roman"/>
          <w:bCs/>
          <w:iCs/>
          <w:sz w:val="28"/>
          <w:szCs w:val="28"/>
          <w:lang w:val="ru"/>
        </w:rPr>
        <w:t>проводились за концентрації ОЕДФК 50 мг/дм</w:t>
      </w:r>
      <w:r>
        <w:rPr>
          <w:rFonts w:ascii="Times New Roman" w:hAnsi="Times New Roman" w:cs="Times New Roman"/>
          <w:bCs/>
          <w:iCs/>
          <w:sz w:val="28"/>
          <w:szCs w:val="28"/>
          <w:vertAlign w:val="superscript"/>
          <w:lang w:val="ru"/>
        </w:rPr>
        <w:t>3</w:t>
      </w:r>
      <w:r>
        <w:rPr>
          <w:rFonts w:ascii="Times New Roman" w:hAnsi="Times New Roman" w:cs="Times New Roman"/>
          <w:bCs/>
          <w:iCs/>
          <w:sz w:val="28"/>
          <w:szCs w:val="28"/>
          <w:lang w:val="ru"/>
        </w:rPr>
        <w:t>.</w:t>
      </w:r>
    </w:p>
    <w:p w:rsidR="00F1629C" w:rsidRDefault="00F1629C">
      <w:pPr>
        <w:tabs>
          <w:tab w:val="left" w:pos="284"/>
          <w:tab w:val="left" w:pos="4018"/>
        </w:tabs>
        <w:spacing w:after="0" w:line="360" w:lineRule="auto"/>
        <w:jc w:val="both"/>
        <w:rPr>
          <w:rFonts w:ascii="Times New Roman" w:hAnsi="Times New Roman" w:cs="Times New Roman"/>
          <w:bCs/>
          <w:iCs/>
          <w:sz w:val="28"/>
          <w:szCs w:val="28"/>
          <w:lang w:val="ru"/>
        </w:rPr>
      </w:pPr>
    </w:p>
    <w:p w:rsidR="00F1629C" w:rsidRDefault="00E671D2">
      <w:pPr>
        <w:tabs>
          <w:tab w:val="left" w:pos="284"/>
          <w:tab w:val="left" w:pos="4018"/>
        </w:tabs>
        <w:spacing w:after="0" w:line="360" w:lineRule="auto"/>
        <w:jc w:val="both"/>
        <w:rPr>
          <w:rFonts w:ascii="Times New Roman" w:hAnsi="Times New Roman" w:cs="Times New Roman"/>
          <w:bCs/>
          <w:iCs/>
          <w:sz w:val="28"/>
          <w:szCs w:val="28"/>
          <w:lang w:val="ru"/>
        </w:rPr>
      </w:pPr>
      <w:r>
        <w:rPr>
          <w:rFonts w:ascii="Times New Roman" w:hAnsi="Times New Roman" w:cs="Times New Roman"/>
          <w:bCs/>
          <w:iCs/>
          <w:sz w:val="28"/>
          <w:szCs w:val="28"/>
          <w:lang w:val="ru"/>
        </w:rPr>
        <w:tab/>
        <w:t>Таблиця 3.8 - ефективність вилучення цинку з водопровідної води нанофільтраційним методом при використанні ОЕДФК</w:t>
      </w:r>
    </w:p>
    <w:tbl>
      <w:tblPr>
        <w:tblW w:w="9668" w:type="dxa"/>
        <w:tblLayout w:type="fixed"/>
        <w:tblCellMar>
          <w:left w:w="0" w:type="dxa"/>
          <w:right w:w="0" w:type="dxa"/>
        </w:tblCellMar>
        <w:tblLook w:val="04A0" w:firstRow="1" w:lastRow="0" w:firstColumn="1" w:lastColumn="0" w:noHBand="0" w:noVBand="1"/>
      </w:tblPr>
      <w:tblGrid>
        <w:gridCol w:w="448"/>
        <w:gridCol w:w="914"/>
        <w:gridCol w:w="1172"/>
        <w:gridCol w:w="746"/>
        <w:gridCol w:w="939"/>
        <w:gridCol w:w="572"/>
        <w:gridCol w:w="1084"/>
        <w:gridCol w:w="1941"/>
        <w:gridCol w:w="911"/>
        <w:gridCol w:w="941"/>
      </w:tblGrid>
      <w:tr w:rsidR="00F1629C">
        <w:trPr>
          <w:trHeight w:val="285"/>
        </w:trPr>
        <w:tc>
          <w:tcPr>
            <w:tcW w:w="448" w:type="dxa"/>
            <w:vMerge w:val="restart"/>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w:t>
            </w:r>
          </w:p>
        </w:tc>
        <w:tc>
          <w:tcPr>
            <w:tcW w:w="2086" w:type="dxa"/>
            <w:gridSpan w:val="2"/>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СZn</w:t>
            </w:r>
            <w:r>
              <w:rPr>
                <w:rFonts w:ascii="Times New Roman" w:eastAsia="SimSun" w:hAnsi="Times New Roman" w:cs="Times New Roman"/>
                <w:color w:val="000000"/>
                <w:sz w:val="28"/>
                <w:szCs w:val="28"/>
                <w:vertAlign w:val="superscript"/>
                <w:lang w:val="en-US" w:eastAsia="zh-CN" w:bidi="ar"/>
              </w:rPr>
              <w:t>2+</w:t>
            </w:r>
            <w:r>
              <w:rPr>
                <w:rFonts w:ascii="Times New Roman" w:eastAsia="SimSun" w:hAnsi="Times New Roman" w:cs="Times New Roman"/>
                <w:color w:val="000000"/>
                <w:sz w:val="28"/>
                <w:szCs w:val="28"/>
                <w:lang w:val="en-US" w:eastAsia="zh-CN" w:bidi="ar"/>
              </w:rPr>
              <w:t>, мг/дм</w:t>
            </w:r>
            <w:r>
              <w:rPr>
                <w:rFonts w:ascii="Times New Roman" w:eastAsia="SimSun" w:hAnsi="Times New Roman" w:cs="Times New Roman"/>
                <w:color w:val="000000"/>
                <w:sz w:val="28"/>
                <w:szCs w:val="28"/>
                <w:vertAlign w:val="superscript"/>
                <w:lang w:val="en-US" w:eastAsia="zh-CN" w:bidi="ar"/>
              </w:rPr>
              <w:t>3</w:t>
            </w:r>
          </w:p>
        </w:tc>
        <w:tc>
          <w:tcPr>
            <w:tcW w:w="1685" w:type="dxa"/>
            <w:gridSpan w:val="2"/>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Ж, мг-екв/дм</w:t>
            </w:r>
            <w:r>
              <w:rPr>
                <w:rFonts w:ascii="Times New Roman" w:eastAsia="SimSun" w:hAnsi="Times New Roman" w:cs="Times New Roman"/>
                <w:color w:val="000000"/>
                <w:sz w:val="28"/>
                <w:szCs w:val="28"/>
                <w:vertAlign w:val="superscript"/>
                <w:lang w:val="en-US" w:eastAsia="zh-CN" w:bidi="ar"/>
              </w:rPr>
              <w:t>3</w:t>
            </w:r>
          </w:p>
        </w:tc>
        <w:tc>
          <w:tcPr>
            <w:tcW w:w="1656" w:type="dxa"/>
            <w:gridSpan w:val="2"/>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R, %</w:t>
            </w:r>
          </w:p>
        </w:tc>
        <w:tc>
          <w:tcPr>
            <w:tcW w:w="1941" w:type="dxa"/>
            <w:vMerge w:val="restart"/>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j, дм</w:t>
            </w:r>
            <w:r>
              <w:rPr>
                <w:rFonts w:ascii="Times New Roman" w:eastAsia="SimSun" w:hAnsi="Times New Roman" w:cs="Times New Roman"/>
                <w:color w:val="000000"/>
                <w:sz w:val="28"/>
                <w:szCs w:val="28"/>
                <w:vertAlign w:val="superscript"/>
                <w:lang w:val="en-US" w:eastAsia="zh-CN" w:bidi="ar"/>
              </w:rPr>
              <w:t>3</w:t>
            </w:r>
            <w:r>
              <w:rPr>
                <w:rFonts w:ascii="Times New Roman" w:eastAsia="SimSun" w:hAnsi="Times New Roman" w:cs="Times New Roman"/>
                <w:color w:val="000000"/>
                <w:sz w:val="28"/>
                <w:szCs w:val="28"/>
                <w:lang w:val="en-US" w:eastAsia="zh-CN" w:bidi="ar"/>
              </w:rPr>
              <w:t>/м</w:t>
            </w:r>
            <w:r>
              <w:rPr>
                <w:rFonts w:ascii="Times New Roman" w:eastAsia="SimSun" w:hAnsi="Times New Roman" w:cs="Times New Roman"/>
                <w:color w:val="000000"/>
                <w:sz w:val="28"/>
                <w:szCs w:val="28"/>
                <w:vertAlign w:val="superscript"/>
                <w:lang w:val="en-US" w:eastAsia="zh-CN" w:bidi="ar"/>
              </w:rPr>
              <w:t>2</w:t>
            </w:r>
            <w:r>
              <w:rPr>
                <w:rFonts w:ascii="Times New Roman" w:eastAsia="SimSun" w:hAnsi="Times New Roman" w:cs="Times New Roman"/>
                <w:color w:val="000000"/>
                <w:sz w:val="28"/>
                <w:szCs w:val="28"/>
                <w:lang w:val="en-US" w:eastAsia="zh-CN" w:bidi="ar"/>
              </w:rPr>
              <w:t>∙</w:t>
            </w:r>
            <w:r>
              <w:rPr>
                <w:rFonts w:ascii="Times New Roman" w:eastAsia="SimSun" w:hAnsi="Times New Roman" w:cs="Times New Roman"/>
                <w:color w:val="000000"/>
                <w:sz w:val="28"/>
                <w:szCs w:val="28"/>
                <w:lang w:val="en-US" w:eastAsia="zh-CN" w:bidi="ar"/>
              </w:rPr>
              <w:t>год</w:t>
            </w:r>
          </w:p>
        </w:tc>
        <w:tc>
          <w:tcPr>
            <w:tcW w:w="1852" w:type="dxa"/>
            <w:gridSpan w:val="2"/>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pH</w:t>
            </w:r>
          </w:p>
        </w:tc>
      </w:tr>
      <w:tr w:rsidR="00F1629C">
        <w:trPr>
          <w:trHeight w:val="285"/>
        </w:trPr>
        <w:tc>
          <w:tcPr>
            <w:tcW w:w="448" w:type="dxa"/>
            <w:vMerge/>
            <w:tcBorders>
              <w:top w:val="single" w:sz="2" w:space="0" w:color="000000"/>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914"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поч.</w:t>
            </w:r>
          </w:p>
        </w:tc>
        <w:tc>
          <w:tcPr>
            <w:tcW w:w="117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перм.</w:t>
            </w:r>
          </w:p>
        </w:tc>
        <w:tc>
          <w:tcPr>
            <w:tcW w:w="746"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поч.</w:t>
            </w:r>
          </w:p>
        </w:tc>
        <w:tc>
          <w:tcPr>
            <w:tcW w:w="93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перм.</w:t>
            </w:r>
          </w:p>
        </w:tc>
        <w:tc>
          <w:tcPr>
            <w:tcW w:w="572"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Zn</w:t>
            </w:r>
          </w:p>
        </w:tc>
        <w:tc>
          <w:tcPr>
            <w:tcW w:w="1084"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Ж</w:t>
            </w:r>
          </w:p>
        </w:tc>
        <w:tc>
          <w:tcPr>
            <w:tcW w:w="1941" w:type="dxa"/>
            <w:vMerge/>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F1629C">
            <w:pPr>
              <w:jc w:val="center"/>
              <w:rPr>
                <w:rFonts w:ascii="Times New Roman" w:hAnsi="Times New Roman" w:cs="Times New Roman"/>
                <w:color w:val="000000"/>
                <w:sz w:val="28"/>
                <w:szCs w:val="28"/>
              </w:rPr>
            </w:pPr>
          </w:p>
        </w:tc>
        <w:tc>
          <w:tcPr>
            <w:tcW w:w="911"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поч.</w:t>
            </w:r>
          </w:p>
        </w:tc>
        <w:tc>
          <w:tcPr>
            <w:tcW w:w="941" w:type="dxa"/>
            <w:tcBorders>
              <w:top w:val="single" w:sz="2" w:space="0" w:color="000000"/>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перм.</w:t>
            </w:r>
          </w:p>
        </w:tc>
      </w:tr>
      <w:tr w:rsidR="00F1629C">
        <w:trPr>
          <w:trHeight w:val="280"/>
        </w:trPr>
        <w:tc>
          <w:tcPr>
            <w:tcW w:w="448"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w:t>
            </w:r>
          </w:p>
        </w:tc>
        <w:tc>
          <w:tcPr>
            <w:tcW w:w="914"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1∙10</w:t>
            </w:r>
            <w:r>
              <w:rPr>
                <w:rFonts w:ascii="Times New Roman" w:eastAsia="SimSun" w:hAnsi="Times New Roman" w:cs="Times New Roman"/>
                <w:color w:val="000000"/>
                <w:sz w:val="28"/>
                <w:szCs w:val="28"/>
                <w:vertAlign w:val="superscript"/>
                <w:lang w:val="en-US" w:eastAsia="zh-CN" w:bidi="ar"/>
              </w:rPr>
              <w:t>-3</w:t>
            </w:r>
          </w:p>
        </w:tc>
        <w:tc>
          <w:tcPr>
            <w:tcW w:w="117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5,5∙10</w:t>
            </w:r>
            <w:r>
              <w:rPr>
                <w:rFonts w:ascii="Times New Roman" w:eastAsia="SimSun" w:hAnsi="Times New Roman" w:cs="Times New Roman"/>
                <w:color w:val="000000"/>
                <w:sz w:val="28"/>
                <w:szCs w:val="28"/>
                <w:vertAlign w:val="superscript"/>
                <w:lang w:val="en-US" w:eastAsia="zh-CN" w:bidi="ar"/>
              </w:rPr>
              <w:t>-4</w:t>
            </w:r>
          </w:p>
        </w:tc>
        <w:tc>
          <w:tcPr>
            <w:tcW w:w="746"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4,8</w:t>
            </w:r>
          </w:p>
        </w:tc>
        <w:tc>
          <w:tcPr>
            <w:tcW w:w="93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2,65</w:t>
            </w:r>
          </w:p>
        </w:tc>
        <w:tc>
          <w:tcPr>
            <w:tcW w:w="57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45</w:t>
            </w:r>
          </w:p>
        </w:tc>
        <w:tc>
          <w:tcPr>
            <w:tcW w:w="1084"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44,79</w:t>
            </w:r>
          </w:p>
        </w:tc>
        <w:tc>
          <w:tcPr>
            <w:tcW w:w="19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2,654</w:t>
            </w:r>
          </w:p>
        </w:tc>
        <w:tc>
          <w:tcPr>
            <w:tcW w:w="91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6,54</w:t>
            </w:r>
          </w:p>
        </w:tc>
        <w:tc>
          <w:tcPr>
            <w:tcW w:w="9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6,25</w:t>
            </w:r>
          </w:p>
        </w:tc>
      </w:tr>
      <w:tr w:rsidR="00F1629C">
        <w:trPr>
          <w:trHeight w:val="280"/>
        </w:trPr>
        <w:tc>
          <w:tcPr>
            <w:tcW w:w="448" w:type="dxa"/>
            <w:tcBorders>
              <w:top w:val="nil"/>
              <w:left w:val="single" w:sz="2" w:space="0" w:color="000000"/>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w:t>
            </w:r>
          </w:p>
        </w:tc>
        <w:tc>
          <w:tcPr>
            <w:tcW w:w="914"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1∙10</w:t>
            </w:r>
            <w:r>
              <w:rPr>
                <w:rFonts w:ascii="Times New Roman" w:eastAsia="SimSun" w:hAnsi="Times New Roman" w:cs="Times New Roman"/>
                <w:color w:val="000000"/>
                <w:sz w:val="28"/>
                <w:szCs w:val="28"/>
                <w:vertAlign w:val="superscript"/>
                <w:lang w:val="en-US" w:eastAsia="zh-CN" w:bidi="ar"/>
              </w:rPr>
              <w:t>-4</w:t>
            </w:r>
          </w:p>
        </w:tc>
        <w:tc>
          <w:tcPr>
            <w:tcW w:w="117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8,9∙10</w:t>
            </w:r>
            <w:r>
              <w:rPr>
                <w:rFonts w:ascii="Times New Roman" w:eastAsia="SimSun" w:hAnsi="Times New Roman" w:cs="Times New Roman"/>
                <w:color w:val="000000"/>
                <w:sz w:val="28"/>
                <w:szCs w:val="28"/>
                <w:vertAlign w:val="superscript"/>
                <w:lang w:val="en-US" w:eastAsia="zh-CN" w:bidi="ar"/>
              </w:rPr>
              <w:t>-5</w:t>
            </w:r>
          </w:p>
        </w:tc>
        <w:tc>
          <w:tcPr>
            <w:tcW w:w="746"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4,8</w:t>
            </w:r>
          </w:p>
        </w:tc>
        <w:tc>
          <w:tcPr>
            <w:tcW w:w="939"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2,76</w:t>
            </w:r>
          </w:p>
        </w:tc>
        <w:tc>
          <w:tcPr>
            <w:tcW w:w="572"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11</w:t>
            </w:r>
          </w:p>
        </w:tc>
        <w:tc>
          <w:tcPr>
            <w:tcW w:w="1084"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42,5</w:t>
            </w:r>
          </w:p>
        </w:tc>
        <w:tc>
          <w:tcPr>
            <w:tcW w:w="19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3,185</w:t>
            </w:r>
          </w:p>
        </w:tc>
        <w:tc>
          <w:tcPr>
            <w:tcW w:w="91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6,07</w:t>
            </w:r>
          </w:p>
        </w:tc>
        <w:tc>
          <w:tcPr>
            <w:tcW w:w="941" w:type="dxa"/>
            <w:tcBorders>
              <w:top w:val="nil"/>
              <w:left w:val="nil"/>
              <w:bottom w:val="single" w:sz="2" w:space="0" w:color="000000"/>
              <w:right w:val="single" w:sz="2" w:space="0" w:color="000000"/>
            </w:tcBorders>
            <w:shd w:val="clear" w:color="auto" w:fill="auto"/>
            <w:tcMar>
              <w:top w:w="15" w:type="dxa"/>
              <w:left w:w="15" w:type="dxa"/>
              <w:right w:w="15" w:type="dxa"/>
            </w:tcMar>
            <w:vAlign w:val="center"/>
          </w:tcPr>
          <w:p w:rsidR="00F1629C" w:rsidRDefault="00E671D2">
            <w:pPr>
              <w:jc w:val="center"/>
              <w:textAlignment w:val="center"/>
              <w:rPr>
                <w:rFonts w:ascii="Times New Roman" w:hAnsi="Times New Roman" w:cs="Times New Roman"/>
                <w:color w:val="000000"/>
                <w:sz w:val="28"/>
                <w:szCs w:val="28"/>
              </w:rPr>
            </w:pPr>
            <w:r>
              <w:rPr>
                <w:rFonts w:ascii="Times New Roman" w:eastAsia="SimSun" w:hAnsi="Times New Roman" w:cs="Times New Roman"/>
                <w:color w:val="000000"/>
                <w:sz w:val="28"/>
                <w:szCs w:val="28"/>
                <w:lang w:val="en-US" w:eastAsia="zh-CN" w:bidi="ar"/>
              </w:rPr>
              <w:t>5,85</w:t>
            </w:r>
          </w:p>
        </w:tc>
      </w:tr>
    </w:tbl>
    <w:p w:rsidR="00F1629C" w:rsidRDefault="00F1629C">
      <w:pPr>
        <w:spacing w:line="360" w:lineRule="auto"/>
        <w:jc w:val="both"/>
        <w:rPr>
          <w:rFonts w:ascii="Times New Roman" w:hAnsi="Times New Roman" w:cs="Times New Roman"/>
          <w:b/>
          <w:sz w:val="28"/>
          <w:szCs w:val="28"/>
        </w:rPr>
      </w:pPr>
    </w:p>
    <w:p w:rsidR="00F1629C" w:rsidRDefault="00E671D2">
      <w:pPr>
        <w:spacing w:line="360" w:lineRule="auto"/>
        <w:ind w:firstLine="700"/>
        <w:jc w:val="both"/>
        <w:rPr>
          <w:rFonts w:ascii="Times New Roman" w:hAnsi="Times New Roman" w:cs="Times New Roman"/>
          <w:b/>
          <w:iCs/>
          <w:sz w:val="28"/>
          <w:szCs w:val="28"/>
          <w:lang w:val="ru"/>
        </w:rPr>
      </w:pPr>
      <w:r>
        <w:rPr>
          <w:rFonts w:ascii="Times New Roman" w:hAnsi="Times New Roman" w:cs="Times New Roman"/>
          <w:b/>
          <w:iCs/>
          <w:sz w:val="28"/>
          <w:szCs w:val="28"/>
          <w:lang w:val="ru"/>
        </w:rPr>
        <w:t>3.5.2 Оцінка ефективності іонообмінного вилучення іонів цинку з води</w:t>
      </w: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 xml:space="preserve">Цинк на катіоніті КУ-2-8 в кислій та сольовій формах вилучається вельми ефективно </w:t>
      </w:r>
      <w:r>
        <w:rPr>
          <w:rFonts w:ascii="Times New Roman" w:hAnsi="Times New Roman"/>
          <w:bCs/>
          <w:sz w:val="28"/>
          <w:szCs w:val="28"/>
        </w:rPr>
        <w:t>як з водопровідної, так і з дистильованої води. Проте</w:t>
      </w:r>
      <w:r>
        <w:rPr>
          <w:rFonts w:ascii="Times New Roman" w:hAnsi="Times New Roman"/>
          <w:bCs/>
          <w:sz w:val="28"/>
          <w:szCs w:val="28"/>
          <w:lang w:val="ru"/>
        </w:rPr>
        <w:t>,</w:t>
      </w:r>
      <w:r>
        <w:rPr>
          <w:rFonts w:ascii="Times New Roman" w:hAnsi="Times New Roman"/>
          <w:bCs/>
          <w:sz w:val="28"/>
          <w:szCs w:val="28"/>
        </w:rPr>
        <w:t xml:space="preserve"> при сорбції на КУ-2-8 в 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w:t>
      </w:r>
      <w:r>
        <w:rPr>
          <w:rFonts w:ascii="Times New Roman" w:hAnsi="Times New Roman"/>
          <w:bCs/>
          <w:sz w:val="28"/>
          <w:szCs w:val="28"/>
          <w:lang w:val="ru"/>
        </w:rPr>
        <w:t xml:space="preserve"> (об’єм іоніту також складав 20 см</w:t>
      </w:r>
      <w:r>
        <w:rPr>
          <w:rFonts w:ascii="Times New Roman" w:hAnsi="Times New Roman"/>
          <w:bCs/>
          <w:sz w:val="28"/>
          <w:szCs w:val="28"/>
          <w:vertAlign w:val="superscript"/>
          <w:lang w:val="ru"/>
        </w:rPr>
        <w:t>3</w:t>
      </w:r>
      <w:r>
        <w:rPr>
          <w:rFonts w:ascii="Times New Roman" w:hAnsi="Times New Roman"/>
          <w:bCs/>
          <w:sz w:val="28"/>
          <w:szCs w:val="28"/>
          <w:lang w:val="ru"/>
        </w:rPr>
        <w:t>)</w:t>
      </w:r>
      <w:r>
        <w:rPr>
          <w:rFonts w:ascii="Times New Roman" w:hAnsi="Times New Roman"/>
          <w:bCs/>
          <w:sz w:val="28"/>
          <w:szCs w:val="28"/>
        </w:rPr>
        <w:t xml:space="preserve"> концентрації цинку у фільтраті зростають до </w:t>
      </w:r>
      <w:r>
        <w:rPr>
          <w:rFonts w:ascii="Times New Roman" w:hAnsi="Times New Roman"/>
          <w:bCs/>
          <w:sz w:val="28"/>
          <w:szCs w:val="28"/>
          <w:lang w:val="ru"/>
        </w:rPr>
        <w:t>0,</w:t>
      </w:r>
      <w:r>
        <w:rPr>
          <w:rFonts w:ascii="Times New Roman" w:hAnsi="Times New Roman"/>
          <w:bCs/>
          <w:sz w:val="28"/>
          <w:szCs w:val="28"/>
        </w:rPr>
        <w:t xml:space="preserve">48 та </w:t>
      </w:r>
      <w:r>
        <w:rPr>
          <w:rFonts w:ascii="Times New Roman" w:hAnsi="Times New Roman"/>
          <w:bCs/>
          <w:sz w:val="28"/>
          <w:szCs w:val="28"/>
          <w:lang w:val="ru"/>
        </w:rPr>
        <w:t>0,</w:t>
      </w:r>
      <w:r>
        <w:rPr>
          <w:rFonts w:ascii="Times New Roman" w:hAnsi="Times New Roman"/>
          <w:bCs/>
          <w:sz w:val="28"/>
          <w:szCs w:val="28"/>
        </w:rPr>
        <w:t xml:space="preserve">46 </w:t>
      </w:r>
      <w:r>
        <w:rPr>
          <w:rFonts w:ascii="Times New Roman" w:hAnsi="Times New Roman"/>
          <w:bCs/>
          <w:sz w:val="28"/>
          <w:szCs w:val="28"/>
          <w:lang w:val="ru"/>
        </w:rPr>
        <w:t>м</w:t>
      </w:r>
      <w:r>
        <w:rPr>
          <w:rFonts w:ascii="Times New Roman" w:hAnsi="Times New Roman"/>
          <w:bCs/>
          <w:sz w:val="28"/>
          <w:szCs w:val="28"/>
        </w:rPr>
        <w:t>г/дм</w:t>
      </w:r>
      <w:r>
        <w:rPr>
          <w:rFonts w:ascii="Times New Roman" w:hAnsi="Times New Roman"/>
          <w:bCs/>
          <w:sz w:val="28"/>
          <w:szCs w:val="28"/>
          <w:vertAlign w:val="superscript"/>
        </w:rPr>
        <w:t>3</w:t>
      </w:r>
      <w:r>
        <w:rPr>
          <w:rFonts w:ascii="Times New Roman" w:hAnsi="Times New Roman"/>
          <w:bCs/>
          <w:sz w:val="28"/>
          <w:szCs w:val="28"/>
        </w:rPr>
        <w:t xml:space="preserve"> для водопровідної та дистильованої води відповідно, незважаючи на н</w:t>
      </w:r>
      <w:r>
        <w:rPr>
          <w:rFonts w:ascii="Times New Roman" w:hAnsi="Times New Roman"/>
          <w:bCs/>
          <w:sz w:val="28"/>
          <w:szCs w:val="28"/>
        </w:rPr>
        <w:t>еповне вичерпання ємності іоніту. Це можна пояснити тим, що з підвищенням кількості сорбованих на іоніті йонів цинку зростав ступінь їх вит</w:t>
      </w:r>
      <w:r>
        <w:rPr>
          <w:rFonts w:ascii="Times New Roman" w:hAnsi="Times New Roman"/>
          <w:bCs/>
          <w:sz w:val="28"/>
          <w:szCs w:val="28"/>
          <w:lang w:val="ru"/>
        </w:rPr>
        <w:t>і</w:t>
      </w:r>
      <w:r>
        <w:rPr>
          <w:rFonts w:ascii="Times New Roman" w:hAnsi="Times New Roman"/>
          <w:bCs/>
          <w:sz w:val="28"/>
          <w:szCs w:val="28"/>
        </w:rPr>
        <w:t xml:space="preserve">снення </w:t>
      </w:r>
      <w:r>
        <w:rPr>
          <w:rFonts w:ascii="Times New Roman" w:hAnsi="Times New Roman"/>
          <w:bCs/>
          <w:sz w:val="28"/>
          <w:szCs w:val="28"/>
          <w:lang w:val="ru"/>
        </w:rPr>
        <w:t>і</w:t>
      </w:r>
      <w:r>
        <w:rPr>
          <w:rFonts w:ascii="Times New Roman" w:hAnsi="Times New Roman"/>
          <w:bCs/>
          <w:sz w:val="28"/>
          <w:szCs w:val="28"/>
        </w:rPr>
        <w:t xml:space="preserve">онами жорсткості, концентрація яких понад як у 150 разів перевищувала концентрацію цинку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38</w:t>
      </w:r>
      <w:r>
        <w:rPr>
          <w:rFonts w:ascii="Times New Roman" w:hAnsi="Times New Roman"/>
          <w:bCs/>
          <w:sz w:val="28"/>
          <w:szCs w:val="28"/>
        </w:rPr>
        <w:t>).</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widowControl w:val="0"/>
        <w:suppressAutoHyphens/>
        <w:spacing w:after="0" w:line="360" w:lineRule="auto"/>
        <w:ind w:firstLine="567"/>
        <w:jc w:val="both"/>
        <w:rPr>
          <w:rFonts w:ascii="Times New Roman" w:hAnsi="Times New Roman"/>
          <w:sz w:val="28"/>
          <w:szCs w:val="28"/>
        </w:rPr>
      </w:pPr>
      <w:r>
        <w:rPr>
          <w:noProof/>
          <w:lang w:val="ru-RU" w:eastAsia="ru-RU"/>
        </w:rPr>
        <w:drawing>
          <wp:anchor distT="78740" distB="52070" distL="175260" distR="166370" simplePos="0" relativeHeight="254664704" behindDoc="0" locked="0" layoutInCell="1" allowOverlap="1">
            <wp:simplePos x="0" y="0"/>
            <wp:positionH relativeFrom="column">
              <wp:posOffset>495935</wp:posOffset>
            </wp:positionH>
            <wp:positionV relativeFrom="paragraph">
              <wp:posOffset>298450</wp:posOffset>
            </wp:positionV>
            <wp:extent cx="4972050" cy="2164080"/>
            <wp:effectExtent l="0" t="0" r="0" b="7620"/>
            <wp:wrapTopAndBottom/>
            <wp:docPr id="1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r>
        <w:rPr>
          <w:rFonts w:ascii="Times New Roman" w:hAnsi="Times New Roman"/>
          <w:sz w:val="28"/>
          <w:szCs w:val="28"/>
        </w:rPr>
        <w:t xml:space="preserve">Рис. </w:t>
      </w:r>
      <w:r>
        <w:rPr>
          <w:rFonts w:ascii="Times New Roman" w:hAnsi="Times New Roman"/>
          <w:sz w:val="28"/>
          <w:szCs w:val="28"/>
          <w:lang w:val="en"/>
        </w:rPr>
        <w:t>3</w:t>
      </w:r>
      <w:r>
        <w:rPr>
          <w:rFonts w:ascii="Times New Roman" w:hAnsi="Times New Roman"/>
          <w:sz w:val="28"/>
          <w:szCs w:val="28"/>
        </w:rPr>
        <w:t>.</w:t>
      </w:r>
      <w:r>
        <w:rPr>
          <w:rFonts w:ascii="Times New Roman" w:hAnsi="Times New Roman"/>
          <w:sz w:val="28"/>
          <w:szCs w:val="28"/>
          <w:lang w:val="ru"/>
        </w:rPr>
        <w:t>38</w:t>
      </w:r>
      <w:r>
        <w:rPr>
          <w:rFonts w:ascii="Times New Roman" w:hAnsi="Times New Roman"/>
          <w:sz w:val="28"/>
          <w:szCs w:val="28"/>
        </w:rPr>
        <w:t xml:space="preserve"> – Залежність концентрації йонів </w:t>
      </w:r>
      <w:r>
        <w:rPr>
          <w:rFonts w:ascii="Times New Roman" w:hAnsi="Times New Roman"/>
          <w:sz w:val="28"/>
          <w:szCs w:val="28"/>
          <w:lang w:val="en-US"/>
        </w:rPr>
        <w:t>Zn</w:t>
      </w:r>
      <w:r>
        <w:rPr>
          <w:rFonts w:ascii="Times New Roman" w:hAnsi="Times New Roman"/>
          <w:sz w:val="28"/>
          <w:szCs w:val="28"/>
          <w:vertAlign w:val="superscript"/>
        </w:rPr>
        <w:t>2+</w:t>
      </w:r>
      <w:r>
        <w:rPr>
          <w:rFonts w:ascii="Times New Roman" w:hAnsi="Times New Roman"/>
          <w:sz w:val="28"/>
          <w:szCs w:val="28"/>
        </w:rPr>
        <w:t xml:space="preserve"> (1; 2; 3; 4) та загальної жорсткості (5; 6) розчинів </w:t>
      </w:r>
      <w:r>
        <w:rPr>
          <w:rFonts w:ascii="Times New Roman" w:hAnsi="Times New Roman"/>
          <w:sz w:val="28"/>
          <w:szCs w:val="28"/>
          <w:lang w:val="en-US"/>
        </w:rPr>
        <w:t>ZnSO</w:t>
      </w:r>
      <w:r>
        <w:rPr>
          <w:rFonts w:ascii="Times New Roman" w:hAnsi="Times New Roman"/>
          <w:sz w:val="28"/>
          <w:szCs w:val="28"/>
          <w:vertAlign w:val="subscript"/>
        </w:rPr>
        <w:t>4</w:t>
      </w:r>
      <w:r>
        <w:rPr>
          <w:rFonts w:ascii="Times New Roman" w:hAnsi="Times New Roman"/>
          <w:sz w:val="28"/>
          <w:szCs w:val="28"/>
        </w:rPr>
        <w:t xml:space="preserve"> у водопровідній ([</w:t>
      </w:r>
      <w:r>
        <w:rPr>
          <w:rFonts w:ascii="Times New Roman" w:hAnsi="Times New Roman"/>
          <w:sz w:val="28"/>
          <w:szCs w:val="28"/>
        </w:rPr>
        <w:t>Zn</w:t>
      </w:r>
      <w:r>
        <w:rPr>
          <w:rFonts w:ascii="Times New Roman" w:hAnsi="Times New Roman"/>
          <w:sz w:val="28"/>
          <w:szCs w:val="28"/>
          <w:vertAlign w:val="superscript"/>
        </w:rPr>
        <w:t>2+</w:t>
      </w:r>
      <w:r>
        <w:rPr>
          <w:rFonts w:ascii="Times New Roman" w:hAnsi="Times New Roman"/>
          <w:sz w:val="28"/>
          <w:szCs w:val="28"/>
        </w:rPr>
        <w:t>], мг/дм</w:t>
      </w:r>
      <w:r>
        <w:rPr>
          <w:rFonts w:ascii="Times New Roman" w:hAnsi="Times New Roman"/>
          <w:sz w:val="28"/>
          <w:szCs w:val="28"/>
          <w:vertAlign w:val="superscript"/>
        </w:rPr>
        <w:t>3</w:t>
      </w:r>
      <w:r>
        <w:rPr>
          <w:rFonts w:ascii="Times New Roman" w:hAnsi="Times New Roman"/>
          <w:sz w:val="28"/>
          <w:szCs w:val="28"/>
        </w:rPr>
        <w:t>: 1</w:t>
      </w:r>
      <w:r>
        <w:rPr>
          <w:rFonts w:ascii="Times New Roman" w:hAnsi="Times New Roman"/>
          <w:sz w:val="28"/>
          <w:szCs w:val="28"/>
          <w:lang w:val="ru"/>
        </w:rPr>
        <w:t>,</w:t>
      </w:r>
      <w:r>
        <w:rPr>
          <w:rFonts w:ascii="Times New Roman" w:hAnsi="Times New Roman"/>
          <w:sz w:val="28"/>
          <w:szCs w:val="28"/>
        </w:rPr>
        <w:t xml:space="preserve">2 (1; 5); </w:t>
      </w:r>
      <w:r>
        <w:rPr>
          <w:rFonts w:ascii="Times New Roman" w:hAnsi="Times New Roman"/>
          <w:sz w:val="28"/>
          <w:szCs w:val="28"/>
          <w:lang w:val="ru"/>
        </w:rPr>
        <w:t>0,</w:t>
      </w:r>
      <w:r>
        <w:rPr>
          <w:rFonts w:ascii="Times New Roman" w:hAnsi="Times New Roman"/>
          <w:sz w:val="28"/>
          <w:szCs w:val="28"/>
        </w:rPr>
        <w:t>9</w:t>
      </w:r>
      <w:r>
        <w:rPr>
          <w:rFonts w:ascii="Times New Roman" w:hAnsi="Times New Roman"/>
          <w:sz w:val="28"/>
          <w:szCs w:val="28"/>
          <w:lang w:val="ru"/>
        </w:rPr>
        <w:t>9</w:t>
      </w:r>
      <w:r>
        <w:rPr>
          <w:rFonts w:ascii="Times New Roman" w:hAnsi="Times New Roman"/>
          <w:sz w:val="28"/>
          <w:szCs w:val="28"/>
        </w:rPr>
        <w:t xml:space="preserve"> (3; 6) Ж=4</w:t>
      </w:r>
      <w:r>
        <w:rPr>
          <w:rFonts w:ascii="Times New Roman" w:hAnsi="Times New Roman"/>
          <w:sz w:val="28"/>
          <w:szCs w:val="28"/>
          <w:lang w:val="ru"/>
        </w:rPr>
        <w:t>,</w:t>
      </w:r>
      <w:r>
        <w:rPr>
          <w:rFonts w:ascii="Times New Roman" w:hAnsi="Times New Roman"/>
          <w:sz w:val="28"/>
          <w:szCs w:val="28"/>
        </w:rPr>
        <w:t xml:space="preserve">8 (5; 6) </w:t>
      </w:r>
      <w:r>
        <w:rPr>
          <w:rFonts w:ascii="Times New Roman" w:hAnsi="Times New Roman"/>
          <w:sz w:val="28"/>
          <w:szCs w:val="28"/>
          <w:lang w:val="ru"/>
        </w:rPr>
        <w:t>м</w:t>
      </w:r>
      <w:r>
        <w:rPr>
          <w:rFonts w:ascii="Times New Roman" w:hAnsi="Times New Roman"/>
          <w:sz w:val="28"/>
          <w:szCs w:val="28"/>
        </w:rPr>
        <w:t>г-екв/дм</w:t>
      </w:r>
      <w:r>
        <w:rPr>
          <w:rFonts w:ascii="Times New Roman" w:hAnsi="Times New Roman"/>
          <w:sz w:val="28"/>
          <w:szCs w:val="28"/>
          <w:vertAlign w:val="superscript"/>
        </w:rPr>
        <w:t>3</w:t>
      </w:r>
      <w:r>
        <w:rPr>
          <w:rFonts w:ascii="Times New Roman" w:hAnsi="Times New Roman"/>
          <w:sz w:val="28"/>
          <w:szCs w:val="28"/>
        </w:rPr>
        <w:t>)  та дистильованій ([</w:t>
      </w:r>
      <w:r>
        <w:rPr>
          <w:rFonts w:ascii="Times New Roman" w:hAnsi="Times New Roman"/>
          <w:sz w:val="28"/>
          <w:szCs w:val="28"/>
        </w:rPr>
        <w:t>Zn</w:t>
      </w:r>
      <w:r>
        <w:rPr>
          <w:rFonts w:ascii="Times New Roman" w:hAnsi="Times New Roman"/>
          <w:sz w:val="28"/>
          <w:szCs w:val="28"/>
          <w:vertAlign w:val="superscript"/>
        </w:rPr>
        <w:t>2+</w:t>
      </w:r>
      <w:r>
        <w:rPr>
          <w:rFonts w:ascii="Times New Roman" w:hAnsi="Times New Roman"/>
          <w:sz w:val="28"/>
          <w:szCs w:val="28"/>
        </w:rPr>
        <w:t>], мг/дм</w:t>
      </w:r>
      <w:r>
        <w:rPr>
          <w:rFonts w:ascii="Times New Roman" w:hAnsi="Times New Roman"/>
          <w:sz w:val="28"/>
          <w:szCs w:val="28"/>
          <w:vertAlign w:val="superscript"/>
        </w:rPr>
        <w:t>3</w:t>
      </w:r>
      <w:r>
        <w:rPr>
          <w:rFonts w:ascii="Times New Roman" w:hAnsi="Times New Roman"/>
          <w:sz w:val="28"/>
          <w:szCs w:val="28"/>
        </w:rPr>
        <w:t>: 1</w:t>
      </w:r>
      <w:r>
        <w:rPr>
          <w:rFonts w:ascii="Times New Roman" w:hAnsi="Times New Roman"/>
          <w:sz w:val="28"/>
          <w:szCs w:val="28"/>
          <w:lang w:val="ru"/>
        </w:rPr>
        <w:t>,</w:t>
      </w:r>
      <w:r>
        <w:rPr>
          <w:rFonts w:ascii="Times New Roman" w:hAnsi="Times New Roman"/>
          <w:sz w:val="28"/>
          <w:szCs w:val="28"/>
        </w:rPr>
        <w:t xml:space="preserve">2 (2); </w:t>
      </w:r>
      <w:r>
        <w:rPr>
          <w:rFonts w:ascii="Times New Roman" w:hAnsi="Times New Roman"/>
          <w:sz w:val="28"/>
          <w:szCs w:val="28"/>
          <w:lang w:val="ru"/>
        </w:rPr>
        <w:t>0,</w:t>
      </w:r>
      <w:r>
        <w:rPr>
          <w:rFonts w:ascii="Times New Roman" w:hAnsi="Times New Roman"/>
          <w:sz w:val="28"/>
          <w:szCs w:val="28"/>
        </w:rPr>
        <w:t>9</w:t>
      </w:r>
      <w:r>
        <w:rPr>
          <w:rFonts w:ascii="Times New Roman" w:hAnsi="Times New Roman"/>
          <w:sz w:val="28"/>
          <w:szCs w:val="28"/>
          <w:lang w:val="ru"/>
        </w:rPr>
        <w:t>9</w:t>
      </w:r>
      <w:r>
        <w:rPr>
          <w:rFonts w:ascii="Times New Roman" w:hAnsi="Times New Roman"/>
          <w:sz w:val="28"/>
          <w:szCs w:val="28"/>
        </w:rPr>
        <w:t xml:space="preserve"> (4)) воді від об’єм</w:t>
      </w:r>
      <w:r>
        <w:rPr>
          <w:rFonts w:ascii="Times New Roman" w:hAnsi="Times New Roman"/>
          <w:sz w:val="28"/>
          <w:szCs w:val="28"/>
        </w:rPr>
        <w:t xml:space="preserve">у пропущеного розчину через іоніт КУ-2-8 в </w:t>
      </w:r>
      <w:r>
        <w:rPr>
          <w:rFonts w:ascii="Times New Roman" w:hAnsi="Times New Roman"/>
          <w:spacing w:val="-2"/>
          <w:sz w:val="28"/>
          <w:szCs w:val="28"/>
        </w:rPr>
        <w:t xml:space="preserve">сольовій (1; 2; 5) та Н+-формі (3; 4; 6) </w:t>
      </w:r>
    </w:p>
    <w:p w:rsidR="00F1629C" w:rsidRDefault="00F1629C">
      <w:pPr>
        <w:widowControl w:val="0"/>
        <w:suppressAutoHyphens/>
        <w:spacing w:after="0" w:line="360" w:lineRule="auto"/>
        <w:ind w:firstLine="567"/>
        <w:jc w:val="both"/>
        <w:rPr>
          <w:rFonts w:ascii="Times New Roman" w:hAnsi="Times New Roman"/>
          <w:sz w:val="28"/>
          <w:szCs w:val="28"/>
        </w:rPr>
      </w:pPr>
    </w:p>
    <w:p w:rsidR="00F1629C" w:rsidRDefault="00E671D2">
      <w:pPr>
        <w:tabs>
          <w:tab w:val="left" w:pos="7215"/>
        </w:tabs>
        <w:spacing w:after="0" w:line="360" w:lineRule="auto"/>
        <w:ind w:right="-1" w:firstLine="540"/>
        <w:jc w:val="both"/>
        <w:rPr>
          <w:rFonts w:ascii="Times New Roman" w:hAnsi="Times New Roman"/>
          <w:sz w:val="28"/>
          <w:szCs w:val="28"/>
          <w:lang w:val="ru"/>
        </w:rPr>
      </w:pPr>
      <w:r>
        <w:rPr>
          <w:rFonts w:ascii="Times New Roman" w:hAnsi="Times New Roman"/>
          <w:bCs/>
          <w:sz w:val="28"/>
          <w:szCs w:val="28"/>
        </w:rPr>
        <w:t xml:space="preserve">Слід також відмітити, що ефективність сорбції суттєво залежить від форми іоніту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39</w:t>
      </w:r>
      <w:r>
        <w:rPr>
          <w:rFonts w:ascii="Times New Roman" w:hAnsi="Times New Roman"/>
          <w:bCs/>
          <w:sz w:val="28"/>
          <w:szCs w:val="28"/>
        </w:rPr>
        <w:t xml:space="preserve">). Ефективність видалення </w:t>
      </w:r>
      <w:r>
        <w:rPr>
          <w:rFonts w:ascii="Times New Roman" w:hAnsi="Times New Roman"/>
          <w:bCs/>
          <w:sz w:val="28"/>
          <w:szCs w:val="28"/>
          <w:lang w:val="ru"/>
        </w:rPr>
        <w:t>і</w:t>
      </w:r>
      <w:r>
        <w:rPr>
          <w:rFonts w:ascii="Times New Roman" w:hAnsi="Times New Roman"/>
          <w:bCs/>
          <w:sz w:val="28"/>
          <w:szCs w:val="28"/>
        </w:rPr>
        <w:t>онів цинку у катіонітів в Н</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 xml:space="preserve">формі вища за ємність у </w:t>
      </w:r>
      <w:r>
        <w:rPr>
          <w:rFonts w:ascii="Times New Roman" w:hAnsi="Times New Roman"/>
          <w:bCs/>
          <w:sz w:val="28"/>
          <w:szCs w:val="28"/>
        </w:rPr>
        <w:t>Na</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 xml:space="preserve">формі, що обумовлено нижчою селективністю іоніту по протонах, які, відповідно, легше заміщуються </w:t>
      </w:r>
      <w:r>
        <w:rPr>
          <w:rFonts w:ascii="Times New Roman" w:hAnsi="Times New Roman"/>
          <w:bCs/>
          <w:sz w:val="28"/>
          <w:szCs w:val="28"/>
          <w:lang w:val="ru"/>
        </w:rPr>
        <w:t>і</w:t>
      </w:r>
      <w:r>
        <w:rPr>
          <w:rFonts w:ascii="Times New Roman" w:hAnsi="Times New Roman"/>
          <w:bCs/>
          <w:sz w:val="28"/>
          <w:szCs w:val="28"/>
        </w:rPr>
        <w:t>онами цинку, чим можна пояснити, наприклад, концентрацію Zn</w:t>
      </w:r>
      <w:r>
        <w:rPr>
          <w:rFonts w:ascii="Times New Roman" w:hAnsi="Times New Roman"/>
          <w:bCs/>
          <w:sz w:val="28"/>
          <w:szCs w:val="28"/>
          <w:vertAlign w:val="superscript"/>
        </w:rPr>
        <w:t>2+</w:t>
      </w:r>
      <w:r>
        <w:rPr>
          <w:rFonts w:ascii="Times New Roman" w:hAnsi="Times New Roman"/>
          <w:bCs/>
          <w:sz w:val="28"/>
          <w:szCs w:val="28"/>
        </w:rPr>
        <w:t xml:space="preserve"> </w:t>
      </w:r>
      <w:r>
        <w:rPr>
          <w:rFonts w:ascii="Times New Roman" w:hAnsi="Times New Roman"/>
          <w:bCs/>
          <w:sz w:val="28"/>
          <w:szCs w:val="28"/>
          <w:lang w:val="ru"/>
        </w:rPr>
        <w:t>0,0</w:t>
      </w:r>
      <w:r>
        <w:rPr>
          <w:rFonts w:ascii="Times New Roman" w:hAnsi="Times New Roman"/>
          <w:bCs/>
          <w:sz w:val="28"/>
          <w:szCs w:val="28"/>
        </w:rPr>
        <w:t xml:space="preserve">13 – </w:t>
      </w:r>
      <w:r>
        <w:rPr>
          <w:rFonts w:ascii="Times New Roman" w:hAnsi="Times New Roman"/>
          <w:bCs/>
          <w:sz w:val="28"/>
          <w:szCs w:val="28"/>
          <w:lang w:val="ru"/>
        </w:rPr>
        <w:t>0,0</w:t>
      </w:r>
      <w:r>
        <w:rPr>
          <w:rFonts w:ascii="Times New Roman" w:hAnsi="Times New Roman"/>
          <w:bCs/>
          <w:sz w:val="28"/>
          <w:szCs w:val="28"/>
        </w:rPr>
        <w:t>9</w:t>
      </w:r>
      <w:r>
        <w:rPr>
          <w:rFonts w:ascii="Times New Roman" w:hAnsi="Times New Roman"/>
          <w:bCs/>
          <w:sz w:val="28"/>
          <w:szCs w:val="28"/>
          <w:vertAlign w:val="superscript"/>
        </w:rPr>
        <w:t xml:space="preserve"> </w:t>
      </w:r>
      <w:r>
        <w:rPr>
          <w:rFonts w:ascii="Times New Roman" w:hAnsi="Times New Roman"/>
          <w:bCs/>
          <w:sz w:val="28"/>
          <w:szCs w:val="28"/>
          <w:lang w:val="ru"/>
        </w:rPr>
        <w:t>м</w:t>
      </w:r>
      <w:r>
        <w:rPr>
          <w:rFonts w:ascii="Times New Roman" w:hAnsi="Times New Roman"/>
          <w:bCs/>
          <w:sz w:val="28"/>
          <w:szCs w:val="28"/>
        </w:rPr>
        <w:t>г/дм</w:t>
      </w:r>
      <w:r>
        <w:rPr>
          <w:rFonts w:ascii="Times New Roman" w:hAnsi="Times New Roman"/>
          <w:bCs/>
          <w:sz w:val="28"/>
          <w:szCs w:val="28"/>
          <w:vertAlign w:val="superscript"/>
        </w:rPr>
        <w:t>3</w:t>
      </w:r>
      <w:r>
        <w:rPr>
          <w:rFonts w:ascii="Times New Roman" w:hAnsi="Times New Roman"/>
          <w:bCs/>
          <w:sz w:val="28"/>
          <w:szCs w:val="28"/>
        </w:rPr>
        <w:t xml:space="preserve"> у фільтраті після катіоніту КУ-2-8 в Н</w:t>
      </w:r>
      <w:r>
        <w:rPr>
          <w:rFonts w:ascii="Times New Roman" w:hAnsi="Times New Roman"/>
          <w:bCs/>
          <w:sz w:val="28"/>
          <w:szCs w:val="28"/>
          <w:vertAlign w:val="superscript"/>
        </w:rPr>
        <w:t>+</w:t>
      </w:r>
      <w:r>
        <w:rPr>
          <w:rFonts w:ascii="Times New Roman" w:hAnsi="Times New Roman"/>
          <w:sz w:val="28"/>
          <w:szCs w:val="28"/>
        </w:rPr>
        <w:t>–</w:t>
      </w:r>
      <w:r>
        <w:rPr>
          <w:rFonts w:ascii="Times New Roman" w:hAnsi="Times New Roman"/>
          <w:bCs/>
          <w:sz w:val="28"/>
          <w:szCs w:val="28"/>
        </w:rPr>
        <w:t>формі, що більш ніж у 5 разів ни</w:t>
      </w:r>
      <w:r>
        <w:rPr>
          <w:rFonts w:ascii="Times New Roman" w:hAnsi="Times New Roman"/>
          <w:bCs/>
          <w:sz w:val="28"/>
          <w:szCs w:val="28"/>
        </w:rPr>
        <w:t>жче за сольову форму того ж іоніту.</w:t>
      </w:r>
      <w:r>
        <w:rPr>
          <w:rFonts w:ascii="Times New Roman" w:hAnsi="Times New Roman"/>
          <w:bCs/>
          <w:sz w:val="28"/>
          <w:szCs w:val="28"/>
          <w:lang w:val="ru"/>
        </w:rPr>
        <w:t xml:space="preserve"> Жорсткість води під час дослідів складала 4,8 мг-екв/дм</w:t>
      </w:r>
      <w:r>
        <w:rPr>
          <w:rFonts w:ascii="Times New Roman" w:hAnsi="Times New Roman"/>
          <w:bCs/>
          <w:sz w:val="28"/>
          <w:szCs w:val="28"/>
          <w:vertAlign w:val="superscript"/>
          <w:lang w:val="ru"/>
        </w:rPr>
        <w:t>3</w:t>
      </w:r>
      <w:r>
        <w:rPr>
          <w:rFonts w:ascii="Times New Roman" w:hAnsi="Times New Roman"/>
          <w:bCs/>
          <w:sz w:val="28"/>
          <w:szCs w:val="28"/>
          <w:lang w:val="ru"/>
        </w:rPr>
        <w:t>.</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tabs>
          <w:tab w:val="left" w:pos="7215"/>
        </w:tabs>
        <w:spacing w:after="0" w:line="360" w:lineRule="auto"/>
        <w:ind w:right="-1"/>
        <w:jc w:val="center"/>
        <w:rPr>
          <w:rFonts w:ascii="Times New Roman" w:hAnsi="Times New Roman"/>
          <w:bCs/>
          <w:sz w:val="28"/>
          <w:szCs w:val="28"/>
        </w:rPr>
      </w:pPr>
      <w:r>
        <w:rPr>
          <w:rFonts w:ascii="Times New Roman" w:hAnsi="Times New Roman"/>
          <w:noProof/>
          <w:sz w:val="28"/>
          <w:szCs w:val="28"/>
          <w:lang w:val="ru-RU" w:eastAsia="ru-RU"/>
        </w:rPr>
        <w:drawing>
          <wp:inline distT="0" distB="0" distL="114300" distR="114300">
            <wp:extent cx="5486400" cy="2103120"/>
            <wp:effectExtent l="0" t="0" r="0" b="11430"/>
            <wp:docPr id="115" name="Pictur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F1629C" w:rsidRDefault="00E671D2">
      <w:pPr>
        <w:pStyle w:val="11"/>
        <w:widowControl w:val="0"/>
        <w:suppressAutoHyphens/>
        <w:spacing w:after="0" w:line="360" w:lineRule="auto"/>
        <w:ind w:left="0" w:firstLine="567"/>
        <w:jc w:val="both"/>
        <w:rPr>
          <w:rFonts w:ascii="Times New Roman" w:hAnsi="Times New Roman" w:cs="Times New Roman"/>
          <w:spacing w:val="-5"/>
          <w:sz w:val="28"/>
          <w:szCs w:val="28"/>
        </w:rPr>
      </w:pPr>
      <w:r>
        <w:rPr>
          <w:rFonts w:ascii="Times New Roman" w:hAnsi="Times New Roman" w:cs="Times New Roman"/>
          <w:sz w:val="28"/>
          <w:szCs w:val="28"/>
        </w:rPr>
        <w:t xml:space="preserve">Рис. </w:t>
      </w:r>
      <w:r>
        <w:rPr>
          <w:rFonts w:ascii="Times New Roman" w:hAnsi="Times New Roman" w:cs="Times New Roman"/>
          <w:sz w:val="28"/>
          <w:szCs w:val="28"/>
          <w:lang w:val="en"/>
        </w:rPr>
        <w:t>3</w:t>
      </w:r>
      <w:r>
        <w:rPr>
          <w:rFonts w:ascii="Times New Roman" w:hAnsi="Times New Roman" w:cs="Times New Roman"/>
          <w:sz w:val="28"/>
          <w:szCs w:val="28"/>
        </w:rPr>
        <w:t>.</w:t>
      </w:r>
      <w:r>
        <w:rPr>
          <w:rFonts w:ascii="Times New Roman" w:hAnsi="Times New Roman" w:cs="Times New Roman"/>
          <w:sz w:val="28"/>
          <w:szCs w:val="28"/>
          <w:lang w:val="ru"/>
        </w:rPr>
        <w:t>39</w:t>
      </w:r>
      <w:r>
        <w:rPr>
          <w:rFonts w:ascii="Times New Roman" w:hAnsi="Times New Roman" w:cs="Times New Roman"/>
          <w:sz w:val="28"/>
          <w:szCs w:val="28"/>
        </w:rPr>
        <w:t xml:space="preserve"> – Залежність ступеню вилучення </w:t>
      </w:r>
      <w:r>
        <w:rPr>
          <w:rFonts w:ascii="Times New Roman" w:hAnsi="Times New Roman" w:cs="Times New Roman"/>
          <w:sz w:val="28"/>
          <w:szCs w:val="28"/>
          <w:lang w:val="en-US"/>
        </w:rPr>
        <w:t>Zn</w:t>
      </w:r>
      <w:r>
        <w:rPr>
          <w:rFonts w:ascii="Times New Roman" w:hAnsi="Times New Roman" w:cs="Times New Roman"/>
          <w:sz w:val="28"/>
          <w:szCs w:val="28"/>
          <w:vertAlign w:val="superscript"/>
        </w:rPr>
        <w:t>2+</w:t>
      </w:r>
      <w:r>
        <w:rPr>
          <w:rFonts w:ascii="Times New Roman" w:hAnsi="Times New Roman" w:cs="Times New Roman"/>
          <w:sz w:val="28"/>
          <w:szCs w:val="28"/>
        </w:rPr>
        <w:t xml:space="preserve"> та рН у водопровідній ([</w:t>
      </w:r>
      <w:r>
        <w:rPr>
          <w:rFonts w:ascii="Times New Roman" w:hAnsi="Times New Roman" w:cs="Times New Roman"/>
          <w:sz w:val="28"/>
          <w:szCs w:val="28"/>
        </w:rPr>
        <w:t>Zn</w:t>
      </w:r>
      <w:r>
        <w:rPr>
          <w:rFonts w:ascii="Times New Roman" w:hAnsi="Times New Roman" w:cs="Times New Roman"/>
          <w:sz w:val="28"/>
          <w:szCs w:val="28"/>
          <w:vertAlign w:val="superscript"/>
        </w:rPr>
        <w:t>2+</w:t>
      </w:r>
      <w:r>
        <w:rPr>
          <w:rFonts w:ascii="Times New Roman" w:hAnsi="Times New Roman" w:cs="Times New Roman"/>
          <w:sz w:val="28"/>
          <w:szCs w:val="28"/>
        </w:rPr>
        <w:t>], мг/дм</w:t>
      </w:r>
      <w:r>
        <w:rPr>
          <w:rFonts w:ascii="Times New Roman" w:hAnsi="Times New Roman" w:cs="Times New Roman"/>
          <w:sz w:val="28"/>
          <w:szCs w:val="28"/>
          <w:vertAlign w:val="superscript"/>
        </w:rPr>
        <w:t>3</w:t>
      </w:r>
      <w:r>
        <w:rPr>
          <w:rFonts w:ascii="Times New Roman" w:hAnsi="Times New Roman" w:cs="Times New Roman"/>
          <w:sz w:val="28"/>
          <w:szCs w:val="28"/>
        </w:rPr>
        <w:t>: 1</w:t>
      </w:r>
      <w:r>
        <w:rPr>
          <w:rFonts w:ascii="Times New Roman" w:hAnsi="Times New Roman" w:cs="Times New Roman"/>
          <w:sz w:val="28"/>
          <w:szCs w:val="28"/>
          <w:lang w:val="ru"/>
        </w:rPr>
        <w:t>,</w:t>
      </w:r>
      <w:r>
        <w:rPr>
          <w:rFonts w:ascii="Times New Roman" w:hAnsi="Times New Roman" w:cs="Times New Roman"/>
          <w:sz w:val="28"/>
          <w:szCs w:val="28"/>
        </w:rPr>
        <w:t>2 (1; 5); 1</w:t>
      </w:r>
      <w:r>
        <w:rPr>
          <w:rFonts w:ascii="Times New Roman" w:hAnsi="Times New Roman" w:cs="Times New Roman"/>
          <w:sz w:val="28"/>
          <w:szCs w:val="28"/>
          <w:lang w:val="ru"/>
        </w:rPr>
        <w:t>,</w:t>
      </w:r>
      <w:r>
        <w:rPr>
          <w:rFonts w:ascii="Times New Roman" w:hAnsi="Times New Roman" w:cs="Times New Roman"/>
          <w:sz w:val="28"/>
          <w:szCs w:val="28"/>
        </w:rPr>
        <w:t>1 (3; 6)) та дистильованій ([</w:t>
      </w:r>
      <w:r>
        <w:rPr>
          <w:rFonts w:ascii="Times New Roman" w:hAnsi="Times New Roman" w:cs="Times New Roman"/>
          <w:sz w:val="28"/>
          <w:szCs w:val="28"/>
        </w:rPr>
        <w:t>Zn</w:t>
      </w:r>
      <w:r>
        <w:rPr>
          <w:rFonts w:ascii="Times New Roman" w:hAnsi="Times New Roman" w:cs="Times New Roman"/>
          <w:sz w:val="28"/>
          <w:szCs w:val="28"/>
          <w:vertAlign w:val="superscript"/>
        </w:rPr>
        <w:t>2+</w:t>
      </w:r>
      <w:r>
        <w:rPr>
          <w:rFonts w:ascii="Times New Roman" w:hAnsi="Times New Roman" w:cs="Times New Roman"/>
          <w:sz w:val="28"/>
          <w:szCs w:val="28"/>
        </w:rPr>
        <w:t>], мг/дм</w:t>
      </w:r>
      <w:r>
        <w:rPr>
          <w:rFonts w:ascii="Times New Roman" w:hAnsi="Times New Roman" w:cs="Times New Roman"/>
          <w:sz w:val="28"/>
          <w:szCs w:val="28"/>
          <w:vertAlign w:val="superscript"/>
        </w:rPr>
        <w:t>3</w:t>
      </w:r>
      <w:r>
        <w:rPr>
          <w:rFonts w:ascii="Times New Roman" w:hAnsi="Times New Roman" w:cs="Times New Roman"/>
          <w:sz w:val="28"/>
          <w:szCs w:val="28"/>
        </w:rPr>
        <w:t>: 1</w:t>
      </w:r>
      <w:r>
        <w:rPr>
          <w:rFonts w:ascii="Times New Roman" w:hAnsi="Times New Roman" w:cs="Times New Roman"/>
          <w:sz w:val="28"/>
          <w:szCs w:val="28"/>
          <w:lang w:val="ru"/>
        </w:rPr>
        <w:t>,</w:t>
      </w:r>
      <w:r>
        <w:rPr>
          <w:rFonts w:ascii="Times New Roman" w:hAnsi="Times New Roman" w:cs="Times New Roman"/>
          <w:sz w:val="28"/>
          <w:szCs w:val="28"/>
        </w:rPr>
        <w:t>2 (2); 1</w:t>
      </w:r>
      <w:r>
        <w:rPr>
          <w:rFonts w:ascii="Times New Roman" w:hAnsi="Times New Roman" w:cs="Times New Roman"/>
          <w:sz w:val="28"/>
          <w:szCs w:val="28"/>
          <w:lang w:val="ru"/>
        </w:rPr>
        <w:t>,</w:t>
      </w:r>
      <w:r>
        <w:rPr>
          <w:rFonts w:ascii="Times New Roman" w:hAnsi="Times New Roman" w:cs="Times New Roman"/>
          <w:sz w:val="28"/>
          <w:szCs w:val="28"/>
        </w:rPr>
        <w:t xml:space="preserve">1 (4)) воді від об’ємів пропущених розчинів через іоніт </w:t>
      </w:r>
      <w:r>
        <w:rPr>
          <w:rFonts w:ascii="Times New Roman" w:hAnsi="Times New Roman" w:cs="Times New Roman"/>
          <w:sz w:val="28"/>
          <w:szCs w:val="28"/>
          <w:lang w:val="en-US"/>
        </w:rPr>
        <w:t>DOWEX</w:t>
      </w:r>
      <w:r>
        <w:rPr>
          <w:rFonts w:ascii="Times New Roman" w:hAnsi="Times New Roman" w:cs="Times New Roman"/>
          <w:sz w:val="28"/>
          <w:szCs w:val="28"/>
        </w:rPr>
        <w:t>MAC</w:t>
      </w:r>
      <w:r>
        <w:rPr>
          <w:rFonts w:ascii="Times New Roman" w:hAnsi="Times New Roman" w:cs="Times New Roman"/>
          <w:sz w:val="28"/>
          <w:szCs w:val="28"/>
        </w:rPr>
        <w:t xml:space="preserve">-3 </w:t>
      </w:r>
      <w:r>
        <w:rPr>
          <w:rFonts w:ascii="Times New Roman" w:hAnsi="Times New Roman" w:cs="Times New Roman"/>
          <w:spacing w:val="-9"/>
          <w:sz w:val="28"/>
          <w:szCs w:val="28"/>
        </w:rPr>
        <w:t xml:space="preserve">в сольовій (1; 2; 5) та Н+-формі (3; 4; 6) </w:t>
      </w:r>
    </w:p>
    <w:p w:rsidR="00F1629C" w:rsidRDefault="00F1629C">
      <w:pPr>
        <w:tabs>
          <w:tab w:val="left" w:pos="7215"/>
        </w:tabs>
        <w:spacing w:after="0" w:line="360" w:lineRule="auto"/>
        <w:ind w:right="-1" w:firstLine="540"/>
        <w:jc w:val="both"/>
        <w:rPr>
          <w:rFonts w:ascii="Times New Roman" w:hAnsi="Times New Roman"/>
          <w:bCs/>
          <w:sz w:val="28"/>
          <w:szCs w:val="28"/>
        </w:rPr>
      </w:pPr>
    </w:p>
    <w:p w:rsidR="00F1629C" w:rsidRDefault="00E671D2">
      <w:pPr>
        <w:tabs>
          <w:tab w:val="left" w:pos="7215"/>
        </w:tabs>
        <w:spacing w:after="0" w:line="360" w:lineRule="auto"/>
        <w:ind w:right="-1" w:firstLine="540"/>
        <w:jc w:val="both"/>
        <w:rPr>
          <w:rFonts w:ascii="Times New Roman" w:hAnsi="Times New Roman"/>
          <w:bCs/>
          <w:sz w:val="28"/>
          <w:szCs w:val="28"/>
        </w:rPr>
      </w:pPr>
      <w:r>
        <w:rPr>
          <w:rFonts w:ascii="Times New Roman" w:hAnsi="Times New Roman"/>
          <w:bCs/>
          <w:sz w:val="28"/>
          <w:szCs w:val="28"/>
        </w:rPr>
        <w:t>Цікаві результати було отримано при дослідженні ефективності вико</w:t>
      </w:r>
      <w:r>
        <w:rPr>
          <w:rFonts w:ascii="Times New Roman" w:hAnsi="Times New Roman"/>
          <w:bCs/>
          <w:sz w:val="28"/>
          <w:szCs w:val="28"/>
        </w:rPr>
        <w:t>р</w:t>
      </w:r>
      <w:r>
        <w:rPr>
          <w:rFonts w:ascii="Times New Roman" w:hAnsi="Times New Roman"/>
          <w:bCs/>
          <w:sz w:val="28"/>
          <w:szCs w:val="28"/>
        </w:rPr>
        <w:t xml:space="preserve">истання фільтру змішаної дії для вилучення йонів цинку з розведених розчинів. </w:t>
      </w:r>
      <w:r>
        <w:rPr>
          <w:rFonts w:ascii="Times New Roman" w:hAnsi="Times New Roman"/>
          <w:bCs/>
          <w:sz w:val="28"/>
          <w:szCs w:val="28"/>
        </w:rPr>
        <w:t xml:space="preserve">ФЗД забезпечував повне вилучення йонів цинку як з дистильованої, так і з водопровідної води (рис. </w:t>
      </w:r>
      <w:r>
        <w:rPr>
          <w:rFonts w:ascii="Times New Roman" w:hAnsi="Times New Roman"/>
          <w:bCs/>
          <w:sz w:val="28"/>
          <w:szCs w:val="28"/>
          <w:lang w:val="en"/>
        </w:rPr>
        <w:t>3</w:t>
      </w:r>
      <w:r>
        <w:rPr>
          <w:rFonts w:ascii="Times New Roman" w:hAnsi="Times New Roman"/>
          <w:bCs/>
          <w:sz w:val="28"/>
          <w:szCs w:val="28"/>
        </w:rPr>
        <w:t>.</w:t>
      </w:r>
      <w:r>
        <w:rPr>
          <w:rFonts w:ascii="Times New Roman" w:hAnsi="Times New Roman"/>
          <w:bCs/>
          <w:sz w:val="28"/>
          <w:szCs w:val="28"/>
          <w:lang w:val="ru"/>
        </w:rPr>
        <w:t>40</w:t>
      </w:r>
      <w:r>
        <w:rPr>
          <w:rFonts w:ascii="Times New Roman" w:hAnsi="Times New Roman"/>
          <w:bCs/>
          <w:sz w:val="28"/>
          <w:szCs w:val="28"/>
        </w:rPr>
        <w:t>) при відношенні об’єму катіоніту до аніоніту 2:3.</w:t>
      </w:r>
    </w:p>
    <w:p w:rsidR="00F1629C" w:rsidRDefault="00E671D2">
      <w:pPr>
        <w:tabs>
          <w:tab w:val="left" w:pos="7215"/>
        </w:tabs>
        <w:spacing w:after="0" w:line="360" w:lineRule="auto"/>
        <w:ind w:right="-1" w:firstLine="540"/>
        <w:jc w:val="both"/>
        <w:rPr>
          <w:rFonts w:ascii="Times New Roman" w:hAnsi="Times New Roman"/>
          <w:bCs/>
          <w:sz w:val="28"/>
          <w:szCs w:val="28"/>
          <w:lang w:val="ru"/>
        </w:rPr>
      </w:pPr>
      <w:r>
        <w:rPr>
          <w:rFonts w:ascii="Times New Roman" w:hAnsi="Times New Roman"/>
          <w:bCs/>
          <w:sz w:val="28"/>
          <w:szCs w:val="28"/>
          <w:lang w:val="ru"/>
        </w:rPr>
        <w:t>Таким</w:t>
      </w:r>
      <w:r>
        <w:rPr>
          <w:rFonts w:ascii="Times New Roman" w:hAnsi="Times New Roman"/>
          <w:bCs/>
          <w:sz w:val="28"/>
          <w:szCs w:val="28"/>
          <w:lang w:val="ru"/>
        </w:rPr>
        <w:t xml:space="preserve"> чином, можна зробити висновок, що ФЗД є найбільш ефективним способом вилучення цинку з розчинів сульфату цинку у водопровідній воді. </w:t>
      </w:r>
    </w:p>
    <w:p w:rsidR="00F1629C" w:rsidRDefault="00E671D2">
      <w:pPr>
        <w:tabs>
          <w:tab w:val="left" w:pos="7215"/>
        </w:tabs>
        <w:spacing w:after="0" w:line="360" w:lineRule="auto"/>
        <w:ind w:right="-1" w:firstLine="540"/>
        <w:jc w:val="both"/>
        <w:rPr>
          <w:rFonts w:ascii="Times New Roman" w:hAnsi="Times New Roman"/>
          <w:bCs/>
          <w:sz w:val="28"/>
          <w:szCs w:val="28"/>
          <w:lang w:val="ru"/>
        </w:rPr>
      </w:pPr>
      <w:r>
        <w:rPr>
          <w:rFonts w:ascii="Times New Roman" w:hAnsi="Times New Roman"/>
          <w:bCs/>
          <w:sz w:val="28"/>
          <w:szCs w:val="28"/>
          <w:lang w:val="ru"/>
        </w:rPr>
        <w:t>Високою ефективністю вилучення цинку з розчинів сульфату цинку в дистильованій воді характеризується катіоніт КУ-2-9 у ки</w:t>
      </w:r>
      <w:r>
        <w:rPr>
          <w:rFonts w:ascii="Times New Roman" w:hAnsi="Times New Roman"/>
          <w:bCs/>
          <w:sz w:val="28"/>
          <w:szCs w:val="28"/>
          <w:lang w:val="ru"/>
        </w:rPr>
        <w:t xml:space="preserve">слій та сольовій формах. </w:t>
      </w:r>
    </w:p>
    <w:p w:rsidR="00F1629C" w:rsidRDefault="00E671D2">
      <w:pPr>
        <w:tabs>
          <w:tab w:val="left" w:pos="7215"/>
        </w:tabs>
        <w:spacing w:after="0" w:line="360" w:lineRule="auto"/>
        <w:ind w:right="-1" w:firstLine="540"/>
        <w:jc w:val="both"/>
        <w:rPr>
          <w:rFonts w:ascii="Times New Roman" w:hAnsi="Times New Roman"/>
          <w:bCs/>
          <w:sz w:val="28"/>
          <w:szCs w:val="28"/>
          <w:lang w:val="ru"/>
        </w:rPr>
      </w:pPr>
      <w:r>
        <w:rPr>
          <w:rFonts w:ascii="Times New Roman" w:hAnsi="Times New Roman"/>
          <w:bCs/>
          <w:sz w:val="28"/>
          <w:szCs w:val="28"/>
          <w:lang w:val="ru"/>
        </w:rPr>
        <w:t>Проте, найбільш ефективним із досліджених способом вулучення цинку з розчинів сульфату цинку у дистильованій воді є нанофільтрація на мембані ОПМН-П при додаванні до вихідного розчину оксиетилідендифосфонової кислоти до концентрац</w:t>
      </w:r>
      <w:r>
        <w:rPr>
          <w:rFonts w:ascii="Times New Roman" w:hAnsi="Times New Roman"/>
          <w:bCs/>
          <w:sz w:val="28"/>
          <w:szCs w:val="28"/>
          <w:lang w:val="ru"/>
        </w:rPr>
        <w:t>ії останньої 50 мг/дм</w:t>
      </w:r>
      <w:r>
        <w:rPr>
          <w:rFonts w:ascii="Times New Roman" w:hAnsi="Times New Roman"/>
          <w:bCs/>
          <w:sz w:val="28"/>
          <w:szCs w:val="28"/>
          <w:vertAlign w:val="superscript"/>
          <w:lang w:val="ru"/>
        </w:rPr>
        <w:t>3</w:t>
      </w:r>
      <w:r>
        <w:rPr>
          <w:rFonts w:ascii="Times New Roman" w:hAnsi="Times New Roman"/>
          <w:bCs/>
          <w:sz w:val="28"/>
          <w:szCs w:val="28"/>
          <w:lang w:val="ru"/>
        </w:rPr>
        <w:t>.</w:t>
      </w:r>
    </w:p>
    <w:p w:rsidR="00F1629C" w:rsidRDefault="00E671D2">
      <w:pPr>
        <w:spacing w:after="0" w:line="360" w:lineRule="auto"/>
        <w:jc w:val="both"/>
        <w:rPr>
          <w:rFonts w:ascii="Times New Roman" w:hAnsi="Times New Roman"/>
          <w:sz w:val="28"/>
          <w:szCs w:val="28"/>
        </w:rPr>
      </w:pPr>
      <w:r>
        <w:rPr>
          <w:noProof/>
          <w:lang w:val="ru-RU" w:eastAsia="ru-RU"/>
        </w:rPr>
        <w:drawing>
          <wp:anchor distT="30480" distB="34925" distL="162560" distR="129540" simplePos="0" relativeHeight="255265792" behindDoc="0" locked="0" layoutInCell="1" allowOverlap="1">
            <wp:simplePos x="0" y="0"/>
            <wp:positionH relativeFrom="column">
              <wp:posOffset>265430</wp:posOffset>
            </wp:positionH>
            <wp:positionV relativeFrom="paragraph">
              <wp:posOffset>83185</wp:posOffset>
            </wp:positionV>
            <wp:extent cx="5486400" cy="1828800"/>
            <wp:effectExtent l="0" t="0" r="0" b="0"/>
            <wp:wrapTopAndBottom/>
            <wp:docPr id="117"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Pr>
          <w:lang w:val="en" w:eastAsia="ru-RU"/>
        </w:rPr>
        <w:tab/>
      </w:r>
      <w:r>
        <w:rPr>
          <w:rFonts w:ascii="Times New Roman" w:hAnsi="Times New Roman"/>
          <w:sz w:val="28"/>
          <w:szCs w:val="28"/>
        </w:rPr>
        <w:t xml:space="preserve">Рис. </w:t>
      </w:r>
      <w:r>
        <w:rPr>
          <w:rFonts w:ascii="Times New Roman" w:hAnsi="Times New Roman"/>
          <w:sz w:val="28"/>
          <w:szCs w:val="28"/>
          <w:lang w:val="en"/>
        </w:rPr>
        <w:t>3</w:t>
      </w:r>
      <w:r>
        <w:rPr>
          <w:rFonts w:ascii="Times New Roman" w:hAnsi="Times New Roman"/>
          <w:sz w:val="28"/>
          <w:szCs w:val="28"/>
        </w:rPr>
        <w:t>.</w:t>
      </w:r>
      <w:r>
        <w:rPr>
          <w:rFonts w:ascii="Times New Roman" w:hAnsi="Times New Roman"/>
          <w:sz w:val="28"/>
          <w:szCs w:val="28"/>
          <w:lang w:val="ru"/>
        </w:rPr>
        <w:t>40</w:t>
      </w:r>
      <w:r>
        <w:rPr>
          <w:rFonts w:ascii="Times New Roman" w:hAnsi="Times New Roman"/>
          <w:sz w:val="28"/>
          <w:szCs w:val="28"/>
        </w:rPr>
        <w:t xml:space="preserve"> – Залежність залишкової концентрації йонів </w:t>
      </w:r>
      <w:r>
        <w:rPr>
          <w:rFonts w:ascii="Times New Roman" w:hAnsi="Times New Roman"/>
          <w:sz w:val="28"/>
          <w:szCs w:val="28"/>
          <w:lang w:val="en-US"/>
        </w:rPr>
        <w:t>Zn</w:t>
      </w:r>
      <w:r>
        <w:rPr>
          <w:rFonts w:ascii="Times New Roman" w:hAnsi="Times New Roman"/>
          <w:sz w:val="28"/>
          <w:szCs w:val="28"/>
          <w:vertAlign w:val="superscript"/>
        </w:rPr>
        <w:t>2+</w:t>
      </w:r>
      <w:r>
        <w:rPr>
          <w:rFonts w:ascii="Times New Roman" w:hAnsi="Times New Roman"/>
          <w:sz w:val="28"/>
          <w:szCs w:val="28"/>
        </w:rPr>
        <w:t xml:space="preserve"> (1) та ступеню вилучення </w:t>
      </w:r>
      <w:r>
        <w:rPr>
          <w:rFonts w:ascii="Times New Roman" w:hAnsi="Times New Roman"/>
          <w:sz w:val="28"/>
          <w:szCs w:val="28"/>
          <w:lang w:val="en-US"/>
        </w:rPr>
        <w:t>Zn</w:t>
      </w:r>
      <w:r>
        <w:rPr>
          <w:rFonts w:ascii="Times New Roman" w:hAnsi="Times New Roman"/>
          <w:sz w:val="28"/>
          <w:szCs w:val="28"/>
          <w:vertAlign w:val="superscript"/>
        </w:rPr>
        <w:t>2+</w:t>
      </w:r>
      <w:r>
        <w:rPr>
          <w:rFonts w:ascii="Times New Roman" w:hAnsi="Times New Roman"/>
          <w:sz w:val="28"/>
          <w:szCs w:val="28"/>
        </w:rPr>
        <w:t xml:space="preserve"> (2) від пропущених об’ємів розчинів </w:t>
      </w:r>
      <w:r>
        <w:rPr>
          <w:rFonts w:ascii="Times New Roman" w:hAnsi="Times New Roman"/>
          <w:sz w:val="28"/>
          <w:szCs w:val="28"/>
          <w:lang w:val="en-US"/>
        </w:rPr>
        <w:t>Zn</w:t>
      </w:r>
      <w:r>
        <w:rPr>
          <w:rFonts w:ascii="Times New Roman" w:hAnsi="Times New Roman"/>
          <w:sz w:val="28"/>
          <w:szCs w:val="28"/>
          <w:vertAlign w:val="superscript"/>
        </w:rPr>
        <w:t>2+</w:t>
      </w:r>
      <w:r>
        <w:rPr>
          <w:rFonts w:ascii="Times New Roman" w:hAnsi="Times New Roman"/>
          <w:sz w:val="28"/>
          <w:szCs w:val="28"/>
        </w:rPr>
        <w:t xml:space="preserve"> у водопровідній воді</w:t>
      </w:r>
      <w:r>
        <w:rPr>
          <w:rFonts w:ascii="Times New Roman" w:hAnsi="Times New Roman"/>
          <w:sz w:val="28"/>
          <w:szCs w:val="28"/>
          <w:lang w:val="ru"/>
        </w:rPr>
        <w:t xml:space="preserve"> </w:t>
      </w:r>
      <w:r>
        <w:rPr>
          <w:rFonts w:ascii="Times New Roman" w:hAnsi="Times New Roman"/>
          <w:sz w:val="28"/>
          <w:szCs w:val="28"/>
        </w:rPr>
        <w:t>([</w:t>
      </w:r>
      <w:r>
        <w:rPr>
          <w:rFonts w:ascii="Times New Roman" w:hAnsi="Times New Roman"/>
          <w:sz w:val="28"/>
          <w:szCs w:val="28"/>
        </w:rPr>
        <w:t>Zn</w:t>
      </w:r>
      <w:r>
        <w:rPr>
          <w:rFonts w:ascii="Times New Roman" w:hAnsi="Times New Roman"/>
          <w:sz w:val="28"/>
          <w:szCs w:val="28"/>
          <w:vertAlign w:val="superscript"/>
        </w:rPr>
        <w:t>2+</w:t>
      </w:r>
      <w:r>
        <w:rPr>
          <w:rFonts w:ascii="Times New Roman" w:hAnsi="Times New Roman"/>
          <w:sz w:val="28"/>
          <w:szCs w:val="28"/>
        </w:rPr>
        <w:t>]=135.2 мкг/дм</w:t>
      </w:r>
      <w:r>
        <w:rPr>
          <w:rFonts w:ascii="Times New Roman" w:hAnsi="Times New Roman"/>
          <w:sz w:val="28"/>
          <w:szCs w:val="28"/>
          <w:vertAlign w:val="superscript"/>
        </w:rPr>
        <w:t>3</w:t>
      </w:r>
      <w:r>
        <w:rPr>
          <w:rFonts w:ascii="Times New Roman" w:hAnsi="Times New Roman"/>
          <w:sz w:val="28"/>
          <w:szCs w:val="28"/>
        </w:rPr>
        <w:t>, Ж=0,00480 г-екв/дм</w:t>
      </w:r>
      <w:r>
        <w:rPr>
          <w:rFonts w:ascii="Times New Roman" w:hAnsi="Times New Roman"/>
          <w:sz w:val="28"/>
          <w:szCs w:val="28"/>
          <w:vertAlign w:val="superscript"/>
        </w:rPr>
        <w:t>3</w:t>
      </w:r>
      <w:r>
        <w:rPr>
          <w:rFonts w:ascii="Times New Roman" w:hAnsi="Times New Roman"/>
          <w:sz w:val="28"/>
          <w:szCs w:val="28"/>
        </w:rPr>
        <w:t>) через ФЗД (</w:t>
      </w:r>
      <w:r>
        <w:rPr>
          <w:rFonts w:ascii="Times New Roman" w:hAnsi="Times New Roman"/>
          <w:sz w:val="28"/>
          <w:szCs w:val="28"/>
        </w:rPr>
        <w:t>V</w:t>
      </w:r>
      <w:r>
        <w:rPr>
          <w:rFonts w:ascii="Times New Roman" w:hAnsi="Times New Roman"/>
          <w:sz w:val="28"/>
          <w:szCs w:val="28"/>
          <w:vertAlign w:val="subscript"/>
        </w:rPr>
        <w:t>i</w:t>
      </w:r>
      <w:r>
        <w:rPr>
          <w:rFonts w:ascii="Times New Roman" w:hAnsi="Times New Roman"/>
          <w:sz w:val="28"/>
          <w:szCs w:val="28"/>
        </w:rPr>
        <w:t>=50 см</w:t>
      </w:r>
      <w:r>
        <w:rPr>
          <w:rFonts w:ascii="Times New Roman" w:hAnsi="Times New Roman"/>
          <w:sz w:val="28"/>
          <w:szCs w:val="28"/>
          <w:vertAlign w:val="superscript"/>
        </w:rPr>
        <w:t>3</w:t>
      </w:r>
      <w:r>
        <w:rPr>
          <w:rFonts w:ascii="Times New Roman" w:hAnsi="Times New Roman"/>
          <w:sz w:val="28"/>
          <w:szCs w:val="28"/>
        </w:rPr>
        <w:t xml:space="preserve">, </w:t>
      </w:r>
      <w:r>
        <w:rPr>
          <w:rFonts w:ascii="Times New Roman" w:hAnsi="Times New Roman"/>
          <w:sz w:val="28"/>
          <w:szCs w:val="28"/>
        </w:rPr>
        <w:t>V</w:t>
      </w:r>
      <w:r>
        <w:rPr>
          <w:rFonts w:ascii="Times New Roman" w:hAnsi="Times New Roman"/>
          <w:sz w:val="28"/>
          <w:szCs w:val="28"/>
          <w:vertAlign w:val="subscript"/>
        </w:rPr>
        <w:t>КУ-2-8 (кисла</w:t>
      </w:r>
      <w:r>
        <w:rPr>
          <w:rFonts w:ascii="Times New Roman" w:hAnsi="Times New Roman"/>
          <w:sz w:val="28"/>
          <w:szCs w:val="28"/>
          <w:vertAlign w:val="subscript"/>
        </w:rPr>
        <w:t xml:space="preserve"> форма)</w:t>
      </w:r>
      <w:r>
        <w:rPr>
          <w:rFonts w:ascii="Times New Roman" w:hAnsi="Times New Roman"/>
          <w:sz w:val="28"/>
          <w:szCs w:val="28"/>
        </w:rPr>
        <w:t>=20 см</w:t>
      </w:r>
      <w:r>
        <w:rPr>
          <w:rFonts w:ascii="Times New Roman" w:hAnsi="Times New Roman"/>
          <w:sz w:val="28"/>
          <w:szCs w:val="28"/>
          <w:vertAlign w:val="superscript"/>
        </w:rPr>
        <w:t>3</w:t>
      </w:r>
      <w:r>
        <w:rPr>
          <w:rFonts w:ascii="Times New Roman" w:hAnsi="Times New Roman"/>
          <w:sz w:val="28"/>
          <w:szCs w:val="28"/>
        </w:rPr>
        <w:t xml:space="preserve">, </w:t>
      </w:r>
      <w:r>
        <w:rPr>
          <w:rFonts w:ascii="Times New Roman" w:hAnsi="Times New Roman"/>
          <w:sz w:val="28"/>
          <w:szCs w:val="28"/>
        </w:rPr>
        <w:t>V</w:t>
      </w:r>
      <w:r>
        <w:rPr>
          <w:rFonts w:ascii="Times New Roman" w:hAnsi="Times New Roman"/>
          <w:sz w:val="28"/>
          <w:szCs w:val="28"/>
          <w:vertAlign w:val="subscript"/>
        </w:rPr>
        <w:t>АВ–17–8 (лужна форма)</w:t>
      </w:r>
      <w:r>
        <w:rPr>
          <w:rFonts w:ascii="Times New Roman" w:hAnsi="Times New Roman"/>
          <w:sz w:val="28"/>
          <w:szCs w:val="28"/>
        </w:rPr>
        <w:t>=30 см</w:t>
      </w:r>
      <w:r>
        <w:rPr>
          <w:rFonts w:ascii="Times New Roman" w:hAnsi="Times New Roman"/>
          <w:sz w:val="28"/>
          <w:szCs w:val="28"/>
          <w:vertAlign w:val="superscript"/>
        </w:rPr>
        <w:t>3</w:t>
      </w:r>
      <w:r>
        <w:rPr>
          <w:rFonts w:ascii="Times New Roman" w:hAnsi="Times New Roman"/>
          <w:sz w:val="28"/>
          <w:szCs w:val="28"/>
        </w:rPr>
        <w:t>)</w:t>
      </w:r>
    </w:p>
    <w:p w:rsidR="00F1629C" w:rsidRDefault="00F1629C">
      <w:pPr>
        <w:spacing w:line="360" w:lineRule="auto"/>
        <w:ind w:firstLine="700"/>
        <w:jc w:val="both"/>
        <w:rPr>
          <w:rFonts w:ascii="Times New Roman" w:hAnsi="Times New Roman" w:cs="Times New Roman"/>
          <w:b/>
          <w:iCs/>
          <w:sz w:val="28"/>
          <w:szCs w:val="28"/>
          <w:lang w:val="ru"/>
        </w:rPr>
      </w:pPr>
    </w:p>
    <w:p w:rsidR="00F1629C" w:rsidRDefault="00E671D2">
      <w:pPr>
        <w:spacing w:line="360" w:lineRule="auto"/>
        <w:ind w:firstLine="700"/>
        <w:jc w:val="both"/>
        <w:rPr>
          <w:rFonts w:ascii="Times New Roman" w:hAnsi="Times New Roman" w:cs="Times New Roman"/>
          <w:b/>
          <w:iCs/>
          <w:sz w:val="28"/>
          <w:szCs w:val="28"/>
          <w:lang w:val="ru"/>
        </w:rPr>
      </w:pPr>
      <w:r>
        <w:rPr>
          <w:rFonts w:ascii="Times New Roman" w:hAnsi="Times New Roman" w:cs="Times New Roman"/>
          <w:b/>
          <w:iCs/>
          <w:sz w:val="28"/>
          <w:szCs w:val="28"/>
          <w:lang w:val="ru"/>
        </w:rPr>
        <w:t>Висновки до третього розділу:</w:t>
      </w:r>
    </w:p>
    <w:p w:rsidR="00F1629C" w:rsidRDefault="00E671D2">
      <w:pPr>
        <w:numPr>
          <w:ilvl w:val="0"/>
          <w:numId w:val="5"/>
        </w:numPr>
        <w:tabs>
          <w:tab w:val="clear" w:pos="425"/>
        </w:tabs>
        <w:spacing w:after="0" w:line="360" w:lineRule="auto"/>
        <w:ind w:left="0" w:right="-1" w:firstLine="540"/>
        <w:jc w:val="both"/>
        <w:rPr>
          <w:rFonts w:ascii="Times New Roman" w:hAnsi="Times New Roman"/>
          <w:sz w:val="28"/>
          <w:szCs w:val="28"/>
        </w:rPr>
      </w:pPr>
      <w:r>
        <w:rPr>
          <w:rFonts w:ascii="Times New Roman" w:hAnsi="Times New Roman"/>
          <w:sz w:val="28"/>
          <w:szCs w:val="28"/>
        </w:rPr>
        <w:t xml:space="preserve"> Показано, що ефективність іонообмінного вилучення </w:t>
      </w:r>
      <w:r>
        <w:rPr>
          <w:rFonts w:ascii="Times New Roman" w:hAnsi="Times New Roman"/>
          <w:sz w:val="28"/>
          <w:szCs w:val="28"/>
          <w:lang w:val="ru"/>
        </w:rPr>
        <w:t>і</w:t>
      </w:r>
      <w:r>
        <w:rPr>
          <w:rFonts w:ascii="Times New Roman" w:hAnsi="Times New Roman"/>
          <w:sz w:val="28"/>
          <w:szCs w:val="28"/>
        </w:rPr>
        <w:t xml:space="preserve">онів </w:t>
      </w:r>
      <w:r>
        <w:rPr>
          <w:rFonts w:ascii="Times New Roman" w:hAnsi="Times New Roman"/>
          <w:sz w:val="28"/>
          <w:szCs w:val="28"/>
        </w:rPr>
        <w:t>Cu</w:t>
      </w:r>
      <w:r>
        <w:rPr>
          <w:rFonts w:ascii="Times New Roman" w:hAnsi="Times New Roman"/>
          <w:sz w:val="28"/>
          <w:szCs w:val="28"/>
          <w:vertAlign w:val="superscript"/>
        </w:rPr>
        <w:t>2+</w:t>
      </w:r>
      <w:r>
        <w:rPr>
          <w:rFonts w:ascii="Times New Roman" w:hAnsi="Times New Roman"/>
          <w:sz w:val="28"/>
          <w:szCs w:val="28"/>
        </w:rPr>
        <w:t xml:space="preserve"> з води на </w:t>
      </w:r>
      <w:r>
        <w:rPr>
          <w:rFonts w:ascii="Times New Roman" w:hAnsi="Times New Roman"/>
          <w:sz w:val="28"/>
          <w:szCs w:val="28"/>
          <w:lang w:val="ru"/>
        </w:rPr>
        <w:t>кат</w:t>
      </w:r>
      <w:r>
        <w:rPr>
          <w:rFonts w:ascii="Times New Roman" w:hAnsi="Times New Roman"/>
          <w:sz w:val="28"/>
          <w:szCs w:val="28"/>
        </w:rPr>
        <w:t xml:space="preserve">іонітах КУ-2-8 та </w:t>
      </w:r>
      <w:r>
        <w:rPr>
          <w:rFonts w:ascii="Times New Roman" w:hAnsi="Times New Roman"/>
          <w:sz w:val="28"/>
          <w:szCs w:val="28"/>
        </w:rPr>
        <w:t>DOWEXMAC</w:t>
      </w:r>
      <w:r>
        <w:rPr>
          <w:rFonts w:ascii="Times New Roman" w:hAnsi="Times New Roman"/>
          <w:sz w:val="28"/>
          <w:szCs w:val="28"/>
        </w:rPr>
        <w:t xml:space="preserve">-3 залежить від концентрації </w:t>
      </w:r>
      <w:r>
        <w:rPr>
          <w:rFonts w:ascii="Times New Roman" w:hAnsi="Times New Roman"/>
          <w:sz w:val="28"/>
          <w:szCs w:val="28"/>
          <w:lang w:val="ru"/>
        </w:rPr>
        <w:t>міді</w:t>
      </w:r>
      <w:r>
        <w:rPr>
          <w:rFonts w:ascii="Times New Roman" w:hAnsi="Times New Roman"/>
          <w:sz w:val="28"/>
          <w:szCs w:val="28"/>
        </w:rPr>
        <w:t xml:space="preserve"> у </w:t>
      </w:r>
      <w:r>
        <w:rPr>
          <w:rFonts w:ascii="Times New Roman" w:hAnsi="Times New Roman"/>
          <w:sz w:val="28"/>
          <w:szCs w:val="28"/>
          <w:lang w:val="ru"/>
        </w:rPr>
        <w:t>вихідних</w:t>
      </w:r>
      <w:r>
        <w:rPr>
          <w:rFonts w:ascii="Times New Roman" w:hAnsi="Times New Roman"/>
          <w:sz w:val="28"/>
          <w:szCs w:val="28"/>
          <w:lang w:val="ru"/>
        </w:rPr>
        <w:t xml:space="preserve"> </w:t>
      </w:r>
      <w:r>
        <w:rPr>
          <w:rFonts w:ascii="Times New Roman" w:hAnsi="Times New Roman"/>
          <w:sz w:val="28"/>
          <w:szCs w:val="28"/>
        </w:rPr>
        <w:t xml:space="preserve">розчинах, форми </w:t>
      </w:r>
      <w:r>
        <w:rPr>
          <w:rFonts w:ascii="Times New Roman" w:hAnsi="Times New Roman"/>
          <w:sz w:val="28"/>
          <w:szCs w:val="28"/>
          <w:lang w:val="ru"/>
        </w:rPr>
        <w:t>кат</w:t>
      </w:r>
      <w:r>
        <w:rPr>
          <w:rFonts w:ascii="Times New Roman" w:hAnsi="Times New Roman"/>
          <w:sz w:val="28"/>
          <w:szCs w:val="28"/>
        </w:rPr>
        <w:t xml:space="preserve">іоніту та </w:t>
      </w:r>
      <w:r>
        <w:rPr>
          <w:rFonts w:ascii="Times New Roman" w:hAnsi="Times New Roman"/>
          <w:sz w:val="28"/>
          <w:szCs w:val="28"/>
        </w:rPr>
        <w:t>об’єму</w:t>
      </w:r>
      <w:r>
        <w:rPr>
          <w:rFonts w:ascii="Times New Roman" w:hAnsi="Times New Roman"/>
          <w:sz w:val="28"/>
          <w:szCs w:val="28"/>
          <w:lang w:val="ru"/>
        </w:rPr>
        <w:t xml:space="preserve"> фільтрованого</w:t>
      </w:r>
      <w:r>
        <w:rPr>
          <w:rFonts w:ascii="Times New Roman" w:hAnsi="Times New Roman"/>
          <w:sz w:val="28"/>
          <w:szCs w:val="28"/>
        </w:rPr>
        <w:t xml:space="preserve"> розчину. </w:t>
      </w:r>
    </w:p>
    <w:p w:rsidR="00F1629C" w:rsidRDefault="00E671D2">
      <w:pPr>
        <w:numPr>
          <w:ilvl w:val="0"/>
          <w:numId w:val="5"/>
        </w:numPr>
        <w:tabs>
          <w:tab w:val="clear" w:pos="425"/>
        </w:tabs>
        <w:spacing w:after="0" w:line="360" w:lineRule="auto"/>
        <w:ind w:left="0" w:right="-1" w:firstLine="540"/>
        <w:jc w:val="both"/>
        <w:rPr>
          <w:rFonts w:ascii="Times New Roman" w:hAnsi="Times New Roman"/>
          <w:sz w:val="28"/>
          <w:szCs w:val="28"/>
        </w:rPr>
      </w:pPr>
      <w:r>
        <w:rPr>
          <w:rFonts w:ascii="Times New Roman" w:hAnsi="Times New Roman"/>
          <w:sz w:val="28"/>
          <w:szCs w:val="28"/>
        </w:rPr>
        <w:t xml:space="preserve"> Доведено, що при фільтрації розчинів, що містять </w:t>
      </w:r>
      <w:r>
        <w:rPr>
          <w:rFonts w:ascii="Times New Roman" w:hAnsi="Times New Roman"/>
          <w:sz w:val="28"/>
          <w:szCs w:val="28"/>
          <w:lang w:val="ru"/>
        </w:rPr>
        <w:t>і</w:t>
      </w:r>
      <w:r>
        <w:rPr>
          <w:rFonts w:ascii="Times New Roman" w:hAnsi="Times New Roman"/>
          <w:sz w:val="28"/>
          <w:szCs w:val="28"/>
        </w:rPr>
        <w:t xml:space="preserve">они міді та свинцю на катіонітах КУ-2-8 та </w:t>
      </w:r>
      <w:r>
        <w:rPr>
          <w:rFonts w:ascii="Times New Roman" w:hAnsi="Times New Roman"/>
          <w:sz w:val="28"/>
          <w:szCs w:val="28"/>
        </w:rPr>
        <w:t>DOWEX</w:t>
      </w:r>
      <w:r>
        <w:rPr>
          <w:rFonts w:ascii="Times New Roman" w:hAnsi="Times New Roman"/>
          <w:sz w:val="28"/>
          <w:szCs w:val="28"/>
          <w:lang w:val="ru"/>
        </w:rPr>
        <w:t>-</w:t>
      </w:r>
      <w:r>
        <w:rPr>
          <w:rFonts w:ascii="Times New Roman" w:hAnsi="Times New Roman"/>
          <w:sz w:val="28"/>
          <w:szCs w:val="28"/>
        </w:rPr>
        <w:t>MAC</w:t>
      </w:r>
      <w:r>
        <w:rPr>
          <w:rFonts w:ascii="Times New Roman" w:hAnsi="Times New Roman"/>
          <w:sz w:val="28"/>
          <w:szCs w:val="28"/>
        </w:rPr>
        <w:t>-3</w:t>
      </w:r>
      <w:r>
        <w:rPr>
          <w:rFonts w:ascii="Times New Roman" w:hAnsi="Times New Roman"/>
          <w:sz w:val="28"/>
          <w:szCs w:val="28"/>
          <w:lang w:val="ru"/>
        </w:rPr>
        <w:t>,</w:t>
      </w:r>
      <w:r>
        <w:rPr>
          <w:rFonts w:ascii="Times New Roman" w:hAnsi="Times New Roman"/>
          <w:sz w:val="28"/>
          <w:szCs w:val="28"/>
        </w:rPr>
        <w:t xml:space="preserve"> ефективність сорбції залежить від вихідної концентрації</w:t>
      </w:r>
      <w:r>
        <w:rPr>
          <w:rFonts w:ascii="Times New Roman" w:hAnsi="Times New Roman"/>
          <w:sz w:val="28"/>
          <w:szCs w:val="28"/>
          <w:lang w:val="ru"/>
        </w:rPr>
        <w:t xml:space="preserve"> іонів </w:t>
      </w:r>
      <w:r>
        <w:rPr>
          <w:rFonts w:ascii="Times New Roman" w:hAnsi="Times New Roman"/>
          <w:sz w:val="28"/>
          <w:szCs w:val="28"/>
        </w:rPr>
        <w:t>Cu</w:t>
      </w:r>
      <w:r>
        <w:rPr>
          <w:rFonts w:ascii="Times New Roman" w:hAnsi="Times New Roman"/>
          <w:sz w:val="28"/>
          <w:szCs w:val="28"/>
          <w:vertAlign w:val="superscript"/>
        </w:rPr>
        <w:t>2+</w:t>
      </w:r>
      <w:r>
        <w:rPr>
          <w:rFonts w:ascii="Times New Roman" w:hAnsi="Times New Roman"/>
          <w:sz w:val="28"/>
          <w:szCs w:val="28"/>
          <w:vertAlign w:val="superscript"/>
          <w:lang w:val="ru"/>
        </w:rPr>
        <w:t xml:space="preserve"> </w:t>
      </w:r>
      <w:r>
        <w:rPr>
          <w:rFonts w:ascii="Times New Roman" w:hAnsi="Times New Roman"/>
          <w:sz w:val="28"/>
          <w:szCs w:val="28"/>
          <w:lang w:val="ru"/>
        </w:rPr>
        <w:t>та Рb</w:t>
      </w:r>
      <w:r>
        <w:rPr>
          <w:rFonts w:ascii="Times New Roman" w:hAnsi="Times New Roman"/>
          <w:sz w:val="28"/>
          <w:szCs w:val="28"/>
          <w:vertAlign w:val="superscript"/>
          <w:lang w:val="ru"/>
        </w:rPr>
        <w:t>2+</w:t>
      </w:r>
      <w:r>
        <w:rPr>
          <w:rFonts w:ascii="Times New Roman" w:hAnsi="Times New Roman"/>
          <w:sz w:val="28"/>
          <w:szCs w:val="28"/>
        </w:rPr>
        <w:t>. Так</w:t>
      </w:r>
      <w:r>
        <w:rPr>
          <w:rFonts w:ascii="Times New Roman" w:hAnsi="Times New Roman"/>
          <w:sz w:val="28"/>
          <w:szCs w:val="28"/>
        </w:rPr>
        <w:t>им чином</w:t>
      </w:r>
      <w:r>
        <w:rPr>
          <w:rFonts w:ascii="Times New Roman" w:hAnsi="Times New Roman"/>
          <w:sz w:val="28"/>
          <w:szCs w:val="28"/>
        </w:rPr>
        <w:t xml:space="preserve">, </w:t>
      </w:r>
      <w:r>
        <w:rPr>
          <w:rFonts w:ascii="Times New Roman" w:hAnsi="Times New Roman"/>
          <w:sz w:val="28"/>
          <w:szCs w:val="28"/>
        </w:rPr>
        <w:t xml:space="preserve">вилучення </w:t>
      </w:r>
      <w:r>
        <w:rPr>
          <w:rFonts w:ascii="Times New Roman" w:hAnsi="Times New Roman"/>
          <w:sz w:val="28"/>
          <w:szCs w:val="28"/>
          <w:lang w:val="ru"/>
        </w:rPr>
        <w:t>і</w:t>
      </w:r>
      <w:r>
        <w:rPr>
          <w:rFonts w:ascii="Times New Roman" w:hAnsi="Times New Roman"/>
          <w:sz w:val="28"/>
          <w:szCs w:val="28"/>
        </w:rPr>
        <w:t xml:space="preserve">онів свинцю та </w:t>
      </w:r>
      <w:r>
        <w:rPr>
          <w:rFonts w:ascii="Times New Roman" w:hAnsi="Times New Roman"/>
          <w:sz w:val="28"/>
          <w:szCs w:val="28"/>
        </w:rPr>
        <w:t xml:space="preserve">міді </w:t>
      </w:r>
      <w:r>
        <w:rPr>
          <w:rFonts w:ascii="Times New Roman" w:hAnsi="Times New Roman"/>
          <w:sz w:val="28"/>
          <w:szCs w:val="28"/>
          <w:lang w:val="ru"/>
        </w:rPr>
        <w:t>на</w:t>
      </w:r>
      <w:r>
        <w:rPr>
          <w:rFonts w:ascii="Times New Roman" w:hAnsi="Times New Roman"/>
          <w:sz w:val="28"/>
          <w:szCs w:val="28"/>
          <w:lang w:val="ru"/>
        </w:rPr>
        <w:t xml:space="preserve"> </w:t>
      </w:r>
      <w:r>
        <w:rPr>
          <w:rFonts w:ascii="Times New Roman" w:hAnsi="Times New Roman"/>
          <w:sz w:val="28"/>
          <w:szCs w:val="28"/>
        </w:rPr>
        <w:t>кат</w:t>
      </w:r>
      <w:r>
        <w:rPr>
          <w:rFonts w:ascii="Times New Roman" w:hAnsi="Times New Roman"/>
          <w:sz w:val="28"/>
          <w:szCs w:val="28"/>
        </w:rPr>
        <w:t>іоніт</w:t>
      </w:r>
      <w:r>
        <w:rPr>
          <w:rFonts w:ascii="Times New Roman" w:hAnsi="Times New Roman"/>
          <w:sz w:val="28"/>
          <w:szCs w:val="28"/>
        </w:rPr>
        <w:t>ах</w:t>
      </w:r>
      <w:r>
        <w:rPr>
          <w:rFonts w:ascii="Times New Roman" w:hAnsi="Times New Roman"/>
          <w:sz w:val="28"/>
          <w:szCs w:val="28"/>
          <w:lang w:val="ru"/>
        </w:rPr>
        <w:t xml:space="preserve"> </w:t>
      </w:r>
      <w:r>
        <w:rPr>
          <w:rFonts w:ascii="Times New Roman" w:hAnsi="Times New Roman"/>
          <w:sz w:val="28"/>
          <w:szCs w:val="28"/>
        </w:rPr>
        <w:t xml:space="preserve">досяжне </w:t>
      </w:r>
      <w:r>
        <w:rPr>
          <w:rFonts w:ascii="Times New Roman" w:hAnsi="Times New Roman"/>
          <w:sz w:val="28"/>
          <w:szCs w:val="28"/>
        </w:rPr>
        <w:t>при вико</w:t>
      </w:r>
      <w:r>
        <w:rPr>
          <w:rFonts w:ascii="Times New Roman" w:hAnsi="Times New Roman"/>
          <w:sz w:val="28"/>
          <w:szCs w:val="28"/>
        </w:rPr>
        <w:t>рис</w:t>
      </w:r>
      <w:r>
        <w:rPr>
          <w:rFonts w:ascii="Times New Roman" w:hAnsi="Times New Roman"/>
          <w:sz w:val="28"/>
          <w:szCs w:val="28"/>
        </w:rPr>
        <w:t>танні слабокислотного кат</w:t>
      </w:r>
      <w:r>
        <w:rPr>
          <w:rFonts w:ascii="Times New Roman" w:hAnsi="Times New Roman"/>
          <w:sz w:val="28"/>
          <w:szCs w:val="28"/>
        </w:rPr>
        <w:t>іоніт</w:t>
      </w:r>
      <w:r>
        <w:rPr>
          <w:rFonts w:ascii="Times New Roman" w:hAnsi="Times New Roman"/>
          <w:sz w:val="28"/>
          <w:szCs w:val="28"/>
        </w:rPr>
        <w:t>у</w:t>
      </w:r>
      <w:r>
        <w:rPr>
          <w:rFonts w:ascii="Times New Roman" w:hAnsi="Times New Roman"/>
          <w:sz w:val="28"/>
          <w:szCs w:val="28"/>
        </w:rPr>
        <w:t xml:space="preserve"> DOWEX MAC-3</w:t>
      </w:r>
      <w:r>
        <w:rPr>
          <w:rFonts w:ascii="Times New Roman" w:hAnsi="Times New Roman"/>
          <w:sz w:val="28"/>
          <w:szCs w:val="28"/>
        </w:rPr>
        <w:t xml:space="preserve">. </w:t>
      </w:r>
    </w:p>
    <w:p w:rsidR="00F1629C" w:rsidRDefault="00E671D2">
      <w:pPr>
        <w:numPr>
          <w:ilvl w:val="0"/>
          <w:numId w:val="5"/>
        </w:numPr>
        <w:tabs>
          <w:tab w:val="clear" w:pos="425"/>
        </w:tabs>
        <w:spacing w:after="0" w:line="360" w:lineRule="auto"/>
        <w:ind w:left="0" w:right="-1" w:firstLine="540"/>
        <w:jc w:val="both"/>
        <w:rPr>
          <w:rFonts w:ascii="Times New Roman" w:hAnsi="Times New Roman"/>
          <w:sz w:val="28"/>
          <w:szCs w:val="28"/>
        </w:rPr>
      </w:pPr>
      <w:r>
        <w:rPr>
          <w:rFonts w:ascii="Times New Roman" w:hAnsi="Times New Roman"/>
          <w:sz w:val="28"/>
          <w:szCs w:val="28"/>
        </w:rPr>
        <w:t xml:space="preserve"> Виявлено, що при очищенні води від </w:t>
      </w:r>
      <w:r>
        <w:rPr>
          <w:rFonts w:ascii="Times New Roman" w:hAnsi="Times New Roman"/>
          <w:sz w:val="28"/>
          <w:szCs w:val="28"/>
          <w:lang w:val="ru"/>
        </w:rPr>
        <w:t>і</w:t>
      </w:r>
      <w:r>
        <w:rPr>
          <w:rFonts w:ascii="Times New Roman" w:hAnsi="Times New Roman"/>
          <w:sz w:val="28"/>
          <w:szCs w:val="28"/>
        </w:rPr>
        <w:t>онів цинку, кадмію та нікелю</w:t>
      </w:r>
      <w:r>
        <w:rPr>
          <w:rFonts w:ascii="Times New Roman" w:hAnsi="Times New Roman"/>
          <w:sz w:val="28"/>
          <w:szCs w:val="28"/>
          <w:lang w:val="ru"/>
        </w:rPr>
        <w:t>,</w:t>
      </w:r>
      <w:r>
        <w:rPr>
          <w:rFonts w:ascii="Times New Roman" w:hAnsi="Times New Roman"/>
          <w:sz w:val="28"/>
          <w:szCs w:val="28"/>
        </w:rPr>
        <w:t xml:space="preserve"> при використанні катіонітів КУ-2-8 та </w:t>
      </w:r>
      <w:r>
        <w:rPr>
          <w:rFonts w:ascii="Times New Roman" w:hAnsi="Times New Roman"/>
          <w:sz w:val="28"/>
          <w:szCs w:val="28"/>
        </w:rPr>
        <w:t>DOWEXMAC</w:t>
      </w:r>
      <w:r>
        <w:rPr>
          <w:rFonts w:ascii="Times New Roman" w:hAnsi="Times New Roman"/>
          <w:sz w:val="28"/>
          <w:szCs w:val="28"/>
        </w:rPr>
        <w:t>-3 в сольовій та кислій формах, ефективність їх видалення</w:t>
      </w:r>
      <w:r>
        <w:rPr>
          <w:rFonts w:ascii="Times New Roman" w:hAnsi="Times New Roman"/>
          <w:sz w:val="28"/>
          <w:szCs w:val="28"/>
          <w:lang w:val="ru"/>
        </w:rPr>
        <w:t xml:space="preserve"> </w:t>
      </w:r>
      <w:r>
        <w:rPr>
          <w:rFonts w:ascii="Times New Roman" w:hAnsi="Times New Roman"/>
          <w:sz w:val="28"/>
          <w:szCs w:val="28"/>
        </w:rPr>
        <w:t>п</w:t>
      </w:r>
      <w:r>
        <w:rPr>
          <w:rFonts w:ascii="Times New Roman" w:hAnsi="Times New Roman"/>
          <w:sz w:val="28"/>
          <w:szCs w:val="28"/>
        </w:rPr>
        <w:t>омітно вища по йонах кадмію</w:t>
      </w:r>
      <w:r>
        <w:rPr>
          <w:rFonts w:ascii="Times New Roman" w:hAnsi="Times New Roman"/>
          <w:sz w:val="28"/>
          <w:szCs w:val="28"/>
          <w:lang w:val="ru"/>
        </w:rPr>
        <w:t>, у порівнянні з цинком</w:t>
      </w:r>
      <w:r>
        <w:rPr>
          <w:rFonts w:ascii="Times New Roman" w:hAnsi="Times New Roman"/>
          <w:sz w:val="28"/>
          <w:szCs w:val="28"/>
        </w:rPr>
        <w:t xml:space="preserve">. </w:t>
      </w:r>
    </w:p>
    <w:p w:rsidR="00F1629C" w:rsidRDefault="00E671D2">
      <w:pPr>
        <w:numPr>
          <w:ilvl w:val="0"/>
          <w:numId w:val="5"/>
        </w:numPr>
        <w:tabs>
          <w:tab w:val="clear" w:pos="425"/>
        </w:tabs>
        <w:spacing w:after="0" w:line="360" w:lineRule="auto"/>
        <w:ind w:left="0" w:right="-1" w:firstLine="540"/>
        <w:jc w:val="both"/>
        <w:rPr>
          <w:rFonts w:ascii="Times New Roman" w:hAnsi="Times New Roman"/>
          <w:sz w:val="28"/>
          <w:szCs w:val="28"/>
        </w:rPr>
      </w:pPr>
      <w:r>
        <w:rPr>
          <w:rFonts w:ascii="Times New Roman" w:hAnsi="Times New Roman"/>
          <w:sz w:val="28"/>
          <w:szCs w:val="28"/>
        </w:rPr>
        <w:t>Встановлено, що використання комплексоутворювачів значно підвищує селективність нанофільтраційної мембрани.</w:t>
      </w:r>
      <w:r>
        <w:rPr>
          <w:rFonts w:ascii="Times New Roman" w:hAnsi="Times New Roman"/>
          <w:sz w:val="28"/>
          <w:szCs w:val="28"/>
          <w:lang w:val="ru"/>
        </w:rPr>
        <w:t xml:space="preserve"> Також показано що, при вилученні іонів кадмію, набагато більше підвищують селективність нанофіл</w:t>
      </w:r>
      <w:r>
        <w:rPr>
          <w:rFonts w:ascii="Times New Roman" w:hAnsi="Times New Roman"/>
          <w:sz w:val="28"/>
          <w:szCs w:val="28"/>
          <w:lang w:val="ru"/>
        </w:rPr>
        <w:t>ьтраційної мембрани фосфонові кислоти, у порівнянні з катіонними флокулнтами.</w:t>
      </w:r>
      <w:r>
        <w:rPr>
          <w:rFonts w:ascii="Times New Roman" w:hAnsi="Times New Roman"/>
          <w:sz w:val="28"/>
          <w:szCs w:val="28"/>
        </w:rPr>
        <w:t xml:space="preserve"> </w:t>
      </w:r>
    </w:p>
    <w:p w:rsidR="00F1629C" w:rsidRDefault="00E671D2">
      <w:pPr>
        <w:numPr>
          <w:ilvl w:val="0"/>
          <w:numId w:val="5"/>
        </w:numPr>
        <w:tabs>
          <w:tab w:val="clear" w:pos="425"/>
        </w:tabs>
        <w:spacing w:after="0" w:line="360" w:lineRule="auto"/>
        <w:ind w:left="0" w:right="-1" w:firstLine="540"/>
        <w:jc w:val="both"/>
        <w:rPr>
          <w:rFonts w:ascii="Times New Roman" w:hAnsi="Times New Roman"/>
          <w:sz w:val="28"/>
          <w:szCs w:val="28"/>
        </w:rPr>
      </w:pPr>
      <w:r>
        <w:rPr>
          <w:rFonts w:ascii="Times New Roman" w:hAnsi="Times New Roman"/>
          <w:sz w:val="28"/>
          <w:szCs w:val="28"/>
        </w:rPr>
        <w:t xml:space="preserve">Показано залежність ефективності вилучення важких металів методом нанофільтрації від типу використаного комплексону та наявності в </w:t>
      </w:r>
      <w:r>
        <w:rPr>
          <w:rFonts w:ascii="Times New Roman" w:hAnsi="Times New Roman"/>
          <w:sz w:val="28"/>
          <w:szCs w:val="28"/>
          <w:lang w:val="ru"/>
        </w:rPr>
        <w:t>вихідному</w:t>
      </w:r>
      <w:r>
        <w:rPr>
          <w:rFonts w:ascii="Times New Roman" w:hAnsi="Times New Roman"/>
          <w:sz w:val="28"/>
          <w:szCs w:val="28"/>
          <w:lang w:val="ru"/>
        </w:rPr>
        <w:t xml:space="preserve"> розчині</w:t>
      </w:r>
      <w:r>
        <w:rPr>
          <w:rFonts w:ascii="Times New Roman" w:hAnsi="Times New Roman"/>
          <w:sz w:val="28"/>
          <w:szCs w:val="28"/>
        </w:rPr>
        <w:t xml:space="preserve"> йонів жорсткості.</w:t>
      </w:r>
    </w:p>
    <w:p w:rsidR="00F1629C" w:rsidRDefault="00E671D2">
      <w:pPr>
        <w:numPr>
          <w:ilvl w:val="0"/>
          <w:numId w:val="5"/>
        </w:numPr>
        <w:tabs>
          <w:tab w:val="clear" w:pos="425"/>
        </w:tabs>
        <w:spacing w:after="0" w:line="360" w:lineRule="auto"/>
        <w:ind w:left="0" w:right="-1" w:firstLine="540"/>
        <w:jc w:val="both"/>
        <w:rPr>
          <w:rFonts w:ascii="Times New Roman" w:hAnsi="Times New Roman"/>
          <w:sz w:val="28"/>
          <w:szCs w:val="28"/>
        </w:rPr>
      </w:pPr>
      <w:r>
        <w:rPr>
          <w:rFonts w:ascii="Times New Roman" w:hAnsi="Times New Roman"/>
          <w:sz w:val="28"/>
          <w:szCs w:val="28"/>
          <w:lang w:val="ru"/>
        </w:rPr>
        <w:t>Показано</w:t>
      </w:r>
      <w:r>
        <w:rPr>
          <w:rFonts w:ascii="Times New Roman" w:hAnsi="Times New Roman"/>
          <w:sz w:val="28"/>
          <w:szCs w:val="28"/>
          <w:lang w:val="ru"/>
        </w:rPr>
        <w:t xml:space="preserve"> з</w:t>
      </w:r>
      <w:r>
        <w:rPr>
          <w:rFonts w:ascii="Times New Roman" w:hAnsi="Times New Roman"/>
          <w:sz w:val="28"/>
          <w:szCs w:val="28"/>
          <w:lang w:val="ru"/>
        </w:rPr>
        <w:t>алежність ефективності сорбції іонів міді на магнетиті від часу сорбції, рН вихідного розчину, концентрації міді у вихідному розчині та модифікації самого магнетиту.</w:t>
      </w:r>
    </w:p>
    <w:p w:rsidR="00F1629C" w:rsidRDefault="00F1629C">
      <w:pPr>
        <w:spacing w:line="360" w:lineRule="auto"/>
        <w:ind w:firstLine="700"/>
        <w:jc w:val="both"/>
        <w:rPr>
          <w:rFonts w:ascii="Times New Roman" w:hAnsi="Times New Roman" w:cs="Times New Roman"/>
          <w:b/>
          <w:iCs/>
          <w:sz w:val="28"/>
          <w:szCs w:val="28"/>
          <w:lang w:val="ru"/>
        </w:rPr>
      </w:pPr>
    </w:p>
    <w:p w:rsidR="00F1629C" w:rsidRDefault="00E671D2">
      <w:pPr>
        <w:spacing w:line="360" w:lineRule="auto"/>
        <w:jc w:val="both"/>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РОЗДІЛ 4</w:t>
      </w:r>
    </w:p>
    <w:p w:rsidR="00F1629C" w:rsidRDefault="00E671D2">
      <w:pPr>
        <w:tabs>
          <w:tab w:val="left" w:pos="284"/>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СТАРТАП-ПРОЕКТ</w:t>
      </w: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 Опис ідеї стартап-проекту</w:t>
      </w:r>
    </w:p>
    <w:p w:rsidR="00F1629C" w:rsidRDefault="00E671D2">
      <w:pPr>
        <w:spacing w:line="360" w:lineRule="auto"/>
        <w:ind w:firstLine="700"/>
        <w:rPr>
          <w:rFonts w:ascii="Times New Roman" w:hAnsi="Times New Roman" w:cs="Times New Roman"/>
          <w:sz w:val="28"/>
          <w:szCs w:val="28"/>
        </w:rPr>
      </w:pPr>
      <w:r>
        <w:rPr>
          <w:rFonts w:ascii="Times New Roman" w:hAnsi="Times New Roman" w:cs="Times New Roman"/>
          <w:sz w:val="28"/>
          <w:szCs w:val="28"/>
          <w:lang w:val="ru"/>
        </w:rPr>
        <w:t>На</w:t>
      </w:r>
      <w:r>
        <w:rPr>
          <w:rFonts w:ascii="Times New Roman" w:hAnsi="Times New Roman" w:cs="Times New Roman"/>
          <w:sz w:val="28"/>
          <w:szCs w:val="28"/>
          <w:lang w:val="ru"/>
        </w:rPr>
        <w:t xml:space="preserve"> сьогоднішній день, в Україні гостро стоїть проблема забруднення природних вод. Доступ до чистої питної води у природних умовах, умовах віддаленості від бутильованої або води з колодязів, є досить серйозною проблемою для людей, що захоплюються активним від</w:t>
      </w:r>
      <w:r>
        <w:rPr>
          <w:rFonts w:ascii="Times New Roman" w:hAnsi="Times New Roman" w:cs="Times New Roman"/>
          <w:sz w:val="28"/>
          <w:szCs w:val="28"/>
          <w:lang w:val="ru"/>
        </w:rPr>
        <w:t>починком. Тому ідеєю стартапу у даній роботі виявилося створення компактних, адаптованих для більшості забруднюючих речовин фільтрів для очистки води. Перевагами таких фільтрів стане висока ефективність та портативність, за рахунок маленьких габаритів та в</w:t>
      </w:r>
      <w:r>
        <w:rPr>
          <w:rFonts w:ascii="Times New Roman" w:hAnsi="Times New Roman" w:cs="Times New Roman"/>
          <w:sz w:val="28"/>
          <w:szCs w:val="28"/>
          <w:lang w:val="ru"/>
        </w:rPr>
        <w:t xml:space="preserve">аги. </w:t>
      </w:r>
    </w:p>
    <w:p w:rsidR="00F1629C" w:rsidRDefault="00E671D2">
      <w:pPr>
        <w:tabs>
          <w:tab w:val="left" w:pos="284"/>
        </w:tabs>
        <w:spacing w:line="360" w:lineRule="auto"/>
        <w:ind w:firstLine="709"/>
        <w:rPr>
          <w:rFonts w:ascii="Times New Roman" w:hAnsi="Times New Roman" w:cs="Times New Roman"/>
          <w:b/>
          <w:sz w:val="28"/>
          <w:szCs w:val="28"/>
        </w:rPr>
      </w:pPr>
      <w:r>
        <w:rPr>
          <w:rFonts w:ascii="Times New Roman" w:hAnsi="Times New Roman" w:cs="Times New Roman"/>
          <w:b/>
          <w:sz w:val="28"/>
          <w:szCs w:val="28"/>
        </w:rPr>
        <w:t>4.2 Визначення сильних, слабких та нейтральних характеристик ідеї проекту</w:t>
      </w:r>
    </w:p>
    <w:p w:rsidR="00F1629C" w:rsidRDefault="00E671D2">
      <w:pPr>
        <w:tabs>
          <w:tab w:val="left" w:pos="28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4.2 – Визначення сильних, слабких та нейтральних характеристик ідеї проекту</w:t>
      </w:r>
    </w:p>
    <w:tbl>
      <w:tblPr>
        <w:tblStyle w:val="af3"/>
        <w:tblW w:w="9854" w:type="dxa"/>
        <w:jc w:val="center"/>
        <w:tblLayout w:type="fixed"/>
        <w:tblLook w:val="04A0" w:firstRow="1" w:lastRow="0" w:firstColumn="1" w:lastColumn="0" w:noHBand="0" w:noVBand="1"/>
      </w:tblPr>
      <w:tblGrid>
        <w:gridCol w:w="482"/>
        <w:gridCol w:w="1416"/>
        <w:gridCol w:w="912"/>
        <w:gridCol w:w="1388"/>
        <w:gridCol w:w="1388"/>
        <w:gridCol w:w="1388"/>
        <w:gridCol w:w="956"/>
        <w:gridCol w:w="968"/>
        <w:gridCol w:w="956"/>
      </w:tblGrid>
      <w:tr w:rsidR="00F1629C">
        <w:trPr>
          <w:trHeight w:val="945"/>
          <w:jc w:val="center"/>
        </w:trPr>
        <w:tc>
          <w:tcPr>
            <w:tcW w:w="482" w:type="dxa"/>
            <w:vMerge w:val="restart"/>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 xml:space="preserve">№ </w:t>
            </w:r>
            <w:r>
              <w:rPr>
                <w:rFonts w:ascii="Times New Roman" w:hAnsi="Times New Roman" w:cs="Times New Roman"/>
                <w:i/>
                <w:lang w:val="ru"/>
              </w:rPr>
              <w:t>з</w:t>
            </w:r>
            <w:r>
              <w:rPr>
                <w:rFonts w:ascii="Times New Roman" w:hAnsi="Times New Roman" w:cs="Times New Roman"/>
                <w:i/>
              </w:rPr>
              <w:t>/п</w:t>
            </w:r>
          </w:p>
        </w:tc>
        <w:tc>
          <w:tcPr>
            <w:tcW w:w="1416" w:type="dxa"/>
            <w:vMerge w:val="restart"/>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Техніко-економічні характеристики ідеї</w:t>
            </w:r>
          </w:p>
        </w:tc>
        <w:tc>
          <w:tcPr>
            <w:tcW w:w="5076" w:type="dxa"/>
            <w:gridSpan w:val="4"/>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(потенційні) товари/концепції конкурентів</w:t>
            </w:r>
          </w:p>
        </w:tc>
        <w:tc>
          <w:tcPr>
            <w:tcW w:w="956" w:type="dxa"/>
            <w:vMerge w:val="restart"/>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слабка сторона</w:t>
            </w:r>
          </w:p>
        </w:tc>
        <w:tc>
          <w:tcPr>
            <w:tcW w:w="968" w:type="dxa"/>
            <w:vMerge w:val="restart"/>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Нейтра</w:t>
            </w:r>
            <w:r>
              <w:rPr>
                <w:rFonts w:ascii="Times New Roman" w:hAnsi="Times New Roman" w:cs="Times New Roman"/>
                <w:i/>
                <w:lang w:val="ru"/>
              </w:rPr>
              <w:t>-</w:t>
            </w:r>
            <w:r>
              <w:rPr>
                <w:rFonts w:ascii="Times New Roman" w:hAnsi="Times New Roman" w:cs="Times New Roman"/>
                <w:i/>
              </w:rPr>
              <w:t>льна сторона</w:t>
            </w:r>
          </w:p>
        </w:tc>
        <w:tc>
          <w:tcPr>
            <w:tcW w:w="956" w:type="dxa"/>
            <w:vMerge w:val="restart"/>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сильна сторона</w:t>
            </w:r>
          </w:p>
        </w:tc>
      </w:tr>
      <w:tr w:rsidR="00F1629C">
        <w:trPr>
          <w:trHeight w:val="975"/>
          <w:jc w:val="center"/>
        </w:trPr>
        <w:tc>
          <w:tcPr>
            <w:tcW w:w="482" w:type="dxa"/>
            <w:vMerge/>
          </w:tcPr>
          <w:p w:rsidR="00F1629C" w:rsidRDefault="00F1629C">
            <w:pPr>
              <w:tabs>
                <w:tab w:val="left" w:pos="284"/>
              </w:tabs>
              <w:spacing w:after="0" w:line="360" w:lineRule="auto"/>
              <w:jc w:val="center"/>
              <w:rPr>
                <w:rFonts w:ascii="Times New Roman" w:hAnsi="Times New Roman" w:cs="Times New Roman"/>
                <w:sz w:val="28"/>
                <w:szCs w:val="28"/>
              </w:rPr>
            </w:pPr>
          </w:p>
        </w:tc>
        <w:tc>
          <w:tcPr>
            <w:tcW w:w="1416" w:type="dxa"/>
            <w:vMerge/>
          </w:tcPr>
          <w:p w:rsidR="00F1629C" w:rsidRDefault="00F1629C">
            <w:pPr>
              <w:tabs>
                <w:tab w:val="left" w:pos="284"/>
              </w:tabs>
              <w:spacing w:after="0" w:line="360" w:lineRule="auto"/>
              <w:jc w:val="center"/>
              <w:rPr>
                <w:rFonts w:ascii="Times New Roman" w:hAnsi="Times New Roman" w:cs="Times New Roman"/>
                <w:sz w:val="28"/>
                <w:szCs w:val="28"/>
              </w:rPr>
            </w:pPr>
          </w:p>
        </w:tc>
        <w:tc>
          <w:tcPr>
            <w:tcW w:w="912" w:type="dxa"/>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lang w:val="ru"/>
              </w:rPr>
              <w:t>П</w:t>
            </w:r>
            <w:r>
              <w:rPr>
                <w:rFonts w:ascii="Times New Roman" w:hAnsi="Times New Roman" w:cs="Times New Roman"/>
                <w:i/>
              </w:rPr>
              <w:t>роект</w:t>
            </w:r>
          </w:p>
        </w:tc>
        <w:tc>
          <w:tcPr>
            <w:tcW w:w="1388" w:type="dxa"/>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Конкурент1</w:t>
            </w:r>
          </w:p>
        </w:tc>
        <w:tc>
          <w:tcPr>
            <w:tcW w:w="1388" w:type="dxa"/>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Конкурент2</w:t>
            </w:r>
          </w:p>
        </w:tc>
        <w:tc>
          <w:tcPr>
            <w:tcW w:w="1388" w:type="dxa"/>
          </w:tcPr>
          <w:p w:rsidR="00F1629C" w:rsidRDefault="00E671D2">
            <w:pPr>
              <w:tabs>
                <w:tab w:val="left" w:pos="284"/>
              </w:tabs>
              <w:spacing w:after="0" w:line="360" w:lineRule="auto"/>
              <w:jc w:val="center"/>
              <w:rPr>
                <w:rFonts w:ascii="Times New Roman" w:hAnsi="Times New Roman" w:cs="Times New Roman"/>
                <w:i/>
              </w:rPr>
            </w:pPr>
            <w:r>
              <w:rPr>
                <w:rFonts w:ascii="Times New Roman" w:hAnsi="Times New Roman" w:cs="Times New Roman"/>
                <w:i/>
              </w:rPr>
              <w:t>Конкурент3</w:t>
            </w:r>
          </w:p>
        </w:tc>
        <w:tc>
          <w:tcPr>
            <w:tcW w:w="956" w:type="dxa"/>
            <w:vMerge/>
          </w:tcPr>
          <w:p w:rsidR="00F1629C" w:rsidRDefault="00F1629C">
            <w:pPr>
              <w:tabs>
                <w:tab w:val="left" w:pos="284"/>
              </w:tabs>
              <w:spacing w:after="0" w:line="360" w:lineRule="auto"/>
              <w:jc w:val="center"/>
              <w:rPr>
                <w:rFonts w:ascii="Times New Roman" w:hAnsi="Times New Roman" w:cs="Times New Roman"/>
                <w:sz w:val="28"/>
                <w:szCs w:val="28"/>
              </w:rPr>
            </w:pPr>
          </w:p>
        </w:tc>
        <w:tc>
          <w:tcPr>
            <w:tcW w:w="968" w:type="dxa"/>
            <w:vMerge/>
          </w:tcPr>
          <w:p w:rsidR="00F1629C" w:rsidRDefault="00F1629C">
            <w:pPr>
              <w:tabs>
                <w:tab w:val="left" w:pos="284"/>
              </w:tabs>
              <w:spacing w:after="0" w:line="360" w:lineRule="auto"/>
              <w:jc w:val="center"/>
              <w:rPr>
                <w:rFonts w:ascii="Times New Roman" w:hAnsi="Times New Roman" w:cs="Times New Roman"/>
                <w:sz w:val="28"/>
                <w:szCs w:val="28"/>
              </w:rPr>
            </w:pPr>
          </w:p>
        </w:tc>
        <w:tc>
          <w:tcPr>
            <w:tcW w:w="956" w:type="dxa"/>
            <w:vMerge/>
          </w:tcPr>
          <w:p w:rsidR="00F1629C" w:rsidRDefault="00F1629C">
            <w:pPr>
              <w:tabs>
                <w:tab w:val="left" w:pos="284"/>
              </w:tabs>
              <w:spacing w:after="0" w:line="360" w:lineRule="auto"/>
              <w:jc w:val="center"/>
              <w:rPr>
                <w:rFonts w:ascii="Times New Roman" w:hAnsi="Times New Roman" w:cs="Times New Roman"/>
                <w:sz w:val="28"/>
                <w:szCs w:val="28"/>
              </w:rPr>
            </w:pPr>
          </w:p>
        </w:tc>
      </w:tr>
      <w:tr w:rsidR="00F1629C">
        <w:trPr>
          <w:jc w:val="center"/>
        </w:trPr>
        <w:tc>
          <w:tcPr>
            <w:tcW w:w="48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416"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Ступінь очистки</w:t>
            </w:r>
          </w:p>
        </w:tc>
        <w:tc>
          <w:tcPr>
            <w:tcW w:w="91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99</w:t>
            </w:r>
            <w:r>
              <w:rPr>
                <w:rFonts w:ascii="Times New Roman" w:hAnsi="Times New Roman" w:cs="Times New Roman"/>
                <w:sz w:val="28"/>
                <w:szCs w:val="28"/>
              </w:rPr>
              <w:t>%</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99%</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r>
              <w:rPr>
                <w:rFonts w:ascii="Times New Roman" w:hAnsi="Times New Roman" w:cs="Times New Roman"/>
                <w:sz w:val="28"/>
                <w:szCs w:val="28"/>
                <w:lang w:val="ru"/>
              </w:rPr>
              <w:t>7</w:t>
            </w:r>
            <w:r>
              <w:rPr>
                <w:rFonts w:ascii="Times New Roman" w:hAnsi="Times New Roman" w:cs="Times New Roman"/>
                <w:sz w:val="28"/>
                <w:szCs w:val="28"/>
              </w:rPr>
              <w:t>%</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r>
              <w:rPr>
                <w:rFonts w:ascii="Times New Roman" w:hAnsi="Times New Roman" w:cs="Times New Roman"/>
                <w:sz w:val="28"/>
                <w:szCs w:val="28"/>
                <w:lang w:val="ru"/>
              </w:rPr>
              <w:t>8</w:t>
            </w:r>
            <w:r>
              <w:rPr>
                <w:rFonts w:ascii="Times New Roman" w:hAnsi="Times New Roman" w:cs="Times New Roman"/>
                <w:sz w:val="28"/>
                <w:szCs w:val="28"/>
              </w:rPr>
              <w:t>%</w:t>
            </w:r>
          </w:p>
        </w:tc>
        <w:tc>
          <w:tcPr>
            <w:tcW w:w="956" w:type="dxa"/>
          </w:tcPr>
          <w:p w:rsidR="00F1629C" w:rsidRDefault="00F1629C">
            <w:pPr>
              <w:tabs>
                <w:tab w:val="left" w:pos="284"/>
              </w:tabs>
              <w:spacing w:after="0" w:line="360" w:lineRule="auto"/>
              <w:jc w:val="center"/>
              <w:rPr>
                <w:rFonts w:ascii="Times New Roman" w:hAnsi="Times New Roman" w:cs="Times New Roman"/>
                <w:sz w:val="28"/>
                <w:szCs w:val="28"/>
              </w:rPr>
            </w:pPr>
          </w:p>
        </w:tc>
        <w:tc>
          <w:tcPr>
            <w:tcW w:w="968"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w:t>
            </w:r>
          </w:p>
        </w:tc>
        <w:tc>
          <w:tcPr>
            <w:tcW w:w="956" w:type="dxa"/>
          </w:tcPr>
          <w:p w:rsidR="00F1629C" w:rsidRDefault="00F1629C">
            <w:pPr>
              <w:tabs>
                <w:tab w:val="left" w:pos="284"/>
              </w:tabs>
              <w:spacing w:after="0" w:line="360" w:lineRule="auto"/>
              <w:jc w:val="center"/>
              <w:rPr>
                <w:rFonts w:ascii="Times New Roman" w:hAnsi="Times New Roman" w:cs="Times New Roman"/>
                <w:sz w:val="28"/>
                <w:szCs w:val="28"/>
              </w:rPr>
            </w:pPr>
          </w:p>
        </w:tc>
      </w:tr>
      <w:tr w:rsidR="00F1629C">
        <w:trPr>
          <w:jc w:val="center"/>
        </w:trPr>
        <w:tc>
          <w:tcPr>
            <w:tcW w:w="48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416"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Час очищення</w:t>
            </w:r>
          </w:p>
        </w:tc>
        <w:tc>
          <w:tcPr>
            <w:tcW w:w="91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0,5</w:t>
            </w:r>
            <w:r>
              <w:rPr>
                <w:rFonts w:ascii="Times New Roman" w:hAnsi="Times New Roman" w:cs="Times New Roman"/>
                <w:sz w:val="28"/>
                <w:szCs w:val="28"/>
              </w:rPr>
              <w:t xml:space="preserve"> год</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0,1</w:t>
            </w:r>
            <w:r>
              <w:rPr>
                <w:rFonts w:ascii="Times New Roman" w:hAnsi="Times New Roman" w:cs="Times New Roman"/>
                <w:sz w:val="28"/>
                <w:szCs w:val="28"/>
              </w:rPr>
              <w:t xml:space="preserve"> год</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0,5</w:t>
            </w:r>
            <w:r>
              <w:rPr>
                <w:rFonts w:ascii="Times New Roman" w:hAnsi="Times New Roman" w:cs="Times New Roman"/>
                <w:sz w:val="28"/>
                <w:szCs w:val="28"/>
              </w:rPr>
              <w:t xml:space="preserve"> год</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0,2</w:t>
            </w:r>
            <w:r>
              <w:rPr>
                <w:rFonts w:ascii="Times New Roman" w:hAnsi="Times New Roman" w:cs="Times New Roman"/>
                <w:sz w:val="28"/>
                <w:szCs w:val="28"/>
              </w:rPr>
              <w:t xml:space="preserve"> год</w:t>
            </w:r>
          </w:p>
        </w:tc>
        <w:tc>
          <w:tcPr>
            <w:tcW w:w="956"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w:t>
            </w:r>
          </w:p>
        </w:tc>
        <w:tc>
          <w:tcPr>
            <w:tcW w:w="968" w:type="dxa"/>
          </w:tcPr>
          <w:p w:rsidR="00F1629C" w:rsidRDefault="00F1629C">
            <w:pPr>
              <w:tabs>
                <w:tab w:val="left" w:pos="284"/>
              </w:tabs>
              <w:spacing w:after="0" w:line="360" w:lineRule="auto"/>
              <w:jc w:val="center"/>
              <w:rPr>
                <w:rFonts w:ascii="Times New Roman" w:hAnsi="Times New Roman" w:cs="Times New Roman"/>
                <w:sz w:val="28"/>
                <w:szCs w:val="28"/>
              </w:rPr>
            </w:pPr>
          </w:p>
        </w:tc>
        <w:tc>
          <w:tcPr>
            <w:tcW w:w="956" w:type="dxa"/>
          </w:tcPr>
          <w:p w:rsidR="00F1629C" w:rsidRDefault="00F1629C">
            <w:pPr>
              <w:tabs>
                <w:tab w:val="left" w:pos="284"/>
              </w:tabs>
              <w:spacing w:after="0" w:line="360" w:lineRule="auto"/>
              <w:jc w:val="center"/>
              <w:rPr>
                <w:rFonts w:ascii="Times New Roman" w:hAnsi="Times New Roman" w:cs="Times New Roman"/>
                <w:sz w:val="28"/>
                <w:szCs w:val="28"/>
              </w:rPr>
            </w:pPr>
          </w:p>
        </w:tc>
      </w:tr>
      <w:tr w:rsidR="00F1629C">
        <w:trPr>
          <w:jc w:val="center"/>
        </w:trPr>
        <w:tc>
          <w:tcPr>
            <w:tcW w:w="48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16"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Вартість</w:t>
            </w:r>
          </w:p>
        </w:tc>
        <w:tc>
          <w:tcPr>
            <w:tcW w:w="91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200</w:t>
            </w:r>
            <w:r>
              <w:rPr>
                <w:rFonts w:ascii="Times New Roman" w:hAnsi="Times New Roman" w:cs="Times New Roman"/>
                <w:sz w:val="28"/>
                <w:szCs w:val="28"/>
              </w:rPr>
              <w:t xml:space="preserve"> грн</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20</w:t>
            </w:r>
            <w:r>
              <w:rPr>
                <w:rFonts w:ascii="Times New Roman" w:hAnsi="Times New Roman" w:cs="Times New Roman"/>
                <w:sz w:val="28"/>
                <w:szCs w:val="28"/>
              </w:rPr>
              <w:t>00 грн</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
              </w:rPr>
              <w:t>10</w:t>
            </w:r>
            <w:r>
              <w:rPr>
                <w:rFonts w:ascii="Times New Roman" w:hAnsi="Times New Roman" w:cs="Times New Roman"/>
                <w:sz w:val="28"/>
                <w:szCs w:val="28"/>
              </w:rPr>
              <w:t>00грн</w:t>
            </w:r>
          </w:p>
        </w:tc>
        <w:tc>
          <w:tcPr>
            <w:tcW w:w="138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ru"/>
              </w:rPr>
              <w:t>5</w:t>
            </w:r>
            <w:r>
              <w:rPr>
                <w:rFonts w:ascii="Times New Roman" w:hAnsi="Times New Roman" w:cs="Times New Roman"/>
                <w:sz w:val="28"/>
                <w:szCs w:val="28"/>
              </w:rPr>
              <w:t>00грн</w:t>
            </w:r>
          </w:p>
        </w:tc>
        <w:tc>
          <w:tcPr>
            <w:tcW w:w="956" w:type="dxa"/>
          </w:tcPr>
          <w:p w:rsidR="00F1629C" w:rsidRDefault="00F1629C">
            <w:pPr>
              <w:tabs>
                <w:tab w:val="left" w:pos="284"/>
              </w:tabs>
              <w:spacing w:after="0" w:line="360" w:lineRule="auto"/>
              <w:jc w:val="center"/>
              <w:rPr>
                <w:rFonts w:ascii="Times New Roman" w:hAnsi="Times New Roman" w:cs="Times New Roman"/>
                <w:sz w:val="28"/>
                <w:szCs w:val="28"/>
              </w:rPr>
            </w:pPr>
          </w:p>
        </w:tc>
        <w:tc>
          <w:tcPr>
            <w:tcW w:w="968" w:type="dxa"/>
          </w:tcPr>
          <w:p w:rsidR="00F1629C" w:rsidRDefault="00F1629C">
            <w:pPr>
              <w:tabs>
                <w:tab w:val="left" w:pos="284"/>
              </w:tabs>
              <w:spacing w:after="0" w:line="360" w:lineRule="auto"/>
              <w:jc w:val="center"/>
              <w:rPr>
                <w:rFonts w:ascii="Times New Roman" w:hAnsi="Times New Roman" w:cs="Times New Roman"/>
                <w:sz w:val="28"/>
                <w:szCs w:val="28"/>
              </w:rPr>
            </w:pPr>
          </w:p>
        </w:tc>
        <w:tc>
          <w:tcPr>
            <w:tcW w:w="956"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w:t>
            </w:r>
          </w:p>
        </w:tc>
      </w:tr>
    </w:tbl>
    <w:p w:rsidR="00F1629C" w:rsidRDefault="00F1629C">
      <w:pPr>
        <w:tabs>
          <w:tab w:val="left" w:pos="284"/>
        </w:tabs>
        <w:spacing w:line="360" w:lineRule="auto"/>
        <w:ind w:firstLine="567"/>
        <w:jc w:val="both"/>
        <w:rPr>
          <w:rFonts w:ascii="Times New Roman" w:hAnsi="Times New Roman" w:cs="Times New Roman"/>
          <w:sz w:val="28"/>
          <w:szCs w:val="28"/>
        </w:rPr>
      </w:pPr>
    </w:p>
    <w:p w:rsidR="00F1629C" w:rsidRDefault="00E671D2">
      <w:pPr>
        <w:rPr>
          <w:rFonts w:ascii="Times New Roman" w:hAnsi="Times New Roman" w:cs="Times New Roman"/>
          <w:sz w:val="28"/>
          <w:szCs w:val="28"/>
        </w:rPr>
      </w:pPr>
      <w:r>
        <w:rPr>
          <w:rFonts w:ascii="Times New Roman" w:hAnsi="Times New Roman" w:cs="Times New Roman"/>
          <w:sz w:val="28"/>
          <w:szCs w:val="28"/>
        </w:rPr>
        <w:br w:type="page"/>
      </w: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 xml:space="preserve">4.3 </w:t>
      </w:r>
      <w:r>
        <w:rPr>
          <w:rFonts w:ascii="Times New Roman" w:hAnsi="Times New Roman" w:cs="Times New Roman"/>
          <w:b/>
          <w:sz w:val="28"/>
          <w:szCs w:val="28"/>
        </w:rPr>
        <w:t>Технологічна здійсненність ідеї проекту</w:t>
      </w:r>
    </w:p>
    <w:p w:rsidR="00F1629C" w:rsidRDefault="00E671D2">
      <w:pPr>
        <w:pStyle w:val="1"/>
        <w:tabs>
          <w:tab w:val="left" w:pos="284"/>
          <w:tab w:val="left" w:pos="1797"/>
        </w:tabs>
        <w:spacing w:line="360" w:lineRule="auto"/>
        <w:ind w:left="0" w:right="-1" w:firstLine="709"/>
        <w:jc w:val="both"/>
        <w:rPr>
          <w:b w:val="0"/>
          <w:bCs w:val="0"/>
          <w:lang w:val="ru"/>
        </w:rPr>
      </w:pPr>
      <w:r>
        <w:rPr>
          <w:b w:val="0"/>
          <w:bCs w:val="0"/>
          <w:lang w:val="ru"/>
        </w:rPr>
        <w:t>Вилучення</w:t>
      </w:r>
      <w:r>
        <w:rPr>
          <w:b w:val="0"/>
          <w:bCs w:val="0"/>
          <w:lang w:val="ru"/>
        </w:rPr>
        <w:t xml:space="preserve"> забруднюючих речовин відбуватиметься як за рахунок самого магнетиту, так і за рахунок мембранних трубок, у яких цей магнетит буде розміщено. Приготування магнетиту - процес достатньо простий та незатратний </w:t>
      </w:r>
      <w:r>
        <w:rPr>
          <w:b w:val="0"/>
          <w:bCs w:val="0"/>
          <w:lang w:val="ru"/>
        </w:rPr>
        <w:t>почасу, проте технологічною складністю буде збереження магнетиту від окиснення киснем повітря під час простоювання фільтру, яку можна вирішити двома шляхами: герметизацією зовнішніх мембран та корпусу фільтру та залишком води у самому фільтрі задля забезпе</w:t>
      </w:r>
      <w:r>
        <w:rPr>
          <w:b w:val="0"/>
          <w:bCs w:val="0"/>
          <w:lang w:val="ru"/>
        </w:rPr>
        <w:t>чення оптимального середовища для магнетиту. В залежності від персональних потреб, як то час життя фільтру, регіон, у який людина направляється у подорож тощо, під час масштабування проекту можна варіювати модифікації магнетиту та тип фільтрувальних мембра</w:t>
      </w:r>
      <w:r>
        <w:rPr>
          <w:b w:val="0"/>
          <w:bCs w:val="0"/>
          <w:lang w:val="ru"/>
        </w:rPr>
        <w:t>н. Тому, технологічно, ідея проекту є цілком здійсненною та достатньо простою.</w:t>
      </w: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4.4 Характеристика потенційних клієнтів</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795"/>
        <w:gridCol w:w="2316"/>
        <w:gridCol w:w="1685"/>
        <w:gridCol w:w="1990"/>
        <w:gridCol w:w="1494"/>
      </w:tblGrid>
      <w:tr w:rsidR="00F1629C">
        <w:trPr>
          <w:trHeight w:val="1961"/>
        </w:trPr>
        <w:tc>
          <w:tcPr>
            <w:tcW w:w="574"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w:t>
            </w:r>
          </w:p>
          <w:p w:rsidR="00F1629C" w:rsidRDefault="00E671D2">
            <w:pPr>
              <w:autoSpaceDE w:val="0"/>
              <w:autoSpaceDN w:val="0"/>
              <w:adjustRightInd w:val="0"/>
              <w:spacing w:line="240" w:lineRule="auto"/>
              <w:jc w:val="center"/>
              <w:rPr>
                <w:sz w:val="20"/>
                <w:szCs w:val="20"/>
              </w:rPr>
            </w:pPr>
            <w:r>
              <w:rPr>
                <w:iCs/>
                <w:sz w:val="20"/>
                <w:szCs w:val="20"/>
              </w:rPr>
              <w:t>п/п</w:t>
            </w:r>
          </w:p>
        </w:tc>
        <w:tc>
          <w:tcPr>
            <w:tcW w:w="1795"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Опис профілю</w:t>
            </w:r>
          </w:p>
          <w:p w:rsidR="00F1629C" w:rsidRDefault="00E671D2">
            <w:pPr>
              <w:autoSpaceDE w:val="0"/>
              <w:autoSpaceDN w:val="0"/>
              <w:adjustRightInd w:val="0"/>
              <w:spacing w:line="240" w:lineRule="auto"/>
              <w:jc w:val="center"/>
              <w:rPr>
                <w:iCs/>
                <w:sz w:val="20"/>
                <w:szCs w:val="20"/>
              </w:rPr>
            </w:pPr>
            <w:r>
              <w:rPr>
                <w:iCs/>
                <w:sz w:val="20"/>
                <w:szCs w:val="20"/>
              </w:rPr>
              <w:t>цільової групи</w:t>
            </w:r>
          </w:p>
          <w:p w:rsidR="00F1629C" w:rsidRDefault="00E671D2">
            <w:pPr>
              <w:autoSpaceDE w:val="0"/>
              <w:autoSpaceDN w:val="0"/>
              <w:adjustRightInd w:val="0"/>
              <w:spacing w:line="240" w:lineRule="auto"/>
              <w:jc w:val="center"/>
              <w:rPr>
                <w:iCs/>
                <w:sz w:val="20"/>
                <w:szCs w:val="20"/>
              </w:rPr>
            </w:pPr>
            <w:r>
              <w:rPr>
                <w:iCs/>
                <w:sz w:val="20"/>
                <w:szCs w:val="20"/>
              </w:rPr>
              <w:t>потенційних</w:t>
            </w:r>
          </w:p>
          <w:p w:rsidR="00F1629C" w:rsidRDefault="00E671D2">
            <w:pPr>
              <w:autoSpaceDE w:val="0"/>
              <w:autoSpaceDN w:val="0"/>
              <w:adjustRightInd w:val="0"/>
              <w:spacing w:line="240" w:lineRule="auto"/>
              <w:jc w:val="center"/>
              <w:rPr>
                <w:sz w:val="20"/>
                <w:szCs w:val="20"/>
              </w:rPr>
            </w:pPr>
            <w:r>
              <w:rPr>
                <w:iCs/>
                <w:sz w:val="20"/>
                <w:szCs w:val="20"/>
              </w:rPr>
              <w:t>клієнтів</w:t>
            </w:r>
          </w:p>
        </w:tc>
        <w:tc>
          <w:tcPr>
            <w:tcW w:w="2316"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Готовність</w:t>
            </w:r>
          </w:p>
          <w:p w:rsidR="00F1629C" w:rsidRDefault="00E671D2">
            <w:pPr>
              <w:autoSpaceDE w:val="0"/>
              <w:autoSpaceDN w:val="0"/>
              <w:adjustRightInd w:val="0"/>
              <w:spacing w:line="240" w:lineRule="auto"/>
              <w:jc w:val="center"/>
              <w:rPr>
                <w:iCs/>
                <w:sz w:val="20"/>
                <w:szCs w:val="20"/>
              </w:rPr>
            </w:pPr>
            <w:r>
              <w:rPr>
                <w:iCs/>
                <w:sz w:val="20"/>
                <w:szCs w:val="20"/>
              </w:rPr>
              <w:t>споживачів</w:t>
            </w:r>
          </w:p>
          <w:p w:rsidR="00F1629C" w:rsidRDefault="00E671D2">
            <w:pPr>
              <w:autoSpaceDE w:val="0"/>
              <w:autoSpaceDN w:val="0"/>
              <w:adjustRightInd w:val="0"/>
              <w:spacing w:line="240" w:lineRule="auto"/>
              <w:jc w:val="center"/>
              <w:rPr>
                <w:iCs/>
                <w:sz w:val="20"/>
                <w:szCs w:val="20"/>
              </w:rPr>
            </w:pPr>
            <w:r>
              <w:rPr>
                <w:iCs/>
                <w:sz w:val="20"/>
                <w:szCs w:val="20"/>
              </w:rPr>
              <w:t>сприйняти</w:t>
            </w:r>
          </w:p>
          <w:p w:rsidR="00F1629C" w:rsidRDefault="00E671D2">
            <w:pPr>
              <w:autoSpaceDE w:val="0"/>
              <w:autoSpaceDN w:val="0"/>
              <w:adjustRightInd w:val="0"/>
              <w:spacing w:line="240" w:lineRule="auto"/>
              <w:jc w:val="center"/>
              <w:rPr>
                <w:sz w:val="20"/>
                <w:szCs w:val="20"/>
              </w:rPr>
            </w:pPr>
            <w:r>
              <w:rPr>
                <w:iCs/>
                <w:sz w:val="20"/>
                <w:szCs w:val="20"/>
              </w:rPr>
              <w:t>продукт</w:t>
            </w:r>
          </w:p>
        </w:tc>
        <w:tc>
          <w:tcPr>
            <w:tcW w:w="1685"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Орієнтовний</w:t>
            </w:r>
          </w:p>
          <w:p w:rsidR="00F1629C" w:rsidRDefault="00E671D2">
            <w:pPr>
              <w:autoSpaceDE w:val="0"/>
              <w:autoSpaceDN w:val="0"/>
              <w:adjustRightInd w:val="0"/>
              <w:spacing w:line="240" w:lineRule="auto"/>
              <w:jc w:val="center"/>
              <w:rPr>
                <w:iCs/>
                <w:sz w:val="20"/>
                <w:szCs w:val="20"/>
              </w:rPr>
            </w:pPr>
            <w:r>
              <w:rPr>
                <w:iCs/>
                <w:sz w:val="20"/>
                <w:szCs w:val="20"/>
              </w:rPr>
              <w:t>попит в межах</w:t>
            </w:r>
          </w:p>
          <w:p w:rsidR="00F1629C" w:rsidRDefault="00E671D2">
            <w:pPr>
              <w:autoSpaceDE w:val="0"/>
              <w:autoSpaceDN w:val="0"/>
              <w:adjustRightInd w:val="0"/>
              <w:spacing w:line="240" w:lineRule="auto"/>
              <w:jc w:val="center"/>
              <w:rPr>
                <w:iCs/>
                <w:sz w:val="20"/>
                <w:szCs w:val="20"/>
              </w:rPr>
            </w:pPr>
            <w:r>
              <w:rPr>
                <w:iCs/>
                <w:sz w:val="20"/>
                <w:szCs w:val="20"/>
              </w:rPr>
              <w:t>цільової групи</w:t>
            </w:r>
          </w:p>
          <w:p w:rsidR="00F1629C" w:rsidRDefault="00E671D2">
            <w:pPr>
              <w:autoSpaceDE w:val="0"/>
              <w:autoSpaceDN w:val="0"/>
              <w:adjustRightInd w:val="0"/>
              <w:spacing w:line="240" w:lineRule="auto"/>
              <w:jc w:val="center"/>
              <w:rPr>
                <w:sz w:val="20"/>
                <w:szCs w:val="20"/>
              </w:rPr>
            </w:pPr>
            <w:r>
              <w:rPr>
                <w:iCs/>
                <w:sz w:val="20"/>
                <w:szCs w:val="20"/>
              </w:rPr>
              <w:t>(сегменту)</w:t>
            </w:r>
          </w:p>
        </w:tc>
        <w:tc>
          <w:tcPr>
            <w:tcW w:w="1990"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Інтенсивність</w:t>
            </w:r>
          </w:p>
          <w:p w:rsidR="00F1629C" w:rsidRDefault="00E671D2">
            <w:pPr>
              <w:autoSpaceDE w:val="0"/>
              <w:autoSpaceDN w:val="0"/>
              <w:adjustRightInd w:val="0"/>
              <w:spacing w:line="240" w:lineRule="auto"/>
              <w:jc w:val="center"/>
              <w:rPr>
                <w:iCs/>
                <w:sz w:val="20"/>
                <w:szCs w:val="20"/>
              </w:rPr>
            </w:pPr>
            <w:r>
              <w:rPr>
                <w:iCs/>
                <w:sz w:val="20"/>
                <w:szCs w:val="20"/>
              </w:rPr>
              <w:t>конкуренції в</w:t>
            </w:r>
          </w:p>
          <w:p w:rsidR="00F1629C" w:rsidRDefault="00E671D2">
            <w:pPr>
              <w:autoSpaceDE w:val="0"/>
              <w:autoSpaceDN w:val="0"/>
              <w:adjustRightInd w:val="0"/>
              <w:spacing w:line="240" w:lineRule="auto"/>
              <w:jc w:val="center"/>
              <w:rPr>
                <w:sz w:val="20"/>
                <w:szCs w:val="20"/>
              </w:rPr>
            </w:pPr>
            <w:r>
              <w:rPr>
                <w:iCs/>
                <w:sz w:val="20"/>
                <w:szCs w:val="20"/>
              </w:rPr>
              <w:t>сегменті</w:t>
            </w:r>
          </w:p>
        </w:tc>
        <w:tc>
          <w:tcPr>
            <w:tcW w:w="1494" w:type="dxa"/>
            <w:shd w:val="clear" w:color="auto" w:fill="auto"/>
          </w:tcPr>
          <w:p w:rsidR="00F1629C" w:rsidRDefault="00E671D2">
            <w:pPr>
              <w:autoSpaceDE w:val="0"/>
              <w:autoSpaceDN w:val="0"/>
              <w:adjustRightInd w:val="0"/>
              <w:spacing w:line="240" w:lineRule="auto"/>
              <w:jc w:val="center"/>
              <w:rPr>
                <w:sz w:val="20"/>
                <w:szCs w:val="20"/>
              </w:rPr>
            </w:pPr>
            <w:r>
              <w:rPr>
                <w:iCs/>
                <w:sz w:val="20"/>
                <w:szCs w:val="20"/>
              </w:rPr>
              <w:t>Простота входу у сегмент</w:t>
            </w:r>
          </w:p>
        </w:tc>
      </w:tr>
      <w:tr w:rsidR="00F1629C">
        <w:trPr>
          <w:trHeight w:val="660"/>
        </w:trPr>
        <w:tc>
          <w:tcPr>
            <w:tcW w:w="574"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1.</w:t>
            </w:r>
          </w:p>
        </w:tc>
        <w:tc>
          <w:tcPr>
            <w:tcW w:w="179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Туристи</w:t>
            </w:r>
          </w:p>
        </w:tc>
        <w:tc>
          <w:tcPr>
            <w:tcW w:w="2316"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Споживачі готові сприйняти продукт. Гадаю, це те, чого вони давно чекали</w:t>
            </w:r>
          </w:p>
        </w:tc>
        <w:tc>
          <w:tcPr>
            <w:tcW w:w="1685" w:type="dxa"/>
            <w:shd w:val="clear" w:color="auto" w:fill="auto"/>
          </w:tcPr>
          <w:p w:rsidR="00F1629C" w:rsidRDefault="00E671D2">
            <w:pPr>
              <w:autoSpaceDE w:val="0"/>
              <w:autoSpaceDN w:val="0"/>
              <w:adjustRightInd w:val="0"/>
              <w:spacing w:line="240" w:lineRule="auto"/>
              <w:jc w:val="center"/>
              <w:rPr>
                <w:sz w:val="20"/>
                <w:szCs w:val="20"/>
              </w:rPr>
            </w:pPr>
            <w:r>
              <w:rPr>
                <w:sz w:val="20"/>
                <w:szCs w:val="20"/>
                <w:lang w:val="en"/>
              </w:rPr>
              <w:t>Пропозиція</w:t>
            </w:r>
            <w:r>
              <w:rPr>
                <w:sz w:val="20"/>
                <w:szCs w:val="20"/>
                <w:lang w:val="en"/>
              </w:rPr>
              <w:t xml:space="preserve"> користується дуже великим попитом</w:t>
            </w:r>
          </w:p>
        </w:tc>
        <w:tc>
          <w:tcPr>
            <w:tcW w:w="1990"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 xml:space="preserve">Конкуренція висока, через </w:t>
            </w:r>
            <w:r>
              <w:rPr>
                <w:sz w:val="20"/>
                <w:szCs w:val="20"/>
                <w:lang w:val="en"/>
              </w:rPr>
              <w:t>те</w:t>
            </w:r>
            <w:r>
              <w:rPr>
                <w:sz w:val="20"/>
                <w:szCs w:val="20"/>
                <w:lang w:val="en"/>
              </w:rPr>
              <w:t xml:space="preserve"> що усі вже звикли до Катадіну</w:t>
            </w:r>
          </w:p>
        </w:tc>
        <w:tc>
          <w:tcPr>
            <w:tcW w:w="1494"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Середньої</w:t>
            </w:r>
            <w:r>
              <w:rPr>
                <w:sz w:val="20"/>
                <w:szCs w:val="20"/>
                <w:lang w:val="en"/>
              </w:rPr>
              <w:t xml:space="preserve"> складності</w:t>
            </w:r>
          </w:p>
        </w:tc>
      </w:tr>
      <w:tr w:rsidR="00F1629C">
        <w:trPr>
          <w:trHeight w:val="660"/>
        </w:trPr>
        <w:tc>
          <w:tcPr>
            <w:tcW w:w="574"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2.</w:t>
            </w:r>
          </w:p>
        </w:tc>
        <w:tc>
          <w:tcPr>
            <w:tcW w:w="179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Рядові</w:t>
            </w:r>
            <w:r>
              <w:rPr>
                <w:sz w:val="20"/>
                <w:szCs w:val="20"/>
                <w:lang w:val="en"/>
              </w:rPr>
              <w:t xml:space="preserve"> водоспоживачі</w:t>
            </w:r>
          </w:p>
        </w:tc>
        <w:tc>
          <w:tcPr>
            <w:tcW w:w="2316"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rPr>
              <w:t>Висока готовність прийняти товар, що пов’язано з орієнтацією на новітні ресурсозберігаючі технології</w:t>
            </w:r>
            <w:r>
              <w:rPr>
                <w:sz w:val="20"/>
                <w:szCs w:val="20"/>
                <w:lang w:val="en"/>
              </w:rPr>
              <w:t xml:space="preserve"> та зацікавленість у дешевій питній воді вдома</w:t>
            </w:r>
          </w:p>
        </w:tc>
        <w:tc>
          <w:tcPr>
            <w:tcW w:w="168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Середній</w:t>
            </w:r>
            <w:r>
              <w:rPr>
                <w:sz w:val="20"/>
                <w:szCs w:val="20"/>
                <w:lang w:val="en"/>
              </w:rPr>
              <w:t xml:space="preserve"> попит</w:t>
            </w:r>
          </w:p>
        </w:tc>
        <w:tc>
          <w:tcPr>
            <w:tcW w:w="1990"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rPr>
              <w:t xml:space="preserve">Конкуренція </w:t>
            </w:r>
            <w:r>
              <w:rPr>
                <w:sz w:val="20"/>
                <w:szCs w:val="20"/>
              </w:rPr>
              <w:t>висока</w:t>
            </w:r>
            <w:r>
              <w:rPr>
                <w:sz w:val="20"/>
                <w:szCs w:val="20"/>
                <w:lang w:val="en"/>
              </w:rPr>
              <w:t>, проте не монополістична</w:t>
            </w:r>
          </w:p>
        </w:tc>
        <w:tc>
          <w:tcPr>
            <w:tcW w:w="1494"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Можна</w:t>
            </w:r>
            <w:r>
              <w:rPr>
                <w:sz w:val="20"/>
                <w:szCs w:val="20"/>
                <w:lang w:val="en"/>
              </w:rPr>
              <w:t xml:space="preserve"> увійти, якщо виділити достатньо коштів на рекламу</w:t>
            </w:r>
          </w:p>
        </w:tc>
      </w:tr>
      <w:tr w:rsidR="00F1629C">
        <w:trPr>
          <w:trHeight w:val="660"/>
        </w:trPr>
        <w:tc>
          <w:tcPr>
            <w:tcW w:w="574"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3.</w:t>
            </w:r>
          </w:p>
        </w:tc>
        <w:tc>
          <w:tcPr>
            <w:tcW w:w="179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ВПК України</w:t>
            </w:r>
          </w:p>
        </w:tc>
        <w:tc>
          <w:tcPr>
            <w:tcW w:w="2316"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rPr>
              <w:t xml:space="preserve">Висока готовність прийняти товар, що пов’язано з </w:t>
            </w:r>
            <w:r>
              <w:rPr>
                <w:sz w:val="20"/>
                <w:szCs w:val="20"/>
                <w:lang w:val="en"/>
              </w:rPr>
              <w:t>необхідністю</w:t>
            </w:r>
            <w:r>
              <w:rPr>
                <w:sz w:val="20"/>
                <w:szCs w:val="20"/>
                <w:lang w:val="en"/>
              </w:rPr>
              <w:t xml:space="preserve"> запезбечення своїх людей водою в місцях без доступу до джерел якісної прісної води</w:t>
            </w:r>
          </w:p>
        </w:tc>
        <w:tc>
          <w:tcPr>
            <w:tcW w:w="1685" w:type="dxa"/>
            <w:shd w:val="clear" w:color="auto" w:fill="auto"/>
          </w:tcPr>
          <w:p w:rsidR="00F1629C" w:rsidRDefault="00E671D2">
            <w:pPr>
              <w:autoSpaceDE w:val="0"/>
              <w:autoSpaceDN w:val="0"/>
              <w:adjustRightInd w:val="0"/>
              <w:spacing w:line="240" w:lineRule="auto"/>
              <w:jc w:val="center"/>
              <w:rPr>
                <w:sz w:val="20"/>
                <w:szCs w:val="20"/>
                <w:lang w:val="ru"/>
              </w:rPr>
            </w:pPr>
            <w:r>
              <w:rPr>
                <w:sz w:val="20"/>
                <w:szCs w:val="20"/>
                <w:lang w:val="en"/>
              </w:rPr>
              <w:t>В</w:t>
            </w:r>
            <w:r>
              <w:rPr>
                <w:sz w:val="20"/>
                <w:szCs w:val="20"/>
                <w:lang w:val="ru"/>
              </w:rPr>
              <w:t>исокий</w:t>
            </w:r>
            <w:r>
              <w:rPr>
                <w:sz w:val="20"/>
                <w:szCs w:val="20"/>
                <w:lang w:val="ru"/>
              </w:rPr>
              <w:t xml:space="preserve"> попит</w:t>
            </w:r>
          </w:p>
        </w:tc>
        <w:tc>
          <w:tcPr>
            <w:tcW w:w="1990"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Конкуренція</w:t>
            </w:r>
            <w:r>
              <w:rPr>
                <w:sz w:val="20"/>
                <w:szCs w:val="20"/>
                <w:lang w:val="en"/>
              </w:rPr>
              <w:t>, на мою думку, відсутня</w:t>
            </w:r>
          </w:p>
        </w:tc>
        <w:tc>
          <w:tcPr>
            <w:tcW w:w="1494" w:type="dxa"/>
            <w:shd w:val="clear" w:color="auto" w:fill="auto"/>
          </w:tcPr>
          <w:p w:rsidR="00F1629C" w:rsidRDefault="00E671D2">
            <w:pPr>
              <w:autoSpaceDE w:val="0"/>
              <w:autoSpaceDN w:val="0"/>
              <w:adjustRightInd w:val="0"/>
              <w:spacing w:line="240" w:lineRule="auto"/>
              <w:jc w:val="center"/>
              <w:rPr>
                <w:sz w:val="20"/>
                <w:szCs w:val="20"/>
                <w:lang w:val="ru"/>
              </w:rPr>
            </w:pPr>
            <w:r>
              <w:rPr>
                <w:sz w:val="20"/>
                <w:szCs w:val="20"/>
              </w:rPr>
              <w:t>Вхід у сегмент доступний</w:t>
            </w:r>
            <w:r>
              <w:rPr>
                <w:sz w:val="20"/>
                <w:szCs w:val="20"/>
                <w:lang w:val="ru"/>
              </w:rPr>
              <w:t xml:space="preserve"> через тендери</w:t>
            </w:r>
          </w:p>
        </w:tc>
      </w:tr>
    </w:tbl>
    <w:p w:rsidR="00F1629C" w:rsidRDefault="00F1629C">
      <w:pPr>
        <w:tabs>
          <w:tab w:val="left" w:pos="284"/>
        </w:tabs>
        <w:spacing w:after="0" w:line="360" w:lineRule="auto"/>
        <w:rPr>
          <w:rFonts w:ascii="Times New Roman" w:hAnsi="Times New Roman" w:cs="Times New Roman"/>
          <w:b/>
          <w:sz w:val="28"/>
          <w:szCs w:val="28"/>
        </w:rPr>
      </w:pP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4.5 Фактори загроз</w:t>
      </w:r>
    </w:p>
    <w:p w:rsidR="00F1629C" w:rsidRDefault="00E671D2">
      <w:pPr>
        <w:tabs>
          <w:tab w:val="left" w:pos="28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рахунок того, що загрози існують скрізь, тому і при застосуванні даної технології також існують загрози.</w:t>
      </w:r>
    </w:p>
    <w:p w:rsidR="00F1629C" w:rsidRDefault="00E671D2">
      <w:pPr>
        <w:tabs>
          <w:tab w:val="left" w:pos="28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 4.4 Фактори загроз</w:t>
      </w:r>
    </w:p>
    <w:tbl>
      <w:tblPr>
        <w:tblStyle w:val="af3"/>
        <w:tblW w:w="8636" w:type="dxa"/>
        <w:jc w:val="center"/>
        <w:tblLayout w:type="fixed"/>
        <w:tblLook w:val="04A0" w:firstRow="1" w:lastRow="0" w:firstColumn="1" w:lastColumn="0" w:noHBand="0" w:noVBand="1"/>
      </w:tblPr>
      <w:tblGrid>
        <w:gridCol w:w="784"/>
        <w:gridCol w:w="3254"/>
        <w:gridCol w:w="2302"/>
        <w:gridCol w:w="2296"/>
      </w:tblGrid>
      <w:tr w:rsidR="00F1629C">
        <w:trPr>
          <w:jc w:val="center"/>
        </w:trPr>
        <w:tc>
          <w:tcPr>
            <w:tcW w:w="784" w:type="dxa"/>
          </w:tcPr>
          <w:p w:rsidR="00F1629C" w:rsidRDefault="00E671D2">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п/п</w:t>
            </w:r>
          </w:p>
        </w:tc>
        <w:tc>
          <w:tcPr>
            <w:tcW w:w="3254" w:type="dxa"/>
            <w:vAlign w:val="center"/>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Фактор</w:t>
            </w:r>
          </w:p>
        </w:tc>
        <w:tc>
          <w:tcPr>
            <w:tcW w:w="2302" w:type="dxa"/>
            <w:vAlign w:val="center"/>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Зміст</w:t>
            </w:r>
            <w:r>
              <w:rPr>
                <w:rFonts w:ascii="Times New Roman" w:hAnsi="Times New Roman" w:cs="Times New Roman"/>
                <w:sz w:val="28"/>
                <w:szCs w:val="28"/>
              </w:rPr>
              <w:t xml:space="preserve"> загрози</w:t>
            </w:r>
          </w:p>
        </w:tc>
        <w:tc>
          <w:tcPr>
            <w:tcW w:w="2296" w:type="dxa"/>
            <w:vAlign w:val="center"/>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Можлива реакція компанії</w:t>
            </w:r>
          </w:p>
        </w:tc>
      </w:tr>
      <w:tr w:rsidR="00F1629C">
        <w:trPr>
          <w:jc w:val="center"/>
        </w:trPr>
        <w:tc>
          <w:tcPr>
            <w:tcW w:w="784" w:type="dxa"/>
          </w:tcPr>
          <w:p w:rsidR="00F1629C" w:rsidRDefault="00E671D2">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3254"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rPr>
              <w:t>Недостатня очистка, внаслідок в</w:t>
            </w:r>
            <w:r>
              <w:rPr>
                <w:rFonts w:ascii="Times New Roman" w:hAnsi="Times New Roman" w:cs="Times New Roman"/>
                <w:sz w:val="28"/>
                <w:szCs w:val="28"/>
                <w:lang w:val="ru"/>
              </w:rPr>
              <w:t>ичерпання</w:t>
            </w:r>
            <w:r>
              <w:rPr>
                <w:rFonts w:ascii="Times New Roman" w:hAnsi="Times New Roman" w:cs="Times New Roman"/>
                <w:sz w:val="28"/>
                <w:szCs w:val="28"/>
                <w:lang w:val="ru"/>
              </w:rPr>
              <w:t xml:space="preserve"> сорбційної ємності магнетиту</w:t>
            </w:r>
          </w:p>
        </w:tc>
        <w:tc>
          <w:tcPr>
            <w:tcW w:w="2302"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Вичерпання</w:t>
            </w:r>
            <w:r>
              <w:rPr>
                <w:rFonts w:ascii="Times New Roman" w:hAnsi="Times New Roman" w:cs="Times New Roman"/>
                <w:sz w:val="28"/>
                <w:szCs w:val="28"/>
                <w:lang w:val="ru"/>
              </w:rPr>
              <w:t xml:space="preserve"> сорбційної ємності магнетиту</w:t>
            </w:r>
          </w:p>
        </w:tc>
        <w:tc>
          <w:tcPr>
            <w:tcW w:w="2296"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Пошук</w:t>
            </w:r>
            <w:r>
              <w:rPr>
                <w:rFonts w:ascii="Times New Roman" w:hAnsi="Times New Roman" w:cs="Times New Roman"/>
                <w:sz w:val="28"/>
                <w:szCs w:val="28"/>
                <w:lang w:val="ru"/>
              </w:rPr>
              <w:t xml:space="preserve"> нових модифікацій сорбенту, створення легкозамінних картриджів</w:t>
            </w:r>
          </w:p>
        </w:tc>
      </w:tr>
      <w:tr w:rsidR="00F1629C">
        <w:trPr>
          <w:jc w:val="center"/>
        </w:trPr>
        <w:tc>
          <w:tcPr>
            <w:tcW w:w="784" w:type="dxa"/>
          </w:tcPr>
          <w:p w:rsidR="00F1629C" w:rsidRDefault="00E671D2">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3254"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rPr>
              <w:t xml:space="preserve">Недостатня очистка, внаслідок </w:t>
            </w:r>
            <w:r>
              <w:rPr>
                <w:rFonts w:ascii="Times New Roman" w:hAnsi="Times New Roman" w:cs="Times New Roman"/>
                <w:sz w:val="28"/>
                <w:szCs w:val="28"/>
                <w:lang w:val="ru"/>
              </w:rPr>
              <w:t>окислення</w:t>
            </w:r>
            <w:r>
              <w:rPr>
                <w:rFonts w:ascii="Times New Roman" w:hAnsi="Times New Roman" w:cs="Times New Roman"/>
                <w:sz w:val="28"/>
                <w:szCs w:val="28"/>
                <w:lang w:val="ru"/>
              </w:rPr>
              <w:t xml:space="preserve"> магнетиту киснем повітря</w:t>
            </w:r>
          </w:p>
        </w:tc>
        <w:tc>
          <w:tcPr>
            <w:tcW w:w="2302" w:type="dxa"/>
          </w:tcPr>
          <w:p w:rsidR="00F1629C" w:rsidRDefault="00E671D2">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ru"/>
              </w:rPr>
              <w:t>Окислення</w:t>
            </w:r>
            <w:r>
              <w:rPr>
                <w:rFonts w:ascii="Times New Roman" w:hAnsi="Times New Roman" w:cs="Times New Roman"/>
                <w:sz w:val="28"/>
                <w:szCs w:val="28"/>
                <w:lang w:val="ru"/>
              </w:rPr>
              <w:t xml:space="preserve"> магнетиту киснем повітря</w:t>
            </w:r>
          </w:p>
        </w:tc>
        <w:tc>
          <w:tcPr>
            <w:tcW w:w="2296"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Підвищення</w:t>
            </w:r>
            <w:r>
              <w:rPr>
                <w:rFonts w:ascii="Times New Roman" w:hAnsi="Times New Roman" w:cs="Times New Roman"/>
                <w:sz w:val="28"/>
                <w:szCs w:val="28"/>
                <w:lang w:val="ru"/>
              </w:rPr>
              <w:t xml:space="preserve"> герметичності фільтру</w:t>
            </w:r>
          </w:p>
        </w:tc>
      </w:tr>
      <w:tr w:rsidR="00F1629C">
        <w:trPr>
          <w:jc w:val="center"/>
        </w:trPr>
        <w:tc>
          <w:tcPr>
            <w:tcW w:w="784" w:type="dxa"/>
          </w:tcPr>
          <w:p w:rsidR="00F1629C" w:rsidRDefault="00E671D2">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p>
        </w:tc>
        <w:tc>
          <w:tcPr>
            <w:tcW w:w="3254"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rPr>
              <w:t xml:space="preserve">Недостатня очистка за рахунок </w:t>
            </w:r>
            <w:r>
              <w:rPr>
                <w:rFonts w:ascii="Times New Roman" w:hAnsi="Times New Roman" w:cs="Times New Roman"/>
                <w:sz w:val="28"/>
                <w:szCs w:val="28"/>
                <w:lang w:val="ru"/>
              </w:rPr>
              <w:t>механічного</w:t>
            </w:r>
            <w:r>
              <w:rPr>
                <w:rFonts w:ascii="Times New Roman" w:hAnsi="Times New Roman" w:cs="Times New Roman"/>
                <w:sz w:val="28"/>
                <w:szCs w:val="28"/>
                <w:lang w:val="ru"/>
              </w:rPr>
              <w:t xml:space="preserve"> пошкодження мембран</w:t>
            </w:r>
          </w:p>
        </w:tc>
        <w:tc>
          <w:tcPr>
            <w:tcW w:w="2302" w:type="dxa"/>
          </w:tcPr>
          <w:p w:rsidR="00F1629C" w:rsidRDefault="00E671D2">
            <w:pPr>
              <w:tabs>
                <w:tab w:val="left" w:pos="28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Порушення цілісності мембрани</w:t>
            </w:r>
          </w:p>
        </w:tc>
        <w:tc>
          <w:tcPr>
            <w:tcW w:w="2296" w:type="dxa"/>
          </w:tcPr>
          <w:p w:rsidR="00F1629C" w:rsidRDefault="00E671D2">
            <w:pPr>
              <w:tabs>
                <w:tab w:val="left" w:pos="284"/>
              </w:tabs>
              <w:spacing w:after="0" w:line="360" w:lineRule="auto"/>
              <w:jc w:val="both"/>
              <w:rPr>
                <w:rFonts w:ascii="Times New Roman" w:hAnsi="Times New Roman" w:cs="Times New Roman"/>
                <w:sz w:val="28"/>
                <w:szCs w:val="28"/>
                <w:lang w:val="ru"/>
              </w:rPr>
            </w:pPr>
            <w:r>
              <w:rPr>
                <w:rFonts w:ascii="Times New Roman" w:hAnsi="Times New Roman" w:cs="Times New Roman"/>
                <w:sz w:val="28"/>
                <w:szCs w:val="28"/>
                <w:lang w:val="ru"/>
              </w:rPr>
              <w:t>Використання більш міцного матеріалу корпусу фільтру</w:t>
            </w:r>
          </w:p>
        </w:tc>
      </w:tr>
    </w:tbl>
    <w:p w:rsidR="00F1629C" w:rsidRDefault="00E671D2">
      <w:pPr>
        <w:tabs>
          <w:tab w:val="left" w:pos="284"/>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F1629C" w:rsidRDefault="00E671D2">
      <w:pPr>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4.6 Фактори можливостей</w:t>
      </w:r>
    </w:p>
    <w:p w:rsidR="00F1629C" w:rsidRDefault="00E671D2">
      <w:pPr>
        <w:tabs>
          <w:tab w:val="left" w:pos="28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4.5 Фактори можливостей</w:t>
      </w:r>
    </w:p>
    <w:tbl>
      <w:tblPr>
        <w:tblStyle w:val="af3"/>
        <w:tblW w:w="8636" w:type="dxa"/>
        <w:jc w:val="center"/>
        <w:tblLayout w:type="fixed"/>
        <w:tblLook w:val="04A0" w:firstRow="1" w:lastRow="0" w:firstColumn="1" w:lastColumn="0" w:noHBand="0" w:noVBand="1"/>
      </w:tblPr>
      <w:tblGrid>
        <w:gridCol w:w="672"/>
        <w:gridCol w:w="2022"/>
        <w:gridCol w:w="3314"/>
        <w:gridCol w:w="2628"/>
      </w:tblGrid>
      <w:tr w:rsidR="00F1629C">
        <w:trPr>
          <w:jc w:val="center"/>
        </w:trPr>
        <w:tc>
          <w:tcPr>
            <w:tcW w:w="67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 п/п</w:t>
            </w:r>
          </w:p>
        </w:tc>
        <w:tc>
          <w:tcPr>
            <w:tcW w:w="202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Фактор</w:t>
            </w:r>
          </w:p>
        </w:tc>
        <w:tc>
          <w:tcPr>
            <w:tcW w:w="3314"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Зміст можливості</w:t>
            </w:r>
          </w:p>
        </w:tc>
        <w:tc>
          <w:tcPr>
            <w:tcW w:w="2628"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Можлива реакція компанії</w:t>
            </w:r>
          </w:p>
        </w:tc>
      </w:tr>
      <w:tr w:rsidR="00F1629C">
        <w:trPr>
          <w:jc w:val="center"/>
        </w:trPr>
        <w:tc>
          <w:tcPr>
            <w:tcW w:w="67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022"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Висока</w:t>
            </w:r>
            <w:r>
              <w:rPr>
                <w:rFonts w:ascii="Times New Roman" w:hAnsi="Times New Roman" w:cs="Times New Roman"/>
                <w:sz w:val="28"/>
                <w:szCs w:val="28"/>
                <w:lang w:val="ru"/>
              </w:rPr>
              <w:t xml:space="preserve"> сорбційна ємність</w:t>
            </w:r>
          </w:p>
        </w:tc>
        <w:tc>
          <w:tcPr>
            <w:tcW w:w="3314"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Підвищення</w:t>
            </w:r>
            <w:r>
              <w:rPr>
                <w:rFonts w:ascii="Times New Roman" w:hAnsi="Times New Roman" w:cs="Times New Roman"/>
                <w:sz w:val="28"/>
                <w:szCs w:val="28"/>
                <w:lang w:val="ru"/>
              </w:rPr>
              <w:t xml:space="preserve"> терміну експлуатації фільтру за рахунок пошуку нових модифікацій сорбенту</w:t>
            </w:r>
          </w:p>
        </w:tc>
        <w:tc>
          <w:tcPr>
            <w:tcW w:w="2628"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Пошук</w:t>
            </w:r>
            <w:r>
              <w:rPr>
                <w:rFonts w:ascii="Times New Roman" w:hAnsi="Times New Roman" w:cs="Times New Roman"/>
                <w:sz w:val="28"/>
                <w:szCs w:val="28"/>
                <w:lang w:val="ru"/>
              </w:rPr>
              <w:t xml:space="preserve"> нових модифікацій сорбенту</w:t>
            </w:r>
          </w:p>
        </w:tc>
      </w:tr>
      <w:tr w:rsidR="00F1629C">
        <w:trPr>
          <w:jc w:val="center"/>
        </w:trPr>
        <w:tc>
          <w:tcPr>
            <w:tcW w:w="67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2022"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Універсальність</w:t>
            </w:r>
          </w:p>
        </w:tc>
        <w:tc>
          <w:tcPr>
            <w:tcW w:w="3314"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rPr>
              <w:t xml:space="preserve">Підхід реалізується для </w:t>
            </w:r>
            <w:r>
              <w:rPr>
                <w:rFonts w:ascii="Times New Roman" w:hAnsi="Times New Roman" w:cs="Times New Roman"/>
                <w:sz w:val="28"/>
                <w:szCs w:val="28"/>
                <w:lang w:val="ru"/>
              </w:rPr>
              <w:t>підвищення</w:t>
            </w:r>
            <w:r>
              <w:rPr>
                <w:rFonts w:ascii="Times New Roman" w:hAnsi="Times New Roman" w:cs="Times New Roman"/>
                <w:sz w:val="28"/>
                <w:szCs w:val="28"/>
                <w:lang w:val="ru"/>
              </w:rPr>
              <w:t xml:space="preserve"> універсальності фільтру для більш широкого спектру застосування фільтру</w:t>
            </w:r>
          </w:p>
        </w:tc>
        <w:tc>
          <w:tcPr>
            <w:tcW w:w="2628"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Пошук</w:t>
            </w:r>
            <w:r>
              <w:rPr>
                <w:rFonts w:ascii="Times New Roman" w:hAnsi="Times New Roman" w:cs="Times New Roman"/>
                <w:sz w:val="28"/>
                <w:szCs w:val="28"/>
                <w:lang w:val="ru"/>
              </w:rPr>
              <w:t xml:space="preserve"> нових матеріалів мембран та конструкції фільтру</w:t>
            </w:r>
          </w:p>
        </w:tc>
      </w:tr>
      <w:tr w:rsidR="00F1629C">
        <w:trPr>
          <w:jc w:val="center"/>
        </w:trPr>
        <w:tc>
          <w:tcPr>
            <w:tcW w:w="672" w:type="dxa"/>
          </w:tcPr>
          <w:p w:rsidR="00F1629C" w:rsidRDefault="00E671D2">
            <w:pPr>
              <w:tabs>
                <w:tab w:val="left" w:pos="284"/>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2022"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lang w:val="ru"/>
              </w:rPr>
              <w:t>Портативність</w:t>
            </w:r>
          </w:p>
        </w:tc>
        <w:tc>
          <w:tcPr>
            <w:tcW w:w="3314" w:type="dxa"/>
          </w:tcPr>
          <w:p w:rsidR="00F1629C" w:rsidRDefault="00E671D2">
            <w:pPr>
              <w:tabs>
                <w:tab w:val="left" w:pos="284"/>
              </w:tabs>
              <w:spacing w:after="0" w:line="360" w:lineRule="auto"/>
              <w:jc w:val="center"/>
              <w:rPr>
                <w:rFonts w:ascii="Times New Roman" w:hAnsi="Times New Roman" w:cs="Times New Roman"/>
                <w:sz w:val="28"/>
                <w:szCs w:val="28"/>
                <w:lang w:val="ru"/>
              </w:rPr>
            </w:pPr>
            <w:r>
              <w:rPr>
                <w:rFonts w:ascii="Times New Roman" w:hAnsi="Times New Roman" w:cs="Times New Roman"/>
                <w:sz w:val="28"/>
                <w:szCs w:val="28"/>
              </w:rPr>
              <w:t>Підхід реалізується для зменш</w:t>
            </w:r>
            <w:r>
              <w:rPr>
                <w:rFonts w:ascii="Times New Roman" w:hAnsi="Times New Roman" w:cs="Times New Roman"/>
                <w:sz w:val="28"/>
                <w:szCs w:val="28"/>
              </w:rPr>
              <w:t xml:space="preserve">ення </w:t>
            </w:r>
            <w:r>
              <w:rPr>
                <w:rFonts w:ascii="Times New Roman" w:hAnsi="Times New Roman" w:cs="Times New Roman"/>
                <w:sz w:val="28"/>
                <w:szCs w:val="28"/>
                <w:lang w:val="ru"/>
              </w:rPr>
              <w:t>габаритів</w:t>
            </w:r>
            <w:r>
              <w:rPr>
                <w:rFonts w:ascii="Times New Roman" w:hAnsi="Times New Roman" w:cs="Times New Roman"/>
                <w:sz w:val="28"/>
                <w:szCs w:val="28"/>
                <w:lang w:val="ru"/>
              </w:rPr>
              <w:t xml:space="preserve"> фільтру, а також його ваги</w:t>
            </w:r>
          </w:p>
        </w:tc>
        <w:tc>
          <w:tcPr>
            <w:tcW w:w="2628" w:type="dxa"/>
          </w:tcPr>
          <w:p w:rsidR="00F1629C" w:rsidRDefault="00F1629C">
            <w:pPr>
              <w:tabs>
                <w:tab w:val="left" w:pos="284"/>
              </w:tabs>
              <w:spacing w:after="0" w:line="360" w:lineRule="auto"/>
              <w:jc w:val="center"/>
              <w:rPr>
                <w:rFonts w:ascii="Times New Roman" w:hAnsi="Times New Roman" w:cs="Times New Roman"/>
                <w:sz w:val="28"/>
                <w:szCs w:val="28"/>
              </w:rPr>
            </w:pPr>
          </w:p>
        </w:tc>
      </w:tr>
    </w:tbl>
    <w:p w:rsidR="00F1629C" w:rsidRDefault="00F1629C">
      <w:pPr>
        <w:tabs>
          <w:tab w:val="left" w:pos="284"/>
        </w:tabs>
        <w:spacing w:line="360" w:lineRule="auto"/>
        <w:rPr>
          <w:rFonts w:ascii="Times New Roman" w:hAnsi="Times New Roman" w:cs="Times New Roman"/>
          <w:b/>
          <w:sz w:val="28"/>
          <w:szCs w:val="28"/>
        </w:rPr>
      </w:pPr>
    </w:p>
    <w:p w:rsidR="00F1629C" w:rsidRDefault="00E671D2">
      <w:pPr>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line="360" w:lineRule="auto"/>
        <w:ind w:firstLine="709"/>
        <w:rPr>
          <w:rFonts w:ascii="Times New Roman" w:hAnsi="Times New Roman" w:cs="Times New Roman"/>
          <w:sz w:val="28"/>
          <w:szCs w:val="28"/>
        </w:rPr>
      </w:pPr>
      <w:r>
        <w:rPr>
          <w:rFonts w:ascii="Times New Roman" w:hAnsi="Times New Roman" w:cs="Times New Roman"/>
          <w:b/>
          <w:sz w:val="28"/>
          <w:szCs w:val="28"/>
        </w:rPr>
        <w:t>4.7 Ступеневий аналіз конкуренції на ринку</w:t>
      </w:r>
      <w:r>
        <w:rPr>
          <w:rFonts w:ascii="Times New Roman" w:hAnsi="Times New Roman" w:cs="Times New Roman"/>
          <w:sz w:val="28"/>
          <w:szCs w:val="28"/>
        </w:rPr>
        <w:t xml:space="preserve"> </w:t>
      </w: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sz w:val="28"/>
          <w:szCs w:val="28"/>
        </w:rPr>
        <w:t>Таблиця 4.6 – Ступеневий аналіз конкуренції на ринку</w:t>
      </w:r>
    </w:p>
    <w:tbl>
      <w:tblPr>
        <w:tblStyle w:val="TableGrid"/>
        <w:tblW w:w="9861" w:type="dxa"/>
        <w:tblInd w:w="0" w:type="dxa"/>
        <w:tblLayout w:type="fixed"/>
        <w:tblCellMar>
          <w:top w:w="53" w:type="dxa"/>
          <w:left w:w="108" w:type="dxa"/>
          <w:right w:w="115" w:type="dxa"/>
        </w:tblCellMar>
        <w:tblLook w:val="04A0" w:firstRow="1" w:lastRow="0" w:firstColumn="1" w:lastColumn="0" w:noHBand="0" w:noVBand="1"/>
      </w:tblPr>
      <w:tblGrid>
        <w:gridCol w:w="3278"/>
        <w:gridCol w:w="2927"/>
        <w:gridCol w:w="3656"/>
      </w:tblGrid>
      <w:tr w:rsidR="00F1629C">
        <w:trPr>
          <w:trHeight w:val="1182"/>
        </w:trPr>
        <w:tc>
          <w:tcPr>
            <w:tcW w:w="3278" w:type="dxa"/>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jc w:val="center"/>
              <w:rPr>
                <w:rFonts w:ascii="Times New Roman" w:hAnsi="Times New Roman" w:cs="Times New Roman"/>
                <w:sz w:val="28"/>
                <w:szCs w:val="28"/>
              </w:rPr>
            </w:pPr>
            <w:r>
              <w:rPr>
                <w:rFonts w:ascii="Times New Roman" w:eastAsia="Calibri" w:hAnsi="Times New Roman" w:cs="Times New Roman"/>
                <w:i/>
                <w:sz w:val="28"/>
                <w:szCs w:val="28"/>
              </w:rPr>
              <w:t xml:space="preserve">Особливості конкурентного середовища </w:t>
            </w:r>
          </w:p>
        </w:tc>
        <w:tc>
          <w:tcPr>
            <w:tcW w:w="2927" w:type="dxa"/>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jc w:val="center"/>
              <w:rPr>
                <w:rFonts w:ascii="Times New Roman" w:hAnsi="Times New Roman" w:cs="Times New Roman"/>
                <w:sz w:val="28"/>
                <w:szCs w:val="28"/>
              </w:rPr>
            </w:pPr>
            <w:r>
              <w:rPr>
                <w:rFonts w:ascii="Times New Roman" w:eastAsia="Calibri" w:hAnsi="Times New Roman" w:cs="Times New Roman"/>
                <w:i/>
                <w:sz w:val="28"/>
                <w:szCs w:val="28"/>
              </w:rPr>
              <w:t xml:space="preserve">В чому проявляється дана характеристика </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36" w:line="248" w:lineRule="auto"/>
              <w:jc w:val="center"/>
              <w:rPr>
                <w:rFonts w:ascii="Times New Roman" w:hAnsi="Times New Roman" w:cs="Times New Roman"/>
                <w:sz w:val="28"/>
                <w:szCs w:val="28"/>
              </w:rPr>
            </w:pPr>
            <w:r>
              <w:rPr>
                <w:rFonts w:ascii="Times New Roman" w:eastAsia="Calibri" w:hAnsi="Times New Roman" w:cs="Times New Roman"/>
                <w:i/>
                <w:sz w:val="28"/>
                <w:szCs w:val="28"/>
              </w:rPr>
              <w:t xml:space="preserve">Вплив на діяльність підприємства (можливі дії компанії, щоб бути конкурентоспроможною) </w:t>
            </w:r>
          </w:p>
        </w:tc>
      </w:tr>
      <w:tr w:rsidR="00F1629C">
        <w:trPr>
          <w:trHeight w:val="888"/>
        </w:trPr>
        <w:tc>
          <w:tcPr>
            <w:tcW w:w="3278"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right="349"/>
              <w:rPr>
                <w:rFonts w:ascii="Times New Roman" w:hAnsi="Times New Roman" w:cs="Times New Roman"/>
                <w:sz w:val="28"/>
                <w:szCs w:val="28"/>
              </w:rPr>
            </w:pPr>
            <w:r>
              <w:rPr>
                <w:rFonts w:ascii="Times New Roman" w:eastAsia="Calibri" w:hAnsi="Times New Roman" w:cs="Times New Roman"/>
                <w:sz w:val="28"/>
                <w:szCs w:val="28"/>
              </w:rPr>
              <w:t xml:space="preserve">1. Вказати тип конкуренції </w:t>
            </w:r>
            <w:r>
              <w:rPr>
                <w:rFonts w:ascii="Cambria Math" w:eastAsia="Calibri" w:hAnsi="Cambria Math" w:cs="Cambria Math"/>
                <w:sz w:val="28"/>
                <w:szCs w:val="28"/>
              </w:rPr>
              <w:t>‐</w:t>
            </w:r>
            <w:r>
              <w:rPr>
                <w:rFonts w:ascii="Times New Roman" w:eastAsia="Calibri" w:hAnsi="Times New Roman" w:cs="Times New Roman"/>
                <w:sz w:val="28"/>
                <w:szCs w:val="28"/>
              </w:rPr>
              <w:t xml:space="preserve"> монополія/олігополія/ монополістична/чиста </w:t>
            </w:r>
          </w:p>
        </w:tc>
        <w:tc>
          <w:tcPr>
            <w:tcW w:w="2927"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
              </w:rPr>
              <w:t>По</w:t>
            </w:r>
            <w:r>
              <w:rPr>
                <w:rFonts w:ascii="Times New Roman" w:eastAsia="Calibri" w:hAnsi="Times New Roman" w:cs="Times New Roman"/>
                <w:sz w:val="28"/>
                <w:szCs w:val="28"/>
                <w:lang w:val="en"/>
              </w:rPr>
              <w:t xml:space="preserve"> великому рахунку, монополія. Лише одна крупна вузькоспеціалізована компанія Katadyn</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rPr>
              <w:t xml:space="preserve"> </w:t>
            </w:r>
            <w:r>
              <w:rPr>
                <w:rFonts w:ascii="Times New Roman" w:hAnsi="Times New Roman" w:cs="Times New Roman"/>
                <w:sz w:val="28"/>
                <w:szCs w:val="28"/>
              </w:rPr>
              <w:t>реклама підприємства, як такого, що пропонує нов</w:t>
            </w:r>
            <w:r>
              <w:rPr>
                <w:rFonts w:ascii="Times New Roman" w:hAnsi="Times New Roman" w:cs="Times New Roman"/>
                <w:sz w:val="28"/>
                <w:szCs w:val="28"/>
                <w:lang w:val="en"/>
              </w:rPr>
              <w:t>у</w:t>
            </w:r>
            <w:r>
              <w:rPr>
                <w:rFonts w:ascii="Times New Roman" w:hAnsi="Times New Roman" w:cs="Times New Roman"/>
                <w:sz w:val="28"/>
                <w:szCs w:val="28"/>
                <w:lang w:val="en"/>
              </w:rPr>
              <w:t>, більш дешеву та універсальну</w:t>
            </w:r>
            <w:r>
              <w:rPr>
                <w:rFonts w:ascii="Times New Roman" w:hAnsi="Times New Roman" w:cs="Times New Roman"/>
                <w:sz w:val="28"/>
                <w:szCs w:val="28"/>
              </w:rPr>
              <w:t xml:space="preserve"> технологію</w:t>
            </w:r>
            <w:r>
              <w:rPr>
                <w:rFonts w:ascii="Times New Roman" w:hAnsi="Times New Roman" w:cs="Times New Roman"/>
                <w:sz w:val="28"/>
                <w:szCs w:val="28"/>
                <w:lang w:val="en"/>
              </w:rPr>
              <w:t>;</w:t>
            </w:r>
          </w:p>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lang w:val="en"/>
              </w:rPr>
              <w:t>вихід на нові ринки</w:t>
            </w:r>
          </w:p>
          <w:p w:rsidR="00F1629C" w:rsidRDefault="00F1629C">
            <w:pPr>
              <w:pStyle w:val="af4"/>
              <w:spacing w:line="276" w:lineRule="auto"/>
              <w:ind w:left="0" w:firstLine="0"/>
              <w:rPr>
                <w:sz w:val="28"/>
                <w:szCs w:val="28"/>
              </w:rPr>
            </w:pPr>
          </w:p>
        </w:tc>
      </w:tr>
      <w:tr w:rsidR="00F1629C">
        <w:trPr>
          <w:trHeight w:val="889"/>
        </w:trPr>
        <w:tc>
          <w:tcPr>
            <w:tcW w:w="3278" w:type="dxa"/>
            <w:tcBorders>
              <w:top w:val="single" w:sz="4" w:space="0" w:color="000000"/>
              <w:left w:val="single" w:sz="4" w:space="0" w:color="000000"/>
              <w:bottom w:val="single" w:sz="4" w:space="0" w:color="000000"/>
              <w:right w:val="single" w:sz="4" w:space="0" w:color="000000"/>
            </w:tcBorders>
          </w:tcPr>
          <w:p w:rsidR="00F1629C" w:rsidRDefault="00E671D2">
            <w:pPr>
              <w:spacing w:after="37" w:line="248" w:lineRule="auto"/>
              <w:rPr>
                <w:rFonts w:ascii="Times New Roman" w:hAnsi="Times New Roman" w:cs="Times New Roman"/>
                <w:sz w:val="28"/>
                <w:szCs w:val="28"/>
              </w:rPr>
            </w:pPr>
            <w:r>
              <w:rPr>
                <w:rFonts w:ascii="Times New Roman" w:eastAsia="Calibri" w:hAnsi="Times New Roman" w:cs="Times New Roman"/>
                <w:sz w:val="28"/>
                <w:szCs w:val="28"/>
              </w:rPr>
              <w:t xml:space="preserve">2. За рівнем конкурентної боротьби </w:t>
            </w:r>
          </w:p>
          <w:p w:rsidR="00F1629C" w:rsidRDefault="00E671D2">
            <w:pPr>
              <w:spacing w:after="0" w:line="276" w:lineRule="auto"/>
              <w:rPr>
                <w:rFonts w:ascii="Times New Roman" w:hAnsi="Times New Roman" w:cs="Times New Roman"/>
                <w:sz w:val="28"/>
                <w:szCs w:val="28"/>
              </w:rPr>
            </w:pPr>
            <w:r>
              <w:rPr>
                <w:rFonts w:ascii="Cambria Math" w:eastAsia="Calibri" w:hAnsi="Cambria Math" w:cs="Cambria Math"/>
                <w:sz w:val="28"/>
                <w:szCs w:val="28"/>
              </w:rPr>
              <w:t>‐</w:t>
            </w:r>
            <w:r>
              <w:rPr>
                <w:rFonts w:ascii="Times New Roman" w:eastAsia="Calibri" w:hAnsi="Times New Roman" w:cs="Times New Roman"/>
                <w:sz w:val="28"/>
                <w:szCs w:val="28"/>
              </w:rPr>
              <w:t xml:space="preserve"> локальний/національний/… </w:t>
            </w:r>
          </w:p>
        </w:tc>
        <w:tc>
          <w:tcPr>
            <w:tcW w:w="2927"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
              </w:rPr>
              <w:t>Національний</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
              </w:rPr>
              <w:t>Висвітлення</w:t>
            </w:r>
            <w:r>
              <w:rPr>
                <w:rFonts w:ascii="Times New Roman" w:eastAsia="Calibri" w:hAnsi="Times New Roman" w:cs="Times New Roman"/>
                <w:sz w:val="28"/>
                <w:szCs w:val="28"/>
                <w:lang w:val="en"/>
              </w:rPr>
              <w:t xml:space="preserve"> у рекламі українського виробника.</w:t>
            </w:r>
          </w:p>
        </w:tc>
      </w:tr>
      <w:tr w:rsidR="00F1629C">
        <w:trPr>
          <w:trHeight w:val="889"/>
        </w:trPr>
        <w:tc>
          <w:tcPr>
            <w:tcW w:w="3278"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right="518"/>
              <w:rPr>
                <w:rFonts w:ascii="Times New Roman" w:hAnsi="Times New Roman" w:cs="Times New Roman"/>
                <w:sz w:val="28"/>
                <w:szCs w:val="28"/>
              </w:rPr>
            </w:pPr>
            <w:r>
              <w:rPr>
                <w:rFonts w:ascii="Times New Roman" w:eastAsia="Calibri" w:hAnsi="Times New Roman" w:cs="Times New Roman"/>
                <w:sz w:val="28"/>
                <w:szCs w:val="28"/>
              </w:rPr>
              <w:t xml:space="preserve">3. За галузевою ознакою </w:t>
            </w:r>
            <w:r>
              <w:rPr>
                <w:rFonts w:ascii="Cambria Math" w:eastAsia="Calibri" w:hAnsi="Cambria Math" w:cs="Cambria Math"/>
                <w:sz w:val="28"/>
                <w:szCs w:val="28"/>
              </w:rPr>
              <w:t>‐</w:t>
            </w:r>
            <w:r>
              <w:rPr>
                <w:rFonts w:ascii="Times New Roman" w:eastAsia="Calibri" w:hAnsi="Times New Roman" w:cs="Times New Roman"/>
                <w:sz w:val="28"/>
                <w:szCs w:val="28"/>
              </w:rPr>
              <w:t xml:space="preserve"> міжгал</w:t>
            </w:r>
            <w:r>
              <w:rPr>
                <w:rFonts w:ascii="Times New Roman" w:eastAsia="Calibri" w:hAnsi="Times New Roman" w:cs="Times New Roman"/>
                <w:sz w:val="28"/>
                <w:szCs w:val="28"/>
              </w:rPr>
              <w:t xml:space="preserve">узева/ внутрішньогалузева </w:t>
            </w:r>
          </w:p>
        </w:tc>
        <w:tc>
          <w:tcPr>
            <w:tcW w:w="2927"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Внутрішньогалузева.  </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lang w:val="en"/>
              </w:rPr>
              <w:t>Співпраця</w:t>
            </w:r>
            <w:r>
              <w:rPr>
                <w:rFonts w:ascii="Times New Roman" w:eastAsia="Calibri" w:hAnsi="Times New Roman" w:cs="Times New Roman"/>
                <w:sz w:val="28"/>
                <w:szCs w:val="28"/>
                <w:lang w:val="en"/>
              </w:rPr>
              <w:t xml:space="preserve"> з іншими галузями для захоплення своєї, вихід на нові ринки</w:t>
            </w:r>
          </w:p>
        </w:tc>
      </w:tr>
      <w:tr w:rsidR="00F1629C">
        <w:trPr>
          <w:trHeight w:val="1475"/>
        </w:trPr>
        <w:tc>
          <w:tcPr>
            <w:tcW w:w="3278" w:type="dxa"/>
            <w:tcBorders>
              <w:top w:val="single" w:sz="4" w:space="0" w:color="000000"/>
              <w:left w:val="single" w:sz="4" w:space="0" w:color="000000"/>
              <w:bottom w:val="single" w:sz="4" w:space="0" w:color="000000"/>
              <w:right w:val="single" w:sz="4" w:space="0" w:color="000000"/>
            </w:tcBorders>
          </w:tcPr>
          <w:p w:rsidR="00F1629C" w:rsidRDefault="00E671D2">
            <w:pPr>
              <w:spacing w:after="36" w:line="248" w:lineRule="auto"/>
              <w:rPr>
                <w:rFonts w:ascii="Times New Roman" w:hAnsi="Times New Roman" w:cs="Times New Roman"/>
                <w:sz w:val="28"/>
                <w:szCs w:val="28"/>
              </w:rPr>
            </w:pPr>
            <w:r>
              <w:rPr>
                <w:rFonts w:ascii="Times New Roman" w:eastAsia="Calibri" w:hAnsi="Times New Roman" w:cs="Times New Roman"/>
                <w:sz w:val="28"/>
                <w:szCs w:val="28"/>
              </w:rPr>
              <w:t xml:space="preserve">4. Конкуренція за видами товарів: </w:t>
            </w:r>
          </w:p>
          <w:p w:rsidR="00F1629C" w:rsidRDefault="00E671D2">
            <w:pPr>
              <w:spacing w:after="36" w:line="240" w:lineRule="auto"/>
              <w:rPr>
                <w:rFonts w:ascii="Times New Roman" w:hAnsi="Times New Roman" w:cs="Times New Roman"/>
                <w:sz w:val="28"/>
                <w:szCs w:val="28"/>
              </w:rPr>
            </w:pPr>
            <w:r>
              <w:rPr>
                <w:rFonts w:ascii="Cambria Math" w:eastAsia="Calibri" w:hAnsi="Cambria Math" w:cs="Cambria Math"/>
                <w:sz w:val="28"/>
                <w:szCs w:val="28"/>
              </w:rPr>
              <w:t>‐</w:t>
            </w:r>
            <w:r>
              <w:rPr>
                <w:rFonts w:ascii="Times New Roman" w:eastAsia="Calibri" w:hAnsi="Times New Roman" w:cs="Times New Roman"/>
                <w:sz w:val="28"/>
                <w:szCs w:val="28"/>
              </w:rPr>
              <w:t xml:space="preserve"> товарно</w:t>
            </w:r>
            <w:r>
              <w:rPr>
                <w:rFonts w:ascii="Cambria Math" w:eastAsia="Calibri" w:hAnsi="Cambria Math" w:cs="Cambria Math"/>
                <w:sz w:val="28"/>
                <w:szCs w:val="28"/>
              </w:rPr>
              <w:t>‐</w:t>
            </w:r>
            <w:r>
              <w:rPr>
                <w:rFonts w:ascii="Times New Roman" w:eastAsia="Calibri" w:hAnsi="Times New Roman" w:cs="Times New Roman"/>
                <w:sz w:val="28"/>
                <w:szCs w:val="28"/>
              </w:rPr>
              <w:t xml:space="preserve">родова </w:t>
            </w:r>
          </w:p>
          <w:p w:rsidR="00F1629C" w:rsidRDefault="00E671D2">
            <w:pPr>
              <w:spacing w:after="36" w:line="240" w:lineRule="auto"/>
              <w:rPr>
                <w:rFonts w:ascii="Times New Roman" w:hAnsi="Times New Roman" w:cs="Times New Roman"/>
                <w:sz w:val="28"/>
                <w:szCs w:val="28"/>
              </w:rPr>
            </w:pPr>
            <w:r>
              <w:rPr>
                <w:rFonts w:ascii="Cambria Math" w:eastAsia="Calibri" w:hAnsi="Cambria Math" w:cs="Cambria Math"/>
                <w:sz w:val="28"/>
                <w:szCs w:val="28"/>
              </w:rPr>
              <w:t>‐</w:t>
            </w:r>
            <w:r>
              <w:rPr>
                <w:rFonts w:ascii="Times New Roman" w:eastAsia="Calibri" w:hAnsi="Times New Roman" w:cs="Times New Roman"/>
                <w:sz w:val="28"/>
                <w:szCs w:val="28"/>
              </w:rPr>
              <w:t xml:space="preserve"> товарно</w:t>
            </w:r>
            <w:r>
              <w:rPr>
                <w:rFonts w:ascii="Cambria Math" w:eastAsia="Calibri" w:hAnsi="Cambria Math" w:cs="Cambria Math"/>
                <w:sz w:val="28"/>
                <w:szCs w:val="28"/>
              </w:rPr>
              <w:t>‐</w:t>
            </w:r>
            <w:r>
              <w:rPr>
                <w:rFonts w:ascii="Times New Roman" w:eastAsia="Calibri" w:hAnsi="Times New Roman" w:cs="Times New Roman"/>
                <w:sz w:val="28"/>
                <w:szCs w:val="28"/>
              </w:rPr>
              <w:t xml:space="preserve">видова </w:t>
            </w:r>
          </w:p>
          <w:p w:rsidR="00F1629C" w:rsidRDefault="00E671D2">
            <w:pPr>
              <w:spacing w:after="0" w:line="276" w:lineRule="auto"/>
              <w:rPr>
                <w:rFonts w:ascii="Times New Roman" w:hAnsi="Times New Roman" w:cs="Times New Roman"/>
                <w:sz w:val="28"/>
                <w:szCs w:val="28"/>
              </w:rPr>
            </w:pPr>
            <w:r>
              <w:rPr>
                <w:rFonts w:ascii="Cambria Math" w:eastAsia="Calibri" w:hAnsi="Cambria Math" w:cs="Cambria Math"/>
                <w:sz w:val="28"/>
                <w:szCs w:val="28"/>
              </w:rPr>
              <w:t>‐</w:t>
            </w:r>
            <w:r>
              <w:rPr>
                <w:rFonts w:ascii="Times New Roman" w:eastAsia="Calibri" w:hAnsi="Times New Roman" w:cs="Times New Roman"/>
                <w:sz w:val="28"/>
                <w:szCs w:val="28"/>
              </w:rPr>
              <w:t xml:space="preserve"> між бажаннями </w:t>
            </w:r>
          </w:p>
        </w:tc>
        <w:tc>
          <w:tcPr>
            <w:tcW w:w="2927"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rPr>
            </w:pPr>
            <w:r>
              <w:rPr>
                <w:rFonts w:ascii="Times New Roman" w:eastAsia="Calibri" w:hAnsi="Times New Roman" w:cs="Times New Roman"/>
                <w:sz w:val="28"/>
                <w:szCs w:val="28"/>
              </w:rPr>
              <w:t xml:space="preserve"> </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rPr>
            </w:pPr>
            <w:r>
              <w:rPr>
                <w:rFonts w:ascii="Times New Roman" w:eastAsia="Calibri" w:hAnsi="Times New Roman" w:cs="Times New Roman"/>
                <w:sz w:val="28"/>
                <w:szCs w:val="28"/>
              </w:rPr>
              <w:t xml:space="preserve"> </w:t>
            </w:r>
          </w:p>
        </w:tc>
      </w:tr>
      <w:tr w:rsidR="00F1629C">
        <w:trPr>
          <w:trHeight w:val="889"/>
        </w:trPr>
        <w:tc>
          <w:tcPr>
            <w:tcW w:w="3278"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right="212"/>
              <w:rPr>
                <w:rFonts w:ascii="Times New Roman" w:hAnsi="Times New Roman" w:cs="Times New Roman"/>
                <w:sz w:val="28"/>
                <w:szCs w:val="28"/>
              </w:rPr>
            </w:pPr>
            <w:r>
              <w:rPr>
                <w:rFonts w:ascii="Times New Roman" w:eastAsia="Calibri" w:hAnsi="Times New Roman" w:cs="Times New Roman"/>
                <w:sz w:val="28"/>
                <w:szCs w:val="28"/>
              </w:rPr>
              <w:t xml:space="preserve">5.  За характером конкурентних переваг </w:t>
            </w:r>
            <w:r>
              <w:rPr>
                <w:rFonts w:ascii="Cambria Math" w:eastAsia="Calibri" w:hAnsi="Cambria Math" w:cs="Cambria Math"/>
                <w:sz w:val="28"/>
                <w:szCs w:val="28"/>
              </w:rPr>
              <w:t>‐</w:t>
            </w:r>
            <w:r>
              <w:rPr>
                <w:rFonts w:ascii="Times New Roman" w:eastAsia="Calibri" w:hAnsi="Times New Roman" w:cs="Times New Roman"/>
                <w:sz w:val="28"/>
                <w:szCs w:val="28"/>
              </w:rPr>
              <w:t xml:space="preserve"> цінова / нецінова </w:t>
            </w:r>
          </w:p>
        </w:tc>
        <w:tc>
          <w:tcPr>
            <w:tcW w:w="2927" w:type="dxa"/>
            <w:tcBorders>
              <w:top w:val="single" w:sz="4" w:space="0" w:color="000000"/>
              <w:left w:val="single" w:sz="4" w:space="0" w:color="000000"/>
              <w:bottom w:val="single" w:sz="4" w:space="0" w:color="000000"/>
              <w:right w:val="single" w:sz="4" w:space="0" w:color="000000"/>
            </w:tcBorders>
          </w:tcPr>
          <w:p w:rsidR="00F1629C" w:rsidRDefault="00E671D2">
            <w:pPr>
              <w:pStyle w:val="af4"/>
              <w:spacing w:line="276" w:lineRule="auto"/>
              <w:ind w:left="0" w:firstLine="0"/>
              <w:rPr>
                <w:sz w:val="28"/>
                <w:szCs w:val="28"/>
                <w:lang w:val="en"/>
              </w:rPr>
            </w:pPr>
            <w:r>
              <w:rPr>
                <w:sz w:val="28"/>
                <w:szCs w:val="28"/>
                <w:lang w:val="en"/>
              </w:rPr>
              <w:t>Нецінова</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lang w:val="en"/>
              </w:rPr>
            </w:pPr>
            <w:r>
              <w:rPr>
                <w:rFonts w:ascii="Times New Roman" w:eastAsia="Calibri" w:hAnsi="Times New Roman" w:cs="Times New Roman"/>
                <w:sz w:val="28"/>
                <w:szCs w:val="28"/>
                <w:lang w:val="en"/>
              </w:rPr>
              <w:t>Ми</w:t>
            </w:r>
            <w:r>
              <w:rPr>
                <w:rFonts w:ascii="Times New Roman" w:eastAsia="Calibri" w:hAnsi="Times New Roman" w:cs="Times New Roman"/>
                <w:sz w:val="28"/>
                <w:szCs w:val="28"/>
                <w:lang w:val="en"/>
              </w:rPr>
              <w:t xml:space="preserve"> боремося з всесвітньо відомим брендом, тому необхідна якісна та креативна реклама</w:t>
            </w:r>
          </w:p>
        </w:tc>
      </w:tr>
      <w:tr w:rsidR="00F1629C">
        <w:trPr>
          <w:trHeight w:val="596"/>
        </w:trPr>
        <w:tc>
          <w:tcPr>
            <w:tcW w:w="3278"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right="817"/>
              <w:rPr>
                <w:rFonts w:ascii="Times New Roman" w:hAnsi="Times New Roman" w:cs="Times New Roman"/>
                <w:sz w:val="28"/>
                <w:szCs w:val="28"/>
              </w:rPr>
            </w:pPr>
            <w:r>
              <w:rPr>
                <w:rFonts w:ascii="Times New Roman" w:eastAsia="Calibri" w:hAnsi="Times New Roman" w:cs="Times New Roman"/>
                <w:sz w:val="28"/>
                <w:szCs w:val="28"/>
              </w:rPr>
              <w:t xml:space="preserve">6. За інтенсивністю </w:t>
            </w:r>
            <w:r>
              <w:rPr>
                <w:rFonts w:ascii="Cambria Math" w:eastAsia="Calibri" w:hAnsi="Cambria Math" w:cs="Cambria Math"/>
                <w:sz w:val="28"/>
                <w:szCs w:val="28"/>
              </w:rPr>
              <w:t>‐</w:t>
            </w:r>
            <w:r>
              <w:rPr>
                <w:rFonts w:ascii="Times New Roman" w:eastAsia="Calibri" w:hAnsi="Times New Roman" w:cs="Times New Roman"/>
                <w:sz w:val="28"/>
                <w:szCs w:val="28"/>
              </w:rPr>
              <w:t xml:space="preserve"> марочна/не марочна </w:t>
            </w:r>
          </w:p>
        </w:tc>
        <w:tc>
          <w:tcPr>
            <w:tcW w:w="2927"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rPr>
            </w:pPr>
            <w:r>
              <w:rPr>
                <w:rFonts w:ascii="Times New Roman" w:eastAsia="Calibri" w:hAnsi="Times New Roman" w:cs="Times New Roman"/>
                <w:sz w:val="28"/>
                <w:szCs w:val="28"/>
              </w:rPr>
              <w:t xml:space="preserve"> </w:t>
            </w:r>
          </w:p>
        </w:tc>
        <w:tc>
          <w:tcPr>
            <w:tcW w:w="365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8"/>
                <w:szCs w:val="28"/>
              </w:rPr>
            </w:pPr>
            <w:r>
              <w:rPr>
                <w:rFonts w:ascii="Times New Roman" w:eastAsia="Calibri" w:hAnsi="Times New Roman" w:cs="Times New Roman"/>
                <w:sz w:val="28"/>
                <w:szCs w:val="28"/>
              </w:rPr>
              <w:t xml:space="preserve"> </w:t>
            </w:r>
          </w:p>
        </w:tc>
      </w:tr>
    </w:tbl>
    <w:p w:rsidR="00F1629C" w:rsidRDefault="00E671D2">
      <w:pPr>
        <w:tabs>
          <w:tab w:val="left" w:pos="284"/>
        </w:tabs>
        <w:spacing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4.8 Аналіз конкуренції в галузі за М. Портером</w:t>
      </w:r>
    </w:p>
    <w:p w:rsidR="00F1629C" w:rsidRDefault="00E671D2">
      <w:pPr>
        <w:tabs>
          <w:tab w:val="left" w:pos="284"/>
        </w:tabs>
        <w:spacing w:after="0" w:line="360" w:lineRule="auto"/>
        <w:ind w:firstLine="709"/>
        <w:rPr>
          <w:rFonts w:ascii="Times New Roman" w:hAnsi="Times New Roman" w:cs="Times New Roman"/>
          <w:i/>
          <w:sz w:val="28"/>
          <w:szCs w:val="28"/>
        </w:rPr>
      </w:pPr>
      <w:r>
        <w:rPr>
          <w:rFonts w:ascii="Times New Roman" w:hAnsi="Times New Roman" w:cs="Times New Roman"/>
          <w:sz w:val="28"/>
          <w:szCs w:val="28"/>
        </w:rPr>
        <w:t xml:space="preserve"> Таблиця 4.7 Аналіз  конкуренції</w:t>
      </w:r>
      <w:r>
        <w:rPr>
          <w:rFonts w:ascii="Times New Roman" w:hAnsi="Times New Roman" w:cs="Times New Roman"/>
          <w:i/>
          <w:sz w:val="28"/>
          <w:szCs w:val="28"/>
        </w:rPr>
        <w:t xml:space="preserve"> </w:t>
      </w:r>
    </w:p>
    <w:tbl>
      <w:tblPr>
        <w:tblStyle w:val="TableGrid"/>
        <w:tblW w:w="9806" w:type="dxa"/>
        <w:tblInd w:w="0" w:type="dxa"/>
        <w:tblLayout w:type="fixed"/>
        <w:tblCellMar>
          <w:top w:w="53" w:type="dxa"/>
          <w:left w:w="102" w:type="dxa"/>
          <w:right w:w="66" w:type="dxa"/>
        </w:tblCellMar>
        <w:tblLook w:val="04A0" w:firstRow="1" w:lastRow="0" w:firstColumn="1" w:lastColumn="0" w:noHBand="0" w:noVBand="1"/>
      </w:tblPr>
      <w:tblGrid>
        <w:gridCol w:w="1071"/>
        <w:gridCol w:w="1730"/>
        <w:gridCol w:w="2385"/>
        <w:gridCol w:w="1566"/>
        <w:gridCol w:w="1178"/>
        <w:gridCol w:w="1876"/>
      </w:tblGrid>
      <w:tr w:rsidR="00F1629C">
        <w:trPr>
          <w:trHeight w:val="596"/>
        </w:trPr>
        <w:tc>
          <w:tcPr>
            <w:tcW w:w="1071" w:type="dxa"/>
            <w:vMerge w:val="restart"/>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jc w:val="center"/>
              <w:rPr>
                <w:rFonts w:ascii="Times New Roman" w:hAnsi="Times New Roman" w:cs="Times New Roman"/>
                <w:sz w:val="24"/>
                <w:szCs w:val="24"/>
              </w:rPr>
            </w:pPr>
            <w:r>
              <w:rPr>
                <w:rFonts w:ascii="Times New Roman" w:eastAsia="Calibri" w:hAnsi="Times New Roman" w:cs="Times New Roman"/>
                <w:i/>
                <w:sz w:val="24"/>
                <w:szCs w:val="24"/>
              </w:rPr>
              <w:t xml:space="preserve">Складові аналізу </w:t>
            </w:r>
          </w:p>
        </w:tc>
        <w:tc>
          <w:tcPr>
            <w:tcW w:w="17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82" w:hanging="138"/>
              <w:rPr>
                <w:rFonts w:ascii="Times New Roman" w:hAnsi="Times New Roman" w:cs="Times New Roman"/>
                <w:sz w:val="24"/>
                <w:szCs w:val="24"/>
              </w:rPr>
            </w:pPr>
            <w:r>
              <w:rPr>
                <w:rFonts w:ascii="Times New Roman" w:eastAsia="Calibri" w:hAnsi="Times New Roman" w:cs="Times New Roman"/>
                <w:i/>
                <w:sz w:val="24"/>
                <w:szCs w:val="24"/>
              </w:rPr>
              <w:t xml:space="preserve">Прямі конкуренти в галузі </w:t>
            </w:r>
          </w:p>
        </w:tc>
        <w:tc>
          <w:tcPr>
            <w:tcW w:w="238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jc w:val="center"/>
              <w:rPr>
                <w:rFonts w:ascii="Times New Roman" w:hAnsi="Times New Roman" w:cs="Times New Roman"/>
                <w:sz w:val="24"/>
                <w:szCs w:val="24"/>
              </w:rPr>
            </w:pPr>
            <w:r>
              <w:rPr>
                <w:rFonts w:ascii="Times New Roman" w:eastAsia="Calibri" w:hAnsi="Times New Roman" w:cs="Times New Roman"/>
                <w:i/>
                <w:sz w:val="24"/>
                <w:szCs w:val="24"/>
              </w:rPr>
              <w:t xml:space="preserve">Потенційні конкуренти </w:t>
            </w:r>
          </w:p>
        </w:tc>
        <w:tc>
          <w:tcPr>
            <w:tcW w:w="156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65" w:hanging="622"/>
              <w:rPr>
                <w:rFonts w:ascii="Times New Roman" w:hAnsi="Times New Roman" w:cs="Times New Roman"/>
                <w:sz w:val="24"/>
                <w:szCs w:val="24"/>
              </w:rPr>
            </w:pPr>
            <w:r>
              <w:rPr>
                <w:rFonts w:ascii="Times New Roman" w:eastAsia="Calibri" w:hAnsi="Times New Roman" w:cs="Times New Roman"/>
                <w:i/>
                <w:sz w:val="24"/>
                <w:szCs w:val="24"/>
              </w:rPr>
              <w:t xml:space="preserve">Постачальники </w:t>
            </w:r>
          </w:p>
        </w:tc>
        <w:tc>
          <w:tcPr>
            <w:tcW w:w="1178" w:type="dxa"/>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jc w:val="center"/>
              <w:rPr>
                <w:rFonts w:ascii="Times New Roman" w:hAnsi="Times New Roman" w:cs="Times New Roman"/>
                <w:sz w:val="24"/>
                <w:szCs w:val="24"/>
              </w:rPr>
            </w:pPr>
            <w:r>
              <w:rPr>
                <w:rFonts w:ascii="Times New Roman" w:eastAsia="Calibri" w:hAnsi="Times New Roman" w:cs="Times New Roman"/>
                <w:i/>
                <w:sz w:val="24"/>
                <w:szCs w:val="24"/>
              </w:rPr>
              <w:t xml:space="preserve">Клієнти </w:t>
            </w:r>
          </w:p>
        </w:tc>
        <w:tc>
          <w:tcPr>
            <w:tcW w:w="18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51" w:firstLine="127"/>
              <w:rPr>
                <w:rFonts w:ascii="Times New Roman" w:hAnsi="Times New Roman" w:cs="Times New Roman"/>
                <w:sz w:val="24"/>
                <w:szCs w:val="24"/>
              </w:rPr>
            </w:pPr>
            <w:r>
              <w:rPr>
                <w:rFonts w:ascii="Times New Roman" w:eastAsia="Calibri" w:hAnsi="Times New Roman" w:cs="Times New Roman"/>
                <w:i/>
                <w:sz w:val="24"/>
                <w:szCs w:val="24"/>
              </w:rPr>
              <w:t xml:space="preserve">Товаризамінники </w:t>
            </w:r>
          </w:p>
        </w:tc>
      </w:tr>
      <w:tr w:rsidR="00F1629C">
        <w:trPr>
          <w:trHeight w:val="1182"/>
        </w:trPr>
        <w:tc>
          <w:tcPr>
            <w:tcW w:w="1071" w:type="dxa"/>
            <w:vMerge/>
            <w:tcBorders>
              <w:top w:val="nil"/>
              <w:left w:val="single" w:sz="4" w:space="0" w:color="000000"/>
              <w:bottom w:val="single" w:sz="4" w:space="0" w:color="000000"/>
              <w:right w:val="single" w:sz="4" w:space="0" w:color="000000"/>
            </w:tcBorders>
          </w:tcPr>
          <w:p w:rsidR="00F1629C" w:rsidRDefault="00F1629C">
            <w:pPr>
              <w:spacing w:after="0" w:line="276" w:lineRule="auto"/>
              <w:rPr>
                <w:rFonts w:ascii="Times New Roman" w:hAnsi="Times New Roman" w:cs="Times New Roman"/>
                <w:sz w:val="24"/>
                <w:szCs w:val="24"/>
              </w:rPr>
            </w:pPr>
          </w:p>
        </w:tc>
        <w:tc>
          <w:tcPr>
            <w:tcW w:w="1730" w:type="dxa"/>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ind w:left="26" w:firstLine="31"/>
              <w:rPr>
                <w:rFonts w:ascii="Times New Roman" w:eastAsia="Calibri" w:hAnsi="Times New Roman" w:cs="Times New Roman"/>
                <w:i/>
                <w:sz w:val="24"/>
                <w:szCs w:val="24"/>
              </w:rPr>
            </w:pPr>
            <w:r>
              <w:rPr>
                <w:rFonts w:ascii="Times New Roman" w:eastAsia="Calibri" w:hAnsi="Times New Roman" w:cs="Times New Roman"/>
                <w:i/>
                <w:sz w:val="24"/>
                <w:szCs w:val="24"/>
              </w:rPr>
              <w:t xml:space="preserve">Навести перелік прямих конкурентів </w:t>
            </w:r>
          </w:p>
          <w:p w:rsidR="00F1629C" w:rsidRDefault="00E671D2">
            <w:pPr>
              <w:spacing w:after="0" w:line="276" w:lineRule="auto"/>
              <w:ind w:left="26" w:firstLine="31"/>
              <w:rPr>
                <w:rFonts w:ascii="Times New Roman" w:eastAsia="Times New Roman" w:hAnsi="Times New Roman" w:cs="Times New Roman"/>
                <w:sz w:val="18"/>
                <w:szCs w:val="18"/>
                <w:lang w:val="en"/>
              </w:rPr>
            </w:pPr>
            <w:r>
              <w:rPr>
                <w:rFonts w:ascii="Times New Roman" w:eastAsia="Times New Roman" w:hAnsi="Times New Roman" w:cs="Times New Roman"/>
                <w:sz w:val="18"/>
                <w:szCs w:val="18"/>
                <w:lang w:val="en"/>
              </w:rPr>
              <w:t>Katadyn</w:t>
            </w:r>
          </w:p>
          <w:p w:rsidR="00F1629C" w:rsidRDefault="00E671D2">
            <w:pPr>
              <w:spacing w:after="0" w:line="276" w:lineRule="auto"/>
              <w:ind w:left="26" w:firstLine="31"/>
              <w:rPr>
                <w:rFonts w:ascii="Times New Roman" w:eastAsia="Times New Roman" w:hAnsi="Times New Roman" w:cs="Times New Roman"/>
                <w:sz w:val="18"/>
                <w:szCs w:val="18"/>
                <w:lang w:val="en"/>
              </w:rPr>
            </w:pPr>
            <w:r>
              <w:rPr>
                <w:rFonts w:ascii="Times New Roman" w:eastAsia="Times New Roman" w:hAnsi="Times New Roman" w:cs="Times New Roman"/>
                <w:sz w:val="18"/>
                <w:szCs w:val="18"/>
                <w:lang w:val="en"/>
              </w:rPr>
              <w:t>Zepter</w:t>
            </w:r>
          </w:p>
          <w:p w:rsidR="00F1629C" w:rsidRDefault="00E671D2">
            <w:pPr>
              <w:spacing w:after="0" w:line="276" w:lineRule="auto"/>
              <w:ind w:left="26" w:firstLine="31"/>
              <w:rPr>
                <w:rFonts w:ascii="Times New Roman" w:eastAsia="Times New Roman" w:hAnsi="Times New Roman" w:cs="Times New Roman"/>
                <w:sz w:val="18"/>
                <w:szCs w:val="18"/>
                <w:lang w:val="en"/>
              </w:rPr>
            </w:pPr>
            <w:r>
              <w:rPr>
                <w:rFonts w:ascii="Times New Roman" w:eastAsia="Times New Roman" w:hAnsi="Times New Roman" w:cs="Times New Roman"/>
                <w:sz w:val="18"/>
                <w:szCs w:val="18"/>
                <w:lang w:val="en"/>
              </w:rPr>
              <w:t>SteriPen</w:t>
            </w:r>
          </w:p>
          <w:p w:rsidR="00F1629C" w:rsidRDefault="00E671D2">
            <w:pPr>
              <w:spacing w:after="0" w:line="276" w:lineRule="auto"/>
              <w:ind w:left="26" w:firstLine="31"/>
              <w:rPr>
                <w:rFonts w:ascii="Times New Roman" w:eastAsia="Times New Roman" w:hAnsi="Times New Roman" w:cs="Times New Roman"/>
                <w:sz w:val="18"/>
                <w:szCs w:val="18"/>
                <w:lang w:val="en"/>
              </w:rPr>
            </w:pPr>
            <w:r>
              <w:rPr>
                <w:rFonts w:ascii="Times New Roman" w:eastAsia="Times New Roman" w:hAnsi="Times New Roman" w:cs="Times New Roman"/>
                <w:sz w:val="18"/>
                <w:szCs w:val="18"/>
                <w:lang w:val="en"/>
              </w:rPr>
              <w:t>Xiaomi</w:t>
            </w:r>
          </w:p>
          <w:p w:rsidR="00F1629C" w:rsidRDefault="00E671D2">
            <w:pPr>
              <w:spacing w:after="0" w:line="276" w:lineRule="auto"/>
              <w:ind w:left="26" w:firstLine="31"/>
              <w:rPr>
                <w:rFonts w:ascii="Times New Roman" w:eastAsia="Times New Roman" w:hAnsi="Times New Roman" w:cs="Times New Roman"/>
                <w:sz w:val="18"/>
                <w:szCs w:val="18"/>
                <w:lang w:val="en"/>
              </w:rPr>
            </w:pPr>
            <w:r>
              <w:rPr>
                <w:rFonts w:ascii="Times New Roman" w:eastAsia="Times New Roman" w:hAnsi="Times New Roman" w:cs="Times New Roman"/>
                <w:sz w:val="18"/>
                <w:szCs w:val="18"/>
                <w:lang w:val="en"/>
              </w:rPr>
              <w:t>Brita</w:t>
            </w:r>
          </w:p>
        </w:tc>
        <w:tc>
          <w:tcPr>
            <w:tcW w:w="2385" w:type="dxa"/>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ind w:left="40" w:firstLine="236"/>
              <w:rPr>
                <w:rFonts w:ascii="Times New Roman" w:eastAsia="Calibri" w:hAnsi="Times New Roman" w:cs="Times New Roman"/>
                <w:i/>
                <w:sz w:val="24"/>
                <w:szCs w:val="24"/>
              </w:rPr>
            </w:pPr>
            <w:r>
              <w:rPr>
                <w:rFonts w:ascii="Times New Roman" w:eastAsia="Calibri" w:hAnsi="Times New Roman" w:cs="Times New Roman"/>
                <w:i/>
                <w:sz w:val="24"/>
                <w:szCs w:val="24"/>
              </w:rPr>
              <w:t xml:space="preserve">Визначити бар’єри входження в ринок </w:t>
            </w:r>
          </w:p>
          <w:p w:rsidR="00F1629C" w:rsidRDefault="00E671D2">
            <w:pPr>
              <w:pStyle w:val="af4"/>
              <w:numPr>
                <w:ilvl w:val="0"/>
                <w:numId w:val="6"/>
              </w:numPr>
              <w:spacing w:line="276" w:lineRule="auto"/>
              <w:rPr>
                <w:sz w:val="24"/>
                <w:szCs w:val="24"/>
              </w:rPr>
            </w:pPr>
            <w:r>
              <w:rPr>
                <w:sz w:val="24"/>
                <w:szCs w:val="24"/>
              </w:rPr>
              <w:t>ціна виробництва одиниці обладнання;</w:t>
            </w:r>
          </w:p>
          <w:p w:rsidR="00F1629C" w:rsidRDefault="00E671D2">
            <w:pPr>
              <w:pStyle w:val="af4"/>
              <w:numPr>
                <w:ilvl w:val="0"/>
                <w:numId w:val="6"/>
              </w:numPr>
              <w:spacing w:line="276" w:lineRule="auto"/>
              <w:rPr>
                <w:sz w:val="24"/>
                <w:szCs w:val="24"/>
              </w:rPr>
            </w:pPr>
            <w:r>
              <w:rPr>
                <w:sz w:val="24"/>
                <w:szCs w:val="24"/>
              </w:rPr>
              <w:t>наявність велик</w:t>
            </w:r>
            <w:r>
              <w:rPr>
                <w:sz w:val="24"/>
                <w:szCs w:val="24"/>
                <w:lang w:val="en"/>
              </w:rPr>
              <w:t>ої</w:t>
            </w:r>
            <w:r>
              <w:rPr>
                <w:sz w:val="24"/>
                <w:szCs w:val="24"/>
                <w:lang w:val="en"/>
              </w:rPr>
              <w:t xml:space="preserve"> </w:t>
            </w:r>
            <w:r>
              <w:rPr>
                <w:sz w:val="24"/>
                <w:szCs w:val="24"/>
              </w:rPr>
              <w:t>всесвітньовідом</w:t>
            </w:r>
            <w:r>
              <w:rPr>
                <w:sz w:val="24"/>
                <w:szCs w:val="24"/>
                <w:lang w:val="en"/>
              </w:rPr>
              <w:t>ої</w:t>
            </w:r>
            <w:r>
              <w:rPr>
                <w:sz w:val="24"/>
                <w:szCs w:val="24"/>
              </w:rPr>
              <w:t xml:space="preserve"> компані</w:t>
            </w:r>
            <w:r>
              <w:rPr>
                <w:sz w:val="24"/>
                <w:szCs w:val="24"/>
                <w:lang w:val="en"/>
              </w:rPr>
              <w:t>ї</w:t>
            </w:r>
            <w:r>
              <w:rPr>
                <w:sz w:val="24"/>
                <w:szCs w:val="24"/>
              </w:rPr>
              <w:t>;</w:t>
            </w:r>
          </w:p>
          <w:p w:rsidR="00F1629C" w:rsidRDefault="00E671D2">
            <w:pPr>
              <w:pStyle w:val="af4"/>
              <w:numPr>
                <w:ilvl w:val="0"/>
                <w:numId w:val="6"/>
              </w:numPr>
              <w:spacing w:line="276" w:lineRule="auto"/>
              <w:rPr>
                <w:sz w:val="24"/>
                <w:szCs w:val="24"/>
              </w:rPr>
            </w:pPr>
            <w:r>
              <w:rPr>
                <w:sz w:val="24"/>
                <w:szCs w:val="24"/>
              </w:rPr>
              <w:t xml:space="preserve">потенційні клієнти вже </w:t>
            </w:r>
            <w:r>
              <w:rPr>
                <w:sz w:val="24"/>
                <w:szCs w:val="24"/>
                <w:lang w:val="en"/>
              </w:rPr>
              <w:t>звикли</w:t>
            </w:r>
            <w:r>
              <w:rPr>
                <w:sz w:val="24"/>
                <w:szCs w:val="24"/>
                <w:lang w:val="en"/>
              </w:rPr>
              <w:t xml:space="preserve"> до своєї фірми</w:t>
            </w:r>
          </w:p>
        </w:tc>
        <w:tc>
          <w:tcPr>
            <w:tcW w:w="1566" w:type="dxa"/>
            <w:tcBorders>
              <w:top w:val="single" w:sz="4" w:space="0" w:color="000000"/>
              <w:left w:val="single" w:sz="4" w:space="0" w:color="000000"/>
              <w:bottom w:val="single" w:sz="4" w:space="0" w:color="000000"/>
              <w:right w:val="single" w:sz="4" w:space="0" w:color="000000"/>
            </w:tcBorders>
          </w:tcPr>
          <w:p w:rsidR="00F1629C" w:rsidRDefault="00E671D2">
            <w:pPr>
              <w:spacing w:after="37" w:line="248" w:lineRule="auto"/>
              <w:jc w:val="center"/>
              <w:rPr>
                <w:rFonts w:ascii="Times New Roman" w:eastAsia="Calibri" w:hAnsi="Times New Roman" w:cs="Times New Roman"/>
                <w:i/>
                <w:sz w:val="24"/>
                <w:szCs w:val="24"/>
              </w:rPr>
            </w:pPr>
            <w:r>
              <w:rPr>
                <w:rFonts w:ascii="Times New Roman" w:eastAsia="Calibri" w:hAnsi="Times New Roman" w:cs="Times New Roman"/>
                <w:i/>
                <w:sz w:val="24"/>
                <w:szCs w:val="24"/>
              </w:rPr>
              <w:t xml:space="preserve">Визначити фактори сили постачальників </w:t>
            </w:r>
          </w:p>
          <w:p w:rsidR="00F1629C" w:rsidRDefault="00F1629C">
            <w:pPr>
              <w:spacing w:after="37" w:line="248" w:lineRule="auto"/>
              <w:jc w:val="center"/>
              <w:rPr>
                <w:rFonts w:ascii="Times New Roman" w:eastAsia="Calibri" w:hAnsi="Times New Roman" w:cs="Times New Roman"/>
                <w:i/>
                <w:sz w:val="24"/>
                <w:szCs w:val="24"/>
              </w:rPr>
            </w:pPr>
          </w:p>
        </w:tc>
        <w:tc>
          <w:tcPr>
            <w:tcW w:w="1178" w:type="dxa"/>
            <w:tcBorders>
              <w:top w:val="single" w:sz="4" w:space="0" w:color="000000"/>
              <w:left w:val="single" w:sz="4" w:space="0" w:color="000000"/>
              <w:bottom w:val="single" w:sz="4" w:space="0" w:color="000000"/>
              <w:right w:val="single" w:sz="4" w:space="0" w:color="000000"/>
            </w:tcBorders>
          </w:tcPr>
          <w:p w:rsidR="00F1629C" w:rsidRDefault="00E671D2">
            <w:pPr>
              <w:spacing w:after="37" w:line="248" w:lineRule="auto"/>
              <w:jc w:val="center"/>
              <w:rPr>
                <w:rFonts w:ascii="Times New Roman" w:hAnsi="Times New Roman" w:cs="Times New Roman"/>
                <w:sz w:val="24"/>
                <w:szCs w:val="24"/>
              </w:rPr>
            </w:pPr>
            <w:r>
              <w:rPr>
                <w:rFonts w:ascii="Times New Roman" w:eastAsia="Calibri" w:hAnsi="Times New Roman" w:cs="Times New Roman"/>
                <w:i/>
                <w:sz w:val="24"/>
                <w:szCs w:val="24"/>
              </w:rPr>
              <w:t xml:space="preserve">Визначити фактори сили споживачів </w:t>
            </w:r>
          </w:p>
        </w:tc>
        <w:tc>
          <w:tcPr>
            <w:tcW w:w="1876" w:type="dxa"/>
            <w:tcBorders>
              <w:top w:val="single" w:sz="4" w:space="0" w:color="000000"/>
              <w:left w:val="single" w:sz="4" w:space="0" w:color="000000"/>
              <w:bottom w:val="single" w:sz="4" w:space="0" w:color="000000"/>
              <w:right w:val="single" w:sz="4" w:space="0" w:color="000000"/>
            </w:tcBorders>
          </w:tcPr>
          <w:p w:rsidR="00F1629C" w:rsidRDefault="00E671D2">
            <w:pPr>
              <w:spacing w:after="36" w:line="240" w:lineRule="auto"/>
              <w:jc w:val="center"/>
              <w:rPr>
                <w:rFonts w:ascii="Times New Roman" w:hAnsi="Times New Roman" w:cs="Times New Roman"/>
                <w:sz w:val="24"/>
                <w:szCs w:val="24"/>
              </w:rPr>
            </w:pPr>
            <w:r>
              <w:rPr>
                <w:rFonts w:ascii="Times New Roman" w:eastAsia="Calibri" w:hAnsi="Times New Roman" w:cs="Times New Roman"/>
                <w:i/>
                <w:sz w:val="24"/>
                <w:szCs w:val="24"/>
              </w:rPr>
              <w:t xml:space="preserve">Фактори загроз з боку замінників </w:t>
            </w:r>
          </w:p>
        </w:tc>
      </w:tr>
      <w:tr w:rsidR="00F1629C">
        <w:trPr>
          <w:trHeight w:val="2062"/>
        </w:trPr>
        <w:tc>
          <w:tcPr>
            <w:tcW w:w="107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
              <w:rPr>
                <w:rFonts w:ascii="Times New Roman" w:hAnsi="Times New Roman" w:cs="Times New Roman"/>
                <w:sz w:val="24"/>
                <w:szCs w:val="24"/>
              </w:rPr>
            </w:pPr>
            <w:r>
              <w:rPr>
                <w:rFonts w:ascii="Times New Roman" w:eastAsia="Calibri" w:hAnsi="Times New Roman" w:cs="Times New Roman"/>
                <w:sz w:val="24"/>
                <w:szCs w:val="24"/>
              </w:rPr>
              <w:t xml:space="preserve">Висновки: </w:t>
            </w:r>
          </w:p>
        </w:tc>
        <w:tc>
          <w:tcPr>
            <w:tcW w:w="17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Визначити інтенсивність конкурентної боротьби з боку прямих конкурентів </w:t>
            </w:r>
          </w:p>
          <w:p w:rsidR="00F1629C" w:rsidRDefault="00E671D2">
            <w:pPr>
              <w:spacing w:after="0" w:line="276" w:lineRule="auto"/>
              <w:rPr>
                <w:rFonts w:ascii="Times New Roman" w:hAnsi="Times New Roman" w:cs="Times New Roman"/>
                <w:sz w:val="24"/>
                <w:szCs w:val="24"/>
                <w:lang w:val="en"/>
              </w:rPr>
            </w:pPr>
            <w:r>
              <w:rPr>
                <w:rFonts w:ascii="Times New Roman" w:eastAsia="Calibri" w:hAnsi="Times New Roman" w:cs="Times New Roman"/>
                <w:sz w:val="24"/>
                <w:szCs w:val="24"/>
                <w:lang w:val="en"/>
              </w:rPr>
              <w:t>На</w:t>
            </w:r>
            <w:r>
              <w:rPr>
                <w:rFonts w:ascii="Times New Roman" w:eastAsia="Calibri" w:hAnsi="Times New Roman" w:cs="Times New Roman"/>
                <w:sz w:val="24"/>
                <w:szCs w:val="24"/>
                <w:lang w:val="en"/>
              </w:rPr>
              <w:t xml:space="preserve"> початку конкурентний тиск не буде високим, нас просто не помічатимуть</w:t>
            </w:r>
          </w:p>
        </w:tc>
        <w:tc>
          <w:tcPr>
            <w:tcW w:w="2385" w:type="dxa"/>
            <w:tcBorders>
              <w:top w:val="single" w:sz="4" w:space="0" w:color="000000"/>
              <w:left w:val="single" w:sz="4" w:space="0" w:color="000000"/>
              <w:bottom w:val="single" w:sz="4" w:space="0" w:color="000000"/>
              <w:right w:val="single" w:sz="4" w:space="0" w:color="000000"/>
            </w:tcBorders>
          </w:tcPr>
          <w:p w:rsidR="00F1629C" w:rsidRDefault="00E671D2">
            <w:pPr>
              <w:spacing w:after="36" w:line="249" w:lineRule="auto"/>
              <w:rPr>
                <w:rFonts w:ascii="Times New Roman" w:hAnsi="Times New Roman" w:cs="Times New Roman"/>
                <w:sz w:val="24"/>
                <w:szCs w:val="24"/>
              </w:rPr>
            </w:pPr>
            <w:r>
              <w:rPr>
                <w:rFonts w:ascii="Cambria Math" w:eastAsia="Calibri" w:hAnsi="Cambria Math" w:cs="Cambria Math"/>
                <w:sz w:val="24"/>
                <w:szCs w:val="24"/>
              </w:rPr>
              <w:t>‐</w:t>
            </w:r>
            <w:r>
              <w:rPr>
                <w:rFonts w:ascii="Times New Roman" w:eastAsia="Calibri" w:hAnsi="Times New Roman" w:cs="Times New Roman"/>
                <w:sz w:val="24"/>
                <w:szCs w:val="24"/>
              </w:rPr>
              <w:t xml:space="preserve"> чи є можливості входу в ринок? </w:t>
            </w:r>
          </w:p>
          <w:p w:rsidR="00F1629C" w:rsidRDefault="00E671D2">
            <w:pPr>
              <w:spacing w:after="0" w:line="276" w:lineRule="auto"/>
              <w:ind w:right="16"/>
              <w:rPr>
                <w:rFonts w:ascii="Times New Roman" w:eastAsia="Calibri" w:hAnsi="Times New Roman" w:cs="Times New Roman"/>
                <w:sz w:val="24"/>
                <w:szCs w:val="24"/>
              </w:rPr>
            </w:pPr>
            <w:r>
              <w:rPr>
                <w:rFonts w:ascii="Cambria Math" w:eastAsia="Calibri" w:hAnsi="Cambria Math" w:cs="Cambria Math"/>
                <w:sz w:val="24"/>
                <w:szCs w:val="24"/>
              </w:rPr>
              <w:t>‐</w:t>
            </w:r>
            <w:r>
              <w:rPr>
                <w:rFonts w:ascii="Times New Roman" w:eastAsia="Calibri" w:hAnsi="Times New Roman" w:cs="Times New Roman"/>
                <w:sz w:val="24"/>
                <w:szCs w:val="24"/>
              </w:rPr>
              <w:t xml:space="preserve"> чи є потенційні конкуренти? Строки виходу їх на ринок? </w:t>
            </w:r>
          </w:p>
          <w:p w:rsidR="00F1629C" w:rsidRDefault="00F1629C">
            <w:pPr>
              <w:spacing w:after="0" w:line="276" w:lineRule="auto"/>
              <w:ind w:right="16"/>
              <w:rPr>
                <w:rFonts w:ascii="Times New Roman" w:eastAsia="Calibri" w:hAnsi="Times New Roman" w:cs="Times New Roman"/>
                <w:sz w:val="24"/>
                <w:szCs w:val="24"/>
              </w:rPr>
            </w:pPr>
          </w:p>
          <w:p w:rsidR="00F1629C" w:rsidRDefault="00E671D2">
            <w:pPr>
              <w:spacing w:after="0" w:line="276" w:lineRule="auto"/>
              <w:ind w:right="16"/>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Потенційних</w:t>
            </w:r>
            <w:r>
              <w:rPr>
                <w:rFonts w:ascii="Times New Roman" w:eastAsia="Calibri" w:hAnsi="Times New Roman" w:cs="Times New Roman"/>
                <w:sz w:val="24"/>
                <w:szCs w:val="24"/>
                <w:lang w:val="en"/>
              </w:rPr>
              <w:t xml:space="preserve"> прямих конкурентів практично немає, хібащо Xiaomi. Може вийти на ринок протягом 5-10 років, коли “розумних будинків” їм стане замало</w:t>
            </w:r>
          </w:p>
        </w:tc>
        <w:tc>
          <w:tcPr>
            <w:tcW w:w="156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Чи постачальники диктують умови роботи на ринку? Які? </w:t>
            </w:r>
          </w:p>
          <w:p w:rsidR="00F1629C" w:rsidRDefault="00F1629C">
            <w:pPr>
              <w:spacing w:after="0" w:line="276" w:lineRule="auto"/>
              <w:rPr>
                <w:rFonts w:ascii="Times New Roman" w:eastAsia="Calibri" w:hAnsi="Times New Roman" w:cs="Times New Roman"/>
                <w:sz w:val="24"/>
                <w:szCs w:val="24"/>
              </w:rPr>
            </w:pPr>
          </w:p>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У</w:t>
            </w:r>
            <w:r>
              <w:rPr>
                <w:rFonts w:ascii="Times New Roman" w:eastAsia="Calibri" w:hAnsi="Times New Roman" w:cs="Times New Roman"/>
                <w:sz w:val="24"/>
                <w:szCs w:val="24"/>
                <w:lang w:val="en"/>
              </w:rPr>
              <w:t xml:space="preserve"> моєму випадку ні, не диктують.</w:t>
            </w:r>
          </w:p>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Сировина для фільтрів дешева та р</w:t>
            </w:r>
            <w:r>
              <w:rPr>
                <w:rFonts w:ascii="Times New Roman" w:eastAsia="Calibri" w:hAnsi="Times New Roman" w:cs="Times New Roman"/>
                <w:sz w:val="24"/>
                <w:szCs w:val="24"/>
                <w:lang w:val="en"/>
              </w:rPr>
              <w:t>озповсюджена</w:t>
            </w:r>
          </w:p>
        </w:tc>
        <w:tc>
          <w:tcPr>
            <w:tcW w:w="1178" w:type="dxa"/>
            <w:tcBorders>
              <w:top w:val="single" w:sz="4" w:space="0" w:color="000000"/>
              <w:left w:val="single" w:sz="4" w:space="0" w:color="000000"/>
              <w:bottom w:val="single" w:sz="4" w:space="0" w:color="000000"/>
              <w:right w:val="single" w:sz="4" w:space="0" w:color="000000"/>
            </w:tcBorders>
          </w:tcPr>
          <w:p w:rsidR="00F1629C" w:rsidRDefault="00E671D2">
            <w:pPr>
              <w:spacing w:after="36" w:line="248" w:lineRule="auto"/>
              <w:rPr>
                <w:rFonts w:ascii="Times New Roman" w:hAnsi="Times New Roman" w:cs="Times New Roman"/>
                <w:sz w:val="24"/>
                <w:szCs w:val="24"/>
              </w:rPr>
            </w:pPr>
            <w:r>
              <w:rPr>
                <w:rFonts w:ascii="Times New Roman" w:eastAsia="Calibri" w:hAnsi="Times New Roman" w:cs="Times New Roman"/>
                <w:sz w:val="24"/>
                <w:szCs w:val="24"/>
              </w:rPr>
              <w:t xml:space="preserve">Чи клієнти диктують умови роботи на ринку? </w:t>
            </w:r>
          </w:p>
          <w:p w:rsidR="00F1629C" w:rsidRDefault="00E671D2">
            <w:pPr>
              <w:spacing w:after="0" w:line="276" w:lineRule="auto"/>
              <w:rPr>
                <w:rFonts w:ascii="Times New Roman" w:eastAsia="Calibri" w:hAnsi="Times New Roman" w:cs="Times New Roman"/>
                <w:sz w:val="24"/>
                <w:szCs w:val="24"/>
              </w:rPr>
            </w:pPr>
            <w:r>
              <w:rPr>
                <w:rFonts w:ascii="Times New Roman" w:eastAsia="Calibri" w:hAnsi="Times New Roman" w:cs="Times New Roman"/>
                <w:sz w:val="24"/>
                <w:szCs w:val="24"/>
              </w:rPr>
              <w:t>Які?</w:t>
            </w:r>
          </w:p>
          <w:p w:rsidR="00F1629C" w:rsidRDefault="00F1629C">
            <w:pPr>
              <w:spacing w:after="0" w:line="276" w:lineRule="auto"/>
              <w:rPr>
                <w:rFonts w:ascii="Times New Roman" w:eastAsia="Calibri" w:hAnsi="Times New Roman" w:cs="Times New Roman"/>
                <w:sz w:val="24"/>
                <w:szCs w:val="24"/>
              </w:rPr>
            </w:pPr>
          </w:p>
          <w:p w:rsidR="00F1629C" w:rsidRDefault="00E671D2">
            <w:pPr>
              <w:spacing w:after="0" w:line="276" w:lineRule="auto"/>
              <w:rPr>
                <w:rFonts w:ascii="Times New Roman" w:hAnsi="Times New Roman" w:cs="Times New Roman"/>
                <w:sz w:val="24"/>
                <w:szCs w:val="24"/>
              </w:rPr>
            </w:pPr>
            <w:r>
              <w:rPr>
                <w:rFonts w:ascii="Times New Roman" w:eastAsia="Calibri" w:hAnsi="Times New Roman" w:cs="Times New Roman"/>
                <w:sz w:val="24"/>
                <w:szCs w:val="24"/>
                <w:lang w:val="en"/>
              </w:rPr>
              <w:t>Так</w:t>
            </w:r>
            <w:r>
              <w:rPr>
                <w:rFonts w:ascii="Times New Roman" w:eastAsia="Calibri" w:hAnsi="Times New Roman" w:cs="Times New Roman"/>
                <w:sz w:val="24"/>
                <w:szCs w:val="24"/>
                <w:lang w:val="en"/>
              </w:rPr>
              <w:t>. Потребують високого ступеню очистки при найменших габаритах фільтру та найнижчій ціні</w:t>
            </w:r>
            <w:r>
              <w:rPr>
                <w:rFonts w:ascii="Times New Roman" w:eastAsia="Calibri" w:hAnsi="Times New Roman" w:cs="Times New Roman"/>
                <w:sz w:val="24"/>
                <w:szCs w:val="24"/>
              </w:rPr>
              <w:t xml:space="preserve"> </w:t>
            </w:r>
          </w:p>
        </w:tc>
        <w:tc>
          <w:tcPr>
            <w:tcW w:w="18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Обмеження для роботи на ринку через товари замінники </w:t>
            </w:r>
          </w:p>
          <w:p w:rsidR="00F1629C" w:rsidRDefault="00F1629C">
            <w:pPr>
              <w:spacing w:after="0" w:line="276" w:lineRule="auto"/>
              <w:rPr>
                <w:rFonts w:ascii="Times New Roman" w:eastAsia="Calibri" w:hAnsi="Times New Roman" w:cs="Times New Roman"/>
                <w:sz w:val="24"/>
                <w:szCs w:val="24"/>
              </w:rPr>
            </w:pPr>
          </w:p>
          <w:p w:rsidR="00F1629C" w:rsidRDefault="00F1629C">
            <w:pPr>
              <w:spacing w:after="0" w:line="276" w:lineRule="auto"/>
              <w:rPr>
                <w:rFonts w:ascii="Times New Roman" w:eastAsia="Calibri" w:hAnsi="Times New Roman" w:cs="Times New Roman"/>
                <w:sz w:val="24"/>
                <w:szCs w:val="24"/>
              </w:rPr>
            </w:pPr>
          </w:p>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Товарів</w:t>
            </w:r>
            <w:r>
              <w:rPr>
                <w:rFonts w:ascii="Times New Roman" w:eastAsia="Calibri" w:hAnsi="Times New Roman" w:cs="Times New Roman"/>
                <w:sz w:val="24"/>
                <w:szCs w:val="24"/>
                <w:lang w:val="en"/>
              </w:rPr>
              <w:t>-замінників, фактично, бути не може. Х</w:t>
            </w:r>
            <w:r>
              <w:rPr>
                <w:rFonts w:ascii="Times New Roman" w:eastAsia="Calibri" w:hAnsi="Times New Roman" w:cs="Times New Roman"/>
                <w:sz w:val="24"/>
                <w:szCs w:val="24"/>
                <w:lang w:val="en"/>
              </w:rPr>
              <w:t>іба що вода у пляшках. Можуть бути лише прямі конкуренти</w:t>
            </w:r>
          </w:p>
        </w:tc>
      </w:tr>
    </w:tbl>
    <w:p w:rsidR="00F1629C" w:rsidRDefault="00E671D2">
      <w:pPr>
        <w:tabs>
          <w:tab w:val="left" w:pos="284"/>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F1629C" w:rsidRDefault="00E671D2">
      <w:pPr>
        <w:tabs>
          <w:tab w:val="left" w:pos="284"/>
        </w:tabs>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4.9 Обгрунтування факторів конкурентоспроможності</w:t>
      </w:r>
    </w:p>
    <w:p w:rsidR="00F1629C" w:rsidRDefault="00E671D2">
      <w:pPr>
        <w:tabs>
          <w:tab w:val="left" w:pos="28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4.8 – Обгрунтування факторів конкурентоспроможності</w:t>
      </w:r>
    </w:p>
    <w:tbl>
      <w:tblPr>
        <w:tblStyle w:val="TableGrid"/>
        <w:tblW w:w="9861" w:type="dxa"/>
        <w:tblInd w:w="0" w:type="dxa"/>
        <w:tblLayout w:type="fixed"/>
        <w:tblCellMar>
          <w:top w:w="53" w:type="dxa"/>
          <w:left w:w="108" w:type="dxa"/>
          <w:right w:w="115" w:type="dxa"/>
        </w:tblCellMar>
        <w:tblLook w:val="04A0" w:firstRow="1" w:lastRow="0" w:firstColumn="1" w:lastColumn="0" w:noHBand="0" w:noVBand="1"/>
      </w:tblPr>
      <w:tblGrid>
        <w:gridCol w:w="557"/>
        <w:gridCol w:w="3874"/>
        <w:gridCol w:w="5430"/>
      </w:tblGrid>
      <w:tr w:rsidR="00F1629C">
        <w:trPr>
          <w:trHeight w:val="598"/>
        </w:trPr>
        <w:tc>
          <w:tcPr>
            <w:tcW w:w="557" w:type="dxa"/>
            <w:tcBorders>
              <w:top w:val="single" w:sz="4" w:space="0" w:color="000000"/>
              <w:left w:val="single" w:sz="4" w:space="0" w:color="000000"/>
              <w:bottom w:val="single" w:sz="4" w:space="0" w:color="000000"/>
              <w:right w:val="single" w:sz="4" w:space="0" w:color="000000"/>
            </w:tcBorders>
          </w:tcPr>
          <w:p w:rsidR="00F1629C" w:rsidRDefault="00E671D2">
            <w:pPr>
              <w:spacing w:after="36" w:line="240" w:lineRule="auto"/>
              <w:ind w:left="53"/>
              <w:rPr>
                <w:rFonts w:ascii="Times New Roman" w:hAnsi="Times New Roman" w:cs="Times New Roman"/>
                <w:sz w:val="24"/>
                <w:szCs w:val="24"/>
              </w:rPr>
            </w:pPr>
            <w:r>
              <w:rPr>
                <w:rFonts w:ascii="Times New Roman" w:eastAsia="Calibri" w:hAnsi="Times New Roman" w:cs="Times New Roman"/>
                <w:i/>
                <w:sz w:val="24"/>
                <w:szCs w:val="24"/>
              </w:rPr>
              <w:t xml:space="preserve">№ </w:t>
            </w:r>
          </w:p>
          <w:p w:rsidR="00F1629C" w:rsidRDefault="00E671D2">
            <w:pPr>
              <w:spacing w:after="0" w:line="276" w:lineRule="auto"/>
              <w:ind w:left="4"/>
              <w:rPr>
                <w:rFonts w:ascii="Times New Roman" w:hAnsi="Times New Roman" w:cs="Times New Roman"/>
                <w:sz w:val="24"/>
                <w:szCs w:val="24"/>
              </w:rPr>
            </w:pPr>
            <w:r>
              <w:rPr>
                <w:rFonts w:ascii="Times New Roman" w:eastAsia="Calibri" w:hAnsi="Times New Roman" w:cs="Times New Roman"/>
                <w:i/>
                <w:sz w:val="24"/>
                <w:szCs w:val="24"/>
              </w:rPr>
              <w:t xml:space="preserve">п/п </w:t>
            </w: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918" w:hanging="812"/>
              <w:rPr>
                <w:rFonts w:ascii="Times New Roman" w:hAnsi="Times New Roman" w:cs="Times New Roman"/>
                <w:sz w:val="24"/>
                <w:szCs w:val="24"/>
              </w:rPr>
            </w:pPr>
            <w:r>
              <w:rPr>
                <w:rFonts w:ascii="Times New Roman" w:eastAsia="Calibri" w:hAnsi="Times New Roman" w:cs="Times New Roman"/>
                <w:i/>
                <w:sz w:val="24"/>
                <w:szCs w:val="24"/>
              </w:rPr>
              <w:t xml:space="preserve">Фактор конкурентоспроможності </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jc w:val="center"/>
              <w:rPr>
                <w:rFonts w:ascii="Times New Roman" w:hAnsi="Times New Roman" w:cs="Times New Roman"/>
                <w:sz w:val="24"/>
                <w:szCs w:val="24"/>
              </w:rPr>
            </w:pPr>
            <w:r>
              <w:rPr>
                <w:rFonts w:ascii="Times New Roman" w:eastAsia="Calibri" w:hAnsi="Times New Roman" w:cs="Times New Roman"/>
                <w:i/>
                <w:sz w:val="24"/>
                <w:szCs w:val="24"/>
              </w:rPr>
              <w:t xml:space="preserve">Обґрунтування (наведення чинників, що роблять фактор для порівняння конкурентних проектів значущим) </w:t>
            </w:r>
          </w:p>
        </w:tc>
      </w:tr>
      <w:tr w:rsidR="00F1629C">
        <w:trPr>
          <w:trHeight w:val="302"/>
        </w:trPr>
        <w:tc>
          <w:tcPr>
            <w:tcW w:w="557"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4"/>
                <w:szCs w:val="24"/>
              </w:rPr>
            </w:pPr>
            <w:r>
              <w:rPr>
                <w:rFonts w:ascii="Times New Roman" w:eastAsia="Calibri" w:hAnsi="Times New Roman" w:cs="Times New Roman"/>
                <w:sz w:val="24"/>
                <w:szCs w:val="24"/>
              </w:rPr>
              <w:t xml:space="preserve"> </w:t>
            </w: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4"/>
                <w:szCs w:val="24"/>
              </w:rPr>
            </w:pP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Ціна </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sz w:val="24"/>
                <w:szCs w:val="24"/>
                <w:lang w:val="en"/>
              </w:rPr>
            </w:pPr>
            <w:r>
              <w:rPr>
                <w:rFonts w:ascii="Times New Roman" w:hAnsi="Times New Roman" w:cs="Times New Roman"/>
                <w:sz w:val="24"/>
                <w:szCs w:val="24"/>
                <w:lang w:val="en"/>
              </w:rPr>
              <w:t>Вкрай</w:t>
            </w:r>
            <w:r>
              <w:rPr>
                <w:rFonts w:ascii="Times New Roman" w:hAnsi="Times New Roman" w:cs="Times New Roman"/>
                <w:sz w:val="24"/>
                <w:szCs w:val="24"/>
                <w:lang w:val="en"/>
              </w:rPr>
              <w:t xml:space="preserve"> низька ціна для такого роду товарів.</w:t>
            </w:r>
          </w:p>
          <w:p w:rsidR="00F1629C" w:rsidRDefault="00E671D2">
            <w:pPr>
              <w:spacing w:after="0" w:line="276" w:lineRule="auto"/>
              <w:rPr>
                <w:rFonts w:ascii="Times New Roman" w:hAnsi="Times New Roman" w:cs="Times New Roman"/>
                <w:sz w:val="24"/>
                <w:szCs w:val="24"/>
                <w:lang w:val="en"/>
              </w:rPr>
            </w:pPr>
            <w:r>
              <w:rPr>
                <w:rFonts w:ascii="Times New Roman" w:hAnsi="Times New Roman" w:cs="Times New Roman"/>
                <w:sz w:val="24"/>
                <w:szCs w:val="24"/>
                <w:lang w:val="en"/>
              </w:rPr>
              <w:t>Туристичні товари не є товарами масового вжитку, що змушує конкурентів піднімати ціни</w:t>
            </w:r>
          </w:p>
        </w:tc>
      </w:tr>
      <w:tr w:rsidR="00F1629C">
        <w:trPr>
          <w:trHeight w:val="302"/>
        </w:trPr>
        <w:tc>
          <w:tcPr>
            <w:tcW w:w="557"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rPr>
                <w:rFonts w:ascii="Times New Roman" w:eastAsia="Calibri" w:hAnsi="Times New Roman" w:cs="Times New Roman"/>
                <w:sz w:val="24"/>
                <w:szCs w:val="24"/>
              </w:rPr>
            </w:pP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Ступінь </w:t>
            </w:r>
            <w:r>
              <w:rPr>
                <w:rFonts w:ascii="Times New Roman" w:eastAsia="Calibri" w:hAnsi="Times New Roman" w:cs="Times New Roman"/>
                <w:sz w:val="24"/>
                <w:szCs w:val="24"/>
              </w:rPr>
              <w:t>очистки</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Практично</w:t>
            </w:r>
            <w:r>
              <w:rPr>
                <w:rFonts w:ascii="Times New Roman" w:eastAsia="Calibri" w:hAnsi="Times New Roman" w:cs="Times New Roman"/>
                <w:sz w:val="24"/>
                <w:szCs w:val="24"/>
                <w:lang w:val="en"/>
              </w:rPr>
              <w:t xml:space="preserve"> повне виділення механічних домішок та важких металів з води, а також її часткове знезараження</w:t>
            </w:r>
          </w:p>
        </w:tc>
      </w:tr>
      <w:tr w:rsidR="00F1629C">
        <w:trPr>
          <w:trHeight w:val="302"/>
        </w:trPr>
        <w:tc>
          <w:tcPr>
            <w:tcW w:w="557"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rPr>
                <w:rFonts w:ascii="Times New Roman" w:eastAsia="Calibri" w:hAnsi="Times New Roman" w:cs="Times New Roman"/>
                <w:sz w:val="24"/>
                <w:szCs w:val="24"/>
              </w:rPr>
            </w:pP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Універсальність</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Гарантія</w:t>
            </w:r>
            <w:r>
              <w:rPr>
                <w:rFonts w:ascii="Times New Roman" w:eastAsia="Calibri" w:hAnsi="Times New Roman" w:cs="Times New Roman"/>
                <w:sz w:val="24"/>
                <w:szCs w:val="24"/>
                <w:lang w:val="en"/>
              </w:rPr>
              <w:t xml:space="preserve"> достатньо високої якості очистки на будь-якому водному об’єкті</w:t>
            </w:r>
          </w:p>
        </w:tc>
      </w:tr>
      <w:tr w:rsidR="00F1629C">
        <w:trPr>
          <w:trHeight w:val="302"/>
        </w:trPr>
        <w:tc>
          <w:tcPr>
            <w:tcW w:w="557"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rPr>
                <w:rFonts w:ascii="Times New Roman" w:eastAsia="Calibri" w:hAnsi="Times New Roman" w:cs="Times New Roman"/>
                <w:sz w:val="24"/>
                <w:szCs w:val="24"/>
              </w:rPr>
            </w:pP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Спеціалізованість</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 xml:space="preserve">“заточеність” товару під певний, </w:t>
            </w:r>
            <w:r>
              <w:rPr>
                <w:rFonts w:ascii="Times New Roman" w:eastAsia="Calibri" w:hAnsi="Times New Roman" w:cs="Times New Roman"/>
                <w:sz w:val="24"/>
                <w:szCs w:val="24"/>
                <w:lang w:val="en"/>
              </w:rPr>
              <w:t>вузький діапазон характеристик очищуваної води</w:t>
            </w:r>
          </w:p>
        </w:tc>
      </w:tr>
      <w:tr w:rsidR="00F1629C">
        <w:trPr>
          <w:trHeight w:val="302"/>
        </w:trPr>
        <w:tc>
          <w:tcPr>
            <w:tcW w:w="557"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rPr>
                <w:rFonts w:ascii="Times New Roman" w:eastAsia="Calibri" w:hAnsi="Times New Roman" w:cs="Times New Roman"/>
                <w:sz w:val="24"/>
                <w:szCs w:val="24"/>
              </w:rPr>
            </w:pP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Простота</w:t>
            </w:r>
            <w:r>
              <w:rPr>
                <w:rFonts w:ascii="Times New Roman" w:eastAsia="Calibri" w:hAnsi="Times New Roman" w:cs="Times New Roman"/>
                <w:sz w:val="24"/>
                <w:szCs w:val="24"/>
                <w:lang w:val="en"/>
              </w:rPr>
              <w:t xml:space="preserve"> експлуатації</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Необхідність</w:t>
            </w:r>
            <w:r>
              <w:rPr>
                <w:rFonts w:ascii="Times New Roman" w:eastAsia="Calibri" w:hAnsi="Times New Roman" w:cs="Times New Roman"/>
                <w:sz w:val="24"/>
                <w:szCs w:val="24"/>
                <w:lang w:val="en"/>
              </w:rPr>
              <w:t xml:space="preserve"> читати інструкцію</w:t>
            </w:r>
          </w:p>
        </w:tc>
      </w:tr>
      <w:tr w:rsidR="00F1629C">
        <w:trPr>
          <w:trHeight w:val="302"/>
        </w:trPr>
        <w:tc>
          <w:tcPr>
            <w:tcW w:w="557"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rPr>
                <w:rFonts w:ascii="Times New Roman" w:eastAsia="Calibri" w:hAnsi="Times New Roman" w:cs="Times New Roman"/>
                <w:sz w:val="24"/>
                <w:szCs w:val="24"/>
              </w:rPr>
            </w:pPr>
          </w:p>
        </w:tc>
        <w:tc>
          <w:tcPr>
            <w:tcW w:w="38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Термін</w:t>
            </w:r>
            <w:r>
              <w:rPr>
                <w:rFonts w:ascii="Times New Roman" w:eastAsia="Calibri" w:hAnsi="Times New Roman" w:cs="Times New Roman"/>
                <w:sz w:val="24"/>
                <w:szCs w:val="24"/>
                <w:lang w:val="en"/>
              </w:rPr>
              <w:t xml:space="preserve"> експлуатації</w:t>
            </w:r>
          </w:p>
        </w:tc>
        <w:tc>
          <w:tcPr>
            <w:tcW w:w="543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Чи</w:t>
            </w:r>
            <w:r>
              <w:rPr>
                <w:rFonts w:ascii="Times New Roman" w:eastAsia="Calibri" w:hAnsi="Times New Roman" w:cs="Times New Roman"/>
                <w:sz w:val="24"/>
                <w:szCs w:val="24"/>
                <w:lang w:val="en"/>
              </w:rPr>
              <w:t xml:space="preserve"> достатньо сорбційної ємності одного фільтру для запезпечення себе водою на середньостатистичний туристичний похід</w:t>
            </w:r>
          </w:p>
        </w:tc>
      </w:tr>
    </w:tbl>
    <w:p w:rsidR="00F1629C" w:rsidRDefault="00F1629C">
      <w:pPr>
        <w:tabs>
          <w:tab w:val="left" w:pos="284"/>
        </w:tabs>
        <w:spacing w:line="360" w:lineRule="auto"/>
        <w:jc w:val="both"/>
        <w:rPr>
          <w:rFonts w:ascii="Times New Roman" w:hAnsi="Times New Roman" w:cs="Times New Roman"/>
          <w:sz w:val="28"/>
          <w:szCs w:val="28"/>
        </w:rPr>
      </w:pP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 xml:space="preserve">4.10 </w:t>
      </w:r>
      <w:r>
        <w:rPr>
          <w:rFonts w:ascii="Times New Roman" w:hAnsi="Times New Roman" w:cs="Times New Roman"/>
          <w:b/>
          <w:sz w:val="28"/>
          <w:szCs w:val="28"/>
        </w:rPr>
        <w:t>Порівняльнй аналіз сильних та слабких сторін</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4.9 - Порівняльнй аналіз сильних та слабких сторін</w:t>
      </w:r>
    </w:p>
    <w:p w:rsidR="00F1629C" w:rsidRDefault="00E671D2">
      <w:pPr>
        <w:tabs>
          <w:tab w:val="left" w:pos="284"/>
        </w:tabs>
        <w:spacing w:after="0" w:line="360" w:lineRule="auto"/>
        <w:ind w:firstLine="567"/>
        <w:rPr>
          <w:rFonts w:ascii="Times New Roman" w:hAnsi="Times New Roman" w:cs="Times New Roman"/>
          <w:sz w:val="28"/>
          <w:szCs w:val="28"/>
          <w:lang w:val="ru"/>
        </w:rPr>
      </w:pPr>
      <w:r>
        <w:rPr>
          <w:rFonts w:ascii="Times New Roman" w:hAnsi="Times New Roman" w:cs="Times New Roman"/>
          <w:sz w:val="28"/>
          <w:szCs w:val="28"/>
          <w:lang w:val="ru"/>
        </w:rPr>
        <w:t>Перелік</w:t>
      </w:r>
      <w:r>
        <w:rPr>
          <w:rFonts w:ascii="Times New Roman" w:hAnsi="Times New Roman" w:cs="Times New Roman"/>
          <w:sz w:val="28"/>
          <w:szCs w:val="28"/>
          <w:lang w:val="ru"/>
        </w:rPr>
        <w:t xml:space="preserve"> конкурентів:</w:t>
      </w:r>
    </w:p>
    <w:p w:rsidR="00F1629C" w:rsidRDefault="00E671D2">
      <w:pPr>
        <w:numPr>
          <w:ilvl w:val="0"/>
          <w:numId w:val="7"/>
        </w:numPr>
        <w:spacing w:after="0" w:line="240" w:lineRule="auto"/>
        <w:rPr>
          <w:rFonts w:ascii="Times New Roman" w:eastAsia="Times New Roman" w:hAnsi="Times New Roman" w:cs="Times New Roman"/>
          <w:sz w:val="28"/>
          <w:szCs w:val="28"/>
          <w:lang w:val="en"/>
        </w:rPr>
      </w:pPr>
      <w:r>
        <w:rPr>
          <w:rFonts w:ascii="Times New Roman" w:eastAsia="Times New Roman" w:hAnsi="Times New Roman" w:cs="Times New Roman"/>
          <w:sz w:val="28"/>
          <w:szCs w:val="28"/>
          <w:lang w:val="en"/>
        </w:rPr>
        <w:t>Katadyn - !</w:t>
      </w:r>
    </w:p>
    <w:p w:rsidR="00F1629C" w:rsidRDefault="00E671D2">
      <w:pPr>
        <w:numPr>
          <w:ilvl w:val="0"/>
          <w:numId w:val="7"/>
        </w:numPr>
        <w:spacing w:after="0" w:line="240" w:lineRule="auto"/>
        <w:rPr>
          <w:rFonts w:ascii="Times New Roman" w:eastAsia="Times New Roman" w:hAnsi="Times New Roman" w:cs="Times New Roman"/>
          <w:sz w:val="28"/>
          <w:szCs w:val="28"/>
          <w:lang w:val="en"/>
        </w:rPr>
      </w:pPr>
      <w:r>
        <w:rPr>
          <w:rFonts w:ascii="Times New Roman" w:eastAsia="Times New Roman" w:hAnsi="Times New Roman" w:cs="Times New Roman"/>
          <w:sz w:val="28"/>
          <w:szCs w:val="28"/>
          <w:lang w:val="en"/>
        </w:rPr>
        <w:t>Zepter - @</w:t>
      </w:r>
    </w:p>
    <w:p w:rsidR="00F1629C" w:rsidRDefault="00E671D2">
      <w:pPr>
        <w:numPr>
          <w:ilvl w:val="0"/>
          <w:numId w:val="7"/>
        </w:numPr>
        <w:spacing w:after="0" w:line="240" w:lineRule="auto"/>
        <w:rPr>
          <w:rFonts w:ascii="Times New Roman" w:eastAsia="Times New Roman" w:hAnsi="Times New Roman" w:cs="Times New Roman"/>
          <w:sz w:val="28"/>
          <w:szCs w:val="28"/>
          <w:lang w:val="en"/>
        </w:rPr>
      </w:pPr>
      <w:r>
        <w:rPr>
          <w:rFonts w:ascii="Times New Roman" w:eastAsia="Times New Roman" w:hAnsi="Times New Roman" w:cs="Times New Roman"/>
          <w:sz w:val="28"/>
          <w:szCs w:val="28"/>
          <w:lang w:val="en"/>
        </w:rPr>
        <w:t>SteriPen - #</w:t>
      </w:r>
    </w:p>
    <w:p w:rsidR="00F1629C" w:rsidRDefault="00E671D2">
      <w:pPr>
        <w:numPr>
          <w:ilvl w:val="0"/>
          <w:numId w:val="7"/>
        </w:numPr>
        <w:spacing w:after="0" w:line="240" w:lineRule="auto"/>
        <w:rPr>
          <w:rFonts w:ascii="Times New Roman" w:eastAsia="Times New Roman" w:hAnsi="Times New Roman" w:cs="Times New Roman"/>
          <w:sz w:val="28"/>
          <w:szCs w:val="28"/>
          <w:lang w:val="en"/>
        </w:rPr>
      </w:pPr>
      <w:r>
        <w:rPr>
          <w:rFonts w:ascii="Times New Roman" w:eastAsia="Times New Roman" w:hAnsi="Times New Roman" w:cs="Times New Roman"/>
          <w:sz w:val="28"/>
          <w:szCs w:val="28"/>
          <w:lang w:val="en"/>
        </w:rPr>
        <w:t>Xiaomi - $</w:t>
      </w:r>
    </w:p>
    <w:p w:rsidR="00F1629C" w:rsidRDefault="00E671D2">
      <w:pPr>
        <w:numPr>
          <w:ilvl w:val="0"/>
          <w:numId w:val="7"/>
        </w:numPr>
        <w:spacing w:after="310" w:line="240" w:lineRule="auto"/>
        <w:rPr>
          <w:rFonts w:ascii="Times New Roman" w:hAnsi="Times New Roman" w:cs="Times New Roman"/>
          <w:sz w:val="28"/>
          <w:szCs w:val="28"/>
        </w:rPr>
      </w:pPr>
      <w:r>
        <w:rPr>
          <w:rFonts w:ascii="Times New Roman" w:eastAsia="Times New Roman" w:hAnsi="Times New Roman" w:cs="Times New Roman"/>
          <w:sz w:val="28"/>
          <w:szCs w:val="28"/>
          <w:lang w:val="en"/>
        </w:rPr>
        <w:t>Brita - %</w:t>
      </w:r>
    </w:p>
    <w:tbl>
      <w:tblPr>
        <w:tblStyle w:val="TableGrid"/>
        <w:tblW w:w="9620" w:type="dxa"/>
        <w:tblInd w:w="0" w:type="dxa"/>
        <w:tblLayout w:type="fixed"/>
        <w:tblCellMar>
          <w:top w:w="51" w:type="dxa"/>
          <w:left w:w="107" w:type="dxa"/>
          <w:right w:w="115" w:type="dxa"/>
        </w:tblCellMar>
        <w:tblLook w:val="04A0" w:firstRow="1" w:lastRow="0" w:firstColumn="1" w:lastColumn="0" w:noHBand="0" w:noVBand="1"/>
      </w:tblPr>
      <w:tblGrid>
        <w:gridCol w:w="551"/>
        <w:gridCol w:w="4160"/>
        <w:gridCol w:w="891"/>
        <w:gridCol w:w="574"/>
        <w:gridCol w:w="575"/>
        <w:gridCol w:w="575"/>
        <w:gridCol w:w="571"/>
        <w:gridCol w:w="576"/>
        <w:gridCol w:w="574"/>
        <w:gridCol w:w="573"/>
      </w:tblGrid>
      <w:tr w:rsidR="00F1629C">
        <w:trPr>
          <w:trHeight w:val="90"/>
        </w:trPr>
        <w:tc>
          <w:tcPr>
            <w:tcW w:w="551" w:type="dxa"/>
            <w:vMerge w:val="restart"/>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36" w:line="240" w:lineRule="auto"/>
              <w:ind w:left="54"/>
              <w:rPr>
                <w:rFonts w:ascii="Times New Roman" w:hAnsi="Times New Roman" w:cs="Times New Roman"/>
              </w:rPr>
            </w:pPr>
            <w:r>
              <w:rPr>
                <w:rFonts w:ascii="Times New Roman" w:eastAsia="Calibri" w:hAnsi="Times New Roman" w:cs="Times New Roman"/>
                <w:i/>
              </w:rPr>
              <w:t xml:space="preserve">№ </w:t>
            </w:r>
          </w:p>
          <w:p w:rsidR="00F1629C" w:rsidRDefault="00E671D2">
            <w:pPr>
              <w:spacing w:after="0" w:line="276" w:lineRule="auto"/>
              <w:ind w:left="5"/>
              <w:rPr>
                <w:rFonts w:ascii="Times New Roman" w:hAnsi="Times New Roman" w:cs="Times New Roman"/>
              </w:rPr>
            </w:pPr>
            <w:r>
              <w:rPr>
                <w:rFonts w:ascii="Times New Roman" w:eastAsia="Calibri" w:hAnsi="Times New Roman" w:cs="Times New Roman"/>
                <w:i/>
              </w:rPr>
              <w:t xml:space="preserve">п/п </w:t>
            </w:r>
          </w:p>
        </w:tc>
        <w:tc>
          <w:tcPr>
            <w:tcW w:w="4160" w:type="dxa"/>
            <w:vMerge w:val="restart"/>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jc w:val="center"/>
              <w:rPr>
                <w:rFonts w:ascii="Times New Roman" w:hAnsi="Times New Roman" w:cs="Times New Roman"/>
              </w:rPr>
            </w:pPr>
            <w:r>
              <w:rPr>
                <w:rFonts w:ascii="Times New Roman" w:eastAsia="Calibri" w:hAnsi="Times New Roman" w:cs="Times New Roman"/>
                <w:i/>
              </w:rPr>
              <w:t xml:space="preserve">Фактор конкурентоспроможності </w:t>
            </w:r>
          </w:p>
        </w:tc>
        <w:tc>
          <w:tcPr>
            <w:tcW w:w="891" w:type="dxa"/>
            <w:vMerge w:val="restart"/>
            <w:tcBorders>
              <w:top w:val="single" w:sz="4" w:space="0" w:color="000000"/>
              <w:left w:val="single" w:sz="4" w:space="0" w:color="000000"/>
              <w:bottom w:val="single" w:sz="4" w:space="0" w:color="000000"/>
              <w:right w:val="single" w:sz="4" w:space="0" w:color="000000"/>
            </w:tcBorders>
            <w:vAlign w:val="center"/>
          </w:tcPr>
          <w:p w:rsidR="00F1629C" w:rsidRDefault="00E671D2">
            <w:pPr>
              <w:spacing w:after="0" w:line="276" w:lineRule="auto"/>
              <w:jc w:val="center"/>
              <w:rPr>
                <w:rFonts w:ascii="Times New Roman" w:hAnsi="Times New Roman" w:cs="Times New Roman"/>
              </w:rPr>
            </w:pPr>
            <w:r>
              <w:rPr>
                <w:rFonts w:ascii="Times New Roman" w:eastAsia="Calibri" w:hAnsi="Times New Roman" w:cs="Times New Roman"/>
                <w:i/>
              </w:rPr>
              <w:t>Бали 1</w:t>
            </w:r>
            <w:r>
              <w:rPr>
                <w:rFonts w:ascii="Cambria Math" w:eastAsia="Calibri" w:hAnsi="Cambria Math" w:cs="Cambria Math"/>
                <w:i/>
              </w:rPr>
              <w:t>‐</w:t>
            </w:r>
            <w:r>
              <w:rPr>
                <w:rFonts w:ascii="Times New Roman" w:eastAsia="Calibri" w:hAnsi="Times New Roman" w:cs="Times New Roman"/>
                <w:i/>
              </w:rPr>
              <w:t xml:space="preserve">20 </w:t>
            </w:r>
          </w:p>
        </w:tc>
        <w:tc>
          <w:tcPr>
            <w:tcW w:w="4018" w:type="dxa"/>
            <w:gridSpan w:val="7"/>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97" w:hanging="90"/>
              <w:rPr>
                <w:rFonts w:ascii="Times New Roman" w:hAnsi="Times New Roman" w:cs="Times New Roman"/>
                <w:lang w:val="ru"/>
              </w:rPr>
            </w:pPr>
            <w:r>
              <w:rPr>
                <w:rFonts w:ascii="Times New Roman" w:eastAsia="Calibri" w:hAnsi="Times New Roman" w:cs="Times New Roman"/>
                <w:i/>
              </w:rPr>
              <w:t>Рейтинг товарів</w:t>
            </w:r>
            <w:r>
              <w:rPr>
                <w:rFonts w:ascii="Cambria Math" w:eastAsia="Calibri" w:hAnsi="Cambria Math" w:cs="Cambria Math"/>
                <w:i/>
              </w:rPr>
              <w:t>‐</w:t>
            </w:r>
            <w:r>
              <w:rPr>
                <w:rFonts w:ascii="Times New Roman" w:eastAsia="Calibri" w:hAnsi="Times New Roman" w:cs="Times New Roman"/>
                <w:i/>
              </w:rPr>
              <w:t>конкурентів у порівн</w:t>
            </w:r>
            <w:r>
              <w:rPr>
                <w:rFonts w:ascii="Times New Roman" w:eastAsia="Calibri" w:hAnsi="Times New Roman" w:cs="Times New Roman"/>
                <w:i/>
                <w:lang w:val="ru"/>
              </w:rPr>
              <w:t>янні</w:t>
            </w:r>
            <w:r>
              <w:rPr>
                <w:rFonts w:ascii="Times New Roman" w:eastAsia="Calibri" w:hAnsi="Times New Roman" w:cs="Times New Roman"/>
                <w:i/>
                <w:lang w:val="ru"/>
              </w:rPr>
              <w:t xml:space="preserve"> з проектом</w:t>
            </w:r>
          </w:p>
        </w:tc>
      </w:tr>
      <w:tr w:rsidR="00F1629C">
        <w:trPr>
          <w:trHeight w:val="90"/>
        </w:trPr>
        <w:tc>
          <w:tcPr>
            <w:tcW w:w="551" w:type="dxa"/>
            <w:vMerge/>
            <w:tcBorders>
              <w:top w:val="nil"/>
              <w:left w:val="single" w:sz="4" w:space="0" w:color="000000"/>
              <w:bottom w:val="single" w:sz="4" w:space="0" w:color="000000"/>
              <w:right w:val="single" w:sz="4" w:space="0" w:color="000000"/>
            </w:tcBorders>
          </w:tcPr>
          <w:p w:rsidR="00F1629C" w:rsidRDefault="00F1629C">
            <w:pPr>
              <w:spacing w:after="0" w:line="276" w:lineRule="auto"/>
              <w:rPr>
                <w:rFonts w:ascii="Times New Roman" w:hAnsi="Times New Roman" w:cs="Times New Roman"/>
              </w:rPr>
            </w:pPr>
          </w:p>
        </w:tc>
        <w:tc>
          <w:tcPr>
            <w:tcW w:w="4160" w:type="dxa"/>
            <w:vMerge/>
            <w:tcBorders>
              <w:top w:val="nil"/>
              <w:left w:val="single" w:sz="4" w:space="0" w:color="000000"/>
              <w:bottom w:val="single" w:sz="4" w:space="0" w:color="000000"/>
              <w:right w:val="single" w:sz="4" w:space="0" w:color="000000"/>
            </w:tcBorders>
          </w:tcPr>
          <w:p w:rsidR="00F1629C" w:rsidRDefault="00F1629C">
            <w:pPr>
              <w:spacing w:after="0" w:line="276" w:lineRule="auto"/>
              <w:rPr>
                <w:rFonts w:ascii="Times New Roman" w:hAnsi="Times New Roman" w:cs="Times New Roman"/>
              </w:rPr>
            </w:pPr>
          </w:p>
        </w:tc>
        <w:tc>
          <w:tcPr>
            <w:tcW w:w="891" w:type="dxa"/>
            <w:vMerge/>
            <w:tcBorders>
              <w:top w:val="nil"/>
              <w:left w:val="single" w:sz="4" w:space="0" w:color="000000"/>
              <w:bottom w:val="single" w:sz="4" w:space="0" w:color="000000"/>
              <w:right w:val="single" w:sz="4" w:space="0" w:color="000000"/>
            </w:tcBorders>
          </w:tcPr>
          <w:p w:rsidR="00F1629C" w:rsidRDefault="00F1629C">
            <w:pPr>
              <w:spacing w:after="0" w:line="276" w:lineRule="auto"/>
              <w:rPr>
                <w:rFonts w:ascii="Times New Roman" w:hAnsi="Times New Roman" w:cs="Times New Roman"/>
              </w:rPr>
            </w:pPr>
          </w:p>
        </w:tc>
        <w:tc>
          <w:tcPr>
            <w:tcW w:w="5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8"/>
              <w:rPr>
                <w:rFonts w:ascii="Times New Roman" w:hAnsi="Times New Roman" w:cs="Times New Roman"/>
              </w:rPr>
            </w:pPr>
            <w:r>
              <w:rPr>
                <w:rFonts w:ascii="Times New Roman" w:eastAsia="Calibri" w:hAnsi="Times New Roman" w:cs="Times New Roman"/>
                <w:i/>
              </w:rPr>
              <w:t xml:space="preserve">–3 </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8"/>
              <w:rPr>
                <w:rFonts w:ascii="Times New Roman" w:hAnsi="Times New Roman" w:cs="Times New Roman"/>
              </w:rPr>
            </w:pPr>
            <w:r>
              <w:rPr>
                <w:rFonts w:ascii="Times New Roman" w:eastAsia="Calibri" w:hAnsi="Times New Roman" w:cs="Times New Roman"/>
                <w:i/>
              </w:rPr>
              <w:t xml:space="preserve">–2 </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8"/>
              <w:rPr>
                <w:rFonts w:ascii="Times New Roman" w:hAnsi="Times New Roman" w:cs="Times New Roman"/>
              </w:rPr>
            </w:pPr>
            <w:r>
              <w:rPr>
                <w:rFonts w:ascii="Times New Roman" w:eastAsia="Calibri" w:hAnsi="Times New Roman" w:cs="Times New Roman"/>
                <w:i/>
              </w:rPr>
              <w:t xml:space="preserve">–1 </w:t>
            </w: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E671D2">
            <w:pPr>
              <w:spacing w:after="0" w:line="276" w:lineRule="auto"/>
              <w:jc w:val="center"/>
              <w:rPr>
                <w:rFonts w:ascii="Times New Roman" w:hAnsi="Times New Roman" w:cs="Times New Roman"/>
              </w:rPr>
            </w:pPr>
            <w:r>
              <w:rPr>
                <w:rFonts w:ascii="Times New Roman" w:eastAsia="Calibri" w:hAnsi="Times New Roman" w:cs="Times New Roman"/>
                <w:i/>
              </w:rPr>
              <w:t xml:space="preserve">0 </w:t>
            </w:r>
          </w:p>
        </w:tc>
        <w:tc>
          <w:tcPr>
            <w:tcW w:w="5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70"/>
              <w:rPr>
                <w:rFonts w:ascii="Times New Roman" w:hAnsi="Times New Roman" w:cs="Times New Roman"/>
              </w:rPr>
            </w:pPr>
            <w:r>
              <w:rPr>
                <w:rFonts w:ascii="Times New Roman" w:eastAsia="Calibri" w:hAnsi="Times New Roman" w:cs="Times New Roman"/>
                <w:i/>
              </w:rPr>
              <w:t xml:space="preserve">+1 </w:t>
            </w:r>
          </w:p>
        </w:tc>
        <w:tc>
          <w:tcPr>
            <w:tcW w:w="5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8"/>
              <w:rPr>
                <w:rFonts w:ascii="Times New Roman" w:hAnsi="Times New Roman" w:cs="Times New Roman"/>
              </w:rPr>
            </w:pPr>
            <w:r>
              <w:rPr>
                <w:rFonts w:ascii="Times New Roman" w:eastAsia="Calibri" w:hAnsi="Times New Roman" w:cs="Times New Roman"/>
                <w:i/>
              </w:rPr>
              <w:t xml:space="preserve">+2 </w:t>
            </w:r>
          </w:p>
        </w:tc>
        <w:tc>
          <w:tcPr>
            <w:tcW w:w="573"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68"/>
              <w:rPr>
                <w:rFonts w:ascii="Times New Roman" w:hAnsi="Times New Roman" w:cs="Times New Roman"/>
              </w:rPr>
            </w:pPr>
            <w:r>
              <w:rPr>
                <w:rFonts w:ascii="Times New Roman" w:eastAsia="Calibri" w:hAnsi="Times New Roman" w:cs="Times New Roman"/>
                <w:i/>
              </w:rPr>
              <w:t xml:space="preserve">+3 </w:t>
            </w:r>
          </w:p>
        </w:tc>
      </w:tr>
      <w:tr w:rsidR="00F1629C">
        <w:trPr>
          <w:trHeight w:val="90"/>
        </w:trPr>
        <w:tc>
          <w:tcPr>
            <w:tcW w:w="55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hAnsi="Times New Roman" w:cs="Times New Roman"/>
              </w:rPr>
            </w:pPr>
            <w:r>
              <w:rPr>
                <w:rFonts w:ascii="Times New Roman" w:eastAsia="Calibri" w:hAnsi="Times New Roman" w:cs="Times New Roman"/>
              </w:rPr>
              <w:t xml:space="preserve">1 </w:t>
            </w:r>
          </w:p>
        </w:tc>
        <w:tc>
          <w:tcPr>
            <w:tcW w:w="416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hAnsi="Times New Roman" w:cs="Times New Roman"/>
              </w:rPr>
            </w:pPr>
            <w:r>
              <w:rPr>
                <w:rFonts w:ascii="Times New Roman" w:eastAsia="Calibri" w:hAnsi="Times New Roman" w:cs="Times New Roman"/>
              </w:rPr>
              <w:t xml:space="preserve"> </w:t>
            </w:r>
            <w:r>
              <w:rPr>
                <w:rFonts w:ascii="Times New Roman" w:eastAsia="Calibri" w:hAnsi="Times New Roman" w:cs="Times New Roman"/>
              </w:rPr>
              <w:t xml:space="preserve">Ціна </w:t>
            </w:r>
          </w:p>
        </w:tc>
        <w:tc>
          <w:tcPr>
            <w:tcW w:w="89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hAnsi="Times New Roman" w:cs="Times New Roman"/>
              </w:rPr>
            </w:pPr>
            <w:r>
              <w:rPr>
                <w:rFonts w:ascii="Times New Roman" w:eastAsia="Calibri" w:hAnsi="Times New Roman" w:cs="Times New Roman"/>
              </w:rPr>
              <w:t xml:space="preserve"> </w:t>
            </w:r>
          </w:p>
        </w:tc>
        <w:tc>
          <w:tcPr>
            <w:tcW w:w="5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lang w:val="en"/>
              </w:rPr>
            </w:pPr>
            <w:r>
              <w:rPr>
                <w:rFonts w:ascii="Times New Roman" w:hAnsi="Times New Roman" w:cs="Times New Roman"/>
                <w:lang w:val="en"/>
              </w:rPr>
              <w:t>!@</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lang w:val="en"/>
              </w:rPr>
            </w:pPr>
            <w:r>
              <w:rPr>
                <w:rFonts w:ascii="Times New Roman" w:hAnsi="Times New Roman" w:cs="Times New Roman"/>
                <w:lang w:val="en"/>
              </w:rPr>
              <w:t>#%</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lang w:val="en"/>
              </w:rPr>
            </w:pPr>
            <w:r>
              <w:rPr>
                <w:rFonts w:ascii="Times New Roman" w:hAnsi="Times New Roman" w:cs="Times New Roman"/>
                <w:lang w:val="en"/>
              </w:rPr>
              <w:t>$</w:t>
            </w: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F1629C">
            <w:pPr>
              <w:spacing w:after="0" w:line="276" w:lineRule="auto"/>
              <w:jc w:val="center"/>
              <w:rPr>
                <w:rFonts w:ascii="Times New Roman" w:hAnsi="Times New Roman" w:cs="Times New Roman"/>
              </w:rPr>
            </w:pPr>
          </w:p>
        </w:tc>
        <w:tc>
          <w:tcPr>
            <w:tcW w:w="576"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3"/>
              <w:jc w:val="center"/>
              <w:rPr>
                <w:rFonts w:ascii="Times New Roman" w:hAnsi="Times New Roman" w:cs="Times New Roman"/>
              </w:rPr>
            </w:pP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c>
          <w:tcPr>
            <w:tcW w:w="573"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r>
      <w:tr w:rsidR="00F1629C">
        <w:trPr>
          <w:trHeight w:val="90"/>
        </w:trPr>
        <w:tc>
          <w:tcPr>
            <w:tcW w:w="55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hAnsi="Times New Roman" w:cs="Times New Roman"/>
              </w:rPr>
            </w:pPr>
            <w:r>
              <w:rPr>
                <w:rFonts w:ascii="Times New Roman" w:eastAsia="Calibri" w:hAnsi="Times New Roman" w:cs="Times New Roman"/>
              </w:rPr>
              <w:t xml:space="preserve">2 </w:t>
            </w:r>
          </w:p>
        </w:tc>
        <w:tc>
          <w:tcPr>
            <w:tcW w:w="416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rPr>
            </w:pPr>
            <w:r>
              <w:rPr>
                <w:rFonts w:ascii="Times New Roman" w:eastAsia="Calibri" w:hAnsi="Times New Roman" w:cs="Times New Roman"/>
              </w:rPr>
              <w:t>Ступінь очистки</w:t>
            </w:r>
          </w:p>
        </w:tc>
        <w:tc>
          <w:tcPr>
            <w:tcW w:w="89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hAnsi="Times New Roman" w:cs="Times New Roman"/>
              </w:rPr>
            </w:pPr>
            <w:r>
              <w:rPr>
                <w:rFonts w:ascii="Times New Roman" w:eastAsia="Calibri" w:hAnsi="Times New Roman" w:cs="Times New Roman"/>
              </w:rPr>
              <w:t xml:space="preserve"> </w:t>
            </w: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c>
          <w:tcPr>
            <w:tcW w:w="575"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lang w:val="en"/>
              </w:rPr>
            </w:pPr>
            <w:r>
              <w:rPr>
                <w:rFonts w:ascii="Times New Roman" w:hAnsi="Times New Roman" w:cs="Times New Roman"/>
                <w:lang w:val="en"/>
              </w:rPr>
              <w:t>#$</w:t>
            </w: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E671D2">
            <w:pPr>
              <w:spacing w:after="0" w:line="276" w:lineRule="auto"/>
              <w:jc w:val="center"/>
              <w:rPr>
                <w:rFonts w:ascii="Times New Roman" w:hAnsi="Times New Roman" w:cs="Times New Roman"/>
                <w:lang w:val="en"/>
              </w:rPr>
            </w:pPr>
            <w:r>
              <w:rPr>
                <w:rFonts w:ascii="Times New Roman" w:hAnsi="Times New Roman" w:cs="Times New Roman"/>
                <w:lang w:val="en"/>
              </w:rPr>
              <w:t>!%</w:t>
            </w:r>
          </w:p>
        </w:tc>
        <w:tc>
          <w:tcPr>
            <w:tcW w:w="5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3"/>
              <w:jc w:val="center"/>
              <w:rPr>
                <w:rFonts w:ascii="Times New Roman" w:hAnsi="Times New Roman" w:cs="Times New Roman"/>
                <w:lang w:val="en"/>
              </w:rPr>
            </w:pPr>
            <w:r>
              <w:rPr>
                <w:rFonts w:ascii="Times New Roman" w:hAnsi="Times New Roman" w:cs="Times New Roman"/>
                <w:lang w:val="en"/>
              </w:rPr>
              <w:t>@</w:t>
            </w: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c>
          <w:tcPr>
            <w:tcW w:w="573"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r>
      <w:tr w:rsidR="00F1629C">
        <w:trPr>
          <w:trHeight w:val="90"/>
        </w:trPr>
        <w:tc>
          <w:tcPr>
            <w:tcW w:w="55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hAnsi="Times New Roman" w:cs="Times New Roman"/>
              </w:rPr>
            </w:pPr>
            <w:r>
              <w:rPr>
                <w:rFonts w:ascii="Times New Roman" w:eastAsia="Calibri" w:hAnsi="Times New Roman" w:cs="Times New Roman"/>
              </w:rPr>
              <w:t xml:space="preserve">3 </w:t>
            </w:r>
          </w:p>
        </w:tc>
        <w:tc>
          <w:tcPr>
            <w:tcW w:w="416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rPr>
            </w:pPr>
            <w:r>
              <w:rPr>
                <w:rFonts w:ascii="Times New Roman" w:eastAsia="Calibri" w:hAnsi="Times New Roman" w:cs="Times New Roman"/>
                <w:lang w:val="en"/>
              </w:rPr>
              <w:t>Універсальність</w:t>
            </w:r>
          </w:p>
        </w:tc>
        <w:tc>
          <w:tcPr>
            <w:tcW w:w="89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hAnsi="Times New Roman" w:cs="Times New Roman"/>
              </w:rPr>
            </w:pPr>
            <w:r>
              <w:rPr>
                <w:rFonts w:ascii="Times New Roman" w:eastAsia="Calibri" w:hAnsi="Times New Roman" w:cs="Times New Roman"/>
              </w:rPr>
              <w:t xml:space="preserve"> </w:t>
            </w:r>
          </w:p>
        </w:tc>
        <w:tc>
          <w:tcPr>
            <w:tcW w:w="5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rPr>
            </w:pPr>
            <w:r>
              <w:rPr>
                <w:rFonts w:ascii="Times New Roman" w:hAnsi="Times New Roman" w:cs="Times New Roman"/>
                <w:lang w:val="en"/>
              </w:rPr>
              <w:t>!</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rPr>
            </w:pPr>
            <w:r>
              <w:rPr>
                <w:rFonts w:ascii="Times New Roman" w:hAnsi="Times New Roman" w:cs="Times New Roman"/>
                <w:lang w:val="en"/>
              </w:rPr>
              <w:t>%</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hAnsi="Times New Roman" w:cs="Times New Roman"/>
                <w:lang w:val="en"/>
              </w:rPr>
            </w:pPr>
            <w:r>
              <w:rPr>
                <w:rFonts w:ascii="Times New Roman" w:hAnsi="Times New Roman" w:cs="Times New Roman"/>
                <w:lang w:val="en"/>
              </w:rPr>
              <w:t>#$</w:t>
            </w: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E671D2">
            <w:pPr>
              <w:spacing w:after="0" w:line="276" w:lineRule="auto"/>
              <w:jc w:val="center"/>
              <w:rPr>
                <w:rFonts w:ascii="Times New Roman" w:hAnsi="Times New Roman" w:cs="Times New Roman"/>
                <w:lang w:val="en"/>
              </w:rPr>
            </w:pPr>
            <w:r>
              <w:rPr>
                <w:rFonts w:ascii="Times New Roman" w:hAnsi="Times New Roman" w:cs="Times New Roman"/>
                <w:lang w:val="en"/>
              </w:rPr>
              <w:t>@</w:t>
            </w:r>
          </w:p>
        </w:tc>
        <w:tc>
          <w:tcPr>
            <w:tcW w:w="576"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3"/>
              <w:jc w:val="center"/>
              <w:rPr>
                <w:rFonts w:ascii="Times New Roman" w:hAnsi="Times New Roman" w:cs="Times New Roman"/>
              </w:rPr>
            </w:pP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c>
          <w:tcPr>
            <w:tcW w:w="573"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hAnsi="Times New Roman" w:cs="Times New Roman"/>
              </w:rPr>
            </w:pPr>
          </w:p>
        </w:tc>
      </w:tr>
      <w:tr w:rsidR="00F1629C">
        <w:trPr>
          <w:trHeight w:val="90"/>
        </w:trPr>
        <w:tc>
          <w:tcPr>
            <w:tcW w:w="55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eastAsia="Calibri" w:hAnsi="Times New Roman" w:cs="Times New Roman"/>
              </w:rPr>
            </w:pPr>
            <w:r>
              <w:rPr>
                <w:rFonts w:ascii="Times New Roman" w:eastAsia="Calibri" w:hAnsi="Times New Roman" w:cs="Times New Roman"/>
              </w:rPr>
              <w:t>4</w:t>
            </w:r>
          </w:p>
        </w:tc>
        <w:tc>
          <w:tcPr>
            <w:tcW w:w="416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rPr>
            </w:pPr>
            <w:r>
              <w:rPr>
                <w:rFonts w:ascii="Times New Roman" w:eastAsia="Calibri" w:hAnsi="Times New Roman" w:cs="Times New Roman"/>
                <w:lang w:val="en"/>
              </w:rPr>
              <w:t>Спеціалізованість</w:t>
            </w:r>
          </w:p>
        </w:tc>
        <w:tc>
          <w:tcPr>
            <w:tcW w:w="891"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rPr>
                <w:rFonts w:ascii="Times New Roman" w:eastAsia="Calibri" w:hAnsi="Times New Roman" w:cs="Times New Roman"/>
              </w:rPr>
            </w:pP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Calibri" w:hAnsi="Times New Roman" w:cs="Times New Roman"/>
              </w:rPr>
            </w:pPr>
          </w:p>
        </w:tc>
        <w:tc>
          <w:tcPr>
            <w:tcW w:w="575"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Calibri" w:hAnsi="Times New Roman" w:cs="Times New Roman"/>
              </w:rPr>
            </w:pPr>
          </w:p>
        </w:tc>
        <w:tc>
          <w:tcPr>
            <w:tcW w:w="575"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Calibri" w:hAnsi="Times New Roman" w:cs="Times New Roman"/>
              </w:rPr>
            </w:pP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E671D2">
            <w:pPr>
              <w:spacing w:after="0" w:line="276" w:lineRule="auto"/>
              <w:jc w:val="center"/>
              <w:rPr>
                <w:rFonts w:ascii="Times New Roman" w:eastAsia="Calibri" w:hAnsi="Times New Roman" w:cs="Times New Roman"/>
                <w:lang w:val="en"/>
              </w:rPr>
            </w:pPr>
            <w:r>
              <w:rPr>
                <w:rFonts w:ascii="Times New Roman" w:eastAsia="Calibri" w:hAnsi="Times New Roman" w:cs="Times New Roman"/>
                <w:lang w:val="en"/>
              </w:rPr>
              <w:t>$</w:t>
            </w:r>
            <w:r>
              <w:rPr>
                <w:rFonts w:ascii="Times New Roman" w:hAnsi="Times New Roman" w:cs="Times New Roman"/>
                <w:lang w:val="en"/>
              </w:rPr>
              <w:t>%</w:t>
            </w:r>
          </w:p>
        </w:tc>
        <w:tc>
          <w:tcPr>
            <w:tcW w:w="5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3"/>
              <w:jc w:val="center"/>
              <w:rPr>
                <w:rFonts w:ascii="Times New Roman" w:eastAsia="Calibri" w:hAnsi="Times New Roman" w:cs="Times New Roman"/>
                <w:lang w:val="en"/>
              </w:rPr>
            </w:pPr>
            <w:r>
              <w:rPr>
                <w:rFonts w:ascii="Times New Roman" w:eastAsia="Calibri" w:hAnsi="Times New Roman" w:cs="Times New Roman"/>
                <w:lang w:val="en"/>
              </w:rPr>
              <w:t>@#</w:t>
            </w: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Calibri" w:hAnsi="Times New Roman" w:cs="Times New Roman"/>
              </w:rPr>
            </w:pPr>
          </w:p>
        </w:tc>
        <w:tc>
          <w:tcPr>
            <w:tcW w:w="573"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eastAsia="Calibri" w:hAnsi="Times New Roman" w:cs="Times New Roman"/>
                <w:lang w:val="en"/>
              </w:rPr>
            </w:pPr>
            <w:r>
              <w:rPr>
                <w:rFonts w:ascii="Times New Roman" w:eastAsia="Calibri" w:hAnsi="Times New Roman" w:cs="Times New Roman"/>
                <w:lang w:val="en"/>
              </w:rPr>
              <w:t>!</w:t>
            </w:r>
          </w:p>
        </w:tc>
      </w:tr>
      <w:tr w:rsidR="00F1629C">
        <w:trPr>
          <w:trHeight w:val="90"/>
        </w:trPr>
        <w:tc>
          <w:tcPr>
            <w:tcW w:w="55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eastAsia="Calibri" w:hAnsi="Times New Roman" w:cs="Times New Roman"/>
              </w:rPr>
            </w:pPr>
            <w:r>
              <w:rPr>
                <w:rFonts w:ascii="Times New Roman" w:eastAsia="Calibri" w:hAnsi="Times New Roman" w:cs="Times New Roman"/>
              </w:rPr>
              <w:t>5</w:t>
            </w:r>
          </w:p>
        </w:tc>
        <w:tc>
          <w:tcPr>
            <w:tcW w:w="416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rPr>
            </w:pPr>
            <w:r>
              <w:rPr>
                <w:rFonts w:ascii="Times New Roman" w:eastAsia="Calibri" w:hAnsi="Times New Roman" w:cs="Times New Roman"/>
                <w:lang w:val="en"/>
              </w:rPr>
              <w:t>Простота</w:t>
            </w:r>
            <w:r>
              <w:rPr>
                <w:rFonts w:ascii="Times New Roman" w:eastAsia="Calibri" w:hAnsi="Times New Roman" w:cs="Times New Roman"/>
                <w:lang w:val="en"/>
              </w:rPr>
              <w:t xml:space="preserve"> експлуатації</w:t>
            </w:r>
          </w:p>
        </w:tc>
        <w:tc>
          <w:tcPr>
            <w:tcW w:w="891"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rPr>
                <w:rFonts w:ascii="Times New Roman" w:eastAsia="Calibri" w:hAnsi="Times New Roman" w:cs="Times New Roman"/>
              </w:rPr>
            </w:pPr>
          </w:p>
        </w:tc>
        <w:tc>
          <w:tcPr>
            <w:tcW w:w="5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eastAsia="Times New Roman" w:hAnsi="Times New Roman" w:cs="Times New Roman"/>
                <w:lang w:val="en"/>
              </w:rPr>
            </w:pPr>
            <w:r>
              <w:rPr>
                <w:rFonts w:ascii="Times New Roman" w:eastAsia="Times New Roman" w:hAnsi="Times New Roman" w:cs="Times New Roman"/>
                <w:lang w:val="en"/>
              </w:rPr>
              <w:t>@</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eastAsia="Times New Roman" w:hAnsi="Times New Roman" w:cs="Times New Roman"/>
                <w:lang w:val="en"/>
              </w:rPr>
            </w:pPr>
            <w:r>
              <w:rPr>
                <w:rFonts w:ascii="Times New Roman" w:eastAsia="Times New Roman" w:hAnsi="Times New Roman" w:cs="Times New Roman"/>
                <w:lang w:val="en"/>
              </w:rPr>
              <w:t>!$</w:t>
            </w:r>
          </w:p>
        </w:tc>
        <w:tc>
          <w:tcPr>
            <w:tcW w:w="575"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eastAsia="Times New Roman" w:hAnsi="Times New Roman" w:cs="Times New Roman"/>
              </w:rPr>
            </w:pPr>
            <w:r>
              <w:rPr>
                <w:rFonts w:ascii="Times New Roman" w:hAnsi="Times New Roman" w:cs="Times New Roman"/>
                <w:lang w:val="en"/>
              </w:rPr>
              <w:t>%</w:t>
            </w: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F1629C">
            <w:pPr>
              <w:spacing w:after="0" w:line="276" w:lineRule="auto"/>
              <w:jc w:val="center"/>
              <w:rPr>
                <w:rFonts w:ascii="Times New Roman" w:eastAsia="Calibri" w:hAnsi="Times New Roman" w:cs="Times New Roman"/>
              </w:rPr>
            </w:pPr>
          </w:p>
        </w:tc>
        <w:tc>
          <w:tcPr>
            <w:tcW w:w="5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3"/>
              <w:jc w:val="center"/>
              <w:rPr>
                <w:rFonts w:ascii="Times New Roman" w:eastAsia="Calibri" w:hAnsi="Times New Roman" w:cs="Times New Roman"/>
                <w:lang w:val="en"/>
              </w:rPr>
            </w:pPr>
            <w:r>
              <w:rPr>
                <w:rFonts w:ascii="Times New Roman" w:eastAsia="Calibri" w:hAnsi="Times New Roman" w:cs="Times New Roman"/>
                <w:lang w:val="en"/>
              </w:rPr>
              <w:t>#</w:t>
            </w: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Calibri" w:hAnsi="Times New Roman" w:cs="Times New Roman"/>
              </w:rPr>
            </w:pPr>
          </w:p>
        </w:tc>
        <w:tc>
          <w:tcPr>
            <w:tcW w:w="573"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Calibri" w:hAnsi="Times New Roman" w:cs="Times New Roman"/>
              </w:rPr>
            </w:pPr>
          </w:p>
        </w:tc>
      </w:tr>
      <w:tr w:rsidR="00F1629C">
        <w:trPr>
          <w:trHeight w:val="90"/>
        </w:trPr>
        <w:tc>
          <w:tcPr>
            <w:tcW w:w="551"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rPr>
                <w:rFonts w:ascii="Times New Roman" w:eastAsia="Calibri" w:hAnsi="Times New Roman" w:cs="Times New Roman"/>
                <w:lang w:val="en"/>
              </w:rPr>
            </w:pPr>
            <w:r>
              <w:rPr>
                <w:rFonts w:ascii="Times New Roman" w:eastAsia="Calibri" w:hAnsi="Times New Roman" w:cs="Times New Roman"/>
                <w:lang w:val="en"/>
              </w:rPr>
              <w:t>6</w:t>
            </w:r>
          </w:p>
        </w:tc>
        <w:tc>
          <w:tcPr>
            <w:tcW w:w="4160"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rPr>
                <w:rFonts w:ascii="Times New Roman" w:eastAsia="Calibri" w:hAnsi="Times New Roman" w:cs="Times New Roman"/>
                <w:lang w:val="en"/>
              </w:rPr>
            </w:pPr>
            <w:r>
              <w:rPr>
                <w:rFonts w:ascii="Times New Roman" w:eastAsia="Calibri" w:hAnsi="Times New Roman" w:cs="Times New Roman"/>
                <w:lang w:val="en"/>
              </w:rPr>
              <w:t>Термін</w:t>
            </w:r>
            <w:r>
              <w:rPr>
                <w:rFonts w:ascii="Times New Roman" w:eastAsia="Calibri" w:hAnsi="Times New Roman" w:cs="Times New Roman"/>
                <w:lang w:val="en"/>
              </w:rPr>
              <w:t xml:space="preserve"> експлуатації</w:t>
            </w:r>
          </w:p>
        </w:tc>
        <w:tc>
          <w:tcPr>
            <w:tcW w:w="891"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rPr>
                <w:rFonts w:ascii="Times New Roman" w:eastAsia="Calibri" w:hAnsi="Times New Roman" w:cs="Times New Roman"/>
              </w:rPr>
            </w:pPr>
          </w:p>
        </w:tc>
        <w:tc>
          <w:tcPr>
            <w:tcW w:w="574"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Times New Roman" w:hAnsi="Times New Roman" w:cs="Times New Roman"/>
              </w:rPr>
            </w:pPr>
          </w:p>
        </w:tc>
        <w:tc>
          <w:tcPr>
            <w:tcW w:w="575"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Times New Roman" w:hAnsi="Times New Roman" w:cs="Times New Roman"/>
              </w:rPr>
            </w:pPr>
          </w:p>
        </w:tc>
        <w:tc>
          <w:tcPr>
            <w:tcW w:w="575" w:type="dxa"/>
            <w:tcBorders>
              <w:top w:val="single" w:sz="4" w:space="0" w:color="000000"/>
              <w:left w:val="single" w:sz="4" w:space="0" w:color="000000"/>
              <w:bottom w:val="single" w:sz="4" w:space="0" w:color="000000"/>
              <w:right w:val="single" w:sz="4" w:space="0" w:color="000000"/>
            </w:tcBorders>
          </w:tcPr>
          <w:p w:rsidR="00F1629C" w:rsidRDefault="00F1629C">
            <w:pPr>
              <w:spacing w:after="0" w:line="276" w:lineRule="auto"/>
              <w:ind w:left="1"/>
              <w:jc w:val="center"/>
              <w:rPr>
                <w:rFonts w:ascii="Times New Roman" w:eastAsia="Times New Roman" w:hAnsi="Times New Roman" w:cs="Times New Roman"/>
              </w:rPr>
            </w:pPr>
          </w:p>
        </w:tc>
        <w:tc>
          <w:tcPr>
            <w:tcW w:w="571" w:type="dxa"/>
            <w:tcBorders>
              <w:top w:val="single" w:sz="4" w:space="0" w:color="000000"/>
              <w:left w:val="single" w:sz="4" w:space="0" w:color="000000"/>
              <w:bottom w:val="single" w:sz="4" w:space="0" w:color="000000"/>
              <w:right w:val="single" w:sz="4" w:space="0" w:color="000000"/>
            </w:tcBorders>
            <w:shd w:val="clear" w:color="auto" w:fill="auto"/>
          </w:tcPr>
          <w:p w:rsidR="00F1629C" w:rsidRDefault="00F1629C">
            <w:pPr>
              <w:spacing w:after="0" w:line="276" w:lineRule="auto"/>
              <w:jc w:val="center"/>
              <w:rPr>
                <w:rFonts w:ascii="Times New Roman" w:eastAsia="Calibri" w:hAnsi="Times New Roman" w:cs="Times New Roman"/>
              </w:rPr>
            </w:pPr>
          </w:p>
        </w:tc>
        <w:tc>
          <w:tcPr>
            <w:tcW w:w="576"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3"/>
              <w:jc w:val="center"/>
              <w:rPr>
                <w:rFonts w:ascii="Times New Roman" w:eastAsia="Calibri" w:hAnsi="Times New Roman" w:cs="Times New Roman"/>
                <w:lang w:val="en"/>
              </w:rPr>
            </w:pPr>
            <w:r>
              <w:rPr>
                <w:rFonts w:ascii="Times New Roman" w:eastAsia="Calibri" w:hAnsi="Times New Roman" w:cs="Times New Roman"/>
                <w:lang w:val="en"/>
              </w:rPr>
              <w:t>#</w:t>
            </w:r>
            <w:r>
              <w:rPr>
                <w:rFonts w:ascii="Times New Roman" w:hAnsi="Times New Roman" w:cs="Times New Roman"/>
                <w:lang w:val="en"/>
              </w:rPr>
              <w:t>%</w:t>
            </w:r>
          </w:p>
        </w:tc>
        <w:tc>
          <w:tcPr>
            <w:tcW w:w="574"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eastAsia="Calibri" w:hAnsi="Times New Roman" w:cs="Times New Roman"/>
                <w:lang w:val="en"/>
              </w:rPr>
            </w:pPr>
            <w:r>
              <w:rPr>
                <w:rFonts w:ascii="Times New Roman" w:eastAsia="Calibri" w:hAnsi="Times New Roman" w:cs="Times New Roman"/>
                <w:lang w:val="en"/>
              </w:rPr>
              <w:t>!@</w:t>
            </w:r>
          </w:p>
        </w:tc>
        <w:tc>
          <w:tcPr>
            <w:tcW w:w="573" w:type="dxa"/>
            <w:tcBorders>
              <w:top w:val="single" w:sz="4" w:space="0" w:color="000000"/>
              <w:left w:val="single" w:sz="4" w:space="0" w:color="000000"/>
              <w:bottom w:val="single" w:sz="4" w:space="0" w:color="000000"/>
              <w:right w:val="single" w:sz="4" w:space="0" w:color="000000"/>
            </w:tcBorders>
          </w:tcPr>
          <w:p w:rsidR="00F1629C" w:rsidRDefault="00E671D2">
            <w:pPr>
              <w:spacing w:after="0" w:line="276" w:lineRule="auto"/>
              <w:ind w:left="1"/>
              <w:jc w:val="center"/>
              <w:rPr>
                <w:rFonts w:ascii="Times New Roman" w:eastAsia="Calibri" w:hAnsi="Times New Roman" w:cs="Times New Roman"/>
                <w:lang w:val="en"/>
              </w:rPr>
            </w:pPr>
            <w:r>
              <w:rPr>
                <w:rFonts w:ascii="Times New Roman" w:eastAsia="Calibri" w:hAnsi="Times New Roman" w:cs="Times New Roman"/>
                <w:lang w:val="en"/>
              </w:rPr>
              <w:t>$</w:t>
            </w:r>
          </w:p>
        </w:tc>
      </w:tr>
    </w:tbl>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4.11 SWOT – аналіз стартап-проекту</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4.10 - SWOT – аналіз стартап-проекту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0"/>
        <w:gridCol w:w="5040"/>
      </w:tblGrid>
      <w:tr w:rsidR="00F1629C">
        <w:trPr>
          <w:trHeight w:val="210"/>
        </w:trPr>
        <w:tc>
          <w:tcPr>
            <w:tcW w:w="4320" w:type="dxa"/>
            <w:shd w:val="clear" w:color="auto" w:fill="auto"/>
          </w:tcPr>
          <w:p w:rsidR="00F1629C" w:rsidRDefault="00E671D2">
            <w:pPr>
              <w:jc w:val="center"/>
              <w:rPr>
                <w:bCs/>
                <w:i/>
              </w:rPr>
            </w:pPr>
            <w:r>
              <w:rPr>
                <w:bCs/>
                <w:i/>
              </w:rPr>
              <w:t>Сильні сторони</w:t>
            </w:r>
          </w:p>
        </w:tc>
        <w:tc>
          <w:tcPr>
            <w:tcW w:w="5040" w:type="dxa"/>
            <w:shd w:val="clear" w:color="auto" w:fill="auto"/>
          </w:tcPr>
          <w:p w:rsidR="00F1629C" w:rsidRDefault="00E671D2">
            <w:pPr>
              <w:jc w:val="center"/>
              <w:rPr>
                <w:bCs/>
                <w:i/>
              </w:rPr>
            </w:pPr>
            <w:r>
              <w:rPr>
                <w:bCs/>
                <w:i/>
              </w:rPr>
              <w:t>Слабкі сторони</w:t>
            </w:r>
          </w:p>
        </w:tc>
      </w:tr>
      <w:tr w:rsidR="00F1629C">
        <w:trPr>
          <w:trHeight w:val="465"/>
        </w:trPr>
        <w:tc>
          <w:tcPr>
            <w:tcW w:w="4320" w:type="dxa"/>
            <w:shd w:val="clear" w:color="auto" w:fill="auto"/>
          </w:tcPr>
          <w:p w:rsidR="00F1629C" w:rsidRDefault="00E671D2">
            <w:pPr>
              <w:rPr>
                <w:bCs/>
                <w:lang w:val="en"/>
              </w:rPr>
            </w:pPr>
            <w:r>
              <w:rPr>
                <w:bCs/>
              </w:rPr>
              <w:t xml:space="preserve">- </w:t>
            </w:r>
            <w:r>
              <w:rPr>
                <w:bCs/>
                <w:lang w:val="en"/>
              </w:rPr>
              <w:t>Уніфікованість</w:t>
            </w:r>
          </w:p>
          <w:p w:rsidR="00F1629C" w:rsidRDefault="00E671D2">
            <w:pPr>
              <w:rPr>
                <w:bCs/>
                <w:lang w:val="en"/>
              </w:rPr>
            </w:pPr>
            <w:r>
              <w:rPr>
                <w:bCs/>
              </w:rPr>
              <w:t xml:space="preserve">- </w:t>
            </w:r>
            <w:r>
              <w:rPr>
                <w:bCs/>
                <w:lang w:val="en"/>
              </w:rPr>
              <w:t>Ціна</w:t>
            </w:r>
          </w:p>
          <w:p w:rsidR="00F1629C" w:rsidRDefault="00E671D2">
            <w:pPr>
              <w:rPr>
                <w:bCs/>
                <w:lang w:val="en"/>
              </w:rPr>
            </w:pPr>
            <w:r>
              <w:rPr>
                <w:bCs/>
              </w:rPr>
              <w:t xml:space="preserve">- </w:t>
            </w:r>
            <w:r>
              <w:rPr>
                <w:bCs/>
                <w:lang w:val="en"/>
              </w:rPr>
              <w:t>Простота</w:t>
            </w:r>
            <w:r>
              <w:rPr>
                <w:bCs/>
                <w:lang w:val="en"/>
              </w:rPr>
              <w:t xml:space="preserve"> експлуатації</w:t>
            </w:r>
          </w:p>
          <w:p w:rsidR="00F1629C" w:rsidRDefault="00E671D2">
            <w:pPr>
              <w:rPr>
                <w:bCs/>
                <w:lang w:val="en"/>
              </w:rPr>
            </w:pPr>
            <w:r>
              <w:rPr>
                <w:bCs/>
                <w:lang w:val="en"/>
              </w:rPr>
              <w:t>- Національний виробник</w:t>
            </w:r>
          </w:p>
        </w:tc>
        <w:tc>
          <w:tcPr>
            <w:tcW w:w="5040" w:type="dxa"/>
            <w:shd w:val="clear" w:color="auto" w:fill="auto"/>
          </w:tcPr>
          <w:p w:rsidR="00F1629C" w:rsidRDefault="00E671D2">
            <w:pPr>
              <w:rPr>
                <w:bCs/>
                <w:lang w:val="en"/>
              </w:rPr>
            </w:pPr>
            <w:r>
              <w:rPr>
                <w:bCs/>
              </w:rPr>
              <w:t xml:space="preserve">- </w:t>
            </w:r>
            <w:r>
              <w:rPr>
                <w:bCs/>
                <w:lang w:val="en"/>
              </w:rPr>
              <w:t>Відсутність</w:t>
            </w:r>
            <w:r>
              <w:rPr>
                <w:bCs/>
                <w:lang w:val="en"/>
              </w:rPr>
              <w:t xml:space="preserve"> спеціалізації</w:t>
            </w:r>
          </w:p>
          <w:p w:rsidR="00F1629C" w:rsidRDefault="00E671D2">
            <w:pPr>
              <w:rPr>
                <w:bCs/>
                <w:lang w:val="en"/>
              </w:rPr>
            </w:pPr>
            <w:r>
              <w:rPr>
                <w:bCs/>
              </w:rPr>
              <w:t xml:space="preserve">- </w:t>
            </w:r>
            <w:r>
              <w:rPr>
                <w:bCs/>
                <w:lang w:val="en"/>
              </w:rPr>
              <w:t>Стабільність</w:t>
            </w:r>
            <w:r>
              <w:rPr>
                <w:bCs/>
                <w:lang w:val="en"/>
              </w:rPr>
              <w:t xml:space="preserve"> ринку</w:t>
            </w:r>
          </w:p>
          <w:p w:rsidR="00F1629C" w:rsidRDefault="00E671D2">
            <w:pPr>
              <w:rPr>
                <w:bCs/>
                <w:lang w:val="en"/>
              </w:rPr>
            </w:pPr>
            <w:r>
              <w:rPr>
                <w:bCs/>
              </w:rPr>
              <w:t xml:space="preserve">- </w:t>
            </w:r>
            <w:r>
              <w:rPr>
                <w:bCs/>
                <w:lang w:val="en"/>
              </w:rPr>
              <w:t>Вузька</w:t>
            </w:r>
            <w:r>
              <w:rPr>
                <w:bCs/>
                <w:lang w:val="en"/>
              </w:rPr>
              <w:t xml:space="preserve"> аудиторія</w:t>
            </w:r>
          </w:p>
        </w:tc>
      </w:tr>
      <w:tr w:rsidR="00F1629C">
        <w:trPr>
          <w:trHeight w:val="195"/>
        </w:trPr>
        <w:tc>
          <w:tcPr>
            <w:tcW w:w="4320" w:type="dxa"/>
            <w:shd w:val="clear" w:color="auto" w:fill="auto"/>
          </w:tcPr>
          <w:p w:rsidR="00F1629C" w:rsidRDefault="00E671D2">
            <w:pPr>
              <w:jc w:val="center"/>
              <w:rPr>
                <w:bCs/>
                <w:i/>
              </w:rPr>
            </w:pPr>
            <w:r>
              <w:rPr>
                <w:bCs/>
                <w:i/>
              </w:rPr>
              <w:t>Можливості</w:t>
            </w:r>
          </w:p>
        </w:tc>
        <w:tc>
          <w:tcPr>
            <w:tcW w:w="5040" w:type="dxa"/>
            <w:shd w:val="clear" w:color="auto" w:fill="auto"/>
          </w:tcPr>
          <w:p w:rsidR="00F1629C" w:rsidRDefault="00E671D2">
            <w:pPr>
              <w:jc w:val="center"/>
              <w:rPr>
                <w:bCs/>
                <w:i/>
              </w:rPr>
            </w:pPr>
            <w:r>
              <w:rPr>
                <w:bCs/>
                <w:i/>
              </w:rPr>
              <w:t>Загрози</w:t>
            </w:r>
          </w:p>
        </w:tc>
      </w:tr>
      <w:tr w:rsidR="00F1629C">
        <w:trPr>
          <w:trHeight w:val="195"/>
        </w:trPr>
        <w:tc>
          <w:tcPr>
            <w:tcW w:w="4320" w:type="dxa"/>
          </w:tcPr>
          <w:p w:rsidR="00F1629C" w:rsidRDefault="00E671D2">
            <w:pPr>
              <w:numPr>
                <w:ilvl w:val="0"/>
                <w:numId w:val="8"/>
              </w:numPr>
            </w:pPr>
            <w:r>
              <w:rPr>
                <w:lang w:val="en"/>
              </w:rPr>
              <w:t>Співпраця</w:t>
            </w:r>
            <w:r>
              <w:rPr>
                <w:lang w:val="en"/>
              </w:rPr>
              <w:t xml:space="preserve"> з туристичними агентствами</w:t>
            </w:r>
          </w:p>
          <w:p w:rsidR="00F1629C" w:rsidRDefault="00E671D2">
            <w:pPr>
              <w:numPr>
                <w:ilvl w:val="0"/>
                <w:numId w:val="8"/>
              </w:numPr>
            </w:pPr>
            <w:r>
              <w:rPr>
                <w:lang w:val="en"/>
              </w:rPr>
              <w:t>Розширення</w:t>
            </w:r>
            <w:r>
              <w:rPr>
                <w:lang w:val="en"/>
              </w:rPr>
              <w:t xml:space="preserve"> аудиторії</w:t>
            </w:r>
          </w:p>
          <w:p w:rsidR="00F1629C" w:rsidRDefault="00E671D2">
            <w:pPr>
              <w:numPr>
                <w:ilvl w:val="0"/>
                <w:numId w:val="8"/>
              </w:numPr>
            </w:pPr>
            <w:r>
              <w:rPr>
                <w:lang w:val="en"/>
              </w:rPr>
              <w:t>Розширення</w:t>
            </w:r>
            <w:r>
              <w:rPr>
                <w:lang w:val="en"/>
              </w:rPr>
              <w:t xml:space="preserve"> асортименту продукції</w:t>
            </w:r>
          </w:p>
        </w:tc>
        <w:tc>
          <w:tcPr>
            <w:tcW w:w="5040" w:type="dxa"/>
          </w:tcPr>
          <w:p w:rsidR="00F1629C" w:rsidRDefault="00E671D2">
            <w:pPr>
              <w:numPr>
                <w:ilvl w:val="0"/>
                <w:numId w:val="8"/>
              </w:numPr>
            </w:pPr>
            <w:r>
              <w:rPr>
                <w:lang w:val="en"/>
              </w:rPr>
              <w:t>Демпінгові</w:t>
            </w:r>
            <w:r>
              <w:rPr>
                <w:lang w:val="en"/>
              </w:rPr>
              <w:t xml:space="preserve"> ціни конкурентів</w:t>
            </w:r>
          </w:p>
          <w:p w:rsidR="00F1629C" w:rsidRDefault="00E671D2">
            <w:pPr>
              <w:numPr>
                <w:ilvl w:val="0"/>
                <w:numId w:val="8"/>
              </w:numPr>
            </w:pPr>
            <w:r>
              <w:rPr>
                <w:lang w:val="en"/>
              </w:rPr>
              <w:t>Перебої</w:t>
            </w:r>
            <w:r>
              <w:rPr>
                <w:lang w:val="en"/>
              </w:rPr>
              <w:t xml:space="preserve"> в поставках сировини для виготовлення сорбенту</w:t>
            </w:r>
          </w:p>
          <w:p w:rsidR="00F1629C" w:rsidRDefault="00E671D2">
            <w:pPr>
              <w:numPr>
                <w:ilvl w:val="0"/>
                <w:numId w:val="8"/>
              </w:numPr>
            </w:pPr>
            <w:r>
              <w:rPr>
                <w:lang w:val="en"/>
              </w:rPr>
              <w:t>Зниження</w:t>
            </w:r>
            <w:r>
              <w:rPr>
                <w:lang w:val="en"/>
              </w:rPr>
              <w:t xml:space="preserve"> якості сировини</w:t>
            </w:r>
          </w:p>
        </w:tc>
      </w:tr>
    </w:tbl>
    <w:p w:rsidR="00F1629C" w:rsidRDefault="00F1629C">
      <w:pPr>
        <w:tabs>
          <w:tab w:val="left" w:pos="284"/>
        </w:tabs>
        <w:spacing w:line="360" w:lineRule="auto"/>
        <w:jc w:val="both"/>
        <w:rPr>
          <w:rFonts w:ascii="Times New Roman" w:hAnsi="Times New Roman" w:cs="Times New Roman"/>
          <w:sz w:val="28"/>
          <w:szCs w:val="28"/>
        </w:rPr>
      </w:pP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 xml:space="preserve">4.12 Вибір цільових </w:t>
      </w:r>
      <w:r>
        <w:rPr>
          <w:rFonts w:ascii="Times New Roman" w:hAnsi="Times New Roman" w:cs="Times New Roman"/>
          <w:b/>
          <w:sz w:val="28"/>
          <w:szCs w:val="28"/>
        </w:rPr>
        <w:t>груп потенційних споживачів</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4.11- Вибір цільових груп потенційних споживачів</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1"/>
        <w:gridCol w:w="1785"/>
        <w:gridCol w:w="2303"/>
        <w:gridCol w:w="1676"/>
        <w:gridCol w:w="1979"/>
        <w:gridCol w:w="1486"/>
      </w:tblGrid>
      <w:tr w:rsidR="00F1629C">
        <w:trPr>
          <w:trHeight w:val="90"/>
        </w:trPr>
        <w:tc>
          <w:tcPr>
            <w:tcW w:w="571"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w:t>
            </w:r>
          </w:p>
          <w:p w:rsidR="00F1629C" w:rsidRDefault="00E671D2">
            <w:pPr>
              <w:autoSpaceDE w:val="0"/>
              <w:autoSpaceDN w:val="0"/>
              <w:adjustRightInd w:val="0"/>
              <w:spacing w:line="240" w:lineRule="auto"/>
              <w:jc w:val="center"/>
              <w:rPr>
                <w:sz w:val="20"/>
                <w:szCs w:val="20"/>
              </w:rPr>
            </w:pPr>
            <w:r>
              <w:rPr>
                <w:iCs/>
                <w:sz w:val="20"/>
                <w:szCs w:val="20"/>
              </w:rPr>
              <w:t>п/п</w:t>
            </w:r>
          </w:p>
        </w:tc>
        <w:tc>
          <w:tcPr>
            <w:tcW w:w="1785"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Опис профілю</w:t>
            </w:r>
          </w:p>
          <w:p w:rsidR="00F1629C" w:rsidRDefault="00E671D2">
            <w:pPr>
              <w:autoSpaceDE w:val="0"/>
              <w:autoSpaceDN w:val="0"/>
              <w:adjustRightInd w:val="0"/>
              <w:spacing w:line="240" w:lineRule="auto"/>
              <w:jc w:val="center"/>
              <w:rPr>
                <w:iCs/>
                <w:sz w:val="20"/>
                <w:szCs w:val="20"/>
              </w:rPr>
            </w:pPr>
            <w:r>
              <w:rPr>
                <w:iCs/>
                <w:sz w:val="20"/>
                <w:szCs w:val="20"/>
              </w:rPr>
              <w:t>цільової групи</w:t>
            </w:r>
          </w:p>
          <w:p w:rsidR="00F1629C" w:rsidRDefault="00E671D2">
            <w:pPr>
              <w:autoSpaceDE w:val="0"/>
              <w:autoSpaceDN w:val="0"/>
              <w:adjustRightInd w:val="0"/>
              <w:spacing w:line="240" w:lineRule="auto"/>
              <w:jc w:val="center"/>
              <w:rPr>
                <w:iCs/>
                <w:sz w:val="20"/>
                <w:szCs w:val="20"/>
              </w:rPr>
            </w:pPr>
            <w:r>
              <w:rPr>
                <w:iCs/>
                <w:sz w:val="20"/>
                <w:szCs w:val="20"/>
              </w:rPr>
              <w:t>потенційних</w:t>
            </w:r>
          </w:p>
          <w:p w:rsidR="00F1629C" w:rsidRDefault="00E671D2">
            <w:pPr>
              <w:autoSpaceDE w:val="0"/>
              <w:autoSpaceDN w:val="0"/>
              <w:adjustRightInd w:val="0"/>
              <w:spacing w:line="240" w:lineRule="auto"/>
              <w:jc w:val="center"/>
              <w:rPr>
                <w:sz w:val="20"/>
                <w:szCs w:val="20"/>
              </w:rPr>
            </w:pPr>
            <w:r>
              <w:rPr>
                <w:iCs/>
                <w:sz w:val="20"/>
                <w:szCs w:val="20"/>
              </w:rPr>
              <w:t>клієнтів</w:t>
            </w:r>
          </w:p>
        </w:tc>
        <w:tc>
          <w:tcPr>
            <w:tcW w:w="2303"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Готовність</w:t>
            </w:r>
          </w:p>
          <w:p w:rsidR="00F1629C" w:rsidRDefault="00E671D2">
            <w:pPr>
              <w:autoSpaceDE w:val="0"/>
              <w:autoSpaceDN w:val="0"/>
              <w:adjustRightInd w:val="0"/>
              <w:spacing w:line="240" w:lineRule="auto"/>
              <w:jc w:val="center"/>
              <w:rPr>
                <w:iCs/>
                <w:sz w:val="20"/>
                <w:szCs w:val="20"/>
              </w:rPr>
            </w:pPr>
            <w:r>
              <w:rPr>
                <w:iCs/>
                <w:sz w:val="20"/>
                <w:szCs w:val="20"/>
              </w:rPr>
              <w:t>споживачів</w:t>
            </w:r>
          </w:p>
          <w:p w:rsidR="00F1629C" w:rsidRDefault="00E671D2">
            <w:pPr>
              <w:autoSpaceDE w:val="0"/>
              <w:autoSpaceDN w:val="0"/>
              <w:adjustRightInd w:val="0"/>
              <w:spacing w:line="240" w:lineRule="auto"/>
              <w:jc w:val="center"/>
              <w:rPr>
                <w:iCs/>
                <w:sz w:val="20"/>
                <w:szCs w:val="20"/>
              </w:rPr>
            </w:pPr>
            <w:r>
              <w:rPr>
                <w:iCs/>
                <w:sz w:val="20"/>
                <w:szCs w:val="20"/>
              </w:rPr>
              <w:t>сприйняти</w:t>
            </w:r>
          </w:p>
          <w:p w:rsidR="00F1629C" w:rsidRDefault="00E671D2">
            <w:pPr>
              <w:autoSpaceDE w:val="0"/>
              <w:autoSpaceDN w:val="0"/>
              <w:adjustRightInd w:val="0"/>
              <w:spacing w:line="240" w:lineRule="auto"/>
              <w:jc w:val="center"/>
              <w:rPr>
                <w:sz w:val="20"/>
                <w:szCs w:val="20"/>
              </w:rPr>
            </w:pPr>
            <w:r>
              <w:rPr>
                <w:iCs/>
                <w:sz w:val="20"/>
                <w:szCs w:val="20"/>
              </w:rPr>
              <w:t>продукт</w:t>
            </w:r>
          </w:p>
        </w:tc>
        <w:tc>
          <w:tcPr>
            <w:tcW w:w="1676"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Орієнтовний</w:t>
            </w:r>
          </w:p>
          <w:p w:rsidR="00F1629C" w:rsidRDefault="00E671D2">
            <w:pPr>
              <w:autoSpaceDE w:val="0"/>
              <w:autoSpaceDN w:val="0"/>
              <w:adjustRightInd w:val="0"/>
              <w:spacing w:line="240" w:lineRule="auto"/>
              <w:jc w:val="center"/>
              <w:rPr>
                <w:iCs/>
                <w:sz w:val="20"/>
                <w:szCs w:val="20"/>
              </w:rPr>
            </w:pPr>
            <w:r>
              <w:rPr>
                <w:iCs/>
                <w:sz w:val="20"/>
                <w:szCs w:val="20"/>
              </w:rPr>
              <w:t>попит в межах</w:t>
            </w:r>
          </w:p>
          <w:p w:rsidR="00F1629C" w:rsidRDefault="00E671D2">
            <w:pPr>
              <w:autoSpaceDE w:val="0"/>
              <w:autoSpaceDN w:val="0"/>
              <w:adjustRightInd w:val="0"/>
              <w:spacing w:line="240" w:lineRule="auto"/>
              <w:jc w:val="center"/>
              <w:rPr>
                <w:iCs/>
                <w:sz w:val="20"/>
                <w:szCs w:val="20"/>
              </w:rPr>
            </w:pPr>
            <w:r>
              <w:rPr>
                <w:iCs/>
                <w:sz w:val="20"/>
                <w:szCs w:val="20"/>
              </w:rPr>
              <w:t>цільової групи</w:t>
            </w:r>
          </w:p>
          <w:p w:rsidR="00F1629C" w:rsidRDefault="00E671D2">
            <w:pPr>
              <w:autoSpaceDE w:val="0"/>
              <w:autoSpaceDN w:val="0"/>
              <w:adjustRightInd w:val="0"/>
              <w:spacing w:line="240" w:lineRule="auto"/>
              <w:jc w:val="center"/>
              <w:rPr>
                <w:sz w:val="20"/>
                <w:szCs w:val="20"/>
              </w:rPr>
            </w:pPr>
            <w:r>
              <w:rPr>
                <w:iCs/>
                <w:sz w:val="20"/>
                <w:szCs w:val="20"/>
              </w:rPr>
              <w:t>(сегменту)</w:t>
            </w:r>
          </w:p>
        </w:tc>
        <w:tc>
          <w:tcPr>
            <w:tcW w:w="1979" w:type="dxa"/>
            <w:shd w:val="clear" w:color="auto" w:fill="auto"/>
          </w:tcPr>
          <w:p w:rsidR="00F1629C" w:rsidRDefault="00E671D2">
            <w:pPr>
              <w:autoSpaceDE w:val="0"/>
              <w:autoSpaceDN w:val="0"/>
              <w:adjustRightInd w:val="0"/>
              <w:spacing w:line="240" w:lineRule="auto"/>
              <w:jc w:val="center"/>
              <w:rPr>
                <w:iCs/>
                <w:sz w:val="20"/>
                <w:szCs w:val="20"/>
              </w:rPr>
            </w:pPr>
            <w:r>
              <w:rPr>
                <w:iCs/>
                <w:sz w:val="20"/>
                <w:szCs w:val="20"/>
              </w:rPr>
              <w:t>Інтенсивність</w:t>
            </w:r>
          </w:p>
          <w:p w:rsidR="00F1629C" w:rsidRDefault="00E671D2">
            <w:pPr>
              <w:autoSpaceDE w:val="0"/>
              <w:autoSpaceDN w:val="0"/>
              <w:adjustRightInd w:val="0"/>
              <w:spacing w:line="240" w:lineRule="auto"/>
              <w:jc w:val="center"/>
              <w:rPr>
                <w:iCs/>
                <w:sz w:val="20"/>
                <w:szCs w:val="20"/>
              </w:rPr>
            </w:pPr>
            <w:r>
              <w:rPr>
                <w:iCs/>
                <w:sz w:val="20"/>
                <w:szCs w:val="20"/>
              </w:rPr>
              <w:t>конкуренції в</w:t>
            </w:r>
          </w:p>
          <w:p w:rsidR="00F1629C" w:rsidRDefault="00E671D2">
            <w:pPr>
              <w:autoSpaceDE w:val="0"/>
              <w:autoSpaceDN w:val="0"/>
              <w:adjustRightInd w:val="0"/>
              <w:spacing w:line="240" w:lineRule="auto"/>
              <w:jc w:val="center"/>
              <w:rPr>
                <w:sz w:val="20"/>
                <w:szCs w:val="20"/>
              </w:rPr>
            </w:pPr>
            <w:r>
              <w:rPr>
                <w:iCs/>
                <w:sz w:val="20"/>
                <w:szCs w:val="20"/>
              </w:rPr>
              <w:t>сегменті</w:t>
            </w:r>
          </w:p>
        </w:tc>
        <w:tc>
          <w:tcPr>
            <w:tcW w:w="1486" w:type="dxa"/>
            <w:shd w:val="clear" w:color="auto" w:fill="auto"/>
          </w:tcPr>
          <w:p w:rsidR="00F1629C" w:rsidRDefault="00E671D2">
            <w:pPr>
              <w:autoSpaceDE w:val="0"/>
              <w:autoSpaceDN w:val="0"/>
              <w:adjustRightInd w:val="0"/>
              <w:spacing w:line="240" w:lineRule="auto"/>
              <w:jc w:val="center"/>
              <w:rPr>
                <w:sz w:val="20"/>
                <w:szCs w:val="20"/>
              </w:rPr>
            </w:pPr>
            <w:r>
              <w:rPr>
                <w:iCs/>
                <w:sz w:val="20"/>
                <w:szCs w:val="20"/>
              </w:rPr>
              <w:t>Простота входу у сегмент</w:t>
            </w:r>
          </w:p>
        </w:tc>
      </w:tr>
      <w:tr w:rsidR="00F1629C">
        <w:trPr>
          <w:trHeight w:val="90"/>
        </w:trPr>
        <w:tc>
          <w:tcPr>
            <w:tcW w:w="571"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1.</w:t>
            </w:r>
          </w:p>
        </w:tc>
        <w:tc>
          <w:tcPr>
            <w:tcW w:w="178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Туристи</w:t>
            </w:r>
          </w:p>
        </w:tc>
        <w:tc>
          <w:tcPr>
            <w:tcW w:w="2303"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Споживачі готові сприйняти продукт. Гадаю, це те, чого вони давно чекали</w:t>
            </w:r>
          </w:p>
        </w:tc>
        <w:tc>
          <w:tcPr>
            <w:tcW w:w="1676" w:type="dxa"/>
            <w:shd w:val="clear" w:color="auto" w:fill="auto"/>
          </w:tcPr>
          <w:p w:rsidR="00F1629C" w:rsidRDefault="00E671D2">
            <w:pPr>
              <w:autoSpaceDE w:val="0"/>
              <w:autoSpaceDN w:val="0"/>
              <w:adjustRightInd w:val="0"/>
              <w:spacing w:line="240" w:lineRule="auto"/>
              <w:jc w:val="center"/>
              <w:rPr>
                <w:sz w:val="20"/>
                <w:szCs w:val="20"/>
              </w:rPr>
            </w:pPr>
            <w:r>
              <w:rPr>
                <w:sz w:val="20"/>
                <w:szCs w:val="20"/>
                <w:lang w:val="en"/>
              </w:rPr>
              <w:t>Пропозиція</w:t>
            </w:r>
            <w:r>
              <w:rPr>
                <w:sz w:val="20"/>
                <w:szCs w:val="20"/>
                <w:lang w:val="en"/>
              </w:rPr>
              <w:t xml:space="preserve"> користується дуже великим попитом</w:t>
            </w:r>
          </w:p>
        </w:tc>
        <w:tc>
          <w:tcPr>
            <w:tcW w:w="1979"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 xml:space="preserve">Конкуренція висока, через </w:t>
            </w:r>
            <w:r>
              <w:rPr>
                <w:sz w:val="20"/>
                <w:szCs w:val="20"/>
                <w:lang w:val="en"/>
              </w:rPr>
              <w:t>те</w:t>
            </w:r>
            <w:r>
              <w:rPr>
                <w:sz w:val="20"/>
                <w:szCs w:val="20"/>
                <w:lang w:val="en"/>
              </w:rPr>
              <w:t xml:space="preserve"> що усі вже звикли до Катадіну</w:t>
            </w:r>
          </w:p>
        </w:tc>
        <w:tc>
          <w:tcPr>
            <w:tcW w:w="1486"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Середньої</w:t>
            </w:r>
            <w:r>
              <w:rPr>
                <w:sz w:val="20"/>
                <w:szCs w:val="20"/>
                <w:lang w:val="en"/>
              </w:rPr>
              <w:t xml:space="preserve"> складності</w:t>
            </w:r>
          </w:p>
        </w:tc>
      </w:tr>
      <w:tr w:rsidR="00F1629C">
        <w:trPr>
          <w:trHeight w:val="90"/>
        </w:trPr>
        <w:tc>
          <w:tcPr>
            <w:tcW w:w="571"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2.</w:t>
            </w:r>
          </w:p>
        </w:tc>
        <w:tc>
          <w:tcPr>
            <w:tcW w:w="178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Рядові</w:t>
            </w:r>
            <w:r>
              <w:rPr>
                <w:sz w:val="20"/>
                <w:szCs w:val="20"/>
                <w:lang w:val="en"/>
              </w:rPr>
              <w:t xml:space="preserve"> водоспоживачі</w:t>
            </w:r>
          </w:p>
        </w:tc>
        <w:tc>
          <w:tcPr>
            <w:tcW w:w="2303"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rPr>
              <w:t>Висока готовність прийняти товар, що пов’язано з орієнтацією на новітні ресурсозберігаючі технології</w:t>
            </w:r>
            <w:r>
              <w:rPr>
                <w:sz w:val="20"/>
                <w:szCs w:val="20"/>
                <w:lang w:val="en"/>
              </w:rPr>
              <w:t xml:space="preserve"> та зацікавленість у дешевій питній воді вдома</w:t>
            </w:r>
          </w:p>
        </w:tc>
        <w:tc>
          <w:tcPr>
            <w:tcW w:w="1676"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Середній</w:t>
            </w:r>
            <w:r>
              <w:rPr>
                <w:sz w:val="20"/>
                <w:szCs w:val="20"/>
                <w:lang w:val="en"/>
              </w:rPr>
              <w:t xml:space="preserve"> попит</w:t>
            </w:r>
          </w:p>
        </w:tc>
        <w:tc>
          <w:tcPr>
            <w:tcW w:w="1979"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rPr>
              <w:t>Конкуренція висока</w:t>
            </w:r>
            <w:r>
              <w:rPr>
                <w:sz w:val="20"/>
                <w:szCs w:val="20"/>
                <w:lang w:val="en"/>
              </w:rPr>
              <w:t>, проте не монополістична</w:t>
            </w:r>
          </w:p>
        </w:tc>
        <w:tc>
          <w:tcPr>
            <w:tcW w:w="1486"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Можна</w:t>
            </w:r>
            <w:r>
              <w:rPr>
                <w:sz w:val="20"/>
                <w:szCs w:val="20"/>
                <w:lang w:val="en"/>
              </w:rPr>
              <w:t xml:space="preserve"> увійти,</w:t>
            </w:r>
            <w:r>
              <w:rPr>
                <w:sz w:val="20"/>
                <w:szCs w:val="20"/>
                <w:lang w:val="en"/>
              </w:rPr>
              <w:t xml:space="preserve"> якщо виділити достатньо коштів на рекламу</w:t>
            </w:r>
          </w:p>
        </w:tc>
      </w:tr>
      <w:tr w:rsidR="00F1629C">
        <w:trPr>
          <w:trHeight w:val="90"/>
        </w:trPr>
        <w:tc>
          <w:tcPr>
            <w:tcW w:w="571" w:type="dxa"/>
            <w:shd w:val="clear" w:color="auto" w:fill="auto"/>
          </w:tcPr>
          <w:p w:rsidR="00F1629C" w:rsidRDefault="00E671D2">
            <w:pPr>
              <w:autoSpaceDE w:val="0"/>
              <w:autoSpaceDN w:val="0"/>
              <w:adjustRightInd w:val="0"/>
              <w:spacing w:line="240" w:lineRule="auto"/>
              <w:jc w:val="center"/>
              <w:rPr>
                <w:sz w:val="20"/>
                <w:szCs w:val="20"/>
              </w:rPr>
            </w:pPr>
            <w:r>
              <w:rPr>
                <w:sz w:val="20"/>
                <w:szCs w:val="20"/>
              </w:rPr>
              <w:t>3.</w:t>
            </w:r>
          </w:p>
        </w:tc>
        <w:tc>
          <w:tcPr>
            <w:tcW w:w="1785"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ВПК України</w:t>
            </w:r>
          </w:p>
        </w:tc>
        <w:tc>
          <w:tcPr>
            <w:tcW w:w="2303"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rPr>
              <w:t xml:space="preserve">Висока готовність прийняти товар, що пов’язано з </w:t>
            </w:r>
            <w:r>
              <w:rPr>
                <w:sz w:val="20"/>
                <w:szCs w:val="20"/>
                <w:lang w:val="en"/>
              </w:rPr>
              <w:t>необхідністю</w:t>
            </w:r>
            <w:r>
              <w:rPr>
                <w:sz w:val="20"/>
                <w:szCs w:val="20"/>
                <w:lang w:val="en"/>
              </w:rPr>
              <w:t xml:space="preserve"> запезбечення своїх людей водою в місцях без доступу до джерел якісної прісної води</w:t>
            </w:r>
          </w:p>
        </w:tc>
        <w:tc>
          <w:tcPr>
            <w:tcW w:w="1676" w:type="dxa"/>
            <w:shd w:val="clear" w:color="auto" w:fill="auto"/>
          </w:tcPr>
          <w:p w:rsidR="00F1629C" w:rsidRDefault="00E671D2">
            <w:pPr>
              <w:autoSpaceDE w:val="0"/>
              <w:autoSpaceDN w:val="0"/>
              <w:adjustRightInd w:val="0"/>
              <w:spacing w:line="240" w:lineRule="auto"/>
              <w:jc w:val="center"/>
              <w:rPr>
                <w:sz w:val="20"/>
                <w:szCs w:val="20"/>
                <w:lang w:val="ru"/>
              </w:rPr>
            </w:pPr>
            <w:r>
              <w:rPr>
                <w:sz w:val="20"/>
                <w:szCs w:val="20"/>
                <w:lang w:val="en"/>
              </w:rPr>
              <w:t>В</w:t>
            </w:r>
            <w:r>
              <w:rPr>
                <w:sz w:val="20"/>
                <w:szCs w:val="20"/>
                <w:lang w:val="ru"/>
              </w:rPr>
              <w:t>исокий попит</w:t>
            </w:r>
          </w:p>
        </w:tc>
        <w:tc>
          <w:tcPr>
            <w:tcW w:w="1979" w:type="dxa"/>
            <w:shd w:val="clear" w:color="auto" w:fill="auto"/>
          </w:tcPr>
          <w:p w:rsidR="00F1629C" w:rsidRDefault="00E671D2">
            <w:pPr>
              <w:autoSpaceDE w:val="0"/>
              <w:autoSpaceDN w:val="0"/>
              <w:adjustRightInd w:val="0"/>
              <w:spacing w:line="240" w:lineRule="auto"/>
              <w:jc w:val="center"/>
              <w:rPr>
                <w:sz w:val="20"/>
                <w:szCs w:val="20"/>
                <w:lang w:val="en"/>
              </w:rPr>
            </w:pPr>
            <w:r>
              <w:rPr>
                <w:sz w:val="20"/>
                <w:szCs w:val="20"/>
                <w:lang w:val="en"/>
              </w:rPr>
              <w:t>Конкуренція</w:t>
            </w:r>
            <w:r>
              <w:rPr>
                <w:sz w:val="20"/>
                <w:szCs w:val="20"/>
                <w:lang w:val="en"/>
              </w:rPr>
              <w:t>, на мою думку, відсутня</w:t>
            </w:r>
          </w:p>
        </w:tc>
        <w:tc>
          <w:tcPr>
            <w:tcW w:w="1486" w:type="dxa"/>
            <w:shd w:val="clear" w:color="auto" w:fill="auto"/>
          </w:tcPr>
          <w:p w:rsidR="00F1629C" w:rsidRDefault="00E671D2">
            <w:pPr>
              <w:autoSpaceDE w:val="0"/>
              <w:autoSpaceDN w:val="0"/>
              <w:adjustRightInd w:val="0"/>
              <w:spacing w:line="240" w:lineRule="auto"/>
              <w:jc w:val="center"/>
              <w:rPr>
                <w:sz w:val="20"/>
                <w:szCs w:val="20"/>
                <w:lang w:val="ru"/>
              </w:rPr>
            </w:pPr>
            <w:r>
              <w:rPr>
                <w:sz w:val="20"/>
                <w:szCs w:val="20"/>
              </w:rPr>
              <w:t>Вхід у сегмент доступний</w:t>
            </w:r>
            <w:r>
              <w:rPr>
                <w:sz w:val="20"/>
                <w:szCs w:val="20"/>
                <w:lang w:val="ru"/>
              </w:rPr>
              <w:t xml:space="preserve"> через тендери</w:t>
            </w:r>
          </w:p>
        </w:tc>
      </w:tr>
    </w:tbl>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4.13 Визначення базової стратегії розвитку</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4.12 - Визначення базової стратегії розвитку</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3"/>
        <w:gridCol w:w="1941"/>
        <w:gridCol w:w="1468"/>
        <w:gridCol w:w="2673"/>
        <w:gridCol w:w="3179"/>
      </w:tblGrid>
      <w:tr w:rsidR="00F1629C">
        <w:tc>
          <w:tcPr>
            <w:tcW w:w="593"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both"/>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1941"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Обрана альтернатива розвитку проекту</w:t>
            </w:r>
          </w:p>
        </w:tc>
        <w:tc>
          <w:tcPr>
            <w:tcW w:w="1468"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Стратегія охоплення ринку</w:t>
            </w:r>
          </w:p>
        </w:tc>
        <w:tc>
          <w:tcPr>
            <w:tcW w:w="2673"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Ключові конкурентоспроможні позиції відповідно до </w:t>
            </w:r>
            <w:r>
              <w:rPr>
                <w:rFonts w:ascii="Times New Roman" w:hAnsi="Times New Roman" w:cs="Times New Roman"/>
                <w:sz w:val="28"/>
                <w:szCs w:val="28"/>
                <w:lang w:eastAsia="uk-UA"/>
              </w:rPr>
              <w:t>обраної альтернативи</w:t>
            </w:r>
          </w:p>
        </w:tc>
        <w:tc>
          <w:tcPr>
            <w:tcW w:w="3179"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Базова стратегія розвитку</w:t>
            </w:r>
          </w:p>
        </w:tc>
      </w:tr>
      <w:tr w:rsidR="00F1629C">
        <w:tc>
          <w:tcPr>
            <w:tcW w:w="593" w:type="dxa"/>
            <w:tcBorders>
              <w:top w:val="single" w:sz="4" w:space="0" w:color="auto"/>
              <w:left w:val="single" w:sz="4" w:space="0" w:color="auto"/>
              <w:bottom w:val="single" w:sz="4" w:space="0" w:color="auto"/>
              <w:right w:val="single" w:sz="4" w:space="0" w:color="auto"/>
            </w:tcBorders>
            <w:shd w:val="clear" w:color="auto" w:fill="auto"/>
          </w:tcPr>
          <w:p w:rsidR="00F1629C" w:rsidRDefault="00F1629C">
            <w:pPr>
              <w:pStyle w:val="af9"/>
              <w:jc w:val="both"/>
              <w:rPr>
                <w:rFonts w:ascii="Times New Roman" w:hAnsi="Times New Roman" w:cs="Times New Roman"/>
                <w:sz w:val="28"/>
                <w:szCs w:val="28"/>
                <w:lang w:eastAsia="uk-UA"/>
              </w:rPr>
            </w:pPr>
          </w:p>
        </w:tc>
        <w:tc>
          <w:tcPr>
            <w:tcW w:w="1941"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val="en" w:eastAsia="uk-UA"/>
              </w:rPr>
              <w:t>Адаптація</w:t>
            </w:r>
            <w:r>
              <w:rPr>
                <w:rFonts w:ascii="Times New Roman" w:hAnsi="Times New Roman" w:cs="Times New Roman"/>
                <w:sz w:val="28"/>
                <w:szCs w:val="28"/>
                <w:lang w:val="en" w:eastAsia="uk-UA"/>
              </w:rPr>
              <w:t xml:space="preserve"> фільтрів для більш тривалого використання</w:t>
            </w:r>
          </w:p>
        </w:tc>
        <w:tc>
          <w:tcPr>
            <w:tcW w:w="1468"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both"/>
              <w:rPr>
                <w:rFonts w:ascii="Times New Roman" w:hAnsi="Times New Roman" w:cs="Times New Roman"/>
                <w:sz w:val="28"/>
                <w:szCs w:val="28"/>
                <w:lang w:eastAsia="uk-UA"/>
              </w:rPr>
            </w:pPr>
            <w:r>
              <w:rPr>
                <w:rFonts w:ascii="Times New Roman" w:hAnsi="Times New Roman" w:cs="Times New Roman"/>
                <w:sz w:val="28"/>
                <w:szCs w:val="28"/>
              </w:rPr>
              <w:t>Стратегію концентрованого маркетингу</w:t>
            </w:r>
          </w:p>
        </w:tc>
        <w:tc>
          <w:tcPr>
            <w:tcW w:w="2673"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rPr>
                <w:rFonts w:ascii="Times New Roman" w:hAnsi="Times New Roman" w:cs="Times New Roman"/>
                <w:sz w:val="28"/>
                <w:szCs w:val="28"/>
                <w:lang w:val="en" w:eastAsia="uk-UA"/>
              </w:rPr>
            </w:pPr>
            <w:r>
              <w:rPr>
                <w:rFonts w:ascii="Times New Roman" w:hAnsi="Times New Roman" w:cs="Times New Roman"/>
                <w:sz w:val="28"/>
                <w:szCs w:val="28"/>
                <w:lang w:val="en" w:eastAsia="uk-UA"/>
              </w:rPr>
              <w:t>Низька</w:t>
            </w:r>
            <w:r>
              <w:rPr>
                <w:rFonts w:ascii="Times New Roman" w:hAnsi="Times New Roman" w:cs="Times New Roman"/>
                <w:sz w:val="28"/>
                <w:szCs w:val="28"/>
                <w:lang w:val="en" w:eastAsia="uk-UA"/>
              </w:rPr>
              <w:t xml:space="preserve"> ціна</w:t>
            </w:r>
          </w:p>
          <w:p w:rsidR="00F1629C" w:rsidRDefault="00E671D2">
            <w:pPr>
              <w:pStyle w:val="af9"/>
              <w:rPr>
                <w:rFonts w:ascii="Times New Roman" w:hAnsi="Times New Roman" w:cs="Times New Roman"/>
                <w:sz w:val="28"/>
                <w:szCs w:val="28"/>
                <w:lang w:val="en" w:eastAsia="uk-UA"/>
              </w:rPr>
            </w:pPr>
            <w:r>
              <w:rPr>
                <w:rFonts w:ascii="Times New Roman" w:hAnsi="Times New Roman" w:cs="Times New Roman"/>
                <w:sz w:val="28"/>
                <w:szCs w:val="28"/>
                <w:lang w:val="en" w:eastAsia="uk-UA"/>
              </w:rPr>
              <w:t>Високий ступінь очистки</w:t>
            </w:r>
          </w:p>
          <w:p w:rsidR="00F1629C" w:rsidRDefault="00E671D2">
            <w:pPr>
              <w:pStyle w:val="af9"/>
              <w:rPr>
                <w:rFonts w:ascii="Times New Roman" w:hAnsi="Times New Roman" w:cs="Times New Roman"/>
                <w:sz w:val="28"/>
                <w:szCs w:val="28"/>
                <w:lang w:val="en" w:eastAsia="uk-UA"/>
              </w:rPr>
            </w:pPr>
            <w:r>
              <w:rPr>
                <w:rFonts w:ascii="Times New Roman" w:hAnsi="Times New Roman" w:cs="Times New Roman"/>
                <w:sz w:val="28"/>
                <w:szCs w:val="28"/>
                <w:lang w:val="en" w:eastAsia="uk-UA"/>
              </w:rPr>
              <w:t>Дуже висока мобільність</w:t>
            </w:r>
          </w:p>
        </w:tc>
        <w:tc>
          <w:tcPr>
            <w:tcW w:w="3179"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autoSpaceDE w:val="0"/>
              <w:autoSpaceDN w:val="0"/>
              <w:adjustRightInd w:val="0"/>
              <w:spacing w:line="360" w:lineRule="auto"/>
              <w:rPr>
                <w:sz w:val="28"/>
                <w:szCs w:val="28"/>
                <w:lang w:eastAsia="uk-UA"/>
              </w:rPr>
            </w:pPr>
            <w:r>
              <w:rPr>
                <w:rFonts w:ascii="Times New Roman" w:hAnsi="Times New Roman" w:cs="Times New Roman"/>
                <w:sz w:val="28"/>
                <w:szCs w:val="28"/>
                <w:lang w:eastAsia="uk-UA"/>
              </w:rPr>
              <w:t xml:space="preserve">Стратегія спеціалізації (концентрація на потребах одного </w:t>
            </w:r>
            <w:r>
              <w:rPr>
                <w:rFonts w:ascii="Times New Roman" w:hAnsi="Times New Roman" w:cs="Times New Roman"/>
                <w:sz w:val="28"/>
                <w:szCs w:val="28"/>
                <w:lang w:eastAsia="uk-UA"/>
              </w:rPr>
              <w:t>цільового сегменту),</w:t>
            </w:r>
            <w:r>
              <w:rPr>
                <w:rFonts w:ascii="Times New Roman" w:hAnsi="Times New Roman" w:cs="Times New Roman"/>
                <w:sz w:val="28"/>
                <w:szCs w:val="28"/>
                <w:lang w:val="en" w:eastAsia="uk-UA"/>
              </w:rPr>
              <w:t xml:space="preserve"> але лише на початку.</w:t>
            </w:r>
          </w:p>
        </w:tc>
      </w:tr>
    </w:tbl>
    <w:p w:rsidR="00F1629C" w:rsidRDefault="00F1629C">
      <w:pPr>
        <w:tabs>
          <w:tab w:val="left" w:pos="284"/>
        </w:tabs>
        <w:spacing w:line="360" w:lineRule="auto"/>
        <w:rPr>
          <w:rFonts w:ascii="Times New Roman" w:hAnsi="Times New Roman" w:cs="Times New Roman"/>
          <w:sz w:val="28"/>
          <w:szCs w:val="28"/>
        </w:rPr>
      </w:pP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4.14 Визначення базової стратегії конкурентної поведінки</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4.13 - Визначення базової стратегії конкурентної поведінки</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0"/>
        <w:gridCol w:w="2568"/>
        <w:gridCol w:w="2278"/>
        <w:gridCol w:w="2335"/>
        <w:gridCol w:w="2063"/>
      </w:tblGrid>
      <w:tr w:rsidR="00F1629C">
        <w:tc>
          <w:tcPr>
            <w:tcW w:w="610"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2568"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є проект «першопрохідцем» на ринку?</w:t>
            </w:r>
          </w:p>
        </w:tc>
        <w:tc>
          <w:tcPr>
            <w:tcW w:w="2278"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буде компанія шукати нових споживачів, а</w:t>
            </w:r>
            <w:r>
              <w:rPr>
                <w:rFonts w:ascii="Times New Roman" w:hAnsi="Times New Roman" w:cs="Times New Roman"/>
                <w:sz w:val="28"/>
                <w:szCs w:val="28"/>
                <w:lang w:eastAsia="uk-UA"/>
              </w:rPr>
              <w:t>бо забирати існуючих у конкурентів?</w:t>
            </w:r>
          </w:p>
        </w:tc>
        <w:tc>
          <w:tcPr>
            <w:tcW w:w="2335"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буде компанія копіювати основні характеристики товару конкурента, і які?</w:t>
            </w:r>
          </w:p>
        </w:tc>
        <w:tc>
          <w:tcPr>
            <w:tcW w:w="2063"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Стратегія конкурентної поведінки</w:t>
            </w:r>
          </w:p>
        </w:tc>
      </w:tr>
      <w:tr w:rsidR="00F1629C">
        <w:tc>
          <w:tcPr>
            <w:tcW w:w="610" w:type="dxa"/>
            <w:tcBorders>
              <w:top w:val="single" w:sz="4" w:space="0" w:color="auto"/>
              <w:left w:val="single" w:sz="4" w:space="0" w:color="auto"/>
              <w:bottom w:val="single" w:sz="4" w:space="0" w:color="auto"/>
              <w:right w:val="single" w:sz="4" w:space="0" w:color="auto"/>
            </w:tcBorders>
            <w:shd w:val="clear" w:color="auto" w:fill="auto"/>
          </w:tcPr>
          <w:p w:rsidR="00F1629C" w:rsidRDefault="00F1629C">
            <w:pPr>
              <w:pStyle w:val="af9"/>
              <w:jc w:val="center"/>
              <w:rPr>
                <w:rFonts w:ascii="Times New Roman" w:hAnsi="Times New Roman" w:cs="Times New Roman"/>
                <w:sz w:val="28"/>
                <w:szCs w:val="28"/>
                <w:lang w:eastAsia="uk-UA"/>
              </w:rPr>
            </w:pPr>
          </w:p>
        </w:tc>
        <w:tc>
          <w:tcPr>
            <w:tcW w:w="2568"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rPr>
                <w:rFonts w:ascii="Times New Roman" w:hAnsi="Times New Roman" w:cs="Times New Roman"/>
                <w:sz w:val="28"/>
                <w:szCs w:val="28"/>
                <w:lang w:val="en" w:eastAsia="uk-UA"/>
              </w:rPr>
            </w:pPr>
            <w:r>
              <w:rPr>
                <w:rFonts w:ascii="Times New Roman" w:hAnsi="Times New Roman" w:cs="Times New Roman"/>
                <w:sz w:val="28"/>
                <w:szCs w:val="28"/>
                <w:lang w:val="en" w:eastAsia="uk-UA"/>
              </w:rPr>
              <w:t>По</w:t>
            </w:r>
            <w:r>
              <w:rPr>
                <w:rFonts w:ascii="Times New Roman" w:hAnsi="Times New Roman" w:cs="Times New Roman"/>
                <w:sz w:val="28"/>
                <w:szCs w:val="28"/>
                <w:lang w:val="en" w:eastAsia="uk-UA"/>
              </w:rPr>
              <w:t xml:space="preserve"> суті, ні, по технічним характеристикам і технології - так.</w:t>
            </w:r>
          </w:p>
          <w:p w:rsidR="00F1629C" w:rsidRDefault="00E671D2">
            <w:pPr>
              <w:pStyle w:val="af9"/>
              <w:rPr>
                <w:rFonts w:ascii="Times New Roman" w:hAnsi="Times New Roman" w:cs="Times New Roman"/>
                <w:sz w:val="28"/>
                <w:szCs w:val="28"/>
                <w:lang w:eastAsia="uk-UA"/>
              </w:rPr>
            </w:pPr>
            <w:r>
              <w:rPr>
                <w:rFonts w:ascii="Times New Roman" w:hAnsi="Times New Roman" w:cs="Times New Roman"/>
                <w:sz w:val="28"/>
                <w:szCs w:val="28"/>
                <w:lang w:val="en" w:eastAsia="uk-UA"/>
              </w:rPr>
              <w:t xml:space="preserve">Я б назвав це не першопрохідцем, а наступним </w:t>
            </w:r>
            <w:r>
              <w:rPr>
                <w:rFonts w:ascii="Times New Roman" w:hAnsi="Times New Roman" w:cs="Times New Roman"/>
                <w:sz w:val="28"/>
                <w:szCs w:val="28"/>
                <w:lang w:val="en" w:eastAsia="uk-UA"/>
              </w:rPr>
              <w:t>кроком</w:t>
            </w:r>
            <w:r>
              <w:rPr>
                <w:rFonts w:ascii="Times New Roman" w:hAnsi="Times New Roman" w:cs="Times New Roman"/>
                <w:sz w:val="28"/>
                <w:szCs w:val="28"/>
                <w:lang w:eastAsia="uk-UA"/>
              </w:rPr>
              <w:t xml:space="preserve"> </w:t>
            </w:r>
          </w:p>
        </w:tc>
        <w:tc>
          <w:tcPr>
            <w:tcW w:w="2278"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rPr>
                <w:rFonts w:ascii="Times New Roman" w:hAnsi="Times New Roman" w:cs="Times New Roman"/>
                <w:sz w:val="28"/>
                <w:szCs w:val="28"/>
                <w:lang w:val="en" w:eastAsia="uk-UA"/>
              </w:rPr>
            </w:pPr>
            <w:r>
              <w:rPr>
                <w:rFonts w:ascii="Times New Roman" w:hAnsi="Times New Roman" w:cs="Times New Roman"/>
                <w:sz w:val="28"/>
                <w:szCs w:val="28"/>
                <w:lang w:val="en" w:eastAsia="uk-UA"/>
              </w:rPr>
              <w:t>Вигризати</w:t>
            </w:r>
            <w:r>
              <w:rPr>
                <w:rFonts w:ascii="Times New Roman" w:hAnsi="Times New Roman" w:cs="Times New Roman"/>
                <w:sz w:val="28"/>
                <w:szCs w:val="28"/>
                <w:lang w:val="en" w:eastAsia="uk-UA"/>
              </w:rPr>
              <w:t xml:space="preserve"> клієнтів з лап катадіну за рахунок явних конкурентних переваг</w:t>
            </w:r>
          </w:p>
        </w:tc>
        <w:tc>
          <w:tcPr>
            <w:tcW w:w="2335"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rPr>
                <w:rFonts w:ascii="Times New Roman" w:hAnsi="Times New Roman" w:cs="Times New Roman"/>
                <w:sz w:val="28"/>
                <w:szCs w:val="28"/>
                <w:lang w:val="en" w:eastAsia="uk-UA"/>
              </w:rPr>
            </w:pPr>
            <w:r>
              <w:rPr>
                <w:rFonts w:ascii="Times New Roman" w:hAnsi="Times New Roman" w:cs="Times New Roman"/>
                <w:sz w:val="28"/>
                <w:szCs w:val="28"/>
                <w:lang w:val="en" w:eastAsia="uk-UA"/>
              </w:rPr>
              <w:t>Ні, не буд</w:t>
            </w:r>
            <w:r>
              <w:rPr>
                <w:rFonts w:ascii="Times New Roman" w:hAnsi="Times New Roman" w:cs="Times New Roman"/>
                <w:sz w:val="28"/>
                <w:szCs w:val="28"/>
                <w:lang w:val="ru" w:eastAsia="uk-UA"/>
              </w:rPr>
              <w:t>е</w:t>
            </w:r>
            <w:r>
              <w:rPr>
                <w:rFonts w:ascii="Times New Roman" w:hAnsi="Times New Roman" w:cs="Times New Roman"/>
                <w:sz w:val="28"/>
                <w:szCs w:val="28"/>
                <w:lang w:val="en" w:eastAsia="uk-UA"/>
              </w:rPr>
              <w:t>.</w:t>
            </w:r>
          </w:p>
        </w:tc>
        <w:tc>
          <w:tcPr>
            <w:tcW w:w="2063"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rPr>
                <w:rFonts w:ascii="Times New Roman" w:hAnsi="Times New Roman" w:cs="Times New Roman"/>
                <w:sz w:val="28"/>
                <w:szCs w:val="28"/>
                <w:lang w:eastAsia="uk-UA"/>
              </w:rPr>
            </w:pPr>
            <w:r>
              <w:rPr>
                <w:rFonts w:ascii="Times New Roman" w:hAnsi="Times New Roman" w:cs="Times New Roman"/>
                <w:sz w:val="28"/>
                <w:szCs w:val="28"/>
              </w:rPr>
              <w:t>Стратегія заняття конкурентної ніші</w:t>
            </w:r>
          </w:p>
        </w:tc>
      </w:tr>
    </w:tbl>
    <w:p w:rsidR="00F1629C" w:rsidRDefault="00F1629C">
      <w:pPr>
        <w:tabs>
          <w:tab w:val="left" w:pos="284"/>
        </w:tabs>
        <w:spacing w:line="360" w:lineRule="auto"/>
        <w:rPr>
          <w:rFonts w:ascii="Times New Roman" w:hAnsi="Times New Roman" w:cs="Times New Roman"/>
          <w:b/>
          <w:sz w:val="28"/>
          <w:szCs w:val="28"/>
        </w:rPr>
      </w:pPr>
    </w:p>
    <w:p w:rsidR="00F1629C" w:rsidRDefault="00E671D2">
      <w:pPr>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4.15 Визначення стратегії позиціонування</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4.14- Визначення стратегії позиціонування</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0"/>
        <w:gridCol w:w="3153"/>
        <w:gridCol w:w="1626"/>
        <w:gridCol w:w="1981"/>
        <w:gridCol w:w="2534"/>
      </w:tblGrid>
      <w:tr w:rsidR="00F1629C">
        <w:tc>
          <w:tcPr>
            <w:tcW w:w="560"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3153"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Вимоги до товару цільової </w:t>
            </w:r>
            <w:r>
              <w:rPr>
                <w:rFonts w:ascii="Times New Roman" w:hAnsi="Times New Roman" w:cs="Times New Roman"/>
                <w:sz w:val="28"/>
                <w:szCs w:val="28"/>
                <w:lang w:eastAsia="uk-UA"/>
              </w:rPr>
              <w:t>аудиторії</w:t>
            </w:r>
          </w:p>
        </w:tc>
        <w:tc>
          <w:tcPr>
            <w:tcW w:w="1626"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Базова стратегія розвитку</w:t>
            </w:r>
          </w:p>
        </w:tc>
        <w:tc>
          <w:tcPr>
            <w:tcW w:w="1981"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Ключові конкуренто-спроможні позиції власного стартап-проекту</w:t>
            </w:r>
          </w:p>
        </w:tc>
        <w:tc>
          <w:tcPr>
            <w:tcW w:w="2534" w:type="dxa"/>
            <w:tcBorders>
              <w:top w:val="single" w:sz="4" w:space="0" w:color="auto"/>
              <w:left w:val="single" w:sz="4" w:space="0" w:color="auto"/>
              <w:bottom w:val="single" w:sz="4" w:space="0" w:color="auto"/>
              <w:right w:val="single" w:sz="4" w:space="0" w:color="auto"/>
            </w:tcBorders>
            <w:shd w:val="clear" w:color="auto" w:fill="auto"/>
            <w:vAlign w:val="center"/>
          </w:tcPr>
          <w:p w:rsidR="00F1629C" w:rsidRDefault="00E671D2">
            <w:pPr>
              <w:pStyle w:val="af9"/>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Вибір асоціацій, які мають сформувати комплексну позицію власного проекту (три ключових)</w:t>
            </w:r>
          </w:p>
        </w:tc>
      </w:tr>
      <w:tr w:rsidR="00F1629C">
        <w:tc>
          <w:tcPr>
            <w:tcW w:w="560" w:type="dxa"/>
            <w:tcBorders>
              <w:top w:val="single" w:sz="4" w:space="0" w:color="auto"/>
              <w:left w:val="single" w:sz="4" w:space="0" w:color="auto"/>
              <w:bottom w:val="single" w:sz="4" w:space="0" w:color="auto"/>
              <w:right w:val="single" w:sz="4" w:space="0" w:color="auto"/>
            </w:tcBorders>
            <w:shd w:val="clear" w:color="auto" w:fill="auto"/>
          </w:tcPr>
          <w:p w:rsidR="00F1629C" w:rsidRDefault="00F1629C">
            <w:pPr>
              <w:pStyle w:val="af9"/>
              <w:jc w:val="both"/>
              <w:rPr>
                <w:rFonts w:ascii="Times New Roman" w:hAnsi="Times New Roman" w:cs="Times New Roman"/>
                <w:sz w:val="28"/>
                <w:szCs w:val="28"/>
                <w:lang w:eastAsia="uk-UA"/>
              </w:rPr>
            </w:pPr>
          </w:p>
        </w:tc>
        <w:tc>
          <w:tcPr>
            <w:tcW w:w="3153"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rPr>
              <w:t>Висока ефективність;</w:t>
            </w:r>
            <w:r>
              <w:rPr>
                <w:rFonts w:ascii="Times New Roman" w:hAnsi="Times New Roman" w:cs="Times New Roman"/>
                <w:sz w:val="28"/>
                <w:szCs w:val="28"/>
              </w:rPr>
              <w:br/>
              <w:t>Вигідне співвідношення ціна-якість;</w:t>
            </w:r>
            <w:r>
              <w:rPr>
                <w:rFonts w:ascii="Times New Roman" w:hAnsi="Times New Roman" w:cs="Times New Roman"/>
                <w:sz w:val="28"/>
                <w:szCs w:val="28"/>
              </w:rPr>
              <w:br/>
              <w:t>Екологічні</w:t>
            </w:r>
            <w:r>
              <w:rPr>
                <w:rFonts w:ascii="Times New Roman" w:hAnsi="Times New Roman" w:cs="Times New Roman"/>
                <w:sz w:val="28"/>
                <w:szCs w:val="28"/>
              </w:rPr>
              <w:t>сть;</w:t>
            </w:r>
            <w:r>
              <w:rPr>
                <w:rFonts w:ascii="Times New Roman" w:hAnsi="Times New Roman" w:cs="Times New Roman"/>
                <w:sz w:val="28"/>
                <w:szCs w:val="28"/>
              </w:rPr>
              <w:br/>
            </w:r>
            <w:r>
              <w:rPr>
                <w:rFonts w:ascii="Times New Roman" w:hAnsi="Times New Roman" w:cs="Times New Roman"/>
                <w:sz w:val="28"/>
                <w:szCs w:val="28"/>
                <w:lang w:val="en"/>
              </w:rPr>
              <w:t>Мала</w:t>
            </w:r>
            <w:r>
              <w:rPr>
                <w:rFonts w:ascii="Times New Roman" w:hAnsi="Times New Roman" w:cs="Times New Roman"/>
                <w:sz w:val="28"/>
                <w:szCs w:val="28"/>
                <w:lang w:val="en"/>
              </w:rPr>
              <w:t xml:space="preserve"> вага та габарити</w:t>
            </w:r>
            <w:r>
              <w:rPr>
                <w:rFonts w:ascii="Times New Roman" w:hAnsi="Times New Roman" w:cs="Times New Roman"/>
                <w:sz w:val="28"/>
                <w:szCs w:val="28"/>
              </w:rPr>
              <w:br/>
            </w:r>
            <w:r>
              <w:rPr>
                <w:rFonts w:ascii="Times New Roman" w:hAnsi="Times New Roman" w:cs="Times New Roman"/>
                <w:sz w:val="28"/>
                <w:szCs w:val="28"/>
                <w:lang w:val="en"/>
              </w:rPr>
              <w:t>Довгий</w:t>
            </w:r>
            <w:r>
              <w:rPr>
                <w:rFonts w:ascii="Times New Roman" w:hAnsi="Times New Roman" w:cs="Times New Roman"/>
                <w:sz w:val="28"/>
                <w:szCs w:val="28"/>
                <w:lang w:val="en"/>
              </w:rPr>
              <w:t xml:space="preserve"> термін експлуатації</w:t>
            </w:r>
          </w:p>
        </w:tc>
        <w:tc>
          <w:tcPr>
            <w:tcW w:w="1626"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eastAsia="uk-UA"/>
              </w:rPr>
              <w:t xml:space="preserve">Стратегія </w:t>
            </w:r>
            <w:r>
              <w:rPr>
                <w:rFonts w:ascii="Times New Roman" w:hAnsi="Times New Roman" w:cs="Times New Roman"/>
                <w:sz w:val="28"/>
                <w:szCs w:val="28"/>
                <w:lang w:val="en" w:eastAsia="uk-UA"/>
              </w:rPr>
              <w:t>розширення</w:t>
            </w:r>
          </w:p>
        </w:tc>
        <w:tc>
          <w:tcPr>
            <w:tcW w:w="1981"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both"/>
              <w:rPr>
                <w:rFonts w:ascii="Times New Roman" w:hAnsi="Times New Roman" w:cs="Times New Roman"/>
                <w:sz w:val="28"/>
                <w:szCs w:val="28"/>
                <w:lang w:val="en"/>
              </w:rPr>
            </w:pPr>
            <w:r>
              <w:rPr>
                <w:rFonts w:ascii="Times New Roman" w:hAnsi="Times New Roman" w:cs="Times New Roman"/>
                <w:sz w:val="28"/>
                <w:szCs w:val="28"/>
                <w:lang w:val="en"/>
              </w:rPr>
              <w:t>Співвідношення</w:t>
            </w:r>
            <w:r>
              <w:rPr>
                <w:rFonts w:ascii="Times New Roman" w:hAnsi="Times New Roman" w:cs="Times New Roman"/>
                <w:sz w:val="28"/>
                <w:szCs w:val="28"/>
                <w:lang w:val="en"/>
              </w:rPr>
              <w:t xml:space="preserve"> ціна/якість</w:t>
            </w:r>
          </w:p>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val="en"/>
              </w:rPr>
              <w:t>Мала</w:t>
            </w:r>
            <w:r>
              <w:rPr>
                <w:rFonts w:ascii="Times New Roman" w:hAnsi="Times New Roman" w:cs="Times New Roman"/>
                <w:sz w:val="28"/>
                <w:szCs w:val="28"/>
                <w:lang w:val="en"/>
              </w:rPr>
              <w:t xml:space="preserve"> вага та габарити</w:t>
            </w:r>
          </w:p>
        </w:tc>
        <w:tc>
          <w:tcPr>
            <w:tcW w:w="2534" w:type="dxa"/>
            <w:tcBorders>
              <w:top w:val="single" w:sz="4" w:space="0" w:color="auto"/>
              <w:left w:val="single" w:sz="4" w:space="0" w:color="auto"/>
              <w:bottom w:val="single" w:sz="4" w:space="0" w:color="auto"/>
              <w:right w:val="single" w:sz="4" w:space="0" w:color="auto"/>
            </w:tcBorders>
            <w:shd w:val="clear" w:color="auto" w:fill="auto"/>
          </w:tcPr>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val="en" w:eastAsia="uk-UA"/>
              </w:rPr>
              <w:t>Простота</w:t>
            </w:r>
          </w:p>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val="en" w:eastAsia="uk-UA"/>
              </w:rPr>
              <w:t>Бюджетність</w:t>
            </w:r>
          </w:p>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val="en" w:eastAsia="uk-UA"/>
              </w:rPr>
              <w:t>Надійність</w:t>
            </w:r>
          </w:p>
          <w:p w:rsidR="00F1629C" w:rsidRDefault="00E671D2">
            <w:pPr>
              <w:pStyle w:val="af9"/>
              <w:jc w:val="both"/>
              <w:rPr>
                <w:rFonts w:ascii="Times New Roman" w:hAnsi="Times New Roman" w:cs="Times New Roman"/>
                <w:sz w:val="28"/>
                <w:szCs w:val="28"/>
                <w:lang w:val="en" w:eastAsia="uk-UA"/>
              </w:rPr>
            </w:pPr>
            <w:r>
              <w:rPr>
                <w:rFonts w:ascii="Times New Roman" w:hAnsi="Times New Roman" w:cs="Times New Roman"/>
                <w:sz w:val="28"/>
                <w:szCs w:val="28"/>
                <w:lang w:val="en" w:eastAsia="uk-UA"/>
              </w:rPr>
              <w:t>Мобільність</w:t>
            </w:r>
          </w:p>
        </w:tc>
      </w:tr>
    </w:tbl>
    <w:p w:rsidR="00F1629C" w:rsidRDefault="00F1629C">
      <w:pPr>
        <w:tabs>
          <w:tab w:val="left" w:pos="284"/>
        </w:tabs>
        <w:spacing w:line="360" w:lineRule="auto"/>
        <w:rPr>
          <w:rFonts w:ascii="Times New Roman" w:hAnsi="Times New Roman" w:cs="Times New Roman"/>
          <w:b/>
          <w:sz w:val="28"/>
          <w:szCs w:val="28"/>
        </w:rPr>
      </w:pP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4.16 Визначення ключових переваг концепції потенційного товару</w:t>
      </w:r>
    </w:p>
    <w:p w:rsidR="00F1629C" w:rsidRDefault="00E671D2">
      <w:pPr>
        <w:tabs>
          <w:tab w:val="left" w:pos="284"/>
        </w:tabs>
        <w:spacing w:after="0" w:line="360" w:lineRule="auto"/>
        <w:ind w:firstLine="567"/>
        <w:rPr>
          <w:rFonts w:ascii="Times New Roman" w:hAnsi="Times New Roman" w:cs="Times New Roman"/>
          <w:i/>
          <w:sz w:val="28"/>
          <w:szCs w:val="28"/>
        </w:rPr>
      </w:pPr>
      <w:r>
        <w:rPr>
          <w:rFonts w:ascii="Times New Roman" w:hAnsi="Times New Roman" w:cs="Times New Roman"/>
          <w:sz w:val="28"/>
          <w:szCs w:val="28"/>
        </w:rPr>
        <w:t xml:space="preserve">Таблиця 4.15 - </w:t>
      </w:r>
      <w:r>
        <w:rPr>
          <w:rFonts w:ascii="Times New Roman" w:hAnsi="Times New Roman" w:cs="Times New Roman"/>
          <w:sz w:val="28"/>
          <w:szCs w:val="28"/>
        </w:rPr>
        <w:t>Визначення ключових переваг концепції потенційного</w:t>
      </w:r>
      <w:r>
        <w:rPr>
          <w:rFonts w:ascii="Times New Roman" w:hAnsi="Times New Roman" w:cs="Times New Roman"/>
          <w:i/>
          <w:sz w:val="28"/>
          <w:szCs w:val="28"/>
        </w:rPr>
        <w:t xml:space="preserve"> </w:t>
      </w:r>
      <w:r>
        <w:rPr>
          <w:rFonts w:ascii="Times New Roman" w:hAnsi="Times New Roman" w:cs="Times New Roman"/>
          <w:sz w:val="28"/>
          <w:szCs w:val="28"/>
        </w:rPr>
        <w:t>товару</w:t>
      </w:r>
    </w:p>
    <w:tbl>
      <w:tblPr>
        <w:tblStyle w:val="af3"/>
        <w:tblW w:w="9345" w:type="dxa"/>
        <w:tblLayout w:type="fixed"/>
        <w:tblLook w:val="04A0" w:firstRow="1" w:lastRow="0" w:firstColumn="1" w:lastColumn="0" w:noHBand="0" w:noVBand="1"/>
      </w:tblPr>
      <w:tblGrid>
        <w:gridCol w:w="638"/>
        <w:gridCol w:w="1625"/>
        <w:gridCol w:w="2694"/>
        <w:gridCol w:w="4388"/>
      </w:tblGrid>
      <w:tr w:rsidR="00F1629C">
        <w:tc>
          <w:tcPr>
            <w:tcW w:w="638"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625"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Потреба</w:t>
            </w:r>
          </w:p>
        </w:tc>
        <w:tc>
          <w:tcPr>
            <w:tcW w:w="2694"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Вигода, яку пропонує товар</w:t>
            </w:r>
          </w:p>
        </w:tc>
        <w:tc>
          <w:tcPr>
            <w:tcW w:w="4388"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Ключові переваги перед конкурентами (існуючі або такі, що потрібно створити)</w:t>
            </w:r>
          </w:p>
        </w:tc>
      </w:tr>
      <w:tr w:rsidR="00F1629C">
        <w:tc>
          <w:tcPr>
            <w:tcW w:w="638"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625"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Очищена вода</w:t>
            </w:r>
          </w:p>
        </w:tc>
        <w:tc>
          <w:tcPr>
            <w:tcW w:w="2694"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rPr>
              <w:t>Якісно очищена вода</w:t>
            </w:r>
            <w:r>
              <w:rPr>
                <w:rFonts w:ascii="Times New Roman" w:hAnsi="Times New Roman" w:cs="Times New Roman"/>
                <w:sz w:val="28"/>
                <w:szCs w:val="28"/>
                <w:lang w:val="ru"/>
              </w:rPr>
              <w:t>, бюджетність</w:t>
            </w:r>
          </w:p>
        </w:tc>
        <w:tc>
          <w:tcPr>
            <w:tcW w:w="4388"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rPr>
              <w:t>Отримання очищеної води</w:t>
            </w:r>
            <w:r>
              <w:rPr>
                <w:rFonts w:ascii="Times New Roman" w:hAnsi="Times New Roman" w:cs="Times New Roman"/>
                <w:sz w:val="28"/>
                <w:szCs w:val="28"/>
                <w:lang w:val="ru"/>
              </w:rPr>
              <w:t xml:space="preserve"> в польових умовах</w:t>
            </w:r>
          </w:p>
        </w:tc>
      </w:tr>
      <w:tr w:rsidR="00F1629C">
        <w:tc>
          <w:tcPr>
            <w:tcW w:w="638"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625"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Портативність</w:t>
            </w:r>
          </w:p>
        </w:tc>
        <w:tc>
          <w:tcPr>
            <w:tcW w:w="2694"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Маленькі</w:t>
            </w:r>
            <w:r>
              <w:rPr>
                <w:rFonts w:ascii="Times New Roman" w:hAnsi="Times New Roman" w:cs="Times New Roman"/>
                <w:sz w:val="28"/>
                <w:szCs w:val="28"/>
                <w:lang w:val="ru"/>
              </w:rPr>
              <w:t xml:space="preserve"> габарити</w:t>
            </w:r>
          </w:p>
        </w:tc>
        <w:tc>
          <w:tcPr>
            <w:tcW w:w="4388"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Зручність</w:t>
            </w:r>
            <w:r>
              <w:rPr>
                <w:rFonts w:ascii="Times New Roman" w:hAnsi="Times New Roman" w:cs="Times New Roman"/>
                <w:sz w:val="28"/>
                <w:szCs w:val="28"/>
                <w:lang w:val="ru"/>
              </w:rPr>
              <w:t xml:space="preserve"> транспортування</w:t>
            </w:r>
          </w:p>
        </w:tc>
      </w:tr>
    </w:tbl>
    <w:p w:rsidR="00F1629C" w:rsidRDefault="00F1629C">
      <w:pPr>
        <w:tabs>
          <w:tab w:val="left" w:pos="284"/>
        </w:tabs>
        <w:spacing w:line="360" w:lineRule="auto"/>
        <w:ind w:firstLine="567"/>
        <w:jc w:val="center"/>
        <w:rPr>
          <w:rFonts w:ascii="Times New Roman" w:hAnsi="Times New Roman" w:cs="Times New Roman"/>
          <w:sz w:val="28"/>
          <w:szCs w:val="28"/>
        </w:rPr>
      </w:pPr>
    </w:p>
    <w:p w:rsidR="00F1629C" w:rsidRDefault="00E671D2">
      <w:pPr>
        <w:tabs>
          <w:tab w:val="left" w:pos="284"/>
        </w:tabs>
        <w:spacing w:after="0"/>
        <w:ind w:firstLine="709"/>
        <w:rPr>
          <w:rFonts w:ascii="Times New Roman" w:hAnsi="Times New Roman" w:cs="Times New Roman"/>
          <w:sz w:val="28"/>
          <w:szCs w:val="28"/>
        </w:rPr>
      </w:pPr>
      <w:r>
        <w:rPr>
          <w:rFonts w:ascii="Times New Roman" w:hAnsi="Times New Roman" w:cs="Times New Roman"/>
          <w:b/>
          <w:sz w:val="28"/>
          <w:szCs w:val="28"/>
        </w:rPr>
        <w:t>4.17 Опис трьох рівнів моделі товару</w:t>
      </w:r>
    </w:p>
    <w:p w:rsidR="00F1629C" w:rsidRDefault="00E671D2">
      <w:pPr>
        <w:tabs>
          <w:tab w:val="left" w:pos="284"/>
        </w:tabs>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Таблиця 4.16 - Опис трьох рівнів моделі товару</w:t>
      </w:r>
    </w:p>
    <w:tbl>
      <w:tblPr>
        <w:tblW w:w="9510"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60"/>
        <w:gridCol w:w="3995"/>
        <w:gridCol w:w="1566"/>
        <w:gridCol w:w="1989"/>
      </w:tblGrid>
      <w:tr w:rsidR="00F1629C">
        <w:trPr>
          <w:trHeight w:val="405"/>
        </w:trPr>
        <w:tc>
          <w:tcPr>
            <w:tcW w:w="1960"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Рівні товару</w:t>
            </w:r>
          </w:p>
        </w:tc>
        <w:tc>
          <w:tcPr>
            <w:tcW w:w="7550" w:type="dxa"/>
            <w:gridSpan w:val="3"/>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Сутність та складові</w:t>
            </w:r>
          </w:p>
        </w:tc>
      </w:tr>
      <w:tr w:rsidR="00F1629C">
        <w:trPr>
          <w:trHeight w:val="705"/>
        </w:trPr>
        <w:tc>
          <w:tcPr>
            <w:tcW w:w="1960"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I. Товар за задумом</w:t>
            </w:r>
          </w:p>
        </w:tc>
        <w:tc>
          <w:tcPr>
            <w:tcW w:w="7550" w:type="dxa"/>
            <w:gridSpan w:val="3"/>
          </w:tcPr>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lang w:val="ru"/>
              </w:rPr>
              <w:t>Фільтр</w:t>
            </w:r>
          </w:p>
        </w:tc>
      </w:tr>
      <w:tr w:rsidR="00F1629C">
        <w:trPr>
          <w:trHeight w:val="360"/>
        </w:trPr>
        <w:tc>
          <w:tcPr>
            <w:tcW w:w="1960" w:type="dxa"/>
            <w:vMerge w:val="restart"/>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 xml:space="preserve">II. Товар у реальному </w:t>
            </w:r>
            <w:r>
              <w:rPr>
                <w:rFonts w:ascii="Times New Roman" w:hAnsi="Times New Roman" w:cs="Times New Roman"/>
                <w:sz w:val="28"/>
                <w:szCs w:val="28"/>
              </w:rPr>
              <w:t>виконанні</w:t>
            </w:r>
          </w:p>
        </w:tc>
        <w:tc>
          <w:tcPr>
            <w:tcW w:w="3995"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Властивості/характеристики</w:t>
            </w:r>
          </w:p>
        </w:tc>
        <w:tc>
          <w:tcPr>
            <w:tcW w:w="1566"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М/Нм</w:t>
            </w:r>
          </w:p>
        </w:tc>
        <w:tc>
          <w:tcPr>
            <w:tcW w:w="1989"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Вр/Тх/Тл/Е/Ор</w:t>
            </w:r>
          </w:p>
        </w:tc>
      </w:tr>
      <w:tr w:rsidR="00F1629C">
        <w:trPr>
          <w:trHeight w:val="600"/>
        </w:trPr>
        <w:tc>
          <w:tcPr>
            <w:tcW w:w="1960" w:type="dxa"/>
            <w:vMerge/>
          </w:tcPr>
          <w:p w:rsidR="00F1629C" w:rsidRDefault="00F1629C">
            <w:pPr>
              <w:tabs>
                <w:tab w:val="left" w:pos="284"/>
              </w:tabs>
              <w:rPr>
                <w:rFonts w:ascii="Times New Roman" w:hAnsi="Times New Roman" w:cs="Times New Roman"/>
                <w:sz w:val="28"/>
                <w:szCs w:val="28"/>
              </w:rPr>
            </w:pPr>
          </w:p>
        </w:tc>
        <w:tc>
          <w:tcPr>
            <w:tcW w:w="3995" w:type="dxa"/>
          </w:tcPr>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rPr>
              <w:t xml:space="preserve">1. </w:t>
            </w:r>
            <w:r>
              <w:rPr>
                <w:rFonts w:ascii="Times New Roman" w:hAnsi="Times New Roman" w:cs="Times New Roman"/>
                <w:sz w:val="28"/>
                <w:szCs w:val="28"/>
                <w:lang w:val="ru"/>
              </w:rPr>
              <w:t>Магнетит</w:t>
            </w:r>
          </w:p>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rPr>
              <w:t xml:space="preserve">2.  </w:t>
            </w:r>
            <w:r>
              <w:rPr>
                <w:rFonts w:ascii="Times New Roman" w:hAnsi="Times New Roman" w:cs="Times New Roman"/>
                <w:sz w:val="28"/>
                <w:szCs w:val="28"/>
                <w:lang w:val="ru"/>
              </w:rPr>
              <w:t>Мембрана</w:t>
            </w:r>
          </w:p>
        </w:tc>
        <w:tc>
          <w:tcPr>
            <w:tcW w:w="1566"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М</w:t>
            </w:r>
          </w:p>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М</w:t>
            </w:r>
          </w:p>
        </w:tc>
        <w:tc>
          <w:tcPr>
            <w:tcW w:w="1989" w:type="dxa"/>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Тх/Тл</w:t>
            </w:r>
          </w:p>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Тх/Тл</w:t>
            </w:r>
          </w:p>
        </w:tc>
      </w:tr>
      <w:tr w:rsidR="00F1629C">
        <w:trPr>
          <w:trHeight w:val="240"/>
        </w:trPr>
        <w:tc>
          <w:tcPr>
            <w:tcW w:w="1960" w:type="dxa"/>
            <w:vMerge/>
          </w:tcPr>
          <w:p w:rsidR="00F1629C" w:rsidRDefault="00F1629C">
            <w:pPr>
              <w:tabs>
                <w:tab w:val="left" w:pos="284"/>
              </w:tabs>
              <w:rPr>
                <w:rFonts w:ascii="Times New Roman" w:hAnsi="Times New Roman" w:cs="Times New Roman"/>
                <w:sz w:val="28"/>
                <w:szCs w:val="28"/>
              </w:rPr>
            </w:pPr>
          </w:p>
        </w:tc>
        <w:tc>
          <w:tcPr>
            <w:tcW w:w="7550" w:type="dxa"/>
            <w:gridSpan w:val="3"/>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Якість: міцн</w:t>
            </w:r>
            <w:r>
              <w:rPr>
                <w:rFonts w:ascii="Times New Roman" w:hAnsi="Times New Roman" w:cs="Times New Roman"/>
                <w:sz w:val="28"/>
                <w:szCs w:val="28"/>
                <w:lang w:val="ru"/>
              </w:rPr>
              <w:t>а</w:t>
            </w:r>
            <w:r>
              <w:rPr>
                <w:rFonts w:ascii="Times New Roman" w:hAnsi="Times New Roman" w:cs="Times New Roman"/>
                <w:sz w:val="28"/>
                <w:szCs w:val="28"/>
              </w:rPr>
              <w:t xml:space="preserve">, має гарантію якості </w:t>
            </w:r>
          </w:p>
        </w:tc>
      </w:tr>
      <w:tr w:rsidR="00F1629C">
        <w:trPr>
          <w:trHeight w:val="270"/>
        </w:trPr>
        <w:tc>
          <w:tcPr>
            <w:tcW w:w="1960" w:type="dxa"/>
            <w:vMerge/>
          </w:tcPr>
          <w:p w:rsidR="00F1629C" w:rsidRDefault="00F1629C">
            <w:pPr>
              <w:tabs>
                <w:tab w:val="left" w:pos="284"/>
              </w:tabs>
              <w:rPr>
                <w:rFonts w:ascii="Times New Roman" w:hAnsi="Times New Roman" w:cs="Times New Roman"/>
                <w:sz w:val="28"/>
                <w:szCs w:val="28"/>
              </w:rPr>
            </w:pPr>
          </w:p>
        </w:tc>
        <w:tc>
          <w:tcPr>
            <w:tcW w:w="7550" w:type="dxa"/>
            <w:gridSpan w:val="3"/>
          </w:tcPr>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rPr>
              <w:t xml:space="preserve">Пакування: </w:t>
            </w:r>
            <w:r>
              <w:rPr>
                <w:rFonts w:ascii="Times New Roman" w:hAnsi="Times New Roman" w:cs="Times New Roman"/>
                <w:sz w:val="28"/>
                <w:szCs w:val="28"/>
                <w:lang w:val="ru"/>
              </w:rPr>
              <w:t>Пластиковий</w:t>
            </w:r>
            <w:r>
              <w:rPr>
                <w:rFonts w:ascii="Times New Roman" w:hAnsi="Times New Roman" w:cs="Times New Roman"/>
                <w:sz w:val="28"/>
                <w:szCs w:val="28"/>
                <w:lang w:val="ru"/>
              </w:rPr>
              <w:t xml:space="preserve"> корпус</w:t>
            </w:r>
          </w:p>
        </w:tc>
      </w:tr>
      <w:tr w:rsidR="00F1629C">
        <w:trPr>
          <w:trHeight w:val="375"/>
        </w:trPr>
        <w:tc>
          <w:tcPr>
            <w:tcW w:w="1960" w:type="dxa"/>
            <w:vMerge/>
          </w:tcPr>
          <w:p w:rsidR="00F1629C" w:rsidRDefault="00F1629C">
            <w:pPr>
              <w:tabs>
                <w:tab w:val="left" w:pos="284"/>
              </w:tabs>
              <w:rPr>
                <w:rFonts w:ascii="Times New Roman" w:hAnsi="Times New Roman" w:cs="Times New Roman"/>
                <w:sz w:val="28"/>
                <w:szCs w:val="28"/>
              </w:rPr>
            </w:pPr>
          </w:p>
        </w:tc>
        <w:tc>
          <w:tcPr>
            <w:tcW w:w="7550" w:type="dxa"/>
            <w:gridSpan w:val="3"/>
          </w:tcPr>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rPr>
              <w:t xml:space="preserve">Марка:  </w:t>
            </w:r>
            <w:r>
              <w:rPr>
                <w:rFonts w:ascii="Times New Roman" w:hAnsi="Times New Roman" w:cs="Times New Roman"/>
                <w:sz w:val="28"/>
                <w:szCs w:val="28"/>
                <w:lang w:val="ru"/>
              </w:rPr>
              <w:t>відсутня</w:t>
            </w:r>
          </w:p>
        </w:tc>
      </w:tr>
      <w:tr w:rsidR="00F1629C">
        <w:trPr>
          <w:trHeight w:val="327"/>
        </w:trPr>
        <w:tc>
          <w:tcPr>
            <w:tcW w:w="1960" w:type="dxa"/>
            <w:vMerge w:val="restart"/>
          </w:tcPr>
          <w:p w:rsidR="00F1629C" w:rsidRDefault="00E671D2">
            <w:pPr>
              <w:tabs>
                <w:tab w:val="left" w:pos="284"/>
              </w:tabs>
              <w:rPr>
                <w:rFonts w:ascii="Times New Roman" w:hAnsi="Times New Roman" w:cs="Times New Roman"/>
                <w:sz w:val="28"/>
                <w:szCs w:val="28"/>
              </w:rPr>
            </w:pPr>
            <w:r>
              <w:rPr>
                <w:rFonts w:ascii="Times New Roman" w:hAnsi="Times New Roman" w:cs="Times New Roman"/>
                <w:sz w:val="28"/>
                <w:szCs w:val="28"/>
              </w:rPr>
              <w:t>III. Товар із підкріпленням</w:t>
            </w:r>
          </w:p>
        </w:tc>
        <w:tc>
          <w:tcPr>
            <w:tcW w:w="7550" w:type="dxa"/>
            <w:gridSpan w:val="3"/>
          </w:tcPr>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rPr>
              <w:t xml:space="preserve">До продажу: </w:t>
            </w:r>
            <w:r>
              <w:rPr>
                <w:rFonts w:ascii="Times New Roman" w:hAnsi="Times New Roman" w:cs="Times New Roman"/>
                <w:sz w:val="28"/>
                <w:szCs w:val="28"/>
                <w:lang w:val="ru"/>
              </w:rPr>
              <w:t>інструкція</w:t>
            </w:r>
            <w:r>
              <w:rPr>
                <w:rFonts w:ascii="Times New Roman" w:hAnsi="Times New Roman" w:cs="Times New Roman"/>
                <w:sz w:val="28"/>
                <w:szCs w:val="28"/>
                <w:lang w:val="ru"/>
              </w:rPr>
              <w:t xml:space="preserve">, змінний </w:t>
            </w:r>
            <w:r>
              <w:rPr>
                <w:rFonts w:ascii="Times New Roman" w:hAnsi="Times New Roman" w:cs="Times New Roman"/>
                <w:sz w:val="28"/>
                <w:szCs w:val="28"/>
                <w:lang w:val="ru"/>
              </w:rPr>
              <w:t>картридж</w:t>
            </w:r>
          </w:p>
        </w:tc>
      </w:tr>
      <w:tr w:rsidR="00F1629C">
        <w:trPr>
          <w:trHeight w:val="375"/>
        </w:trPr>
        <w:tc>
          <w:tcPr>
            <w:tcW w:w="1960" w:type="dxa"/>
            <w:vMerge/>
          </w:tcPr>
          <w:p w:rsidR="00F1629C" w:rsidRDefault="00F1629C">
            <w:pPr>
              <w:tabs>
                <w:tab w:val="left" w:pos="284"/>
              </w:tabs>
              <w:rPr>
                <w:rFonts w:ascii="Times New Roman" w:hAnsi="Times New Roman" w:cs="Times New Roman"/>
                <w:sz w:val="28"/>
                <w:szCs w:val="28"/>
              </w:rPr>
            </w:pPr>
          </w:p>
        </w:tc>
        <w:tc>
          <w:tcPr>
            <w:tcW w:w="7550" w:type="dxa"/>
            <w:gridSpan w:val="3"/>
          </w:tcPr>
          <w:p w:rsidR="00F1629C" w:rsidRDefault="00E671D2">
            <w:pPr>
              <w:tabs>
                <w:tab w:val="left" w:pos="284"/>
              </w:tabs>
              <w:rPr>
                <w:rFonts w:ascii="Times New Roman" w:hAnsi="Times New Roman" w:cs="Times New Roman"/>
                <w:sz w:val="28"/>
                <w:szCs w:val="28"/>
                <w:lang w:val="ru"/>
              </w:rPr>
            </w:pPr>
            <w:r>
              <w:rPr>
                <w:rFonts w:ascii="Times New Roman" w:hAnsi="Times New Roman" w:cs="Times New Roman"/>
                <w:sz w:val="28"/>
                <w:szCs w:val="28"/>
              </w:rPr>
              <w:t xml:space="preserve">Після продажу: гарантія, </w:t>
            </w:r>
            <w:r>
              <w:rPr>
                <w:rFonts w:ascii="Times New Roman" w:hAnsi="Times New Roman" w:cs="Times New Roman"/>
                <w:sz w:val="28"/>
                <w:szCs w:val="28"/>
                <w:lang w:val="ru"/>
              </w:rPr>
              <w:t>обслуговуванян</w:t>
            </w:r>
          </w:p>
        </w:tc>
      </w:tr>
      <w:tr w:rsidR="00F1629C">
        <w:trPr>
          <w:trHeight w:val="390"/>
        </w:trPr>
        <w:tc>
          <w:tcPr>
            <w:tcW w:w="9510" w:type="dxa"/>
            <w:gridSpan w:val="4"/>
          </w:tcPr>
          <w:p w:rsidR="00F1629C" w:rsidRDefault="00E671D2">
            <w:pPr>
              <w:tabs>
                <w:tab w:val="left" w:pos="284"/>
              </w:tabs>
              <w:spacing w:line="360" w:lineRule="auto"/>
              <w:jc w:val="center"/>
              <w:rPr>
                <w:rFonts w:ascii="Times New Roman" w:hAnsi="Times New Roman" w:cs="Times New Roman"/>
                <w:sz w:val="28"/>
                <w:szCs w:val="28"/>
                <w:lang w:val="ru"/>
              </w:rPr>
            </w:pPr>
            <w:r>
              <w:rPr>
                <w:rFonts w:ascii="Times New Roman" w:hAnsi="Times New Roman" w:cs="Times New Roman"/>
                <w:sz w:val="28"/>
                <w:szCs w:val="28"/>
              </w:rPr>
              <w:t xml:space="preserve">За рахунок чого потенційний товар буде захищено від копіювання: </w:t>
            </w:r>
            <w:r>
              <w:rPr>
                <w:rFonts w:ascii="Times New Roman" w:hAnsi="Times New Roman" w:cs="Times New Roman"/>
                <w:sz w:val="28"/>
                <w:szCs w:val="28"/>
                <w:lang w:val="ru"/>
              </w:rPr>
              <w:t>За</w:t>
            </w:r>
            <w:r>
              <w:rPr>
                <w:rFonts w:ascii="Times New Roman" w:hAnsi="Times New Roman" w:cs="Times New Roman"/>
                <w:sz w:val="28"/>
                <w:szCs w:val="28"/>
                <w:lang w:val="ru"/>
              </w:rPr>
              <w:t xml:space="preserve"> рахунок права інтелектуальної власності</w:t>
            </w:r>
          </w:p>
        </w:tc>
      </w:tr>
    </w:tbl>
    <w:p w:rsidR="00F1629C" w:rsidRDefault="00F1629C">
      <w:pPr>
        <w:tabs>
          <w:tab w:val="left" w:pos="284"/>
        </w:tabs>
        <w:spacing w:after="0" w:line="360" w:lineRule="auto"/>
        <w:ind w:firstLine="567"/>
        <w:rPr>
          <w:rFonts w:ascii="Times New Roman" w:hAnsi="Times New Roman" w:cs="Times New Roman"/>
          <w:b/>
          <w:sz w:val="28"/>
          <w:szCs w:val="28"/>
        </w:rPr>
      </w:pP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4.18 Визначення  меж встановлення ціни</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Таблиця 4.17 -  Визначення  меж встановлення ціни</w:t>
      </w:r>
    </w:p>
    <w:tbl>
      <w:tblPr>
        <w:tblStyle w:val="af3"/>
        <w:tblW w:w="9345" w:type="dxa"/>
        <w:tblLayout w:type="fixed"/>
        <w:tblLook w:val="04A0" w:firstRow="1" w:lastRow="0" w:firstColumn="1" w:lastColumn="0" w:noHBand="0" w:noVBand="1"/>
      </w:tblPr>
      <w:tblGrid>
        <w:gridCol w:w="562"/>
        <w:gridCol w:w="1560"/>
        <w:gridCol w:w="1984"/>
        <w:gridCol w:w="2126"/>
        <w:gridCol w:w="3113"/>
      </w:tblGrid>
      <w:tr w:rsidR="00F1629C">
        <w:tc>
          <w:tcPr>
            <w:tcW w:w="562"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60"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Рівень цін на товари замінники</w:t>
            </w:r>
          </w:p>
        </w:tc>
        <w:tc>
          <w:tcPr>
            <w:tcW w:w="1984"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Рівень цін на товари аналоги</w:t>
            </w:r>
          </w:p>
        </w:tc>
        <w:tc>
          <w:tcPr>
            <w:tcW w:w="2126"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Рівень доходів цільової групи споживачів</w:t>
            </w:r>
          </w:p>
        </w:tc>
        <w:tc>
          <w:tcPr>
            <w:tcW w:w="3113"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Верхня та нижня межа встановлення ціни на товар послугу</w:t>
            </w:r>
          </w:p>
        </w:tc>
      </w:tr>
      <w:tr w:rsidR="00F1629C">
        <w:tc>
          <w:tcPr>
            <w:tcW w:w="562" w:type="dxa"/>
          </w:tcPr>
          <w:p w:rsidR="00F1629C" w:rsidRDefault="00F1629C">
            <w:pPr>
              <w:tabs>
                <w:tab w:val="left" w:pos="284"/>
              </w:tabs>
              <w:spacing w:after="0" w:line="240" w:lineRule="auto"/>
              <w:jc w:val="center"/>
              <w:rPr>
                <w:rFonts w:ascii="Times New Roman" w:hAnsi="Times New Roman" w:cs="Times New Roman"/>
                <w:sz w:val="28"/>
                <w:szCs w:val="28"/>
              </w:rPr>
            </w:pPr>
          </w:p>
        </w:tc>
        <w:tc>
          <w:tcPr>
            <w:tcW w:w="1560"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lang w:val="ru"/>
              </w:rPr>
              <w:t>1000</w:t>
            </w:r>
            <w:r>
              <w:rPr>
                <w:rFonts w:ascii="Times New Roman" w:hAnsi="Times New Roman" w:cs="Times New Roman"/>
                <w:sz w:val="28"/>
                <w:szCs w:val="28"/>
              </w:rPr>
              <w:t>-</w:t>
            </w:r>
            <w:r>
              <w:rPr>
                <w:rFonts w:ascii="Times New Roman" w:hAnsi="Times New Roman" w:cs="Times New Roman"/>
                <w:sz w:val="28"/>
                <w:szCs w:val="28"/>
                <w:lang w:val="ru"/>
              </w:rPr>
              <w:t>25</w:t>
            </w:r>
            <w:r>
              <w:rPr>
                <w:rFonts w:ascii="Times New Roman" w:hAnsi="Times New Roman" w:cs="Times New Roman"/>
                <w:sz w:val="28"/>
                <w:szCs w:val="28"/>
              </w:rPr>
              <w:t>00 грн</w:t>
            </w:r>
          </w:p>
        </w:tc>
        <w:tc>
          <w:tcPr>
            <w:tcW w:w="2126"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lang w:val="ru"/>
              </w:rPr>
              <w:t>150</w:t>
            </w:r>
            <w:r>
              <w:rPr>
                <w:rFonts w:ascii="Times New Roman" w:hAnsi="Times New Roman" w:cs="Times New Roman"/>
                <w:sz w:val="28"/>
                <w:szCs w:val="28"/>
              </w:rPr>
              <w:t>00 грн - …</w:t>
            </w:r>
          </w:p>
        </w:tc>
        <w:tc>
          <w:tcPr>
            <w:tcW w:w="3113"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lang w:val="ru"/>
              </w:rPr>
              <w:t>2</w:t>
            </w:r>
            <w:r>
              <w:rPr>
                <w:rFonts w:ascii="Times New Roman" w:hAnsi="Times New Roman" w:cs="Times New Roman"/>
                <w:sz w:val="28"/>
                <w:szCs w:val="28"/>
              </w:rPr>
              <w:t>00-</w:t>
            </w:r>
            <w:r>
              <w:rPr>
                <w:rFonts w:ascii="Times New Roman" w:hAnsi="Times New Roman" w:cs="Times New Roman"/>
                <w:sz w:val="28"/>
                <w:szCs w:val="28"/>
                <w:lang w:val="ru"/>
              </w:rPr>
              <w:t>4</w:t>
            </w:r>
            <w:r>
              <w:rPr>
                <w:rFonts w:ascii="Times New Roman" w:hAnsi="Times New Roman" w:cs="Times New Roman"/>
                <w:sz w:val="28"/>
                <w:szCs w:val="28"/>
              </w:rPr>
              <w:t>50 грн</w:t>
            </w:r>
          </w:p>
        </w:tc>
      </w:tr>
    </w:tbl>
    <w:p w:rsidR="00F1629C" w:rsidRDefault="00F1629C">
      <w:pPr>
        <w:tabs>
          <w:tab w:val="left" w:pos="284"/>
        </w:tabs>
        <w:spacing w:line="360" w:lineRule="auto"/>
        <w:rPr>
          <w:rFonts w:ascii="Times New Roman" w:hAnsi="Times New Roman" w:cs="Times New Roman"/>
          <w:sz w:val="28"/>
          <w:szCs w:val="28"/>
        </w:rPr>
      </w:pPr>
    </w:p>
    <w:p w:rsidR="00F1629C" w:rsidRDefault="00E671D2">
      <w:pPr>
        <w:tabs>
          <w:tab w:val="left" w:pos="284"/>
        </w:tabs>
        <w:spacing w:after="0" w:line="360" w:lineRule="auto"/>
        <w:ind w:firstLine="567"/>
        <w:rPr>
          <w:rFonts w:ascii="Times New Roman" w:hAnsi="Times New Roman" w:cs="Times New Roman"/>
          <w:b/>
          <w:sz w:val="28"/>
          <w:szCs w:val="28"/>
        </w:rPr>
      </w:pPr>
      <w:r>
        <w:rPr>
          <w:rFonts w:ascii="Times New Roman" w:hAnsi="Times New Roman" w:cs="Times New Roman"/>
          <w:b/>
          <w:sz w:val="28"/>
          <w:szCs w:val="28"/>
        </w:rPr>
        <w:t>4.19 Формування системи збуту</w:t>
      </w:r>
    </w:p>
    <w:p w:rsidR="00F1629C" w:rsidRDefault="00E671D2">
      <w:pPr>
        <w:tabs>
          <w:tab w:val="left" w:pos="284"/>
        </w:tabs>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Таблиця 4.18 - </w:t>
      </w:r>
      <w:r>
        <w:rPr>
          <w:rFonts w:ascii="Times New Roman" w:hAnsi="Times New Roman" w:cs="Times New Roman"/>
          <w:sz w:val="28"/>
          <w:szCs w:val="28"/>
        </w:rPr>
        <w:t>Формування системи збуту</w:t>
      </w:r>
    </w:p>
    <w:tbl>
      <w:tblPr>
        <w:tblStyle w:val="af3"/>
        <w:tblW w:w="9345" w:type="dxa"/>
        <w:tblLayout w:type="fixed"/>
        <w:tblLook w:val="04A0" w:firstRow="1" w:lastRow="0" w:firstColumn="1" w:lastColumn="0" w:noHBand="0" w:noVBand="1"/>
      </w:tblPr>
      <w:tblGrid>
        <w:gridCol w:w="562"/>
        <w:gridCol w:w="2268"/>
        <w:gridCol w:w="2694"/>
        <w:gridCol w:w="1952"/>
        <w:gridCol w:w="1869"/>
      </w:tblGrid>
      <w:tr w:rsidR="00F1629C">
        <w:tc>
          <w:tcPr>
            <w:tcW w:w="562"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2268"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Специфіка закупівельної поведінки цільових клієнтів</w:t>
            </w:r>
          </w:p>
        </w:tc>
        <w:tc>
          <w:tcPr>
            <w:tcW w:w="2694"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Функції збуту, які має виконувати постачальник товару</w:t>
            </w:r>
          </w:p>
        </w:tc>
        <w:tc>
          <w:tcPr>
            <w:tcW w:w="1952"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Глибина каналу збуту</w:t>
            </w:r>
          </w:p>
        </w:tc>
        <w:tc>
          <w:tcPr>
            <w:tcW w:w="1869"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Оптимальна система збуту</w:t>
            </w:r>
          </w:p>
        </w:tc>
      </w:tr>
      <w:tr w:rsidR="00F1629C">
        <w:tc>
          <w:tcPr>
            <w:tcW w:w="562" w:type="dxa"/>
          </w:tcPr>
          <w:p w:rsidR="00F1629C" w:rsidRDefault="00E671D2">
            <w:pPr>
              <w:tabs>
                <w:tab w:val="left" w:pos="284"/>
              </w:tabs>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268"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rPr>
              <w:t xml:space="preserve">Закупка </w:t>
            </w:r>
            <w:r>
              <w:rPr>
                <w:rFonts w:ascii="Times New Roman" w:hAnsi="Times New Roman" w:cs="Times New Roman"/>
                <w:sz w:val="28"/>
                <w:szCs w:val="28"/>
                <w:lang w:val="ru"/>
              </w:rPr>
              <w:t>фізичними</w:t>
            </w:r>
            <w:r>
              <w:rPr>
                <w:rFonts w:ascii="Times New Roman" w:hAnsi="Times New Roman" w:cs="Times New Roman"/>
                <w:sz w:val="28"/>
                <w:szCs w:val="28"/>
                <w:lang w:val="ru"/>
              </w:rPr>
              <w:t xml:space="preserve"> особами через дистрибьюторів</w:t>
            </w:r>
          </w:p>
        </w:tc>
        <w:tc>
          <w:tcPr>
            <w:tcW w:w="2694"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rPr>
              <w:t xml:space="preserve">Реклама, </w:t>
            </w:r>
            <w:r>
              <w:rPr>
                <w:rFonts w:ascii="Times New Roman" w:hAnsi="Times New Roman" w:cs="Times New Roman"/>
                <w:sz w:val="28"/>
                <w:szCs w:val="28"/>
                <w:lang w:val="ru"/>
              </w:rPr>
              <w:t>інструктування</w:t>
            </w:r>
            <w:r>
              <w:rPr>
                <w:rFonts w:ascii="Times New Roman" w:hAnsi="Times New Roman" w:cs="Times New Roman"/>
                <w:sz w:val="28"/>
                <w:szCs w:val="28"/>
                <w:lang w:val="ru"/>
              </w:rPr>
              <w:t xml:space="preserve"> з експлуатації</w:t>
            </w:r>
          </w:p>
        </w:tc>
        <w:tc>
          <w:tcPr>
            <w:tcW w:w="1952"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8</w:t>
            </w:r>
          </w:p>
        </w:tc>
        <w:tc>
          <w:tcPr>
            <w:tcW w:w="1869" w:type="dxa"/>
          </w:tcPr>
          <w:p w:rsidR="00F1629C" w:rsidRDefault="00E671D2">
            <w:pPr>
              <w:tabs>
                <w:tab w:val="left" w:pos="284"/>
              </w:tabs>
              <w:spacing w:after="0" w:line="240" w:lineRule="auto"/>
              <w:jc w:val="center"/>
              <w:rPr>
                <w:rFonts w:ascii="Times New Roman" w:hAnsi="Times New Roman" w:cs="Times New Roman"/>
                <w:sz w:val="28"/>
                <w:szCs w:val="28"/>
                <w:lang w:val="ru"/>
              </w:rPr>
            </w:pPr>
            <w:r>
              <w:rPr>
                <w:rFonts w:ascii="Times New Roman" w:hAnsi="Times New Roman" w:cs="Times New Roman"/>
                <w:sz w:val="28"/>
                <w:szCs w:val="28"/>
                <w:lang w:val="ru"/>
              </w:rPr>
              <w:t>Створення</w:t>
            </w:r>
            <w:r>
              <w:rPr>
                <w:rFonts w:ascii="Times New Roman" w:hAnsi="Times New Roman" w:cs="Times New Roman"/>
                <w:sz w:val="28"/>
                <w:szCs w:val="28"/>
                <w:lang w:val="ru"/>
              </w:rPr>
              <w:t xml:space="preserve"> власної системи збуту через інтернет</w:t>
            </w:r>
          </w:p>
        </w:tc>
      </w:tr>
    </w:tbl>
    <w:p w:rsidR="00F1629C" w:rsidRDefault="00F1629C">
      <w:pPr>
        <w:tabs>
          <w:tab w:val="left" w:pos="284"/>
        </w:tabs>
        <w:rPr>
          <w:rFonts w:ascii="Times New Roman" w:hAnsi="Times New Roman" w:cs="Times New Roman"/>
          <w:sz w:val="28"/>
          <w:szCs w:val="28"/>
        </w:rPr>
      </w:pPr>
    </w:p>
    <w:p w:rsidR="00F1629C" w:rsidRDefault="00E671D2">
      <w:pPr>
        <w:rPr>
          <w:rFonts w:ascii="Times New Roman" w:hAnsi="Times New Roman" w:cs="Times New Roman"/>
          <w:b/>
          <w:sz w:val="28"/>
          <w:szCs w:val="28"/>
        </w:rPr>
      </w:pPr>
      <w:r>
        <w:rPr>
          <w:rFonts w:ascii="Times New Roman" w:hAnsi="Times New Roman" w:cs="Times New Roman"/>
          <w:b/>
          <w:sz w:val="28"/>
          <w:szCs w:val="28"/>
        </w:rPr>
        <w:br w:type="page"/>
      </w:r>
    </w:p>
    <w:p w:rsidR="00F1629C" w:rsidRDefault="00E671D2">
      <w:pPr>
        <w:tabs>
          <w:tab w:val="left" w:pos="284"/>
        </w:tabs>
        <w:spacing w:after="0"/>
        <w:ind w:firstLine="709"/>
        <w:rPr>
          <w:rFonts w:ascii="Times New Roman" w:hAnsi="Times New Roman" w:cs="Times New Roman"/>
          <w:b/>
          <w:sz w:val="28"/>
          <w:szCs w:val="28"/>
        </w:rPr>
      </w:pPr>
      <w:r>
        <w:rPr>
          <w:rFonts w:ascii="Times New Roman" w:hAnsi="Times New Roman" w:cs="Times New Roman"/>
          <w:b/>
          <w:sz w:val="28"/>
          <w:szCs w:val="28"/>
        </w:rPr>
        <w:t>4.20 Концепція маркетингових комунікацій</w:t>
      </w:r>
    </w:p>
    <w:p w:rsidR="00F1629C" w:rsidRDefault="00E671D2">
      <w:pPr>
        <w:tabs>
          <w:tab w:val="left" w:pos="284"/>
        </w:tabs>
        <w:spacing w:after="0"/>
        <w:ind w:firstLine="709"/>
        <w:rPr>
          <w:rFonts w:ascii="Times New Roman" w:hAnsi="Times New Roman" w:cs="Times New Roman"/>
          <w:sz w:val="28"/>
          <w:szCs w:val="28"/>
        </w:rPr>
      </w:pPr>
      <w:r>
        <w:rPr>
          <w:rFonts w:ascii="Times New Roman" w:hAnsi="Times New Roman" w:cs="Times New Roman"/>
          <w:sz w:val="28"/>
          <w:szCs w:val="28"/>
        </w:rPr>
        <w:t>Таблиця 4.19 - Концепція маркетингових комунікацій</w:t>
      </w:r>
    </w:p>
    <w:p w:rsidR="00F1629C" w:rsidRDefault="00F1629C">
      <w:pPr>
        <w:tabs>
          <w:tab w:val="left" w:pos="284"/>
        </w:tabs>
        <w:spacing w:after="0"/>
        <w:ind w:firstLine="709"/>
        <w:rPr>
          <w:rFonts w:ascii="Times New Roman" w:hAnsi="Times New Roman" w:cs="Times New Roman"/>
          <w:sz w:val="28"/>
          <w:szCs w:val="28"/>
        </w:rPr>
      </w:pPr>
    </w:p>
    <w:tbl>
      <w:tblPr>
        <w:tblStyle w:val="af3"/>
        <w:tblW w:w="9544" w:type="dxa"/>
        <w:tblLayout w:type="fixed"/>
        <w:tblLook w:val="04A0" w:firstRow="1" w:lastRow="0" w:firstColumn="1" w:lastColumn="0" w:noHBand="0" w:noVBand="1"/>
      </w:tblPr>
      <w:tblGrid>
        <w:gridCol w:w="484"/>
        <w:gridCol w:w="1497"/>
        <w:gridCol w:w="1881"/>
        <w:gridCol w:w="2109"/>
        <w:gridCol w:w="1868"/>
        <w:gridCol w:w="1705"/>
      </w:tblGrid>
      <w:tr w:rsidR="00F1629C">
        <w:tc>
          <w:tcPr>
            <w:tcW w:w="484" w:type="dxa"/>
          </w:tcPr>
          <w:p w:rsidR="00F1629C" w:rsidRDefault="00E671D2">
            <w:pPr>
              <w:tabs>
                <w:tab w:val="left" w:pos="284"/>
              </w:tabs>
              <w:spacing w:after="0" w:line="240" w:lineRule="auto"/>
              <w:rPr>
                <w:rFonts w:ascii="Times New Roman" w:hAnsi="Times New Roman" w:cs="Times New Roman"/>
                <w:sz w:val="28"/>
                <w:szCs w:val="28"/>
              </w:rPr>
            </w:pPr>
            <w:r>
              <w:rPr>
                <w:rFonts w:ascii="Times New Roman" w:hAnsi="Times New Roman" w:cs="Times New Roman"/>
                <w:sz w:val="28"/>
                <w:szCs w:val="28"/>
              </w:rPr>
              <w:t>№</w:t>
            </w:r>
          </w:p>
        </w:tc>
        <w:tc>
          <w:tcPr>
            <w:tcW w:w="1497" w:type="dxa"/>
          </w:tcPr>
          <w:p w:rsidR="00F1629C" w:rsidRDefault="00E671D2">
            <w:pPr>
              <w:tabs>
                <w:tab w:val="left" w:pos="284"/>
              </w:tabs>
              <w:spacing w:after="0" w:line="240" w:lineRule="auto"/>
              <w:rPr>
                <w:rFonts w:ascii="Times New Roman" w:hAnsi="Times New Roman" w:cs="Times New Roman"/>
                <w:sz w:val="28"/>
                <w:szCs w:val="28"/>
              </w:rPr>
            </w:pPr>
            <w:r>
              <w:rPr>
                <w:rFonts w:ascii="Times New Roman" w:hAnsi="Times New Roman" w:cs="Times New Roman"/>
                <w:sz w:val="28"/>
                <w:szCs w:val="28"/>
              </w:rPr>
              <w:t>Специфіка поведінки цільових клієнтів</w:t>
            </w:r>
          </w:p>
        </w:tc>
        <w:tc>
          <w:tcPr>
            <w:tcW w:w="1881" w:type="dxa"/>
          </w:tcPr>
          <w:p w:rsidR="00F1629C" w:rsidRDefault="00E671D2">
            <w:pPr>
              <w:tabs>
                <w:tab w:val="left" w:pos="284"/>
              </w:tabs>
              <w:spacing w:after="0" w:line="240" w:lineRule="auto"/>
              <w:rPr>
                <w:rFonts w:ascii="Times New Roman" w:hAnsi="Times New Roman" w:cs="Times New Roman"/>
                <w:sz w:val="28"/>
                <w:szCs w:val="28"/>
              </w:rPr>
            </w:pPr>
            <w:r>
              <w:rPr>
                <w:rFonts w:ascii="Times New Roman" w:hAnsi="Times New Roman" w:cs="Times New Roman"/>
                <w:sz w:val="28"/>
                <w:szCs w:val="28"/>
              </w:rPr>
              <w:t>Канали комунікацій, якими користуються цільові клієнти</w:t>
            </w:r>
          </w:p>
        </w:tc>
        <w:tc>
          <w:tcPr>
            <w:tcW w:w="2109" w:type="dxa"/>
          </w:tcPr>
          <w:p w:rsidR="00F1629C" w:rsidRDefault="00E671D2">
            <w:pPr>
              <w:tabs>
                <w:tab w:val="left" w:pos="284"/>
              </w:tabs>
              <w:spacing w:after="0" w:line="240" w:lineRule="auto"/>
              <w:rPr>
                <w:rFonts w:ascii="Times New Roman" w:hAnsi="Times New Roman" w:cs="Times New Roman"/>
                <w:sz w:val="28"/>
                <w:szCs w:val="28"/>
              </w:rPr>
            </w:pPr>
            <w:r>
              <w:rPr>
                <w:rFonts w:ascii="Times New Roman" w:hAnsi="Times New Roman" w:cs="Times New Roman"/>
                <w:sz w:val="28"/>
                <w:szCs w:val="28"/>
              </w:rPr>
              <w:t>Ключові позиції обрані для позиціонування</w:t>
            </w:r>
          </w:p>
        </w:tc>
        <w:tc>
          <w:tcPr>
            <w:tcW w:w="1868" w:type="dxa"/>
          </w:tcPr>
          <w:p w:rsidR="00F1629C" w:rsidRDefault="00E671D2">
            <w:pPr>
              <w:tabs>
                <w:tab w:val="left" w:pos="284"/>
              </w:tabs>
              <w:spacing w:after="0" w:line="240" w:lineRule="auto"/>
              <w:rPr>
                <w:rFonts w:ascii="Times New Roman" w:hAnsi="Times New Roman" w:cs="Times New Roman"/>
                <w:sz w:val="28"/>
                <w:szCs w:val="28"/>
              </w:rPr>
            </w:pPr>
            <w:r>
              <w:rPr>
                <w:rFonts w:ascii="Times New Roman" w:hAnsi="Times New Roman" w:cs="Times New Roman"/>
                <w:sz w:val="28"/>
                <w:szCs w:val="28"/>
              </w:rPr>
              <w:t>Завдання рекламного повідомлення</w:t>
            </w:r>
          </w:p>
        </w:tc>
        <w:tc>
          <w:tcPr>
            <w:tcW w:w="1705" w:type="dxa"/>
          </w:tcPr>
          <w:p w:rsidR="00F1629C" w:rsidRDefault="00E671D2">
            <w:pPr>
              <w:tabs>
                <w:tab w:val="left" w:pos="284"/>
              </w:tabs>
              <w:spacing w:after="0" w:line="240" w:lineRule="auto"/>
              <w:rPr>
                <w:rFonts w:ascii="Times New Roman" w:hAnsi="Times New Roman" w:cs="Times New Roman"/>
                <w:sz w:val="28"/>
                <w:szCs w:val="28"/>
              </w:rPr>
            </w:pPr>
            <w:r>
              <w:rPr>
                <w:rFonts w:ascii="Times New Roman" w:hAnsi="Times New Roman" w:cs="Times New Roman"/>
                <w:sz w:val="28"/>
                <w:szCs w:val="28"/>
              </w:rPr>
              <w:t>Концепція рекламного звернення</w:t>
            </w:r>
          </w:p>
        </w:tc>
      </w:tr>
      <w:tr w:rsidR="00F1629C">
        <w:tc>
          <w:tcPr>
            <w:tcW w:w="484" w:type="dxa"/>
          </w:tcPr>
          <w:p w:rsidR="00F1629C" w:rsidRDefault="00F1629C">
            <w:pPr>
              <w:tabs>
                <w:tab w:val="left" w:pos="284"/>
              </w:tabs>
              <w:spacing w:after="0" w:line="240" w:lineRule="auto"/>
              <w:rPr>
                <w:rFonts w:ascii="Times New Roman" w:hAnsi="Times New Roman" w:cs="Times New Roman"/>
                <w:sz w:val="28"/>
                <w:szCs w:val="28"/>
              </w:rPr>
            </w:pPr>
          </w:p>
        </w:tc>
        <w:tc>
          <w:tcPr>
            <w:tcW w:w="1497" w:type="dxa"/>
          </w:tcPr>
          <w:p w:rsidR="00F1629C" w:rsidRDefault="00E671D2">
            <w:pPr>
              <w:tabs>
                <w:tab w:val="left" w:pos="284"/>
              </w:tabs>
              <w:spacing w:after="0" w:line="240" w:lineRule="auto"/>
              <w:rPr>
                <w:rFonts w:ascii="Times New Roman" w:hAnsi="Times New Roman" w:cs="Times New Roman"/>
                <w:sz w:val="28"/>
                <w:szCs w:val="28"/>
                <w:lang w:val="ru"/>
              </w:rPr>
            </w:pPr>
            <w:r>
              <w:rPr>
                <w:rFonts w:ascii="Times New Roman" w:hAnsi="Times New Roman" w:cs="Times New Roman"/>
                <w:sz w:val="28"/>
                <w:szCs w:val="28"/>
                <w:lang w:val="ru"/>
              </w:rPr>
              <w:t>Активність</w:t>
            </w:r>
          </w:p>
        </w:tc>
        <w:tc>
          <w:tcPr>
            <w:tcW w:w="1881" w:type="dxa"/>
          </w:tcPr>
          <w:p w:rsidR="00F1629C" w:rsidRDefault="00E671D2">
            <w:pPr>
              <w:tabs>
                <w:tab w:val="left" w:pos="284"/>
              </w:tabs>
              <w:spacing w:after="0" w:line="240" w:lineRule="auto"/>
              <w:rPr>
                <w:rFonts w:ascii="Times New Roman" w:hAnsi="Times New Roman" w:cs="Times New Roman"/>
                <w:sz w:val="28"/>
                <w:szCs w:val="28"/>
                <w:lang w:val="ru"/>
              </w:rPr>
            </w:pPr>
            <w:r>
              <w:rPr>
                <w:rFonts w:ascii="Times New Roman" w:hAnsi="Times New Roman" w:cs="Times New Roman"/>
                <w:sz w:val="28"/>
                <w:szCs w:val="28"/>
              </w:rPr>
              <w:t xml:space="preserve">Інтернет, </w:t>
            </w:r>
            <w:r>
              <w:rPr>
                <w:rFonts w:ascii="Times New Roman" w:hAnsi="Times New Roman" w:cs="Times New Roman"/>
                <w:sz w:val="28"/>
                <w:szCs w:val="28"/>
                <w:lang w:val="ru"/>
              </w:rPr>
              <w:t>знайомі</w:t>
            </w:r>
            <w:r>
              <w:rPr>
                <w:rFonts w:ascii="Times New Roman" w:hAnsi="Times New Roman" w:cs="Times New Roman"/>
                <w:sz w:val="28"/>
                <w:szCs w:val="28"/>
                <w:lang w:val="ru"/>
              </w:rPr>
              <w:t>, регулярні видання</w:t>
            </w:r>
          </w:p>
        </w:tc>
        <w:tc>
          <w:tcPr>
            <w:tcW w:w="2109" w:type="dxa"/>
          </w:tcPr>
          <w:p w:rsidR="00F1629C" w:rsidRDefault="00E671D2">
            <w:pPr>
              <w:tabs>
                <w:tab w:val="left" w:pos="284"/>
              </w:tabs>
              <w:spacing w:after="0" w:line="240" w:lineRule="auto"/>
              <w:rPr>
                <w:rFonts w:ascii="Times New Roman" w:hAnsi="Times New Roman" w:cs="Times New Roman"/>
                <w:sz w:val="28"/>
                <w:szCs w:val="28"/>
                <w:lang w:val="ru"/>
              </w:rPr>
            </w:pPr>
            <w:r>
              <w:rPr>
                <w:rFonts w:ascii="Times New Roman" w:hAnsi="Times New Roman" w:cs="Times New Roman"/>
                <w:sz w:val="28"/>
                <w:szCs w:val="28"/>
              </w:rPr>
              <w:t xml:space="preserve">А) </w:t>
            </w:r>
            <w:r>
              <w:rPr>
                <w:rFonts w:ascii="Times New Roman" w:hAnsi="Times New Roman" w:cs="Times New Roman"/>
                <w:sz w:val="28"/>
                <w:szCs w:val="28"/>
                <w:lang w:val="ru"/>
              </w:rPr>
              <w:t>Портативність</w:t>
            </w:r>
            <w:r>
              <w:rPr>
                <w:rFonts w:ascii="Times New Roman" w:hAnsi="Times New Roman" w:cs="Times New Roman"/>
                <w:sz w:val="28"/>
                <w:szCs w:val="28"/>
                <w:lang w:val="ru"/>
              </w:rPr>
              <w:t xml:space="preserve"> та простота використання</w:t>
            </w:r>
          </w:p>
          <w:p w:rsidR="00F1629C" w:rsidRDefault="00E671D2">
            <w:pPr>
              <w:tabs>
                <w:tab w:val="left" w:pos="284"/>
              </w:tabs>
              <w:spacing w:after="0" w:line="240" w:lineRule="auto"/>
              <w:rPr>
                <w:rFonts w:ascii="Times New Roman" w:hAnsi="Times New Roman" w:cs="Times New Roman"/>
                <w:sz w:val="28"/>
                <w:szCs w:val="28"/>
                <w:lang w:val="ru"/>
              </w:rPr>
            </w:pPr>
            <w:r>
              <w:rPr>
                <w:rFonts w:ascii="Times New Roman" w:hAnsi="Times New Roman" w:cs="Times New Roman"/>
                <w:sz w:val="28"/>
                <w:szCs w:val="28"/>
              </w:rPr>
              <w:t xml:space="preserve">Б) Економія </w:t>
            </w:r>
            <w:r>
              <w:rPr>
                <w:rFonts w:ascii="Times New Roman" w:hAnsi="Times New Roman" w:cs="Times New Roman"/>
                <w:sz w:val="28"/>
                <w:szCs w:val="28"/>
                <w:lang w:val="ru"/>
              </w:rPr>
              <w:t>коштів</w:t>
            </w:r>
          </w:p>
          <w:p w:rsidR="00F1629C" w:rsidRDefault="00F1629C">
            <w:pPr>
              <w:tabs>
                <w:tab w:val="left" w:pos="284"/>
              </w:tabs>
              <w:spacing w:after="0" w:line="240" w:lineRule="auto"/>
              <w:rPr>
                <w:rFonts w:ascii="Times New Roman" w:hAnsi="Times New Roman" w:cs="Times New Roman"/>
                <w:sz w:val="28"/>
                <w:szCs w:val="28"/>
              </w:rPr>
            </w:pPr>
          </w:p>
        </w:tc>
        <w:tc>
          <w:tcPr>
            <w:tcW w:w="1868" w:type="dxa"/>
          </w:tcPr>
          <w:p w:rsidR="00F1629C" w:rsidRDefault="00E671D2">
            <w:pPr>
              <w:tabs>
                <w:tab w:val="left" w:pos="284"/>
              </w:tabs>
              <w:spacing w:after="0" w:line="240" w:lineRule="auto"/>
              <w:rPr>
                <w:rFonts w:ascii="Times New Roman" w:hAnsi="Times New Roman" w:cs="Times New Roman"/>
                <w:sz w:val="28"/>
                <w:szCs w:val="28"/>
                <w:lang w:val="ru"/>
              </w:rPr>
            </w:pPr>
            <w:r>
              <w:rPr>
                <w:rFonts w:ascii="Times New Roman" w:hAnsi="Times New Roman" w:cs="Times New Roman"/>
                <w:sz w:val="28"/>
                <w:szCs w:val="28"/>
                <w:lang w:val="ru"/>
              </w:rPr>
              <w:t>Довести</w:t>
            </w:r>
            <w:r>
              <w:rPr>
                <w:rFonts w:ascii="Times New Roman" w:hAnsi="Times New Roman" w:cs="Times New Roman"/>
                <w:sz w:val="28"/>
                <w:szCs w:val="28"/>
                <w:lang w:val="ru"/>
              </w:rPr>
              <w:t xml:space="preserve"> інформацію про продукт до відома споживача</w:t>
            </w:r>
          </w:p>
        </w:tc>
        <w:tc>
          <w:tcPr>
            <w:tcW w:w="1705" w:type="dxa"/>
          </w:tcPr>
          <w:p w:rsidR="00F1629C" w:rsidRDefault="00E671D2">
            <w:pPr>
              <w:tabs>
                <w:tab w:val="left" w:pos="284"/>
              </w:tabs>
              <w:spacing w:after="0" w:line="240" w:lineRule="auto"/>
              <w:rPr>
                <w:rFonts w:ascii="Times New Roman" w:hAnsi="Times New Roman" w:cs="Times New Roman"/>
                <w:i/>
                <w:sz w:val="28"/>
                <w:szCs w:val="28"/>
              </w:rPr>
            </w:pPr>
            <w:r>
              <w:rPr>
                <w:rFonts w:ascii="Times New Roman" w:hAnsi="Times New Roman" w:cs="Times New Roman"/>
                <w:i/>
                <w:sz w:val="28"/>
                <w:szCs w:val="28"/>
              </w:rPr>
              <w:t>«</w:t>
            </w:r>
            <w:r>
              <w:rPr>
                <w:rFonts w:ascii="Times New Roman" w:hAnsi="Times New Roman" w:cs="Times New Roman"/>
                <w:i/>
                <w:sz w:val="28"/>
                <w:szCs w:val="28"/>
                <w:lang w:val="ru"/>
              </w:rPr>
              <w:t>Чиста</w:t>
            </w:r>
            <w:r>
              <w:rPr>
                <w:rFonts w:ascii="Times New Roman" w:hAnsi="Times New Roman" w:cs="Times New Roman"/>
                <w:i/>
                <w:sz w:val="28"/>
                <w:szCs w:val="28"/>
                <w:lang w:val="ru"/>
              </w:rPr>
              <w:t xml:space="preserve"> вода завжди з тобою</w:t>
            </w:r>
            <w:r>
              <w:rPr>
                <w:rFonts w:ascii="Times New Roman" w:hAnsi="Times New Roman" w:cs="Times New Roman"/>
                <w:i/>
                <w:sz w:val="28"/>
                <w:szCs w:val="28"/>
              </w:rPr>
              <w:t>»</w:t>
            </w:r>
          </w:p>
        </w:tc>
      </w:tr>
    </w:tbl>
    <w:p w:rsidR="00F1629C" w:rsidRDefault="00F1629C">
      <w:pPr>
        <w:tabs>
          <w:tab w:val="left" w:pos="284"/>
        </w:tabs>
        <w:rPr>
          <w:rFonts w:ascii="Times New Roman" w:hAnsi="Times New Roman" w:cs="Times New Roman"/>
          <w:sz w:val="28"/>
          <w:szCs w:val="28"/>
        </w:rPr>
      </w:pPr>
    </w:p>
    <w:p w:rsidR="00F1629C" w:rsidRDefault="00F1629C">
      <w:pPr>
        <w:tabs>
          <w:tab w:val="left" w:pos="284"/>
        </w:tabs>
        <w:spacing w:after="0" w:line="360" w:lineRule="auto"/>
        <w:rPr>
          <w:rFonts w:ascii="Times New Roman" w:hAnsi="Times New Roman" w:cs="Times New Roman"/>
          <w:b/>
          <w:sz w:val="28"/>
          <w:szCs w:val="28"/>
        </w:rPr>
      </w:pPr>
    </w:p>
    <w:p w:rsidR="00F1629C" w:rsidRDefault="00E671D2">
      <w:pPr>
        <w:tabs>
          <w:tab w:val="left" w:pos="284"/>
        </w:tabs>
        <w:spacing w:after="0" w:line="360" w:lineRule="auto"/>
        <w:rPr>
          <w:rFonts w:ascii="Times New Roman" w:hAnsi="Times New Roman" w:cs="Times New Roman"/>
          <w:b/>
          <w:sz w:val="28"/>
          <w:szCs w:val="28"/>
        </w:rPr>
      </w:pPr>
      <w:r>
        <w:rPr>
          <w:rFonts w:ascii="Times New Roman" w:hAnsi="Times New Roman" w:cs="Times New Roman"/>
          <w:b/>
          <w:sz w:val="28"/>
          <w:szCs w:val="28"/>
        </w:rPr>
        <w:t>Висновки до розділу 4</w:t>
      </w:r>
    </w:p>
    <w:p w:rsidR="00F1629C" w:rsidRDefault="00E671D2">
      <w:pPr>
        <w:pStyle w:val="af4"/>
        <w:numPr>
          <w:ilvl w:val="0"/>
          <w:numId w:val="9"/>
        </w:numPr>
        <w:tabs>
          <w:tab w:val="left" w:pos="284"/>
        </w:tabs>
        <w:spacing w:line="360" w:lineRule="auto"/>
        <w:jc w:val="both"/>
        <w:rPr>
          <w:sz w:val="28"/>
          <w:szCs w:val="28"/>
        </w:rPr>
      </w:pPr>
      <w:r>
        <w:rPr>
          <w:bCs/>
          <w:sz w:val="28"/>
          <w:szCs w:val="28"/>
        </w:rPr>
        <w:t xml:space="preserve">Встановлено, що використання </w:t>
      </w:r>
      <w:r>
        <w:rPr>
          <w:bCs/>
          <w:sz w:val="28"/>
          <w:szCs w:val="28"/>
          <w:lang w:val="ru"/>
        </w:rPr>
        <w:t>портативних</w:t>
      </w:r>
      <w:r>
        <w:rPr>
          <w:bCs/>
          <w:sz w:val="28"/>
          <w:szCs w:val="28"/>
          <w:lang w:val="ru"/>
        </w:rPr>
        <w:t xml:space="preserve"> фільтрів для очистки води є перспективним фундаментом для початку та масштабування стартапу</w:t>
      </w:r>
    </w:p>
    <w:p w:rsidR="00F1629C" w:rsidRDefault="00E671D2">
      <w:pPr>
        <w:pStyle w:val="af4"/>
        <w:numPr>
          <w:ilvl w:val="0"/>
          <w:numId w:val="9"/>
        </w:numPr>
        <w:tabs>
          <w:tab w:val="left" w:pos="284"/>
        </w:tabs>
        <w:spacing w:line="360" w:lineRule="auto"/>
        <w:jc w:val="both"/>
        <w:rPr>
          <w:sz w:val="28"/>
          <w:szCs w:val="28"/>
        </w:rPr>
      </w:pPr>
      <w:r>
        <w:rPr>
          <w:sz w:val="28"/>
          <w:szCs w:val="28"/>
          <w:lang w:val="ru"/>
        </w:rPr>
        <w:t>Досліджено</w:t>
      </w:r>
      <w:r>
        <w:rPr>
          <w:sz w:val="28"/>
          <w:szCs w:val="28"/>
          <w:lang w:val="ru"/>
        </w:rPr>
        <w:t xml:space="preserve"> сильні та слабкі сторони проекту, проаналізовано вплив різних факторів на запуск проекту, визначено цільову аудиторію.</w:t>
      </w:r>
    </w:p>
    <w:p w:rsidR="00F1629C" w:rsidRDefault="00E671D2">
      <w:pPr>
        <w:rPr>
          <w:rFonts w:ascii="Times New Roman" w:hAnsi="Times New Roman" w:cs="Times New Roman"/>
          <w:sz w:val="28"/>
          <w:szCs w:val="28"/>
        </w:rPr>
      </w:pPr>
      <w:r>
        <w:rPr>
          <w:rFonts w:ascii="Times New Roman" w:hAnsi="Times New Roman" w:cs="Times New Roman"/>
          <w:sz w:val="28"/>
          <w:szCs w:val="28"/>
        </w:rPr>
        <w:br w:type="page"/>
      </w:r>
    </w:p>
    <w:p w:rsidR="00F1629C" w:rsidRDefault="00E671D2">
      <w:pPr>
        <w:tabs>
          <w:tab w:val="left" w:pos="284"/>
        </w:tabs>
        <w:spacing w:after="0"/>
        <w:jc w:val="center"/>
        <w:rPr>
          <w:rFonts w:ascii="Times New Roman" w:eastAsia="Times New Roman" w:hAnsi="Times New Roman" w:cs="Times New Roman"/>
          <w:b/>
          <w:bCs/>
          <w:sz w:val="28"/>
          <w:szCs w:val="28"/>
          <w:lang w:eastAsia="ru-RU" w:bidi="ru-RU"/>
        </w:rPr>
      </w:pPr>
      <w:r>
        <w:rPr>
          <w:rFonts w:ascii="Times New Roman" w:eastAsia="Times New Roman" w:hAnsi="Times New Roman" w:cs="Times New Roman"/>
          <w:b/>
          <w:bCs/>
          <w:sz w:val="28"/>
          <w:szCs w:val="28"/>
          <w:lang w:eastAsia="ru-RU" w:bidi="ru-RU"/>
        </w:rPr>
        <w:t>ВИСНОВКИ</w:t>
      </w:r>
    </w:p>
    <w:p w:rsidR="00F1629C" w:rsidRDefault="00F1629C">
      <w:pPr>
        <w:tabs>
          <w:tab w:val="left" w:pos="284"/>
        </w:tabs>
        <w:spacing w:after="0"/>
        <w:jc w:val="center"/>
        <w:rPr>
          <w:rFonts w:ascii="Times New Roman" w:eastAsia="Times New Roman" w:hAnsi="Times New Roman" w:cs="Times New Roman"/>
          <w:b/>
          <w:bCs/>
          <w:sz w:val="28"/>
          <w:szCs w:val="28"/>
          <w:lang w:eastAsia="ru-RU" w:bidi="ru-RU"/>
        </w:rPr>
      </w:pPr>
    </w:p>
    <w:p w:rsidR="00F1629C" w:rsidRDefault="00F1629C">
      <w:pPr>
        <w:tabs>
          <w:tab w:val="left" w:pos="284"/>
        </w:tabs>
        <w:spacing w:after="0"/>
        <w:jc w:val="center"/>
        <w:rPr>
          <w:rFonts w:ascii="Times New Roman" w:eastAsia="Times New Roman" w:hAnsi="Times New Roman" w:cs="Times New Roman"/>
          <w:b/>
          <w:bCs/>
          <w:sz w:val="28"/>
          <w:szCs w:val="28"/>
          <w:lang w:eastAsia="ru-RU" w:bidi="ru-RU"/>
        </w:rPr>
      </w:pPr>
    </w:p>
    <w:p w:rsidR="00F1629C" w:rsidRDefault="00E671D2">
      <w:pPr>
        <w:pStyle w:val="m-7023537083019284748gmail-msonormal"/>
        <w:numPr>
          <w:ilvl w:val="0"/>
          <w:numId w:val="10"/>
        </w:numPr>
        <w:shd w:val="clear" w:color="auto" w:fill="FFFFFF"/>
        <w:snapToGrid w:val="0"/>
        <w:spacing w:line="360" w:lineRule="auto"/>
        <w:jc w:val="both"/>
        <w:rPr>
          <w:color w:val="000000"/>
          <w:sz w:val="28"/>
          <w:szCs w:val="28"/>
        </w:rPr>
      </w:pPr>
      <w:r>
        <w:rPr>
          <w:color w:val="000000"/>
          <w:sz w:val="28"/>
          <w:szCs w:val="28"/>
          <w:lang w:val="en"/>
        </w:rPr>
        <w:t>Встановлено, що найбільш перспективним та одним з найбільш ефективних способів вилучення іонів важких металів з води є іонн</w:t>
      </w:r>
      <w:r>
        <w:rPr>
          <w:color w:val="000000"/>
          <w:sz w:val="28"/>
          <w:szCs w:val="28"/>
          <w:lang w:val="en"/>
        </w:rPr>
        <w:t>ий обмін, що здатний забезпечувати близьку до 100% ступінь вилучення та при цьому відповідає сучасним тенденціям “зеленої хімії”</w:t>
      </w:r>
    </w:p>
    <w:p w:rsidR="00F1629C" w:rsidRDefault="00E671D2">
      <w:pPr>
        <w:pStyle w:val="m-7023537083019284748gmail-msonormal"/>
        <w:numPr>
          <w:ilvl w:val="0"/>
          <w:numId w:val="10"/>
        </w:numPr>
        <w:shd w:val="clear" w:color="auto" w:fill="FFFFFF"/>
        <w:snapToGrid w:val="0"/>
        <w:spacing w:line="360" w:lineRule="auto"/>
        <w:jc w:val="both"/>
        <w:rPr>
          <w:color w:val="000000"/>
          <w:sz w:val="28"/>
          <w:szCs w:val="28"/>
        </w:rPr>
      </w:pPr>
      <w:r>
        <w:rPr>
          <w:color w:val="000000"/>
          <w:sz w:val="28"/>
          <w:szCs w:val="28"/>
        </w:rPr>
        <w:t>Показано, що ефективність іонообмінного вилучення іонів міді з води</w:t>
      </w:r>
      <w:r>
        <w:rPr>
          <w:color w:val="000000"/>
          <w:sz w:val="28"/>
          <w:szCs w:val="28"/>
          <w:lang w:val="en"/>
        </w:rPr>
        <w:t xml:space="preserve"> </w:t>
      </w:r>
      <w:r>
        <w:rPr>
          <w:color w:val="000000"/>
          <w:sz w:val="28"/>
          <w:szCs w:val="28"/>
        </w:rPr>
        <w:t>на катіонітах КУ-2-8 та DOWEX-MAK-3 залежить від концентрац</w:t>
      </w:r>
      <w:r>
        <w:rPr>
          <w:color w:val="000000"/>
          <w:sz w:val="28"/>
          <w:szCs w:val="28"/>
        </w:rPr>
        <w:t xml:space="preserve">ії її у розчинах, форми іоніту та об’єму розчину. Вивчено процеси десорбції іонів міді з іонітів розчинами соляної кислоти та хлористого натрію. </w:t>
      </w:r>
    </w:p>
    <w:p w:rsidR="00F1629C" w:rsidRDefault="00E671D2">
      <w:pPr>
        <w:pStyle w:val="m-7023537083019284748gmail-msonormal"/>
        <w:numPr>
          <w:ilvl w:val="0"/>
          <w:numId w:val="10"/>
        </w:numPr>
        <w:shd w:val="clear" w:color="auto" w:fill="FFFFFF"/>
        <w:snapToGrid w:val="0"/>
        <w:spacing w:line="360" w:lineRule="auto"/>
        <w:jc w:val="both"/>
        <w:rPr>
          <w:color w:val="000000"/>
          <w:sz w:val="28"/>
          <w:szCs w:val="28"/>
        </w:rPr>
      </w:pPr>
      <w:r>
        <w:rPr>
          <w:color w:val="000000"/>
          <w:sz w:val="28"/>
          <w:szCs w:val="28"/>
        </w:rPr>
        <w:t>Показано, що ступінь</w:t>
      </w:r>
      <w:r>
        <w:rPr>
          <w:color w:val="000000"/>
          <w:sz w:val="28"/>
          <w:szCs w:val="28"/>
          <w:lang w:val="en"/>
        </w:rPr>
        <w:t xml:space="preserve"> </w:t>
      </w:r>
      <w:r>
        <w:rPr>
          <w:color w:val="000000"/>
          <w:sz w:val="28"/>
          <w:szCs w:val="28"/>
        </w:rPr>
        <w:t>десорбції катіонів зростає із підвищенням кислотності розчинів.</w:t>
      </w:r>
      <w:r>
        <w:rPr>
          <w:color w:val="000000"/>
          <w:sz w:val="28"/>
          <w:szCs w:val="28"/>
          <w:lang w:val="en"/>
        </w:rPr>
        <w:t xml:space="preserve"> </w:t>
      </w:r>
    </w:p>
    <w:p w:rsidR="00F1629C" w:rsidRDefault="00E671D2">
      <w:pPr>
        <w:pStyle w:val="m-7023537083019284748gmail-msonormal"/>
        <w:numPr>
          <w:ilvl w:val="0"/>
          <w:numId w:val="10"/>
        </w:numPr>
        <w:shd w:val="clear" w:color="auto" w:fill="FFFFFF"/>
        <w:snapToGrid w:val="0"/>
        <w:spacing w:line="360" w:lineRule="auto"/>
        <w:jc w:val="both"/>
        <w:rPr>
          <w:color w:val="000000"/>
          <w:sz w:val="28"/>
          <w:szCs w:val="28"/>
        </w:rPr>
      </w:pPr>
      <w:r>
        <w:rPr>
          <w:color w:val="000000"/>
          <w:sz w:val="28"/>
          <w:szCs w:val="28"/>
          <w:lang w:val="ru"/>
        </w:rPr>
        <w:t>Показано, що за допомого</w:t>
      </w:r>
      <w:r>
        <w:rPr>
          <w:color w:val="000000"/>
          <w:sz w:val="28"/>
          <w:szCs w:val="28"/>
          <w:lang w:val="ru"/>
        </w:rPr>
        <w:t xml:space="preserve">ю сорбції на магнетиті з відношенням двохвалентного заліза до трьохвалентного 1:1 за рН на рівні 8 можна досягти практично повного вилучення міді з розчинів сульфату міді у дистильованій воді. </w:t>
      </w:r>
    </w:p>
    <w:p w:rsidR="00F1629C" w:rsidRDefault="00E671D2">
      <w:pPr>
        <w:pStyle w:val="m-7023537083019284748gmail-msonormal"/>
        <w:numPr>
          <w:ilvl w:val="0"/>
          <w:numId w:val="10"/>
        </w:numPr>
        <w:shd w:val="clear" w:color="auto" w:fill="FFFFFF"/>
        <w:snapToGrid w:val="0"/>
        <w:spacing w:line="360" w:lineRule="auto"/>
        <w:jc w:val="both"/>
        <w:rPr>
          <w:color w:val="000000"/>
          <w:sz w:val="28"/>
          <w:szCs w:val="28"/>
        </w:rPr>
      </w:pPr>
      <w:r>
        <w:rPr>
          <w:color w:val="000000"/>
          <w:sz w:val="28"/>
          <w:szCs w:val="28"/>
        </w:rPr>
        <w:t>Досліджено, що при сорбції іонів міді та свинцю із сильно розв</w:t>
      </w:r>
      <w:r>
        <w:rPr>
          <w:color w:val="000000"/>
          <w:sz w:val="28"/>
          <w:szCs w:val="28"/>
        </w:rPr>
        <w:t>едених</w:t>
      </w:r>
      <w:r>
        <w:rPr>
          <w:color w:val="000000"/>
          <w:sz w:val="28"/>
          <w:szCs w:val="28"/>
          <w:lang w:val="en"/>
        </w:rPr>
        <w:t xml:space="preserve"> p</w:t>
      </w:r>
      <w:r>
        <w:rPr>
          <w:color w:val="000000"/>
          <w:sz w:val="28"/>
          <w:szCs w:val="28"/>
        </w:rPr>
        <w:t>озчинів ефективність сорбції залежить від концентрації іонів важких металів у</w:t>
      </w:r>
      <w:r>
        <w:rPr>
          <w:color w:val="000000"/>
          <w:sz w:val="28"/>
          <w:szCs w:val="28"/>
          <w:lang w:val="en"/>
        </w:rPr>
        <w:t xml:space="preserve"> </w:t>
      </w:r>
      <w:r>
        <w:rPr>
          <w:color w:val="000000"/>
          <w:sz w:val="28"/>
          <w:szCs w:val="28"/>
        </w:rPr>
        <w:t>розчині. Так, концентрування розчинів іонів міді на катіонітах можливе при її</w:t>
      </w:r>
      <w:r>
        <w:rPr>
          <w:color w:val="000000"/>
          <w:sz w:val="28"/>
          <w:szCs w:val="28"/>
          <w:lang w:val="en"/>
        </w:rPr>
        <w:t xml:space="preserve"> </w:t>
      </w:r>
      <w:r>
        <w:rPr>
          <w:color w:val="000000"/>
          <w:sz w:val="28"/>
          <w:szCs w:val="28"/>
        </w:rPr>
        <w:t>концентрації до 1 мкг/дм</w:t>
      </w:r>
      <w:r>
        <w:rPr>
          <w:color w:val="000000"/>
          <w:sz w:val="28"/>
          <w:szCs w:val="28"/>
          <w:vertAlign w:val="superscript"/>
        </w:rPr>
        <w:t>3</w:t>
      </w:r>
      <w:r>
        <w:rPr>
          <w:color w:val="000000"/>
          <w:sz w:val="28"/>
          <w:szCs w:val="28"/>
        </w:rPr>
        <w:t>, а концентрування розчинів свинцю – при</w:t>
      </w:r>
      <w:r>
        <w:rPr>
          <w:color w:val="000000"/>
          <w:sz w:val="28"/>
          <w:szCs w:val="28"/>
          <w:lang w:val="en"/>
        </w:rPr>
        <w:t xml:space="preserve"> </w:t>
      </w:r>
      <w:r>
        <w:rPr>
          <w:color w:val="000000"/>
          <w:sz w:val="28"/>
          <w:szCs w:val="28"/>
        </w:rPr>
        <w:t>використанні слабокислотно</w:t>
      </w:r>
      <w:r>
        <w:rPr>
          <w:color w:val="000000"/>
          <w:sz w:val="28"/>
          <w:szCs w:val="28"/>
        </w:rPr>
        <w:t xml:space="preserve">го катіоніту. Десорбцію іонів міді </w:t>
      </w:r>
      <w:r>
        <w:rPr>
          <w:color w:val="000000"/>
          <w:sz w:val="28"/>
          <w:szCs w:val="28"/>
          <w:lang w:val="en"/>
        </w:rPr>
        <w:t xml:space="preserve">було проведено </w:t>
      </w:r>
      <w:r>
        <w:rPr>
          <w:color w:val="000000"/>
          <w:sz w:val="28"/>
          <w:szCs w:val="28"/>
        </w:rPr>
        <w:t>розчинами</w:t>
      </w:r>
      <w:r>
        <w:rPr>
          <w:color w:val="000000"/>
          <w:sz w:val="28"/>
          <w:szCs w:val="28"/>
          <w:lang w:val="en"/>
        </w:rPr>
        <w:t xml:space="preserve"> </w:t>
      </w:r>
      <w:r>
        <w:rPr>
          <w:color w:val="000000"/>
          <w:sz w:val="28"/>
          <w:szCs w:val="28"/>
        </w:rPr>
        <w:t>соляної</w:t>
      </w:r>
      <w:r>
        <w:rPr>
          <w:color w:val="000000"/>
          <w:sz w:val="28"/>
          <w:szCs w:val="28"/>
          <w:lang w:val="en"/>
        </w:rPr>
        <w:t xml:space="preserve"> </w:t>
      </w:r>
      <w:r>
        <w:rPr>
          <w:color w:val="000000"/>
          <w:sz w:val="28"/>
          <w:szCs w:val="28"/>
        </w:rPr>
        <w:t>кислоти,</w:t>
      </w:r>
      <w:r>
        <w:rPr>
          <w:color w:val="000000"/>
          <w:sz w:val="28"/>
          <w:szCs w:val="28"/>
          <w:lang w:val="en"/>
        </w:rPr>
        <w:t xml:space="preserve"> </w:t>
      </w:r>
      <w:r>
        <w:rPr>
          <w:color w:val="000000"/>
          <w:sz w:val="28"/>
          <w:szCs w:val="28"/>
        </w:rPr>
        <w:t>при</w:t>
      </w:r>
      <w:r>
        <w:rPr>
          <w:color w:val="000000"/>
          <w:sz w:val="28"/>
          <w:szCs w:val="28"/>
          <w:lang w:val="en"/>
        </w:rPr>
        <w:t xml:space="preserve"> </w:t>
      </w:r>
      <w:r>
        <w:rPr>
          <w:color w:val="000000"/>
          <w:sz w:val="28"/>
          <w:szCs w:val="28"/>
        </w:rPr>
        <w:t>цьому</w:t>
      </w:r>
      <w:r>
        <w:rPr>
          <w:color w:val="000000"/>
          <w:sz w:val="28"/>
          <w:szCs w:val="28"/>
          <w:lang w:val="en"/>
        </w:rPr>
        <w:t xml:space="preserve"> </w:t>
      </w:r>
      <w:r>
        <w:rPr>
          <w:color w:val="000000"/>
          <w:sz w:val="28"/>
          <w:szCs w:val="28"/>
        </w:rPr>
        <w:t>концентрація</w:t>
      </w:r>
      <w:r>
        <w:rPr>
          <w:color w:val="000000"/>
          <w:sz w:val="28"/>
          <w:szCs w:val="28"/>
          <w:lang w:val="en"/>
        </w:rPr>
        <w:t xml:space="preserve"> </w:t>
      </w:r>
      <w:r>
        <w:rPr>
          <w:color w:val="000000"/>
          <w:sz w:val="28"/>
          <w:szCs w:val="28"/>
        </w:rPr>
        <w:t>іонів</w:t>
      </w:r>
      <w:r>
        <w:rPr>
          <w:color w:val="000000"/>
          <w:sz w:val="28"/>
          <w:szCs w:val="28"/>
          <w:lang w:val="en"/>
        </w:rPr>
        <w:t xml:space="preserve"> </w:t>
      </w:r>
      <w:r>
        <w:rPr>
          <w:color w:val="000000"/>
          <w:sz w:val="28"/>
          <w:szCs w:val="28"/>
        </w:rPr>
        <w:t>міді</w:t>
      </w:r>
      <w:r>
        <w:rPr>
          <w:color w:val="000000"/>
          <w:sz w:val="28"/>
          <w:szCs w:val="28"/>
          <w:lang w:val="en"/>
        </w:rPr>
        <w:t xml:space="preserve"> </w:t>
      </w:r>
      <w:r>
        <w:rPr>
          <w:color w:val="000000"/>
          <w:sz w:val="28"/>
          <w:szCs w:val="28"/>
        </w:rPr>
        <w:t>в</w:t>
      </w:r>
      <w:r>
        <w:rPr>
          <w:color w:val="000000"/>
          <w:sz w:val="28"/>
          <w:szCs w:val="28"/>
          <w:lang w:val="en"/>
        </w:rPr>
        <w:t xml:space="preserve"> </w:t>
      </w:r>
      <w:r>
        <w:rPr>
          <w:color w:val="000000"/>
          <w:sz w:val="28"/>
          <w:szCs w:val="28"/>
        </w:rPr>
        <w:t>регенераційних розчинах зроста</w:t>
      </w:r>
      <w:r>
        <w:rPr>
          <w:color w:val="000000"/>
          <w:sz w:val="28"/>
          <w:szCs w:val="28"/>
          <w:lang w:val="en"/>
        </w:rPr>
        <w:t>ла</w:t>
      </w:r>
      <w:r>
        <w:rPr>
          <w:color w:val="000000"/>
          <w:sz w:val="28"/>
          <w:szCs w:val="28"/>
        </w:rPr>
        <w:t xml:space="preserve"> на 3 – 4 порядки, в той час як десорбція іонів</w:t>
      </w:r>
      <w:r>
        <w:rPr>
          <w:color w:val="000000"/>
          <w:sz w:val="28"/>
          <w:szCs w:val="28"/>
          <w:lang w:val="en"/>
        </w:rPr>
        <w:t xml:space="preserve"> </w:t>
      </w:r>
      <w:r>
        <w:rPr>
          <w:color w:val="000000"/>
          <w:sz w:val="28"/>
          <w:szCs w:val="28"/>
        </w:rPr>
        <w:t>свинцю проходила неефективно при питомій витраті кислоти 5 см</w:t>
      </w:r>
      <w:r>
        <w:rPr>
          <w:color w:val="000000"/>
          <w:sz w:val="28"/>
          <w:szCs w:val="28"/>
          <w:vertAlign w:val="superscript"/>
        </w:rPr>
        <w:t>3</w:t>
      </w:r>
      <w:r>
        <w:rPr>
          <w:color w:val="000000"/>
          <w:sz w:val="28"/>
          <w:szCs w:val="28"/>
        </w:rPr>
        <w:t>/см</w:t>
      </w:r>
      <w:r>
        <w:rPr>
          <w:color w:val="000000"/>
          <w:sz w:val="28"/>
          <w:szCs w:val="28"/>
          <w:vertAlign w:val="superscript"/>
        </w:rPr>
        <w:t>3</w:t>
      </w:r>
      <w:r>
        <w:rPr>
          <w:color w:val="000000"/>
          <w:sz w:val="28"/>
          <w:szCs w:val="28"/>
        </w:rPr>
        <w:t>.</w:t>
      </w:r>
      <w:r>
        <w:rPr>
          <w:color w:val="000000"/>
          <w:sz w:val="28"/>
          <w:szCs w:val="28"/>
          <w:lang w:val="en"/>
        </w:rPr>
        <w:t xml:space="preserve"> </w:t>
      </w:r>
    </w:p>
    <w:p w:rsidR="00F1629C" w:rsidRDefault="00E671D2">
      <w:pPr>
        <w:pStyle w:val="m-7023537083019284748gmail-msonormal"/>
        <w:numPr>
          <w:ilvl w:val="0"/>
          <w:numId w:val="10"/>
        </w:numPr>
        <w:shd w:val="clear" w:color="auto" w:fill="FFFFFF"/>
        <w:snapToGrid w:val="0"/>
        <w:spacing w:line="360" w:lineRule="auto"/>
        <w:jc w:val="both"/>
        <w:rPr>
          <w:color w:val="000000"/>
          <w:sz w:val="28"/>
          <w:szCs w:val="28"/>
        </w:rPr>
      </w:pPr>
      <w:r>
        <w:rPr>
          <w:color w:val="000000"/>
          <w:sz w:val="28"/>
          <w:szCs w:val="28"/>
        </w:rPr>
        <w:t>Встановлено, що при використанні фільтрів змішаної дії ефективність</w:t>
      </w:r>
      <w:r>
        <w:rPr>
          <w:color w:val="000000"/>
          <w:sz w:val="28"/>
          <w:szCs w:val="28"/>
          <w:lang w:val="en"/>
        </w:rPr>
        <w:t xml:space="preserve"> </w:t>
      </w:r>
      <w:r>
        <w:rPr>
          <w:color w:val="000000"/>
          <w:sz w:val="28"/>
          <w:szCs w:val="28"/>
        </w:rPr>
        <w:t>вилучення розчинів сульфату міді, цинку, кадмію та нікелю залежить від</w:t>
      </w:r>
      <w:r>
        <w:rPr>
          <w:color w:val="000000"/>
          <w:sz w:val="28"/>
          <w:szCs w:val="28"/>
          <w:lang w:val="en"/>
        </w:rPr>
        <w:t xml:space="preserve"> </w:t>
      </w:r>
      <w:r>
        <w:rPr>
          <w:color w:val="000000"/>
          <w:sz w:val="28"/>
          <w:szCs w:val="28"/>
        </w:rPr>
        <w:t>концентрації розчинів та об’єму іоніту. При цьому вдалось знизити</w:t>
      </w:r>
      <w:r>
        <w:rPr>
          <w:color w:val="000000"/>
          <w:sz w:val="28"/>
          <w:szCs w:val="28"/>
          <w:lang w:val="en"/>
        </w:rPr>
        <w:t xml:space="preserve"> </w:t>
      </w:r>
      <w:r>
        <w:rPr>
          <w:color w:val="000000"/>
          <w:sz w:val="28"/>
          <w:szCs w:val="28"/>
        </w:rPr>
        <w:t>концентрацію іонів міді до 0,053 мкг/дм</w:t>
      </w:r>
      <w:r>
        <w:rPr>
          <w:color w:val="000000"/>
          <w:sz w:val="28"/>
          <w:szCs w:val="28"/>
          <w:vertAlign w:val="superscript"/>
        </w:rPr>
        <w:t>3</w:t>
      </w:r>
      <w:r>
        <w:rPr>
          <w:color w:val="000000"/>
          <w:sz w:val="28"/>
          <w:szCs w:val="28"/>
        </w:rPr>
        <w:t xml:space="preserve"> при</w:t>
      </w:r>
      <w:r>
        <w:rPr>
          <w:color w:val="000000"/>
          <w:sz w:val="28"/>
          <w:szCs w:val="28"/>
        </w:rPr>
        <w:t xml:space="preserve"> вихідній її концентраці</w:t>
      </w:r>
      <w:r>
        <w:rPr>
          <w:color w:val="000000"/>
          <w:sz w:val="28"/>
          <w:szCs w:val="28"/>
          <w:lang w:val="en"/>
        </w:rPr>
        <w:t xml:space="preserve"> </w:t>
      </w:r>
      <w:r>
        <w:rPr>
          <w:color w:val="000000"/>
          <w:sz w:val="28"/>
          <w:szCs w:val="28"/>
        </w:rPr>
        <w:t>0,144 мг/дм</w:t>
      </w:r>
      <w:r>
        <w:rPr>
          <w:color w:val="000000"/>
          <w:sz w:val="28"/>
          <w:szCs w:val="28"/>
          <w:vertAlign w:val="superscript"/>
        </w:rPr>
        <w:t>3</w:t>
      </w:r>
      <w:r>
        <w:rPr>
          <w:color w:val="000000"/>
          <w:sz w:val="28"/>
          <w:szCs w:val="28"/>
        </w:rPr>
        <w:t xml:space="preserve"> та досягти повного вилучення іонів цинку, кадмію та нікелю. Після</w:t>
      </w:r>
      <w:r>
        <w:rPr>
          <w:color w:val="000000"/>
          <w:sz w:val="28"/>
          <w:szCs w:val="28"/>
          <w:lang w:val="en"/>
        </w:rPr>
        <w:t xml:space="preserve"> </w:t>
      </w:r>
      <w:r>
        <w:rPr>
          <w:color w:val="000000"/>
          <w:sz w:val="28"/>
          <w:szCs w:val="28"/>
        </w:rPr>
        <w:t>регенерації фільтру змішаної дії розчинами соляної кислоти вдалось підвищити</w:t>
      </w:r>
      <w:r>
        <w:rPr>
          <w:color w:val="000000"/>
          <w:sz w:val="28"/>
          <w:szCs w:val="28"/>
          <w:lang w:val="en"/>
        </w:rPr>
        <w:t xml:space="preserve"> </w:t>
      </w:r>
      <w:r>
        <w:rPr>
          <w:color w:val="000000"/>
          <w:sz w:val="28"/>
          <w:szCs w:val="28"/>
        </w:rPr>
        <w:t>концентрацію іонів важких металів на 1 – 2 порядки.</w:t>
      </w:r>
    </w:p>
    <w:p w:rsidR="00F1629C" w:rsidRDefault="00E671D2">
      <w:pPr>
        <w:pStyle w:val="af4"/>
        <w:numPr>
          <w:ilvl w:val="0"/>
          <w:numId w:val="11"/>
        </w:numPr>
        <w:tabs>
          <w:tab w:val="left" w:pos="284"/>
        </w:tabs>
        <w:spacing w:line="360" w:lineRule="auto"/>
        <w:ind w:left="0"/>
        <w:jc w:val="both"/>
        <w:rPr>
          <w:bCs/>
          <w:sz w:val="28"/>
          <w:szCs w:val="28"/>
        </w:rPr>
      </w:pPr>
      <w:r>
        <w:rPr>
          <w:bCs/>
          <w:sz w:val="28"/>
          <w:szCs w:val="28"/>
        </w:rPr>
        <w:br w:type="page"/>
      </w:r>
    </w:p>
    <w:p w:rsidR="00F1629C" w:rsidRDefault="00E671D2">
      <w:pPr>
        <w:tabs>
          <w:tab w:val="left" w:pos="284"/>
        </w:tabs>
        <w:spacing w:line="360" w:lineRule="auto"/>
        <w:jc w:val="center"/>
        <w:rPr>
          <w:rFonts w:ascii="Times New Roman" w:hAnsi="Times New Roman" w:cs="Times New Roman"/>
          <w:sz w:val="28"/>
          <w:szCs w:val="28"/>
        </w:rPr>
      </w:pPr>
      <w:r>
        <w:rPr>
          <w:rFonts w:ascii="Times New Roman" w:hAnsi="Times New Roman" w:cs="Times New Roman"/>
          <w:sz w:val="28"/>
          <w:szCs w:val="28"/>
        </w:rPr>
        <w:t>СПИСОК ВИКОРИСТАНОЇ Л</w:t>
      </w:r>
      <w:r>
        <w:rPr>
          <w:rFonts w:ascii="Times New Roman" w:hAnsi="Times New Roman" w:cs="Times New Roman"/>
          <w:sz w:val="28"/>
          <w:szCs w:val="28"/>
        </w:rPr>
        <w:t>ІТЕРАТУРИ</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lang w:val="en"/>
        </w:rPr>
        <w:t>Мур Дж. Тяжелые металлы в природных водах / Дж. Мур, С. Рамамурти. – М.: Мир, 1987. – 286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 xml:space="preserve">Мороз Н. А. Обобщение многолетних исследований воздействия тяжёлых металлов на живые организмы / Н. А. Мороз // Сборник научных трудов Севастопольского </w:t>
      </w:r>
      <w:r>
        <w:rPr>
          <w:rFonts w:ascii="Times New Roman" w:hAnsi="Times New Roman"/>
          <w:sz w:val="28"/>
          <w:szCs w:val="28"/>
          <w:lang w:val="en"/>
        </w:rPr>
        <w:t>национального университета ядерной энергии и промышленности. – 2012. – Т. 42. – No2. – С. 104 – 111.</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 xml:space="preserve">Тепла Г. А. Важкі метали як фактор забруднення навколишнього середовища / Г. А. Тепла // Астраханський вісник екологічної освіти. – 2013. – Т. 23. – No 1. </w:t>
      </w:r>
      <w:r>
        <w:rPr>
          <w:rFonts w:ascii="Times New Roman" w:hAnsi="Times New Roman"/>
          <w:sz w:val="28"/>
          <w:szCs w:val="28"/>
          <w:lang w:val="en"/>
        </w:rPr>
        <w:t>– С. 182 – 192.</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Державні санітарні норми та правила «Гігієнічні вимоги до води питної, призначеної для споживання людиною»; ДСанПіН 2.2.4–171-10. – Київ, 2010.</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 xml:space="preserve">Van Aardt, W., &amp; Erdmann, R. (2004). Heavy metals (Cd, Pb, Cu, Zn) in mudfish and sediments from three hard-water dams of the Mooi River catchment, South Africa. Water SA, 30(2). doi:10.4314/wsa.v30i2.5066 </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Давыдова О. А. Влияние физико-химических факторов</w:t>
      </w:r>
      <w:r>
        <w:rPr>
          <w:rFonts w:ascii="Times New Roman" w:hAnsi="Times New Roman"/>
          <w:sz w:val="28"/>
          <w:szCs w:val="28"/>
        </w:rPr>
        <w:t xml:space="preserve"> на содержание</w:t>
      </w:r>
      <w:r>
        <w:rPr>
          <w:rFonts w:ascii="Times New Roman" w:hAnsi="Times New Roman"/>
          <w:sz w:val="28"/>
          <w:szCs w:val="28"/>
          <w:lang w:val="en"/>
        </w:rPr>
        <w:t xml:space="preserve"> </w:t>
      </w:r>
      <w:r>
        <w:rPr>
          <w:rFonts w:ascii="Times New Roman" w:hAnsi="Times New Roman"/>
          <w:sz w:val="28"/>
          <w:szCs w:val="28"/>
        </w:rPr>
        <w:t>тяжелых металлов в водных экосистемах / О. А. Давыдова, Е. С. Климов, Е. С.</w:t>
      </w:r>
      <w:r>
        <w:rPr>
          <w:rFonts w:ascii="Times New Roman" w:hAnsi="Times New Roman"/>
          <w:sz w:val="28"/>
          <w:szCs w:val="28"/>
          <w:lang w:val="en"/>
        </w:rPr>
        <w:t xml:space="preserve"> </w:t>
      </w:r>
      <w:r>
        <w:rPr>
          <w:rFonts w:ascii="Times New Roman" w:hAnsi="Times New Roman"/>
          <w:sz w:val="28"/>
          <w:szCs w:val="28"/>
        </w:rPr>
        <w:t>Ваганова, А. С. Ваганов. – Ульяновск, УлГТУ, 2014. – 167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Линник П. Н. Формы миграции металлов в пресных поверхностных</w:t>
      </w:r>
      <w:r>
        <w:rPr>
          <w:rFonts w:ascii="Times New Roman" w:hAnsi="Times New Roman"/>
          <w:sz w:val="28"/>
          <w:szCs w:val="28"/>
          <w:lang w:val="en"/>
        </w:rPr>
        <w:t xml:space="preserve"> </w:t>
      </w:r>
      <w:r>
        <w:rPr>
          <w:rFonts w:ascii="Times New Roman" w:hAnsi="Times New Roman"/>
          <w:sz w:val="28"/>
          <w:szCs w:val="28"/>
        </w:rPr>
        <w:t>водах / П. Н. Линник, Б. И. Набиванец. – Л.,</w:t>
      </w:r>
      <w:r>
        <w:rPr>
          <w:rFonts w:ascii="Times New Roman" w:hAnsi="Times New Roman"/>
          <w:sz w:val="28"/>
          <w:szCs w:val="28"/>
        </w:rPr>
        <w:t xml:space="preserve"> Гидрометеоиздат, 1986. – 270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Никаноров А. М. Биомониторинг металлов в пресноводных экосистемах / А. М. Никаноров, А. В. Жулидов. – СПб.: Гидрометеоиздат, 1991. – 312 с.</w:t>
      </w:r>
    </w:p>
    <w:p w:rsidR="00F1629C" w:rsidRDefault="00E671D2">
      <w:pPr>
        <w:numPr>
          <w:ilvl w:val="0"/>
          <w:numId w:val="12"/>
        </w:numPr>
        <w:spacing w:after="0" w:line="360" w:lineRule="auto"/>
        <w:jc w:val="both"/>
        <w:rPr>
          <w:rFonts w:ascii="Times New Roman" w:hAnsi="Times New Roman"/>
          <w:sz w:val="28"/>
          <w:szCs w:val="28"/>
          <w:lang w:val="en" w:eastAsia="zh-CN"/>
        </w:rPr>
      </w:pPr>
      <w:r>
        <w:rPr>
          <w:rFonts w:ascii="Times New Roman" w:hAnsi="Times New Roman"/>
          <w:sz w:val="28"/>
          <w:szCs w:val="28"/>
        </w:rPr>
        <w:t xml:space="preserve">CARTER, J., &amp; CAMERON, I. (1973). Toxicity bioassay of heavy metals in water using </w:t>
      </w:r>
      <w:r>
        <w:rPr>
          <w:rFonts w:ascii="Times New Roman" w:hAnsi="Times New Roman"/>
          <w:sz w:val="28"/>
          <w:szCs w:val="28"/>
        </w:rPr>
        <w:t>Tetrahymena pyriformis. Water Research, 7(7), 951–961. doi:10.1016/0043-1354(73)90177-2</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lang w:val="en-US" w:eastAsia="zh-CN"/>
        </w:rPr>
        <w:t>Current Medicinal Chemistry, 2005, 12, 1161-1208 1161 Metals, Toxicity and Oxidative Stress M. Valko*,1, H. Morris2 and M.T.D. Cronin2</w:t>
      </w:r>
      <w:r>
        <w:rPr>
          <w:rFonts w:ascii="Times New Roman" w:hAnsi="Times New Roman"/>
          <w:sz w:val="28"/>
          <w:szCs w:val="28"/>
          <w:lang w:val="en" w:eastAsia="zh-CN"/>
        </w:rPr>
        <w:t xml:space="preserve"> (2005)</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Малін В. П. (Іванова В. П.</w:t>
      </w:r>
      <w:r>
        <w:rPr>
          <w:rFonts w:ascii="Times New Roman" w:hAnsi="Times New Roman"/>
          <w:sz w:val="28"/>
          <w:szCs w:val="28"/>
        </w:rPr>
        <w:t>) Контроль вмісту важких металів в природних водах та шляхи їх вилучення / В. П. Малін (В. П. Іванова) // Матеріали ІІІ</w:t>
      </w:r>
      <w:r>
        <w:rPr>
          <w:rFonts w:ascii="Times New Roman" w:hAnsi="Times New Roman"/>
          <w:sz w:val="28"/>
          <w:szCs w:val="28"/>
          <w:lang w:val="en"/>
        </w:rPr>
        <w:t xml:space="preserve"> </w:t>
      </w:r>
      <w:r>
        <w:rPr>
          <w:rFonts w:ascii="Times New Roman" w:hAnsi="Times New Roman"/>
          <w:sz w:val="28"/>
          <w:szCs w:val="28"/>
        </w:rPr>
        <w:t>Міжнародної науково-практичної конференції «Екологія і природокористування в системі оптимізації відносин природи і суспільства», 24 – 2</w:t>
      </w:r>
      <w:r>
        <w:rPr>
          <w:rFonts w:ascii="Times New Roman" w:hAnsi="Times New Roman"/>
          <w:sz w:val="28"/>
          <w:szCs w:val="28"/>
        </w:rPr>
        <w:t>5 березня</w:t>
      </w:r>
      <w:r>
        <w:rPr>
          <w:rFonts w:ascii="Times New Roman" w:hAnsi="Times New Roman"/>
          <w:sz w:val="28"/>
          <w:szCs w:val="28"/>
          <w:lang w:val="en"/>
        </w:rPr>
        <w:t xml:space="preserve"> </w:t>
      </w:r>
      <w:r>
        <w:rPr>
          <w:rFonts w:ascii="Times New Roman" w:hAnsi="Times New Roman"/>
          <w:sz w:val="28"/>
          <w:szCs w:val="28"/>
        </w:rPr>
        <w:t>2016 р.: мат. конф. – Тернопіль, 2016. – С. 53 – 55.</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lang w:val="en"/>
        </w:rPr>
        <w:t>Екологічна безпека водних екосистем і моніторинг якості води: навч. посібник / М. Д. Гомеля, Т. О. Шаблій, В. А. Копілевич, В. М. Галімова, Р. В. Лаврик, І. В. Суровцев. – Під заг. ред. М. Д. Г</w:t>
      </w:r>
      <w:r>
        <w:rPr>
          <w:rFonts w:ascii="Times New Roman" w:hAnsi="Times New Roman"/>
          <w:sz w:val="28"/>
          <w:szCs w:val="28"/>
          <w:lang w:val="en"/>
        </w:rPr>
        <w:t>омеля, 2013 р. – 143 с.</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Золотов Ю. А. Разделение и концентрирование веществ: место в химическом анализе / Ю. А. Золотов // Журнал «Заводская лаборатория. Диагностика</w:t>
      </w:r>
      <w:r>
        <w:rPr>
          <w:rFonts w:ascii="Times New Roman" w:hAnsi="Times New Roman"/>
          <w:sz w:val="28"/>
          <w:szCs w:val="28"/>
          <w:lang w:val="en"/>
        </w:rPr>
        <w:t xml:space="preserve"> </w:t>
      </w:r>
      <w:r>
        <w:rPr>
          <w:rFonts w:ascii="Times New Roman" w:hAnsi="Times New Roman"/>
          <w:sz w:val="28"/>
          <w:szCs w:val="28"/>
        </w:rPr>
        <w:t>материалов». – 2012. – Т. 78. – No 1. – С. 5 – 6.</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Сорбционное концентрирование микроэлемен</w:t>
      </w:r>
      <w:r>
        <w:rPr>
          <w:rFonts w:ascii="Times New Roman" w:hAnsi="Times New Roman"/>
          <w:sz w:val="28"/>
          <w:szCs w:val="28"/>
        </w:rPr>
        <w:t>тов из растворов. Применение в неорганическом анализе / Золотов Ю. А., Цизин Г. И., Дмитриенко С. Г.,</w:t>
      </w:r>
      <w:r>
        <w:rPr>
          <w:rFonts w:ascii="Times New Roman" w:hAnsi="Times New Roman"/>
          <w:sz w:val="28"/>
          <w:szCs w:val="28"/>
          <w:lang w:val="en"/>
        </w:rPr>
        <w:t xml:space="preserve"> </w:t>
      </w:r>
      <w:r>
        <w:rPr>
          <w:rFonts w:ascii="Times New Roman" w:hAnsi="Times New Roman"/>
          <w:sz w:val="28"/>
          <w:szCs w:val="28"/>
        </w:rPr>
        <w:t>Моросанова Е. И. – М.: Наука. – 2007. – 320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Зейналов Р. З. Концентрирование и определение меди, цинка и кадмия хелатообразующим модифицированным сорбен</w:t>
      </w:r>
      <w:r>
        <w:rPr>
          <w:rFonts w:ascii="Times New Roman" w:hAnsi="Times New Roman"/>
          <w:sz w:val="28"/>
          <w:szCs w:val="28"/>
          <w:lang w:val="en"/>
        </w:rPr>
        <w:t>том / Р. З. Зейналов, С. Д. Татаева, Н. И. Атаева // Аналитика и контроль. – 2013. – Т. 17. – No 1.– С. 89 – 98.</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Москвин Л. Н. Методы разделения и концентрирования в аналитической</w:t>
      </w:r>
      <w:r>
        <w:rPr>
          <w:rFonts w:ascii="Times New Roman" w:hAnsi="Times New Roman"/>
          <w:sz w:val="28"/>
          <w:szCs w:val="28"/>
          <w:lang w:val="en"/>
        </w:rPr>
        <w:t xml:space="preserve"> </w:t>
      </w:r>
      <w:r>
        <w:rPr>
          <w:rFonts w:ascii="Times New Roman" w:hAnsi="Times New Roman"/>
          <w:sz w:val="28"/>
          <w:szCs w:val="28"/>
        </w:rPr>
        <w:t>химии / Л. Н. Москвин, О. В. Родинков. – Долгопрудный: Издательский дом</w:t>
      </w:r>
      <w:r>
        <w:rPr>
          <w:rFonts w:ascii="Times New Roman" w:hAnsi="Times New Roman"/>
          <w:sz w:val="28"/>
          <w:szCs w:val="28"/>
          <w:lang w:val="en"/>
        </w:rPr>
        <w:t xml:space="preserve"> </w:t>
      </w:r>
      <w:r>
        <w:rPr>
          <w:rFonts w:ascii="Times New Roman" w:hAnsi="Times New Roman"/>
          <w:sz w:val="28"/>
          <w:szCs w:val="28"/>
        </w:rPr>
        <w:t>«Инт</w:t>
      </w:r>
      <w:r>
        <w:rPr>
          <w:rFonts w:ascii="Times New Roman" w:hAnsi="Times New Roman"/>
          <w:sz w:val="28"/>
          <w:szCs w:val="28"/>
        </w:rPr>
        <w:t>еллект», 2011. – 352 с.</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Цизин Г. И. Развитие методов концентрирования микрокомпонентов в</w:t>
      </w:r>
      <w:r>
        <w:rPr>
          <w:rFonts w:ascii="Times New Roman" w:hAnsi="Times New Roman"/>
          <w:sz w:val="28"/>
          <w:szCs w:val="28"/>
          <w:lang w:val="en"/>
        </w:rPr>
        <w:t xml:space="preserve"> </w:t>
      </w:r>
      <w:r>
        <w:rPr>
          <w:rFonts w:ascii="Times New Roman" w:hAnsi="Times New Roman"/>
          <w:sz w:val="28"/>
          <w:szCs w:val="28"/>
        </w:rPr>
        <w:t>России (1991 – 2010) / Г. И. Цизин // Журн. аналит. химии. – 2011. – Т. 66. – No 11.</w:t>
      </w:r>
      <w:r>
        <w:rPr>
          <w:rFonts w:ascii="Times New Roman" w:hAnsi="Times New Roman"/>
          <w:sz w:val="28"/>
          <w:szCs w:val="28"/>
          <w:lang w:val="en"/>
        </w:rPr>
        <w:t xml:space="preserve"> </w:t>
      </w:r>
      <w:r>
        <w:rPr>
          <w:rFonts w:ascii="Times New Roman" w:hAnsi="Times New Roman"/>
          <w:sz w:val="28"/>
          <w:szCs w:val="28"/>
        </w:rPr>
        <w:t>– С. 1135 – 1143.</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Неудачина Л. К. Новые хелатные сорбенты: свойства и применение д</w:t>
      </w:r>
      <w:r>
        <w:rPr>
          <w:rFonts w:ascii="Times New Roman" w:hAnsi="Times New Roman"/>
          <w:sz w:val="28"/>
          <w:szCs w:val="28"/>
          <w:lang w:val="en"/>
        </w:rPr>
        <w:t>ля сорбционно-спектроскопического определения ионов переходных металлов / Л. К. Неудачина, А. В. Нестов, Н. В. Баранова, В. А. Старцев // Аналитика и контроль. – 2011. – Т. 15. – No 2. – С. 238 – 250.</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Основы аналитической химии. Практическое руководство: У</w:t>
      </w:r>
      <w:r>
        <w:rPr>
          <w:rFonts w:ascii="Times New Roman" w:hAnsi="Times New Roman"/>
          <w:sz w:val="28"/>
          <w:szCs w:val="28"/>
          <w:lang w:val="en"/>
        </w:rPr>
        <w:t xml:space="preserve">чеб. пособие для вузов / В. И. Фадеева, Т. Н. Шеховцова, В. М. Иванов и др. – М.: Высш. шк., 2001. – 463 с. </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Стойкова Е. Е. Анализ следовых количеств веществ: учебно- методическое пособие / Е. Е. Стойкова, А. В. Порфирьева, Г. А. Евтюгин, Казань, 2010. – С</w:t>
      </w:r>
      <w:r>
        <w:rPr>
          <w:rFonts w:ascii="Times New Roman" w:hAnsi="Times New Roman"/>
          <w:sz w:val="28"/>
          <w:szCs w:val="28"/>
          <w:lang w:val="en"/>
        </w:rPr>
        <w:t>. 72.</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Кузьминская Е. А. Потенциометрическое определение некоторых тяжелых металлов с использованием твердых композитных электродов / Е. А. Кузьминская, С. В. Шумар // Актуальные проблемы гуманитарных и естественных наук. – 2015. – No 3. – С. 8 – 11.</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Соколова А. М. Потенциометрический контроль содержания ионов меди, цинка, свинца в сточных водах с учетом гидролиза / А. М. Соколова, Т. А. Раденков, С. В. Романенко // Вестник науки Сибири. – 2014. – Т. 13. – No 3. – С. 46 – 52.</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lang w:val="en"/>
        </w:rPr>
        <w:t>Суровцев И. В. Определение</w:t>
      </w:r>
      <w:r>
        <w:rPr>
          <w:rFonts w:ascii="Times New Roman" w:hAnsi="Times New Roman"/>
          <w:sz w:val="28"/>
          <w:szCs w:val="28"/>
          <w:lang w:val="en"/>
        </w:rPr>
        <w:t xml:space="preserve"> тяжелых металлов в водных экосистемах методом инверсионной хронопотенциометрии [Текст] / И. В. Суровцев, В. М. Галимова, В. М. Манк, В. А. Копилевич // Химия и технология воды. – 2009. – Т.31, No 6. – С. 677 – 687.</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 xml:space="preserve">Филатова Е. Г. Обзор технологий очистки </w:t>
      </w:r>
      <w:r>
        <w:rPr>
          <w:rFonts w:ascii="Times New Roman" w:hAnsi="Times New Roman"/>
          <w:sz w:val="28"/>
          <w:szCs w:val="28"/>
          <w:lang w:val="en"/>
        </w:rPr>
        <w:t>сточных вод от ионов тяжелых металлов, основанных на физико-химических процессах. / Е.Г. Филатова // Известия вузов. Прикладная химия и биотехнология. - 2005. - №2</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Gunatilake S. K. Methods of Removing Heavy Metals from Industrial Wastewater Gunatilake [Мет</w:t>
      </w:r>
      <w:r>
        <w:rPr>
          <w:rFonts w:ascii="Times New Roman" w:hAnsi="Times New Roman"/>
          <w:sz w:val="28"/>
          <w:szCs w:val="28"/>
          <w:lang w:val="en"/>
        </w:rPr>
        <w:t>оди вилучення важких металів з промислових стічних вод Gunatilake] / S. K. Gunatilake // Journal of Multidisciplinary Engineering Science Studies. – 2015. – V. 1. – P. 12 – 18.</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Barakat M. A. New trends in removing heavy metals from industrial wastewater [Н</w:t>
      </w:r>
      <w:r>
        <w:rPr>
          <w:rFonts w:ascii="Times New Roman" w:hAnsi="Times New Roman"/>
          <w:sz w:val="28"/>
          <w:szCs w:val="28"/>
          <w:lang w:val="en"/>
        </w:rPr>
        <w:t>ові тенденції у видаленні важких металів з промислових стічних вод] / M. A. Barakat // Arabian Journal of Chemistry. – 2011. – No 4. – P. 361 – 377.</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Левченко Л. М. Очистка сточных вод от примесей тяжелых металлов / Л. М. Левченко, А. К. Сагидуллин, В. В. Ш</w:t>
      </w:r>
      <w:r>
        <w:rPr>
          <w:rFonts w:ascii="Times New Roman" w:hAnsi="Times New Roman"/>
          <w:sz w:val="28"/>
          <w:szCs w:val="28"/>
          <w:lang w:val="en"/>
        </w:rPr>
        <w:t>емякин, О. В. Шуваева // Тезисы докладов Х Международной научно-технической конференции «Современные проблемы экологии». – Тула. – 2014. – С. 16 – 20.</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Пимнева Л. А. Очистка сточных вод от токсичных тяжелых металлов</w:t>
      </w:r>
      <w:r>
        <w:rPr>
          <w:rFonts w:ascii="Times New Roman" w:hAnsi="Times New Roman"/>
          <w:sz w:val="28"/>
          <w:szCs w:val="28"/>
          <w:lang w:val="en"/>
        </w:rPr>
        <w:t xml:space="preserve"> </w:t>
      </w:r>
      <w:r>
        <w:rPr>
          <w:rFonts w:ascii="Times New Roman" w:hAnsi="Times New Roman"/>
          <w:sz w:val="28"/>
          <w:szCs w:val="28"/>
        </w:rPr>
        <w:t>/ Л. А. Пимнева // Современные наукоемкие</w:t>
      </w:r>
      <w:r>
        <w:rPr>
          <w:rFonts w:ascii="Times New Roman" w:hAnsi="Times New Roman"/>
          <w:sz w:val="28"/>
          <w:szCs w:val="28"/>
        </w:rPr>
        <w:t xml:space="preserve"> технологии. – 2013. – No 2. – С. 99 –</w:t>
      </w:r>
      <w:r>
        <w:rPr>
          <w:rFonts w:ascii="Times New Roman" w:hAnsi="Times New Roman"/>
          <w:sz w:val="28"/>
          <w:szCs w:val="28"/>
          <w:lang w:val="en"/>
        </w:rPr>
        <w:t xml:space="preserve"> </w:t>
      </w:r>
      <w:r>
        <w:rPr>
          <w:rFonts w:ascii="Times New Roman" w:hAnsi="Times New Roman"/>
          <w:sz w:val="28"/>
          <w:szCs w:val="28"/>
        </w:rPr>
        <w:t>101.</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 xml:space="preserve">Бобкова Л. А. Влияние ионной силы раствора на равновесие и динамику сорбции меди (II) и кобальта(II) макросетчатым карбоксильным катионитом КБ-2Э / Л. А. Бобкова, В. В. Козик, В. В. Петрова, Т. В. Односторонцева </w:t>
      </w:r>
      <w:r>
        <w:rPr>
          <w:rFonts w:ascii="Times New Roman" w:hAnsi="Times New Roman"/>
          <w:sz w:val="28"/>
          <w:szCs w:val="28"/>
        </w:rPr>
        <w:t>//</w:t>
      </w:r>
      <w:r>
        <w:rPr>
          <w:rFonts w:ascii="Times New Roman" w:hAnsi="Times New Roman"/>
          <w:sz w:val="28"/>
          <w:szCs w:val="28"/>
          <w:lang w:val="en"/>
        </w:rPr>
        <w:t xml:space="preserve"> </w:t>
      </w:r>
      <w:r>
        <w:rPr>
          <w:rFonts w:ascii="Times New Roman" w:hAnsi="Times New Roman"/>
          <w:sz w:val="28"/>
          <w:szCs w:val="28"/>
        </w:rPr>
        <w:t>Ползуновский вестник. – 2011. – No4. – C. 83 – 87.</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Иканина Е. В. Физико-химические закономерности синтеза, микроструктура и</w:t>
      </w:r>
      <w:r>
        <w:rPr>
          <w:rFonts w:ascii="Times New Roman" w:hAnsi="Times New Roman"/>
          <w:sz w:val="28"/>
          <w:szCs w:val="28"/>
          <w:lang w:val="en"/>
        </w:rPr>
        <w:t xml:space="preserve"> </w:t>
      </w:r>
      <w:r>
        <w:rPr>
          <w:rFonts w:ascii="Times New Roman" w:hAnsi="Times New Roman"/>
          <w:sz w:val="28"/>
          <w:szCs w:val="28"/>
        </w:rPr>
        <w:t>функциональные свойства композиционного сорбента катионит</w:t>
      </w:r>
      <w:r>
        <w:rPr>
          <w:rFonts w:ascii="Times New Roman" w:hAnsi="Times New Roman"/>
          <w:sz w:val="28"/>
          <w:szCs w:val="28"/>
          <w:lang w:val="en"/>
        </w:rPr>
        <w:t xml:space="preserve"> </w:t>
      </w:r>
      <w:r>
        <w:rPr>
          <w:rFonts w:ascii="Times New Roman" w:hAnsi="Times New Roman"/>
          <w:sz w:val="28"/>
          <w:szCs w:val="28"/>
        </w:rPr>
        <w:t>КУ-2-8 – гидроксид железа (III): дис. канд. хим. наук: 02.00.04 / Е. В.</w:t>
      </w:r>
      <w:r>
        <w:rPr>
          <w:rFonts w:ascii="Times New Roman" w:hAnsi="Times New Roman"/>
          <w:sz w:val="28"/>
          <w:szCs w:val="28"/>
        </w:rPr>
        <w:t xml:space="preserve"> Иканина;</w:t>
      </w:r>
      <w:r>
        <w:rPr>
          <w:rFonts w:ascii="Times New Roman" w:hAnsi="Times New Roman"/>
          <w:sz w:val="28"/>
          <w:szCs w:val="28"/>
          <w:lang w:val="en"/>
        </w:rPr>
        <w:t xml:space="preserve"> </w:t>
      </w:r>
      <w:r>
        <w:rPr>
          <w:rFonts w:ascii="Times New Roman" w:hAnsi="Times New Roman"/>
          <w:sz w:val="28"/>
          <w:szCs w:val="28"/>
        </w:rPr>
        <w:t>Урал. федер. ун-т им. первого Президента России Б. Н. Ельцина; научн. рук.</w:t>
      </w:r>
      <w:r>
        <w:rPr>
          <w:rFonts w:ascii="Times New Roman" w:hAnsi="Times New Roman"/>
          <w:sz w:val="28"/>
          <w:szCs w:val="28"/>
          <w:lang w:val="en"/>
        </w:rPr>
        <w:t xml:space="preserve"> </w:t>
      </w:r>
      <w:r>
        <w:rPr>
          <w:rFonts w:ascii="Times New Roman" w:hAnsi="Times New Roman"/>
          <w:sz w:val="28"/>
          <w:szCs w:val="28"/>
        </w:rPr>
        <w:t>Марков В. Ф. – Екатеринбург, 2013. – 176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Селицкий Г. А. Очистка сточных вод от ионов тяжелых металлов методом натрий-катионирования / Г. А. Селицкий, Ю. А. Галкин // Ме</w:t>
      </w:r>
      <w:r>
        <w:rPr>
          <w:rFonts w:ascii="Times New Roman" w:hAnsi="Times New Roman"/>
          <w:sz w:val="28"/>
          <w:szCs w:val="28"/>
        </w:rPr>
        <w:t>таллургия и</w:t>
      </w:r>
      <w:r>
        <w:rPr>
          <w:rFonts w:ascii="Times New Roman" w:hAnsi="Times New Roman"/>
          <w:sz w:val="28"/>
          <w:szCs w:val="28"/>
          <w:lang w:val="en"/>
        </w:rPr>
        <w:t xml:space="preserve"> </w:t>
      </w:r>
      <w:r>
        <w:rPr>
          <w:rFonts w:ascii="Times New Roman" w:hAnsi="Times New Roman"/>
          <w:sz w:val="28"/>
          <w:szCs w:val="28"/>
        </w:rPr>
        <w:t>машиностроение. – 2008. – No 2 (11). – С. 5 – 7.</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Pehlivan E. Ion-exchange of Pb</w:t>
      </w:r>
      <w:r>
        <w:rPr>
          <w:rFonts w:ascii="Times New Roman" w:hAnsi="Times New Roman"/>
          <w:sz w:val="28"/>
          <w:szCs w:val="28"/>
          <w:vertAlign w:val="superscript"/>
        </w:rPr>
        <w:t>2+</w:t>
      </w:r>
      <w:r>
        <w:rPr>
          <w:rFonts w:ascii="Times New Roman" w:hAnsi="Times New Roman"/>
          <w:sz w:val="28"/>
          <w:szCs w:val="28"/>
        </w:rPr>
        <w:t xml:space="preserve"> , Cu</w:t>
      </w:r>
      <w:r>
        <w:rPr>
          <w:rFonts w:ascii="Times New Roman" w:hAnsi="Times New Roman"/>
          <w:sz w:val="28"/>
          <w:szCs w:val="28"/>
          <w:vertAlign w:val="superscript"/>
        </w:rPr>
        <w:t>2+</w:t>
      </w:r>
      <w:r>
        <w:rPr>
          <w:rFonts w:ascii="Times New Roman" w:hAnsi="Times New Roman"/>
          <w:sz w:val="28"/>
          <w:szCs w:val="28"/>
        </w:rPr>
        <w:t xml:space="preserve"> , Zn</w:t>
      </w:r>
      <w:r>
        <w:rPr>
          <w:rFonts w:ascii="Times New Roman" w:hAnsi="Times New Roman"/>
          <w:sz w:val="28"/>
          <w:szCs w:val="28"/>
          <w:vertAlign w:val="superscript"/>
        </w:rPr>
        <w:t>2+</w:t>
      </w:r>
      <w:r>
        <w:rPr>
          <w:rFonts w:ascii="Times New Roman" w:hAnsi="Times New Roman"/>
          <w:sz w:val="28"/>
          <w:szCs w:val="28"/>
        </w:rPr>
        <w:t>, Cd</w:t>
      </w:r>
      <w:r>
        <w:rPr>
          <w:rFonts w:ascii="Times New Roman" w:hAnsi="Times New Roman"/>
          <w:sz w:val="28"/>
          <w:szCs w:val="28"/>
          <w:vertAlign w:val="superscript"/>
        </w:rPr>
        <w:t>2+</w:t>
      </w:r>
      <w:r>
        <w:rPr>
          <w:rFonts w:ascii="Times New Roman" w:hAnsi="Times New Roman"/>
          <w:sz w:val="28"/>
          <w:szCs w:val="28"/>
        </w:rPr>
        <w:t>, and Ni</w:t>
      </w:r>
      <w:r>
        <w:rPr>
          <w:rFonts w:ascii="Times New Roman" w:hAnsi="Times New Roman"/>
          <w:sz w:val="28"/>
          <w:szCs w:val="28"/>
          <w:vertAlign w:val="superscript"/>
        </w:rPr>
        <w:t>2+</w:t>
      </w:r>
      <w:r>
        <w:rPr>
          <w:rFonts w:ascii="Times New Roman" w:hAnsi="Times New Roman"/>
          <w:sz w:val="28"/>
          <w:szCs w:val="28"/>
        </w:rPr>
        <w:t xml:space="preserve"> ions from</w:t>
      </w:r>
      <w:r>
        <w:rPr>
          <w:rFonts w:ascii="Times New Roman" w:hAnsi="Times New Roman"/>
          <w:sz w:val="28"/>
          <w:szCs w:val="28"/>
          <w:lang w:val="en"/>
        </w:rPr>
        <w:t xml:space="preserve"> </w:t>
      </w:r>
      <w:r>
        <w:rPr>
          <w:rFonts w:ascii="Times New Roman" w:hAnsi="Times New Roman"/>
          <w:sz w:val="28"/>
          <w:szCs w:val="28"/>
        </w:rPr>
        <w:t>aqueous solution by Lewatit CNP 80 [Іонний обмін іонів Pb</w:t>
      </w:r>
      <w:r>
        <w:rPr>
          <w:rFonts w:ascii="Times New Roman" w:hAnsi="Times New Roman"/>
          <w:sz w:val="28"/>
          <w:szCs w:val="28"/>
          <w:vertAlign w:val="superscript"/>
        </w:rPr>
        <w:t>2+</w:t>
      </w:r>
      <w:r>
        <w:rPr>
          <w:rFonts w:ascii="Times New Roman" w:hAnsi="Times New Roman"/>
          <w:sz w:val="28"/>
          <w:szCs w:val="28"/>
        </w:rPr>
        <w:t xml:space="preserve"> , Cu</w:t>
      </w:r>
      <w:r>
        <w:rPr>
          <w:rFonts w:ascii="Times New Roman" w:hAnsi="Times New Roman"/>
          <w:sz w:val="28"/>
          <w:szCs w:val="28"/>
          <w:vertAlign w:val="superscript"/>
        </w:rPr>
        <w:t>2+</w:t>
      </w:r>
      <w:r>
        <w:rPr>
          <w:rFonts w:ascii="Times New Roman" w:hAnsi="Times New Roman"/>
          <w:sz w:val="28"/>
          <w:szCs w:val="28"/>
        </w:rPr>
        <w:t xml:space="preserve"> , Zn</w:t>
      </w:r>
      <w:r>
        <w:rPr>
          <w:rFonts w:ascii="Times New Roman" w:hAnsi="Times New Roman"/>
          <w:sz w:val="28"/>
          <w:szCs w:val="28"/>
          <w:vertAlign w:val="superscript"/>
        </w:rPr>
        <w:t>2+</w:t>
      </w:r>
      <w:r>
        <w:rPr>
          <w:rFonts w:ascii="Times New Roman" w:hAnsi="Times New Roman"/>
          <w:sz w:val="28"/>
          <w:szCs w:val="28"/>
        </w:rPr>
        <w:t xml:space="preserve"> , Cd</w:t>
      </w:r>
      <w:r>
        <w:rPr>
          <w:rFonts w:ascii="Times New Roman" w:hAnsi="Times New Roman"/>
          <w:sz w:val="28"/>
          <w:szCs w:val="28"/>
          <w:vertAlign w:val="superscript"/>
        </w:rPr>
        <w:t>2+</w:t>
      </w:r>
      <w:r>
        <w:rPr>
          <w:rFonts w:ascii="Times New Roman" w:hAnsi="Times New Roman"/>
          <w:sz w:val="28"/>
          <w:szCs w:val="28"/>
        </w:rPr>
        <w:t xml:space="preserve"> та</w:t>
      </w:r>
      <w:r>
        <w:rPr>
          <w:rFonts w:ascii="Times New Roman" w:hAnsi="Times New Roman"/>
          <w:sz w:val="28"/>
          <w:szCs w:val="28"/>
          <w:lang w:val="en"/>
        </w:rPr>
        <w:t xml:space="preserve"> </w:t>
      </w:r>
      <w:r>
        <w:rPr>
          <w:rFonts w:ascii="Times New Roman" w:hAnsi="Times New Roman"/>
          <w:sz w:val="28"/>
          <w:szCs w:val="28"/>
        </w:rPr>
        <w:t>Ni</w:t>
      </w:r>
      <w:r>
        <w:rPr>
          <w:rFonts w:ascii="Times New Roman" w:hAnsi="Times New Roman"/>
          <w:sz w:val="28"/>
          <w:szCs w:val="28"/>
          <w:vertAlign w:val="superscript"/>
        </w:rPr>
        <w:t>2+</w:t>
      </w:r>
      <w:r>
        <w:rPr>
          <w:rFonts w:ascii="Times New Roman" w:hAnsi="Times New Roman"/>
          <w:sz w:val="28"/>
          <w:szCs w:val="28"/>
        </w:rPr>
        <w:t xml:space="preserve"> з водного розчину Lewatit CNP 80]</w:t>
      </w:r>
      <w:r>
        <w:rPr>
          <w:rFonts w:ascii="Times New Roman" w:hAnsi="Times New Roman"/>
          <w:sz w:val="28"/>
          <w:szCs w:val="28"/>
        </w:rPr>
        <w:t xml:space="preserve"> / E. Pehlivan, T. Altun // Journal of</w:t>
      </w:r>
      <w:r>
        <w:rPr>
          <w:rFonts w:ascii="Times New Roman" w:hAnsi="Times New Roman"/>
          <w:sz w:val="28"/>
          <w:szCs w:val="28"/>
          <w:lang w:val="en"/>
        </w:rPr>
        <w:t xml:space="preserve"> </w:t>
      </w:r>
      <w:r>
        <w:rPr>
          <w:rFonts w:ascii="Times New Roman" w:hAnsi="Times New Roman"/>
          <w:sz w:val="28"/>
          <w:szCs w:val="28"/>
        </w:rPr>
        <w:t>Hazardous Materials. – 2007. – V. 140. – No. 1. – С. 299 – 307.</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Байгозин Д. В. Извлечение ионов Cu(II) и Pb(II) ионитами различной</w:t>
      </w:r>
      <w:r>
        <w:rPr>
          <w:rFonts w:ascii="Times New Roman" w:hAnsi="Times New Roman"/>
          <w:sz w:val="28"/>
          <w:szCs w:val="28"/>
          <w:lang w:val="en"/>
        </w:rPr>
        <w:t xml:space="preserve"> </w:t>
      </w:r>
      <w:r>
        <w:rPr>
          <w:rFonts w:ascii="Times New Roman" w:hAnsi="Times New Roman"/>
          <w:sz w:val="28"/>
          <w:szCs w:val="28"/>
        </w:rPr>
        <w:t>природы из жесткой и умягченной воды / Д. В. Байгозин, Ю. А. Ситникова, А.</w:t>
      </w:r>
      <w:r>
        <w:rPr>
          <w:rFonts w:ascii="Times New Roman" w:hAnsi="Times New Roman"/>
          <w:sz w:val="28"/>
          <w:szCs w:val="28"/>
          <w:lang w:val="en"/>
        </w:rPr>
        <w:t xml:space="preserve"> </w:t>
      </w:r>
      <w:r>
        <w:rPr>
          <w:rFonts w:ascii="Times New Roman" w:hAnsi="Times New Roman"/>
          <w:sz w:val="28"/>
          <w:szCs w:val="28"/>
        </w:rPr>
        <w:t xml:space="preserve">Г. </w:t>
      </w:r>
      <w:r>
        <w:rPr>
          <w:rFonts w:ascii="Times New Roman" w:hAnsi="Times New Roman"/>
          <w:sz w:val="28"/>
          <w:szCs w:val="28"/>
        </w:rPr>
        <w:t>Митилинеос, А. Т. Кынин // Вестник ВГУ «Химия, Биология, Фармация». –</w:t>
      </w:r>
      <w:r>
        <w:rPr>
          <w:rFonts w:ascii="Times New Roman" w:hAnsi="Times New Roman"/>
          <w:sz w:val="28"/>
          <w:szCs w:val="28"/>
          <w:lang w:val="en"/>
        </w:rPr>
        <w:t xml:space="preserve"> </w:t>
      </w:r>
      <w:r>
        <w:rPr>
          <w:rFonts w:ascii="Times New Roman" w:hAnsi="Times New Roman"/>
          <w:sz w:val="28"/>
          <w:szCs w:val="28"/>
        </w:rPr>
        <w:t>2013. – No 2. – С. 15 – 18.</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Nguyen N. Van. Copper recovery from low concentration waste solution</w:t>
      </w:r>
      <w:r>
        <w:rPr>
          <w:rFonts w:ascii="Times New Roman" w:hAnsi="Times New Roman"/>
          <w:sz w:val="28"/>
          <w:szCs w:val="28"/>
          <w:lang w:val="en"/>
        </w:rPr>
        <w:t xml:space="preserve"> </w:t>
      </w:r>
      <w:r>
        <w:rPr>
          <w:rFonts w:ascii="Times New Roman" w:hAnsi="Times New Roman"/>
          <w:sz w:val="28"/>
          <w:szCs w:val="28"/>
        </w:rPr>
        <w:t xml:space="preserve">using Dowex G-26 resin [Видобуток міді з низькоконцентрованого розчину відходів, </w:t>
      </w:r>
      <w:r>
        <w:rPr>
          <w:rFonts w:ascii="Times New Roman" w:hAnsi="Times New Roman"/>
          <w:sz w:val="28"/>
          <w:szCs w:val="28"/>
        </w:rPr>
        <w:t>використовуючи смолу Dowex G-26] / N. Van Nguyen, J. Lee, M. Kumar</w:t>
      </w:r>
      <w:r>
        <w:rPr>
          <w:rFonts w:ascii="Times New Roman" w:hAnsi="Times New Roman"/>
          <w:sz w:val="28"/>
          <w:szCs w:val="28"/>
          <w:lang w:val="en"/>
        </w:rPr>
        <w:t xml:space="preserve"> </w:t>
      </w:r>
      <w:r>
        <w:rPr>
          <w:rFonts w:ascii="Times New Roman" w:hAnsi="Times New Roman"/>
          <w:sz w:val="28"/>
          <w:szCs w:val="28"/>
        </w:rPr>
        <w:t>Jha, K. Yoo, J. Jeong // Hydrometallurgy. – 2009. – V. 97. – P. 237 – 242.</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Згонникова Т. В. Ионообменная очистка сточных вод предприятий</w:t>
      </w:r>
      <w:r>
        <w:rPr>
          <w:rFonts w:ascii="Times New Roman" w:hAnsi="Times New Roman"/>
          <w:sz w:val="28"/>
          <w:szCs w:val="28"/>
          <w:lang w:val="en"/>
        </w:rPr>
        <w:t xml:space="preserve"> </w:t>
      </w:r>
      <w:r>
        <w:rPr>
          <w:rFonts w:ascii="Times New Roman" w:hAnsi="Times New Roman"/>
          <w:sz w:val="28"/>
          <w:szCs w:val="28"/>
        </w:rPr>
        <w:t>от ионов кадмия, никеля и цинка при совместном их со</w:t>
      </w:r>
      <w:r>
        <w:rPr>
          <w:rFonts w:ascii="Times New Roman" w:hAnsi="Times New Roman"/>
          <w:sz w:val="28"/>
          <w:szCs w:val="28"/>
        </w:rPr>
        <w:t>держании с ионами меди</w:t>
      </w:r>
      <w:r>
        <w:rPr>
          <w:rFonts w:ascii="Times New Roman" w:hAnsi="Times New Roman"/>
          <w:sz w:val="28"/>
          <w:szCs w:val="28"/>
          <w:lang w:val="en"/>
        </w:rPr>
        <w:t xml:space="preserve"> </w:t>
      </w:r>
      <w:r>
        <w:rPr>
          <w:rFonts w:ascii="Times New Roman" w:hAnsi="Times New Roman"/>
          <w:sz w:val="28"/>
          <w:szCs w:val="28"/>
        </w:rPr>
        <w:t>/ Т. В. Згонникова, Ю. А. Омельчук // Тези доповідей Всеукраїнської науково</w:t>
      </w:r>
      <w:r>
        <w:rPr>
          <w:rFonts w:ascii="Times New Roman" w:hAnsi="Times New Roman"/>
          <w:sz w:val="28"/>
          <w:szCs w:val="28"/>
          <w:lang w:val="en"/>
        </w:rPr>
        <w:t>-</w:t>
      </w:r>
      <w:r>
        <w:rPr>
          <w:rFonts w:ascii="Times New Roman" w:hAnsi="Times New Roman"/>
          <w:sz w:val="28"/>
          <w:szCs w:val="28"/>
        </w:rPr>
        <w:t>практичної конференції молодих учених та студентів «Екологічна безпека держави», 15 – 17 квітня 2014 р., м. Київ. – С. 86 – 87.</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Митракова Т. Н. Применение ма</w:t>
      </w:r>
      <w:r>
        <w:rPr>
          <w:rFonts w:ascii="Times New Roman" w:hAnsi="Times New Roman"/>
          <w:sz w:val="28"/>
          <w:szCs w:val="28"/>
          <w:lang w:val="en"/>
        </w:rPr>
        <w:t>териалов естественного происхождения для сорбционной очистки сточных вод от ионов меди (II): дис. канд. техн. наук: 03.02.08 / Митракова Татьяна Николаевна; Министерство образования и науки Российской Федерации Федеральное государственное бюджетное образов</w:t>
      </w:r>
      <w:r>
        <w:rPr>
          <w:rFonts w:ascii="Times New Roman" w:hAnsi="Times New Roman"/>
          <w:sz w:val="28"/>
          <w:szCs w:val="28"/>
          <w:lang w:val="en"/>
        </w:rPr>
        <w:t>ательное учреждение высшего профессионального образования «Курский государственный университет»; научн. рук. Лозинская Е. Ф. – Курск, 2017. – 126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rPr>
        <w:t>Богуш А. А. Применение природных материалов для очистки техногенных вод / А. А. Богуш, Т. Н. Мороз, О. Г. Г</w:t>
      </w:r>
      <w:r>
        <w:rPr>
          <w:rFonts w:ascii="Times New Roman" w:hAnsi="Times New Roman"/>
          <w:sz w:val="28"/>
          <w:szCs w:val="28"/>
        </w:rPr>
        <w:t>алкова, О. М. Маскенская // Экология промышленного производства. – 2007. – No 2. – С. 63 – 69.</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Vukčević M. Carbon materials from waste short hemp fibers as a sorbent</w:t>
      </w:r>
      <w:r>
        <w:rPr>
          <w:rFonts w:ascii="Times New Roman" w:hAnsi="Times New Roman"/>
          <w:sz w:val="28"/>
          <w:szCs w:val="28"/>
          <w:lang w:val="en"/>
        </w:rPr>
        <w:t xml:space="preserve"> </w:t>
      </w:r>
      <w:r>
        <w:rPr>
          <w:rFonts w:ascii="Times New Roman" w:hAnsi="Times New Roman"/>
          <w:sz w:val="28"/>
          <w:szCs w:val="28"/>
        </w:rPr>
        <w:t>for heavy metal ions – Mathematical modeling of sorbent structure and ions transport</w:t>
      </w:r>
      <w:r>
        <w:rPr>
          <w:rFonts w:ascii="Times New Roman" w:hAnsi="Times New Roman"/>
          <w:sz w:val="28"/>
          <w:szCs w:val="28"/>
          <w:lang w:val="en"/>
        </w:rPr>
        <w:t xml:space="preserve"> </w:t>
      </w:r>
      <w:r>
        <w:rPr>
          <w:rFonts w:ascii="Times New Roman" w:hAnsi="Times New Roman"/>
          <w:sz w:val="28"/>
          <w:szCs w:val="28"/>
        </w:rPr>
        <w:t>[Вугл</w:t>
      </w:r>
      <w:r>
        <w:rPr>
          <w:rFonts w:ascii="Times New Roman" w:hAnsi="Times New Roman"/>
          <w:sz w:val="28"/>
          <w:szCs w:val="28"/>
        </w:rPr>
        <w:t>ецеві матеріали з відходів коротких волокон коноплі як сорбент для іонів</w:t>
      </w:r>
      <w:r>
        <w:rPr>
          <w:rFonts w:ascii="Times New Roman" w:hAnsi="Times New Roman"/>
          <w:sz w:val="28"/>
          <w:szCs w:val="28"/>
          <w:lang w:val="en"/>
        </w:rPr>
        <w:t xml:space="preserve"> </w:t>
      </w:r>
      <w:r>
        <w:rPr>
          <w:rFonts w:ascii="Times New Roman" w:hAnsi="Times New Roman"/>
          <w:sz w:val="28"/>
          <w:szCs w:val="28"/>
        </w:rPr>
        <w:t>важких металів – Математичне моделювання структури сорбенту та транспортування іонів] / M. Vukčević, B. Pejić, A. Kalijadis, I. PajićLijaković, M. Kostić et</w:t>
      </w:r>
      <w:r>
        <w:rPr>
          <w:rFonts w:ascii="Times New Roman" w:hAnsi="Times New Roman"/>
          <w:sz w:val="28"/>
          <w:szCs w:val="28"/>
          <w:lang w:val="en"/>
        </w:rPr>
        <w:t xml:space="preserve"> </w:t>
      </w:r>
      <w:r>
        <w:rPr>
          <w:rFonts w:ascii="Times New Roman" w:hAnsi="Times New Roman"/>
          <w:sz w:val="28"/>
          <w:szCs w:val="28"/>
        </w:rPr>
        <w:t>[al.] // Chemical Engineer</w:t>
      </w:r>
      <w:r>
        <w:rPr>
          <w:rFonts w:ascii="Times New Roman" w:hAnsi="Times New Roman"/>
          <w:sz w:val="28"/>
          <w:szCs w:val="28"/>
        </w:rPr>
        <w:t>ing Journal. – 2014. – V. 235. – No 1. – P. 284–292.</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Amarasinghe B. Tea waste as a low cost adsorbent for the removal of Cu</w:t>
      </w:r>
      <w:r>
        <w:rPr>
          <w:rFonts w:ascii="Times New Roman" w:hAnsi="Times New Roman"/>
          <w:sz w:val="28"/>
          <w:szCs w:val="28"/>
          <w:lang w:val="en"/>
        </w:rPr>
        <w:t xml:space="preserve"> </w:t>
      </w:r>
      <w:r>
        <w:rPr>
          <w:rFonts w:ascii="Times New Roman" w:hAnsi="Times New Roman"/>
          <w:sz w:val="28"/>
          <w:szCs w:val="28"/>
        </w:rPr>
        <w:t>and Pb from wastewater [Відходи чаю як дешевий адсорбент для видалення Cu та</w:t>
      </w:r>
      <w:r>
        <w:rPr>
          <w:rFonts w:ascii="Times New Roman" w:hAnsi="Times New Roman"/>
          <w:sz w:val="28"/>
          <w:szCs w:val="28"/>
          <w:lang w:val="en"/>
        </w:rPr>
        <w:t xml:space="preserve"> </w:t>
      </w:r>
      <w:r>
        <w:rPr>
          <w:rFonts w:ascii="Times New Roman" w:hAnsi="Times New Roman"/>
          <w:sz w:val="28"/>
          <w:szCs w:val="28"/>
        </w:rPr>
        <w:t xml:space="preserve">Pb із стічних вод] / B. Amarasinghe, R. A. Williams // </w:t>
      </w:r>
      <w:r>
        <w:rPr>
          <w:rFonts w:ascii="Times New Roman" w:hAnsi="Times New Roman"/>
          <w:sz w:val="28"/>
          <w:szCs w:val="28"/>
        </w:rPr>
        <w:t>Chemical Engineering Journal. – 2007. – V. 132. – No. 1. – С. 299 – 309.</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Смирнов А. К. Сорбция свинца (II) лишайниковыми полисахаридами</w:t>
      </w:r>
      <w:r>
        <w:rPr>
          <w:rFonts w:ascii="Times New Roman" w:hAnsi="Times New Roman"/>
          <w:sz w:val="28"/>
          <w:szCs w:val="28"/>
          <w:lang w:val="en"/>
        </w:rPr>
        <w:t xml:space="preserve"> </w:t>
      </w:r>
      <w:r>
        <w:rPr>
          <w:rFonts w:ascii="Times New Roman" w:hAnsi="Times New Roman"/>
          <w:sz w:val="28"/>
          <w:szCs w:val="28"/>
        </w:rPr>
        <w:t xml:space="preserve">/ А. К. Смирнов, Т. В. Смотрина, Х. М. Ярошевская // Вестник Казанского технологического университета. – 2016. – Т. 19. </w:t>
      </w:r>
      <w:r>
        <w:rPr>
          <w:rFonts w:ascii="Times New Roman" w:hAnsi="Times New Roman"/>
          <w:sz w:val="28"/>
          <w:szCs w:val="28"/>
        </w:rPr>
        <w:t>– No 14. – С. 44 – 46.</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Белопухов С. А. Новый сорбент (СЦЛ-1) для очистки воды от тяжелых металлов / С. А. Белопухов, Д. В. Козлов, Ю. А. Барыкина // Природообустройство. – 2017. – No 1. – С. 31 – 36.</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Алексеева А. А. Очистка вод от ионов тяжелых металлов би</w:t>
      </w:r>
      <w:r>
        <w:rPr>
          <w:rFonts w:ascii="Times New Roman" w:hAnsi="Times New Roman"/>
          <w:sz w:val="28"/>
          <w:szCs w:val="28"/>
          <w:lang w:val="en"/>
        </w:rPr>
        <w:t>осорбционными материалами на основе опада лиственных деревьев / А. А. Алексеева, И. Г. Шайхиев, С. В. Степанова // Известия уфимского научного центра Ран. – 2015. – No 3. – С. 19 – 30.</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Sarabjeet Singh Ahluwalia Microbial and plant derived biomass for remov</w:t>
      </w:r>
      <w:r>
        <w:rPr>
          <w:rFonts w:ascii="Times New Roman" w:hAnsi="Times New Roman"/>
          <w:sz w:val="28"/>
          <w:szCs w:val="28"/>
          <w:lang w:val="en"/>
        </w:rPr>
        <w:t>al of heavy metals of wastewater [Мікробна і рослинна біомаса для видалення важких металів стічних вод] / Singh Ahluwalia Sarabjeet, Goyal Dinesh // Bioresource Technology . – 2007. – No 98. – P. 2243 – 2257.</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Paulino A. T. Novel adsorbent based on silkworm</w:t>
      </w:r>
      <w:r>
        <w:rPr>
          <w:rFonts w:ascii="Times New Roman" w:hAnsi="Times New Roman"/>
          <w:sz w:val="28"/>
          <w:szCs w:val="28"/>
          <w:lang w:val="en"/>
        </w:rPr>
        <w:t xml:space="preserve"> chrysalides for removal of heavy metals from wastewaters [Новий сорбент, що базується на основі хризалітів шовковичного черв'яка для видалення важких металів зі стічних вод] / A. T. Paulino, F. A. Minasse, M. R. Guilherme, A.V. Reis, E. C. Muniz, J. J. No</w:t>
      </w:r>
      <w:r>
        <w:rPr>
          <w:rFonts w:ascii="Times New Roman" w:hAnsi="Times New Roman"/>
          <w:sz w:val="28"/>
          <w:szCs w:val="28"/>
          <w:lang w:val="en"/>
        </w:rPr>
        <w:t>zaki // Colloid Interface Sci. – 2006. – No 301. – Р. 479 – 487.</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Feng N. Kinetic and thermodynamic studies on biosorption of Cu (II) by chemically modified orange peel [Кінетичні та термодинамічні дослідження щодо біосорбції Cu (II) хімічно модифікованою а</w:t>
      </w:r>
      <w:r>
        <w:rPr>
          <w:rFonts w:ascii="Times New Roman" w:hAnsi="Times New Roman"/>
          <w:sz w:val="28"/>
          <w:szCs w:val="28"/>
          <w:lang w:val="en"/>
        </w:rPr>
        <w:t>пельсиновою шкіркою] / N. Feng, X. Guo, S. Liang // Transactions of Nonferrous Metals Society of China. – 2009. – V. 19. – No. 5. – P. 1365 – 1370.</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Khaydarov R. A. Water purification from metal ions using carbon</w:t>
      </w:r>
      <w:r>
        <w:rPr>
          <w:rFonts w:ascii="Times New Roman" w:hAnsi="Times New Roman"/>
          <w:sz w:val="28"/>
          <w:szCs w:val="28"/>
          <w:lang w:val="en"/>
        </w:rPr>
        <w:t xml:space="preserve"> </w:t>
      </w:r>
      <w:r>
        <w:rPr>
          <w:rFonts w:ascii="Times New Roman" w:hAnsi="Times New Roman"/>
          <w:sz w:val="28"/>
          <w:szCs w:val="28"/>
        </w:rPr>
        <w:t>nanoparticle-conjugated polymer nanocomposit</w:t>
      </w:r>
      <w:r>
        <w:rPr>
          <w:rFonts w:ascii="Times New Roman" w:hAnsi="Times New Roman"/>
          <w:sz w:val="28"/>
          <w:szCs w:val="28"/>
        </w:rPr>
        <w:t xml:space="preserve">es [Очищення води від іонів металів з використанням </w:t>
      </w:r>
      <w:r>
        <w:rPr>
          <w:rFonts w:ascii="Times New Roman" w:hAnsi="Times New Roman"/>
          <w:sz w:val="28"/>
          <w:szCs w:val="28"/>
          <w:lang w:val="en"/>
        </w:rPr>
        <w:t>н</w:t>
      </w:r>
      <w:r>
        <w:rPr>
          <w:rFonts w:ascii="Times New Roman" w:hAnsi="Times New Roman"/>
          <w:sz w:val="28"/>
          <w:szCs w:val="28"/>
        </w:rPr>
        <w:t>анокомпозитів з вуглецевих кон'югованих наночастинками полімерів] / R. A. Khaydarov, R. R. Khaydarov, O. Gapurova // Water Research.– 2010. – V. 44. – No 6. – P. 1927 – 1933.</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Симонова В. В. Адсорбция сви</w:t>
      </w:r>
      <w:r>
        <w:rPr>
          <w:rFonts w:ascii="Times New Roman" w:hAnsi="Times New Roman"/>
          <w:sz w:val="28"/>
          <w:szCs w:val="28"/>
        </w:rPr>
        <w:t>нца на буром угле, активированном</w:t>
      </w:r>
      <w:r>
        <w:rPr>
          <w:rFonts w:ascii="Times New Roman" w:hAnsi="Times New Roman"/>
          <w:sz w:val="28"/>
          <w:szCs w:val="28"/>
          <w:lang w:val="en"/>
        </w:rPr>
        <w:t xml:space="preserve"> </w:t>
      </w:r>
      <w:r>
        <w:rPr>
          <w:rFonts w:ascii="Times New Roman" w:hAnsi="Times New Roman"/>
          <w:sz w:val="28"/>
          <w:szCs w:val="28"/>
        </w:rPr>
        <w:t>гидроксидом калия / В. В. Симонова, Л. Н. Исаева, Ю. В. Тамаркина, Т. Г. Шендрик, В. А. Кучеренко // Химия твердого топлива. – 2010. – No 2. – С. 47 – 49.</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Гимаева А. Р. Сорбция ионов тяжелых металлов из воды активированным</w:t>
      </w:r>
      <w:r>
        <w:rPr>
          <w:rFonts w:ascii="Times New Roman" w:hAnsi="Times New Roman"/>
          <w:sz w:val="28"/>
          <w:szCs w:val="28"/>
        </w:rPr>
        <w:t>и углеродными адсорбентами / А. Р. Гимаева, Э. Р. Валинурова, Д. К.</w:t>
      </w:r>
      <w:r>
        <w:rPr>
          <w:rFonts w:ascii="Times New Roman" w:hAnsi="Times New Roman"/>
          <w:sz w:val="28"/>
          <w:szCs w:val="28"/>
          <w:lang w:val="en"/>
        </w:rPr>
        <w:t xml:space="preserve"> </w:t>
      </w:r>
      <w:r>
        <w:rPr>
          <w:rFonts w:ascii="Times New Roman" w:hAnsi="Times New Roman"/>
          <w:sz w:val="28"/>
          <w:szCs w:val="28"/>
        </w:rPr>
        <w:t>Игдавлетова, Ф. Х. Кудашева // Сорбционные и хроматографические процессы.</w:t>
      </w:r>
      <w:r>
        <w:rPr>
          <w:rFonts w:ascii="Times New Roman" w:hAnsi="Times New Roman"/>
          <w:sz w:val="28"/>
          <w:szCs w:val="28"/>
          <w:lang w:val="en"/>
        </w:rPr>
        <w:t xml:space="preserve"> </w:t>
      </w:r>
      <w:r>
        <w:rPr>
          <w:rFonts w:ascii="Times New Roman" w:hAnsi="Times New Roman"/>
          <w:sz w:val="28"/>
          <w:szCs w:val="28"/>
        </w:rPr>
        <w:t>– 2011. – Т. 11. – No 3. – С. 350 – 356.</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Khezami I. Removal of chromium (VI) from aqueous solution by nactivated c</w:t>
      </w:r>
      <w:r>
        <w:rPr>
          <w:rFonts w:ascii="Times New Roman" w:hAnsi="Times New Roman"/>
          <w:sz w:val="28"/>
          <w:szCs w:val="28"/>
          <w:lang w:val="en"/>
        </w:rPr>
        <w:t>arbons: kinetic and equilibrium studies [Видалення хрому (VI) з водного розчину шляхом інактивованого вуглецю: кінетичні та рівноважні дослідження] / I. Khezami, R. Capart // Hazard. Mater. – 2005. – Р. 223 – 231.</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lang w:val="en"/>
        </w:rPr>
        <w:t>Сыч Н. В. Сорбция ионов тяжелых металлов а</w:t>
      </w:r>
      <w:r>
        <w:rPr>
          <w:rFonts w:ascii="Times New Roman" w:hAnsi="Times New Roman"/>
          <w:sz w:val="28"/>
          <w:szCs w:val="28"/>
          <w:lang w:val="en"/>
        </w:rPr>
        <w:t>ктивными углями, полученными химическим активированием кизиловой косточки / Н. В. Сыч, С. И. Трофименко, В. М. Викарчук, А. М. Пузий, М. Ф. Ковтун // Хімія, фізика та технологія поверхні. – 2011. – Т. 2. – No 2. – С. 213 – 218.</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Шачнева Е. Ю. Адсорбция кадм</w:t>
      </w:r>
      <w:r>
        <w:rPr>
          <w:rFonts w:ascii="Times New Roman" w:hAnsi="Times New Roman"/>
          <w:sz w:val="28"/>
          <w:szCs w:val="28"/>
        </w:rPr>
        <w:t>ия из водных растворов на модифицированных</w:t>
      </w:r>
      <w:r>
        <w:rPr>
          <w:rFonts w:ascii="Times New Roman" w:hAnsi="Times New Roman"/>
          <w:sz w:val="28"/>
          <w:szCs w:val="28"/>
          <w:lang w:val="en"/>
        </w:rPr>
        <w:t xml:space="preserve"> </w:t>
      </w:r>
      <w:r>
        <w:rPr>
          <w:rFonts w:ascii="Times New Roman" w:hAnsi="Times New Roman"/>
          <w:sz w:val="28"/>
          <w:szCs w:val="28"/>
        </w:rPr>
        <w:t>сорбентах / Е. Ю. Шачнева, Н. М. Алыков, Д. Е. Арчибасова // Техника и технология пищевых производств. – 2012. – No 4. – С. 1 – 5.</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Рединова А. В. Извлечение ионов тяжелых металлов из водных растворов</w:t>
      </w:r>
      <w:r>
        <w:rPr>
          <w:rFonts w:ascii="Times New Roman" w:hAnsi="Times New Roman"/>
          <w:sz w:val="28"/>
          <w:szCs w:val="28"/>
          <w:lang w:val="en"/>
        </w:rPr>
        <w:t xml:space="preserve"> </w:t>
      </w:r>
      <w:r>
        <w:rPr>
          <w:rFonts w:ascii="Times New Roman" w:hAnsi="Times New Roman"/>
          <w:sz w:val="28"/>
          <w:szCs w:val="28"/>
        </w:rPr>
        <w:t>серосодержащи</w:t>
      </w:r>
      <w:r>
        <w:rPr>
          <w:rFonts w:ascii="Times New Roman" w:hAnsi="Times New Roman"/>
          <w:sz w:val="28"/>
          <w:szCs w:val="28"/>
        </w:rPr>
        <w:t>ми полимерными сорбентами / А. В. Рединова, В. А.</w:t>
      </w:r>
      <w:r>
        <w:rPr>
          <w:rFonts w:ascii="Times New Roman" w:hAnsi="Times New Roman"/>
          <w:sz w:val="28"/>
          <w:szCs w:val="28"/>
          <w:lang w:val="en"/>
        </w:rPr>
        <w:t xml:space="preserve"> </w:t>
      </w:r>
      <w:r>
        <w:rPr>
          <w:rFonts w:ascii="Times New Roman" w:hAnsi="Times New Roman"/>
          <w:sz w:val="28"/>
          <w:szCs w:val="28"/>
        </w:rPr>
        <w:t>Грабельных, Е. П. Леванова, Н. А. Корчевин // Вестник ИрГТУ. – 2013. – No1</w:t>
      </w:r>
      <w:r>
        <w:rPr>
          <w:rFonts w:ascii="Times New Roman" w:hAnsi="Times New Roman"/>
          <w:sz w:val="28"/>
          <w:szCs w:val="28"/>
          <w:lang w:val="en"/>
        </w:rPr>
        <w:t xml:space="preserve"> </w:t>
      </w:r>
      <w:r>
        <w:rPr>
          <w:rFonts w:ascii="Times New Roman" w:hAnsi="Times New Roman"/>
          <w:sz w:val="28"/>
          <w:szCs w:val="28"/>
        </w:rPr>
        <w:t>(72). – С. 113 – 116.</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Нурдиллаева Р. Н. Адсорбционный метод очистки сточных вод от</w:t>
      </w:r>
      <w:r>
        <w:rPr>
          <w:rFonts w:ascii="Times New Roman" w:hAnsi="Times New Roman"/>
          <w:sz w:val="28"/>
          <w:szCs w:val="28"/>
          <w:lang w:val="en"/>
        </w:rPr>
        <w:t xml:space="preserve"> </w:t>
      </w:r>
      <w:r>
        <w:rPr>
          <w:rFonts w:ascii="Times New Roman" w:hAnsi="Times New Roman"/>
          <w:sz w:val="28"/>
          <w:szCs w:val="28"/>
        </w:rPr>
        <w:t xml:space="preserve">нефтепродуктов и ионов тяжелых металлов / Р. Н. </w:t>
      </w:r>
      <w:r>
        <w:rPr>
          <w:rFonts w:ascii="Times New Roman" w:hAnsi="Times New Roman"/>
          <w:sz w:val="28"/>
          <w:szCs w:val="28"/>
        </w:rPr>
        <w:t>Нурдиллаева, Д. К. Юсупова,</w:t>
      </w:r>
      <w:r>
        <w:rPr>
          <w:rFonts w:ascii="Times New Roman" w:hAnsi="Times New Roman"/>
          <w:sz w:val="28"/>
          <w:szCs w:val="28"/>
          <w:lang w:val="en"/>
        </w:rPr>
        <w:t xml:space="preserve"> </w:t>
      </w:r>
      <w:r>
        <w:rPr>
          <w:rFonts w:ascii="Times New Roman" w:hAnsi="Times New Roman"/>
          <w:sz w:val="28"/>
          <w:szCs w:val="28"/>
        </w:rPr>
        <w:t>С. З. Бабажанова / Наука и мир. – 2016. – Т. 1. – No 2. – С. 99 – 102.</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Пшинко Г. Н. Извлечение ионов тяжелых металлов из водных растворов Zn/Al-слоистым двойным гидроксидом, интеркалированным [Fe(CN) 6 ] 4 - ионами / Г. Н. Пшинк</w:t>
      </w:r>
      <w:r>
        <w:rPr>
          <w:rFonts w:ascii="Times New Roman" w:hAnsi="Times New Roman"/>
          <w:sz w:val="28"/>
          <w:szCs w:val="28"/>
          <w:lang w:val="en"/>
        </w:rPr>
        <w:t>о, Л. Н. Пузырная, Б. П. Яцик, А. А. Косоруков, В. Я. Демченко // Укр. хим. журнал. – 2016. – Т. 82. – No 2. – С. 100 – 106.</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lang w:val="en"/>
        </w:rPr>
        <w:t>Рамазанов А. Ш. Сорбционное концентрирование ионов меди, цинка, кадмия и свинца из водных растворов природной глиной / А. Ш. Рамаза</w:t>
      </w:r>
      <w:r>
        <w:rPr>
          <w:rFonts w:ascii="Times New Roman" w:hAnsi="Times New Roman"/>
          <w:sz w:val="28"/>
          <w:szCs w:val="28"/>
          <w:lang w:val="en"/>
        </w:rPr>
        <w:t>нов, Г. К. Есмаил // Вестник Дагестанского государственного университета. – 2014. – No 1. – С. 179 – 183.</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Есмаил Г. К. Са-монтмориллонитовая глина и ее модификации для очистки вод и определения тяжелых металлов: дис. канд. хим. наук: 03.02.08 / Есмаил Гами</w:t>
      </w:r>
      <w:r>
        <w:rPr>
          <w:rFonts w:ascii="Times New Roman" w:hAnsi="Times New Roman"/>
          <w:sz w:val="28"/>
          <w:szCs w:val="28"/>
          <w:lang w:val="en"/>
        </w:rPr>
        <w:t>л Касим Мохаммед; Федеральное государственное бюджетное образовательное учреждение высшего образования «Дагестанский государственный университет»; научн. рук. Рамазанов А. Ш. – Махачкала, 2016. – 110 с.</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 xml:space="preserve">Гончарук В. В. Сравнительное исследование извлечения </w:t>
      </w:r>
      <w:r>
        <w:rPr>
          <w:rFonts w:ascii="Times New Roman" w:hAnsi="Times New Roman"/>
          <w:sz w:val="28"/>
          <w:szCs w:val="28"/>
          <w:lang w:val="en"/>
        </w:rPr>
        <w:t>ионов тяжелых металлов из водных растворов монтмориллонитом, модифицированным полиэтиленимином / В. В. Гончарук, Л. Н. Пузырная, Г. Н. Пшинко, А. А. Боголепов, В. Я. Демченко // Химия и технология воды. – 2011. – Т. 33. – No3. – С. 256 – 264.</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 xml:space="preserve">Шилина А. С. </w:t>
      </w:r>
      <w:r>
        <w:rPr>
          <w:rFonts w:ascii="Times New Roman" w:hAnsi="Times New Roman"/>
          <w:sz w:val="28"/>
          <w:szCs w:val="28"/>
          <w:lang w:val="en"/>
        </w:rPr>
        <w:t>Сорбционная очистка природных и промышленных вод от катионов тяжелых металлов и радионуклидов новым типом высокотемпературного алюмосиликатного адсорбента / А. С. Шилина, В. К. Милинчук // Сорбционные и хроматографические процессы. – 2010. – Т. 10. – No 2.</w:t>
      </w:r>
      <w:r>
        <w:rPr>
          <w:rFonts w:ascii="Times New Roman" w:hAnsi="Times New Roman"/>
          <w:sz w:val="28"/>
          <w:szCs w:val="28"/>
          <w:lang w:val="en"/>
        </w:rPr>
        <w:t xml:space="preserve"> – С. 237 – 245.</w:t>
      </w:r>
    </w:p>
    <w:p w:rsidR="00F1629C" w:rsidRDefault="00E671D2">
      <w:pPr>
        <w:numPr>
          <w:ilvl w:val="0"/>
          <w:numId w:val="12"/>
        </w:numPr>
        <w:spacing w:after="0" w:line="360" w:lineRule="auto"/>
        <w:jc w:val="both"/>
        <w:rPr>
          <w:rFonts w:ascii="Times New Roman" w:hAnsi="Times New Roman"/>
          <w:sz w:val="28"/>
          <w:szCs w:val="28"/>
          <w:lang w:val="en"/>
        </w:rPr>
      </w:pPr>
      <w:r>
        <w:rPr>
          <w:rFonts w:ascii="Times New Roman" w:hAnsi="Times New Roman"/>
          <w:sz w:val="28"/>
          <w:szCs w:val="28"/>
          <w:lang w:val="en"/>
        </w:rPr>
        <w:t>Белова Т. П. Адсорбция меди, никеля и кобальта натуральным цеолитом из водных растворов / Т. П. Белова, Т. И. Ратчина, Ю. С. Гавриленко // Горный информационно-аналитический бюлетень (научно-технический журнал). – 2014. – No 6. – С. 76 – 8</w:t>
      </w:r>
      <w:r>
        <w:rPr>
          <w:rFonts w:ascii="Times New Roman" w:hAnsi="Times New Roman"/>
          <w:sz w:val="28"/>
          <w:szCs w:val="28"/>
          <w:lang w:val="en"/>
        </w:rPr>
        <w:t>0.</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Tavares, D. S., Daniel-da-Silva, A. L., Lopes, C. B., Silva, N. J. O., Amaral, V. S., Rocha, J., … Trindade, T. (2013). Efficient sorbents based on magnetite coated with siliceous hybrid shells for removal of mercury ions. Journal of Materials Chemistry</w:t>
      </w:r>
      <w:r>
        <w:rPr>
          <w:rFonts w:ascii="Times New Roman" w:hAnsi="Times New Roman"/>
          <w:sz w:val="28"/>
          <w:szCs w:val="28"/>
        </w:rPr>
        <w:t xml:space="preserve"> A, 1(28), 8134. doi:10.1039/c3ta10914c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 xml:space="preserve">GIMENEZ, J., MARTINEZ, M., DEPABLO, J., ROVIRA, M., &amp; DURO, L. (2007). Arsenic sorption onto natural hematite, magnetite, and goethite. Journal of Hazardous Materials, 141(3), 575–580. </w:t>
      </w:r>
      <w:r>
        <w:rPr>
          <w:rFonts w:ascii="Times New Roman" w:hAnsi="Times New Roman"/>
          <w:sz w:val="28"/>
          <w:szCs w:val="28"/>
        </w:rPr>
        <w:t>doi:10.1016/j.jhazmat.2006.07.020</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 xml:space="preserve">Chowdhury, S. R., Yanful, E. K., &amp; Pratt, A. R. (2010). Arsenic removal from aqueous solutions by mixed magnetite–maghemite nanoparticles. Environmental Earth Sciences, 64(2), 411–423. doi:10.1007/s12665-010-0865-z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Todoro</w:t>
      </w:r>
      <w:r>
        <w:rPr>
          <w:rFonts w:ascii="Times New Roman" w:hAnsi="Times New Roman"/>
          <w:sz w:val="28"/>
          <w:szCs w:val="28"/>
        </w:rPr>
        <w:t>vić, M., Milonjić, S. K., Čomor, J. J., &amp; Gal, I. J. (1992). Adsorption of Radioactive Ions</w:t>
      </w:r>
      <w:r>
        <w:rPr>
          <w:rFonts w:ascii="Times New Roman" w:hAnsi="Times New Roman"/>
          <w:sz w:val="28"/>
          <w:szCs w:val="28"/>
          <w:lang w:val="en"/>
        </w:rPr>
        <w:t xml:space="preserve"> </w:t>
      </w:r>
      <w:r>
        <w:rPr>
          <w:rFonts w:ascii="Times New Roman" w:hAnsi="Times New Roman"/>
          <w:sz w:val="28"/>
          <w:szCs w:val="28"/>
          <w:vertAlign w:val="superscript"/>
        </w:rPr>
        <w:t>137</w:t>
      </w:r>
      <w:r>
        <w:rPr>
          <w:rFonts w:ascii="Times New Roman" w:hAnsi="Times New Roman"/>
          <w:sz w:val="28"/>
          <w:szCs w:val="28"/>
        </w:rPr>
        <w:t>Cs</w:t>
      </w:r>
      <w:r>
        <w:rPr>
          <w:rFonts w:ascii="Times New Roman" w:hAnsi="Times New Roman"/>
          <w:sz w:val="28"/>
          <w:szCs w:val="28"/>
          <w:vertAlign w:val="superscript"/>
        </w:rPr>
        <w:t>+</w:t>
      </w:r>
      <w:r>
        <w:rPr>
          <w:rFonts w:ascii="Times New Roman" w:hAnsi="Times New Roman"/>
          <w:sz w:val="28"/>
          <w:szCs w:val="28"/>
        </w:rPr>
        <w:t>,</w:t>
      </w:r>
      <w:r>
        <w:rPr>
          <w:rFonts w:ascii="Times New Roman" w:hAnsi="Times New Roman"/>
          <w:sz w:val="28"/>
          <w:szCs w:val="28"/>
          <w:lang w:val="en"/>
        </w:rPr>
        <w:t xml:space="preserve"> </w:t>
      </w:r>
      <w:r>
        <w:rPr>
          <w:rFonts w:ascii="Times New Roman" w:hAnsi="Times New Roman"/>
          <w:sz w:val="28"/>
          <w:szCs w:val="28"/>
          <w:vertAlign w:val="superscript"/>
        </w:rPr>
        <w:t>85</w:t>
      </w:r>
      <w:r>
        <w:rPr>
          <w:rFonts w:ascii="Times New Roman" w:hAnsi="Times New Roman"/>
          <w:sz w:val="28"/>
          <w:szCs w:val="28"/>
        </w:rPr>
        <w:t>Sr</w:t>
      </w:r>
      <w:r>
        <w:rPr>
          <w:rFonts w:ascii="Times New Roman" w:hAnsi="Times New Roman"/>
          <w:sz w:val="28"/>
          <w:szCs w:val="28"/>
          <w:vertAlign w:val="superscript"/>
        </w:rPr>
        <w:t>2+</w:t>
      </w:r>
      <w:r>
        <w:rPr>
          <w:rFonts w:ascii="Times New Roman" w:hAnsi="Times New Roman"/>
          <w:sz w:val="28"/>
          <w:szCs w:val="28"/>
        </w:rPr>
        <w:t>, and</w:t>
      </w:r>
      <w:r>
        <w:rPr>
          <w:rFonts w:ascii="Times New Roman" w:hAnsi="Times New Roman"/>
          <w:sz w:val="28"/>
          <w:szCs w:val="28"/>
          <w:lang w:val="en"/>
        </w:rPr>
        <w:t xml:space="preserve"> </w:t>
      </w:r>
      <w:r>
        <w:rPr>
          <w:rFonts w:ascii="Times New Roman" w:hAnsi="Times New Roman"/>
          <w:sz w:val="28"/>
          <w:szCs w:val="28"/>
          <w:vertAlign w:val="superscript"/>
        </w:rPr>
        <w:t>60</w:t>
      </w:r>
      <w:r>
        <w:rPr>
          <w:rFonts w:ascii="Times New Roman" w:hAnsi="Times New Roman"/>
          <w:sz w:val="28"/>
          <w:szCs w:val="28"/>
        </w:rPr>
        <w:t>Co</w:t>
      </w:r>
      <w:r>
        <w:rPr>
          <w:rFonts w:ascii="Times New Roman" w:hAnsi="Times New Roman"/>
          <w:sz w:val="28"/>
          <w:szCs w:val="28"/>
          <w:vertAlign w:val="superscript"/>
        </w:rPr>
        <w:t>2+</w:t>
      </w:r>
      <w:r>
        <w:rPr>
          <w:rFonts w:ascii="Times New Roman" w:hAnsi="Times New Roman"/>
          <w:sz w:val="28"/>
          <w:szCs w:val="28"/>
          <w:vertAlign w:val="superscript"/>
          <w:lang w:val="en"/>
        </w:rPr>
        <w:t xml:space="preserve"> </w:t>
      </w:r>
      <w:r>
        <w:rPr>
          <w:rFonts w:ascii="Times New Roman" w:hAnsi="Times New Roman"/>
          <w:sz w:val="28"/>
          <w:szCs w:val="28"/>
        </w:rPr>
        <w:t xml:space="preserve">on Natural Magnetite and Hematite. Separation Science and Technology, 27(5), 671–679. doi:10.1080/01496399208018910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Ahmed, M. A., Ali, S</w:t>
      </w:r>
      <w:r>
        <w:rPr>
          <w:rFonts w:ascii="Times New Roman" w:hAnsi="Times New Roman"/>
          <w:sz w:val="28"/>
          <w:szCs w:val="28"/>
        </w:rPr>
        <w:t xml:space="preserve">. M., El-Dek, S. I., &amp; Galal, A. (2013). Magnetite–hematite nanoparticles prepared by green methods for heavy metal ions removal from water. Materials Science and Engineering: B, 178(10), 744–751. doi:10.1016/j.mseb.2013.03.011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 xml:space="preserve">Shi, J., Li, H., Lu, H., &amp; </w:t>
      </w:r>
      <w:r>
        <w:rPr>
          <w:rFonts w:ascii="Times New Roman" w:hAnsi="Times New Roman"/>
          <w:sz w:val="28"/>
          <w:szCs w:val="28"/>
        </w:rPr>
        <w:t xml:space="preserve">Zhao, X. (2015). Use of Carboxyl Functional Magnetite Nanoparticles as Potential Sorbents for the Removal of Heavy Metal Ions from Aqueous Solution. Journal of Chemical &amp; Engineering Data, 60(7), 2035–2041. doi:10.1021/je5011196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 xml:space="preserve">Amjadi, M., Samadi, A., &amp; </w:t>
      </w:r>
      <w:r>
        <w:rPr>
          <w:rFonts w:ascii="Times New Roman" w:hAnsi="Times New Roman"/>
          <w:sz w:val="28"/>
          <w:szCs w:val="28"/>
        </w:rPr>
        <w:t>Manzoori, J. L. (2015). A composite prepared from halloysite nanotubes and magnetite (Fe</w:t>
      </w:r>
      <w:r>
        <w:rPr>
          <w:rFonts w:ascii="Times New Roman" w:hAnsi="Times New Roman"/>
          <w:sz w:val="28"/>
          <w:szCs w:val="28"/>
          <w:vertAlign w:val="subscript"/>
        </w:rPr>
        <w:t>3</w:t>
      </w:r>
      <w:r>
        <w:rPr>
          <w:rFonts w:ascii="Times New Roman" w:hAnsi="Times New Roman"/>
          <w:sz w:val="28"/>
          <w:szCs w:val="28"/>
        </w:rPr>
        <w:t>O</w:t>
      </w:r>
      <w:r>
        <w:rPr>
          <w:rFonts w:ascii="Times New Roman" w:hAnsi="Times New Roman"/>
          <w:sz w:val="28"/>
          <w:szCs w:val="28"/>
          <w:vertAlign w:val="subscript"/>
        </w:rPr>
        <w:t>4</w:t>
      </w:r>
      <w:r>
        <w:rPr>
          <w:rFonts w:ascii="Times New Roman" w:hAnsi="Times New Roman"/>
          <w:sz w:val="28"/>
          <w:szCs w:val="28"/>
        </w:rPr>
        <w:t>) as a new magnetic sorbent for the preconcentration of cadmium(II) prior to its determination by flame atomic absorption spectrometry. Microchimica Acta, 182(9-10),</w:t>
      </w:r>
      <w:r>
        <w:rPr>
          <w:rFonts w:ascii="Times New Roman" w:hAnsi="Times New Roman"/>
          <w:sz w:val="28"/>
          <w:szCs w:val="28"/>
        </w:rPr>
        <w:t xml:space="preserve"> 1627–1633. doi:10.1007/s00604-015-1491-y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Bagtash, M., Yamini, Y., Tahmasebi, E., Zolgharnein, J., &amp; Dalirnasab, Z. (2015). Magnetite nanoparticles coated with tannic acid as a viable sorbent for solid-phase extraction of Cd</w:t>
      </w:r>
      <w:r>
        <w:rPr>
          <w:rFonts w:ascii="Times New Roman" w:hAnsi="Times New Roman"/>
          <w:sz w:val="28"/>
          <w:szCs w:val="28"/>
          <w:vertAlign w:val="superscript"/>
        </w:rPr>
        <w:t>2+</w:t>
      </w:r>
      <w:r>
        <w:rPr>
          <w:rFonts w:ascii="Times New Roman" w:hAnsi="Times New Roman"/>
          <w:sz w:val="28"/>
          <w:szCs w:val="28"/>
        </w:rPr>
        <w:t>, Co</w:t>
      </w:r>
      <w:r>
        <w:rPr>
          <w:rFonts w:ascii="Times New Roman" w:hAnsi="Times New Roman"/>
          <w:sz w:val="28"/>
          <w:szCs w:val="28"/>
          <w:vertAlign w:val="superscript"/>
        </w:rPr>
        <w:t>2+</w:t>
      </w:r>
      <w:r>
        <w:rPr>
          <w:rFonts w:ascii="Times New Roman" w:hAnsi="Times New Roman"/>
          <w:sz w:val="28"/>
          <w:szCs w:val="28"/>
        </w:rPr>
        <w:t xml:space="preserve"> and Cr</w:t>
      </w:r>
      <w:r>
        <w:rPr>
          <w:rFonts w:ascii="Times New Roman" w:hAnsi="Times New Roman"/>
          <w:sz w:val="28"/>
          <w:szCs w:val="28"/>
          <w:vertAlign w:val="superscript"/>
        </w:rPr>
        <w:t>3+</w:t>
      </w:r>
      <w:r>
        <w:rPr>
          <w:rFonts w:ascii="Times New Roman" w:hAnsi="Times New Roman"/>
          <w:sz w:val="28"/>
          <w:szCs w:val="28"/>
        </w:rPr>
        <w:t>. Microchimica</w:t>
      </w:r>
      <w:r>
        <w:rPr>
          <w:rFonts w:ascii="Times New Roman" w:hAnsi="Times New Roman"/>
          <w:sz w:val="28"/>
          <w:szCs w:val="28"/>
        </w:rPr>
        <w:t xml:space="preserve"> Acta, 183(1), 449–456. doi:10.1007/s00604-015-1667-5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Namdeo, M., &amp; Bajpai, S. K. (2008). Chitosan–magnetite nanocomposites (CMNs) as magnetic carrier particles for removal of Fe(III) from aqueous solutions. Colloids and Surfaces A: Physicochemical and En</w:t>
      </w:r>
      <w:r>
        <w:rPr>
          <w:rFonts w:ascii="Times New Roman" w:hAnsi="Times New Roman"/>
          <w:sz w:val="28"/>
          <w:szCs w:val="28"/>
        </w:rPr>
        <w:t xml:space="preserve">gineering Aspects, 320(1-3), 161–168. doi:10.1016/j.colsurfa.2008.01.053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Behzad, S. K., Balati, A., Amini, M. M., &amp; Ghanbari, M. (2014). Triazine-modified magnetite nanoparticles as a novel sorbent for preconcentration of lead and cadmium ions. Microchimi</w:t>
      </w:r>
      <w:r>
        <w:rPr>
          <w:rFonts w:ascii="Times New Roman" w:hAnsi="Times New Roman"/>
          <w:sz w:val="28"/>
          <w:szCs w:val="28"/>
        </w:rPr>
        <w:t xml:space="preserve">ca Acta, 181(15-16), 1781–1788. doi:10.1007/s00604-014-1223-8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Linnikov, O., Rodina, I., Shevchenko, V., Medvedeva, I., Uimin, M., Schegoleva, N., … Osipov, V. (2013). Removal of Cr(VI) from aqueous solutions by magnetite nanoparticles with different sizes and crystal structure. Desalination and Water Treatment, 52(1-</w:t>
      </w:r>
      <w:r>
        <w:rPr>
          <w:rFonts w:ascii="Times New Roman" w:hAnsi="Times New Roman"/>
          <w:sz w:val="28"/>
          <w:szCs w:val="28"/>
        </w:rPr>
        <w:t xml:space="preserve">3), 324–330. doi:10.1080/19443994.2013.786654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Bagheri, H., Afkhami, A., Saber-Tehrani, M., &amp; Khoshsafar, H. (2012). Preparation and characterization of magnetic nanocomposite of Schiff base/silica/magnetite as a preconcentration phase for the trace determ</w:t>
      </w:r>
      <w:r>
        <w:rPr>
          <w:rFonts w:ascii="Times New Roman" w:hAnsi="Times New Roman"/>
          <w:sz w:val="28"/>
          <w:szCs w:val="28"/>
        </w:rPr>
        <w:t xml:space="preserve">ination of heavy metal ions in water, food and biological samples using atomic absorption spectrometry. Talanta, 97, 87–95. doi:10.1016/j.talanta.2012.03.066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Saboori, A. (2017). A nanoparticle sorbent composed of MIL-101(Fe) and dithiocarbamate-modified m</w:t>
      </w:r>
      <w:r>
        <w:rPr>
          <w:rFonts w:ascii="Times New Roman" w:hAnsi="Times New Roman"/>
          <w:sz w:val="28"/>
          <w:szCs w:val="28"/>
        </w:rPr>
        <w:t xml:space="preserve">agnetite nanoparticles for speciation of Cr(III) and Cr(VI) prior to their determination by electrothermal AAS. Microchimica Acta, 184(5), 1509–1516. doi:10.1007/s00604-017-2155-x </w:t>
      </w:r>
    </w:p>
    <w:p w:rsidR="00F1629C" w:rsidRDefault="00E671D2">
      <w:pPr>
        <w:numPr>
          <w:ilvl w:val="0"/>
          <w:numId w:val="12"/>
        </w:numPr>
        <w:spacing w:after="0" w:line="360" w:lineRule="auto"/>
        <w:jc w:val="both"/>
        <w:rPr>
          <w:rFonts w:ascii="Times New Roman" w:hAnsi="Times New Roman"/>
          <w:sz w:val="28"/>
          <w:szCs w:val="28"/>
        </w:rPr>
      </w:pPr>
      <w:r>
        <w:rPr>
          <w:rFonts w:ascii="Times New Roman" w:hAnsi="Times New Roman"/>
          <w:sz w:val="28"/>
          <w:szCs w:val="28"/>
        </w:rPr>
        <w:t xml:space="preserve">Giakisikli, G., &amp; Anthemidis, A. N. (2013). Magnetic materials as sorbents </w:t>
      </w:r>
      <w:r>
        <w:rPr>
          <w:rFonts w:ascii="Times New Roman" w:hAnsi="Times New Roman"/>
          <w:sz w:val="28"/>
          <w:szCs w:val="28"/>
        </w:rPr>
        <w:t xml:space="preserve">for metal/metalloid preconcentration and/or separation. A review. Analytica Chimica Acta, 789, 1–16. doi:10.1016/j.aca.2013.04.021 </w:t>
      </w:r>
    </w:p>
    <w:p w:rsidR="00F1629C" w:rsidRDefault="00E671D2">
      <w:pPr>
        <w:numPr>
          <w:ilvl w:val="0"/>
          <w:numId w:val="12"/>
        </w:numPr>
        <w:spacing w:after="0" w:line="360" w:lineRule="auto"/>
        <w:jc w:val="both"/>
        <w:rPr>
          <w:rFonts w:ascii="Times New Roman" w:hAnsi="Times New Roman" w:cs="Times New Roman"/>
          <w:color w:val="1A1A1A" w:themeColor="background1" w:themeShade="1A"/>
          <w:sz w:val="28"/>
          <w:szCs w:val="28"/>
        </w:rPr>
      </w:pPr>
      <w:r>
        <w:rPr>
          <w:rFonts w:ascii="Times New Roman" w:hAnsi="Times New Roman"/>
          <w:sz w:val="28"/>
          <w:szCs w:val="28"/>
        </w:rPr>
        <w:t>Ю.В. Новиков Методы исследования качества воды / Ю.В. Новиков, К.О. Ласточкина, З.Н. Болдина : Под.ред А.П. Шицковой – М.: –</w:t>
      </w:r>
      <w:r>
        <w:rPr>
          <w:rFonts w:ascii="Times New Roman" w:hAnsi="Times New Roman"/>
          <w:sz w:val="28"/>
          <w:szCs w:val="28"/>
        </w:rPr>
        <w:t xml:space="preserve"> Медицина, 1990. – 339с.</w:t>
      </w:r>
    </w:p>
    <w:p w:rsidR="00F1629C" w:rsidRDefault="00E671D2">
      <w:pPr>
        <w:numPr>
          <w:ilvl w:val="0"/>
          <w:numId w:val="12"/>
        </w:numPr>
        <w:spacing w:after="0" w:line="360" w:lineRule="auto"/>
        <w:jc w:val="both"/>
        <w:rPr>
          <w:rFonts w:ascii="Times New Roman" w:hAnsi="Times New Roman" w:cs="Times New Roman"/>
          <w:color w:val="1A1A1A" w:themeColor="background1" w:themeShade="1A"/>
          <w:sz w:val="28"/>
          <w:szCs w:val="28"/>
        </w:rPr>
      </w:pPr>
      <w:r>
        <w:rPr>
          <w:rFonts w:ascii="Times New Roman" w:hAnsi="Times New Roman" w:cs="Times New Roman"/>
          <w:color w:val="1A1A1A" w:themeColor="background1" w:themeShade="1A"/>
          <w:sz w:val="28"/>
          <w:szCs w:val="28"/>
        </w:rPr>
        <w:t>Суровцев И. В. Определение тяжелых металлов в водных экосистемах методом инверсионной хронопотенциометрии / И. В. Суровцев, В. М. Галимова, В. М. Манк, В. А. Копилевич // Химия и технология воды. – 2009. – Т.31, № 6. – С. 677 – 687</w:t>
      </w:r>
      <w:r>
        <w:rPr>
          <w:rFonts w:ascii="Times New Roman" w:hAnsi="Times New Roman" w:cs="Times New Roman"/>
          <w:color w:val="1A1A1A" w:themeColor="background1" w:themeShade="1A"/>
          <w:sz w:val="28"/>
          <w:szCs w:val="28"/>
        </w:rPr>
        <w:t>.</w:t>
      </w:r>
    </w:p>
    <w:p w:rsidR="00F1629C" w:rsidRDefault="00F1629C">
      <w:pPr>
        <w:spacing w:after="0" w:line="360" w:lineRule="auto"/>
        <w:jc w:val="both"/>
        <w:rPr>
          <w:rFonts w:ascii="Times New Roman" w:hAnsi="Times New Roman"/>
          <w:sz w:val="28"/>
          <w:szCs w:val="28"/>
        </w:rPr>
      </w:pPr>
    </w:p>
    <w:p w:rsidR="00F1629C" w:rsidRDefault="00E671D2">
      <w:r>
        <w:br w:type="page"/>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sz w:val="28"/>
          <w:szCs w:val="28"/>
          <w:lang w:val="ru"/>
        </w:rPr>
        <w:t>Додаток А</w:t>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16320" cy="8684260"/>
            <wp:effectExtent l="0" t="0" r="17780" b="2540"/>
            <wp:docPr id="118" name="Picture 118" descr="Screenshot_20191209_011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118" descr="Screenshot_20191209_011739"/>
                    <pic:cNvPicPr>
                      <a:picLocks noChangeAspect="1"/>
                    </pic:cNvPicPr>
                  </pic:nvPicPr>
                  <pic:blipFill>
                    <a:blip r:embed="rId50"/>
                    <a:stretch>
                      <a:fillRect/>
                    </a:stretch>
                  </pic:blipFill>
                  <pic:spPr>
                    <a:xfrm>
                      <a:off x="0" y="0"/>
                      <a:ext cx="6116320" cy="868426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299200" cy="8975725"/>
            <wp:effectExtent l="0" t="0" r="6350" b="15875"/>
            <wp:docPr id="120" name="Picture 120" descr="Screenshot_20191209_011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20" descr="Screenshot_20191209_011906"/>
                    <pic:cNvPicPr>
                      <a:picLocks noChangeAspect="1"/>
                    </pic:cNvPicPr>
                  </pic:nvPicPr>
                  <pic:blipFill>
                    <a:blip r:embed="rId51"/>
                    <a:stretch>
                      <a:fillRect/>
                    </a:stretch>
                  </pic:blipFill>
                  <pic:spPr>
                    <a:xfrm>
                      <a:off x="0" y="0"/>
                      <a:ext cx="6299200" cy="8975725"/>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5755005" cy="9171940"/>
            <wp:effectExtent l="0" t="0" r="17145" b="10160"/>
            <wp:docPr id="122" name="Picture 122" descr="Screenshot_20191209_01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Picture 122" descr="Screenshot_20191209_012005"/>
                    <pic:cNvPicPr>
                      <a:picLocks noChangeAspect="1"/>
                    </pic:cNvPicPr>
                  </pic:nvPicPr>
                  <pic:blipFill>
                    <a:blip r:embed="rId52"/>
                    <a:stretch>
                      <a:fillRect/>
                    </a:stretch>
                  </pic:blipFill>
                  <pic:spPr>
                    <a:xfrm>
                      <a:off x="0" y="0"/>
                      <a:ext cx="5755005" cy="917194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5732145" cy="9239250"/>
            <wp:effectExtent l="0" t="0" r="1905" b="0"/>
            <wp:docPr id="125" name="Picture 125" descr="Screenshot_20191209_012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Picture 125" descr="Screenshot_20191209_012035"/>
                    <pic:cNvPicPr>
                      <a:picLocks noChangeAspect="1"/>
                    </pic:cNvPicPr>
                  </pic:nvPicPr>
                  <pic:blipFill>
                    <a:blip r:embed="rId53"/>
                    <a:stretch>
                      <a:fillRect/>
                    </a:stretch>
                  </pic:blipFill>
                  <pic:spPr>
                    <a:xfrm>
                      <a:off x="0" y="0"/>
                      <a:ext cx="5732145" cy="923925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sz w:val="28"/>
          <w:szCs w:val="28"/>
          <w:lang w:val="ru"/>
        </w:rPr>
        <w:t>Додаток Б</w:t>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15050" cy="8649970"/>
            <wp:effectExtent l="0" t="0" r="0" b="17780"/>
            <wp:docPr id="126" name="Picture 126" descr="Sca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descr="Scan2"/>
                    <pic:cNvPicPr>
                      <a:picLocks noChangeAspect="1"/>
                    </pic:cNvPicPr>
                  </pic:nvPicPr>
                  <pic:blipFill>
                    <a:blip r:embed="rId54"/>
                    <a:stretch>
                      <a:fillRect/>
                    </a:stretch>
                  </pic:blipFill>
                  <pic:spPr>
                    <a:xfrm>
                      <a:off x="0" y="0"/>
                      <a:ext cx="6115050" cy="864997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15050" cy="8649970"/>
            <wp:effectExtent l="0" t="0" r="0" b="17780"/>
            <wp:docPr id="127" name="Picture 127" descr="Scan2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7" descr="Scan20001"/>
                    <pic:cNvPicPr>
                      <a:picLocks noChangeAspect="1"/>
                    </pic:cNvPicPr>
                  </pic:nvPicPr>
                  <pic:blipFill>
                    <a:blip r:embed="rId55"/>
                    <a:stretch>
                      <a:fillRect/>
                    </a:stretch>
                  </pic:blipFill>
                  <pic:spPr>
                    <a:xfrm>
                      <a:off x="0" y="0"/>
                      <a:ext cx="6115050" cy="864997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15050" cy="8649970"/>
            <wp:effectExtent l="0" t="0" r="0" b="17780"/>
            <wp:docPr id="128" name="Picture 128" descr="Scan2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Picture 128" descr="Scan20002"/>
                    <pic:cNvPicPr>
                      <a:picLocks noChangeAspect="1"/>
                    </pic:cNvPicPr>
                  </pic:nvPicPr>
                  <pic:blipFill>
                    <a:blip r:embed="rId56"/>
                    <a:stretch>
                      <a:fillRect/>
                    </a:stretch>
                  </pic:blipFill>
                  <pic:spPr>
                    <a:xfrm>
                      <a:off x="0" y="0"/>
                      <a:ext cx="6115050" cy="864997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15050" cy="8649970"/>
            <wp:effectExtent l="0" t="0" r="0" b="17780"/>
            <wp:docPr id="129" name="Picture 129" descr="Scan2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icture 129" descr="Scan20003"/>
                    <pic:cNvPicPr>
                      <a:picLocks noChangeAspect="1"/>
                    </pic:cNvPicPr>
                  </pic:nvPicPr>
                  <pic:blipFill>
                    <a:blip r:embed="rId57"/>
                    <a:stretch>
                      <a:fillRect/>
                    </a:stretch>
                  </pic:blipFill>
                  <pic:spPr>
                    <a:xfrm>
                      <a:off x="0" y="0"/>
                      <a:ext cx="6115050" cy="8649970"/>
                    </a:xfrm>
                    <a:prstGeom prst="rect">
                      <a:avLst/>
                    </a:prstGeom>
                  </pic:spPr>
                </pic:pic>
              </a:graphicData>
            </a:graphic>
          </wp:inline>
        </w:drawing>
      </w:r>
    </w:p>
    <w:p w:rsidR="00F1629C" w:rsidRDefault="00F1629C">
      <w:pPr>
        <w:jc w:val="center"/>
        <w:rPr>
          <w:rFonts w:ascii="Times New Roman" w:hAnsi="Times New Roman" w:cs="Times New Roman"/>
          <w:b/>
          <w:bCs/>
          <w:sz w:val="28"/>
          <w:szCs w:val="28"/>
          <w:lang w:val="ru"/>
        </w:rPr>
      </w:pP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sz w:val="28"/>
          <w:szCs w:val="28"/>
          <w:lang w:val="ru"/>
        </w:rPr>
        <w:t>Додаток В</w:t>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61405" cy="8771890"/>
            <wp:effectExtent l="0" t="0" r="10795" b="10160"/>
            <wp:docPr id="130" name="Picture 130" descr="Screenshot_20191209_012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icture 130" descr="Screenshot_20191209_012342"/>
                    <pic:cNvPicPr>
                      <a:picLocks noChangeAspect="1"/>
                    </pic:cNvPicPr>
                  </pic:nvPicPr>
                  <pic:blipFill>
                    <a:blip r:embed="rId58"/>
                    <a:stretch>
                      <a:fillRect/>
                    </a:stretch>
                  </pic:blipFill>
                  <pic:spPr>
                    <a:xfrm>
                      <a:off x="0" y="0"/>
                      <a:ext cx="6161405" cy="877189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228080" cy="9095740"/>
            <wp:effectExtent l="0" t="0" r="1270" b="10160"/>
            <wp:docPr id="131" name="Picture 131" descr="Screenshot_20191209_012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Picture 131" descr="Screenshot_20191209_012422"/>
                    <pic:cNvPicPr>
                      <a:picLocks noChangeAspect="1"/>
                    </pic:cNvPicPr>
                  </pic:nvPicPr>
                  <pic:blipFill>
                    <a:blip r:embed="rId59"/>
                    <a:stretch>
                      <a:fillRect/>
                    </a:stretch>
                  </pic:blipFill>
                  <pic:spPr>
                    <a:xfrm>
                      <a:off x="0" y="0"/>
                      <a:ext cx="6228080" cy="909574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068060" cy="9073515"/>
            <wp:effectExtent l="0" t="0" r="8890" b="13335"/>
            <wp:docPr id="132" name="Picture 132" descr="Screenshot_20191209_012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Picture 132" descr="Screenshot_20191209_012509"/>
                    <pic:cNvPicPr>
                      <a:picLocks noChangeAspect="1"/>
                    </pic:cNvPicPr>
                  </pic:nvPicPr>
                  <pic:blipFill>
                    <a:blip r:embed="rId60"/>
                    <a:stretch>
                      <a:fillRect/>
                    </a:stretch>
                  </pic:blipFill>
                  <pic:spPr>
                    <a:xfrm>
                      <a:off x="0" y="0"/>
                      <a:ext cx="6068060" cy="9073515"/>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252210" cy="9048750"/>
            <wp:effectExtent l="0" t="0" r="15240" b="0"/>
            <wp:docPr id="133" name="Picture 133" descr="Screenshot_20191209_012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Picture 133" descr="Screenshot_20191209_012539"/>
                    <pic:cNvPicPr>
                      <a:picLocks noChangeAspect="1"/>
                    </pic:cNvPicPr>
                  </pic:nvPicPr>
                  <pic:blipFill>
                    <a:blip r:embed="rId61"/>
                    <a:stretch>
                      <a:fillRect/>
                    </a:stretch>
                  </pic:blipFill>
                  <pic:spPr>
                    <a:xfrm>
                      <a:off x="0" y="0"/>
                      <a:ext cx="6252210" cy="9048750"/>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sz w:val="28"/>
          <w:szCs w:val="28"/>
          <w:lang w:val="ru"/>
        </w:rPr>
        <w:t>Додаток Г</w:t>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102985" cy="8696325"/>
            <wp:effectExtent l="0" t="0" r="12065" b="9525"/>
            <wp:docPr id="134" name="Picture 134" descr="12-9-2019 1-33 Office L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Picture 134" descr="12-9-2019 1-33 Office Lens"/>
                    <pic:cNvPicPr>
                      <a:picLocks noChangeAspect="1"/>
                    </pic:cNvPicPr>
                  </pic:nvPicPr>
                  <pic:blipFill>
                    <a:blip r:embed="rId62"/>
                    <a:stretch>
                      <a:fillRect/>
                    </a:stretch>
                  </pic:blipFill>
                  <pic:spPr>
                    <a:xfrm>
                      <a:off x="0" y="0"/>
                      <a:ext cx="6102985" cy="8696325"/>
                    </a:xfrm>
                    <a:prstGeom prst="rect">
                      <a:avLst/>
                    </a:prstGeom>
                  </pic:spPr>
                </pic:pic>
              </a:graphicData>
            </a:graphic>
          </wp:inline>
        </w:drawing>
      </w:r>
    </w:p>
    <w:p w:rsidR="00F1629C" w:rsidRDefault="00E671D2">
      <w:pPr>
        <w:jc w:val="center"/>
        <w:rPr>
          <w:rFonts w:ascii="Times New Roman" w:hAnsi="Times New Roman" w:cs="Times New Roman"/>
          <w:b/>
          <w:bCs/>
          <w:sz w:val="28"/>
          <w:szCs w:val="28"/>
          <w:lang w:val="ru"/>
        </w:rPr>
      </w:pPr>
      <w:r>
        <w:rPr>
          <w:rFonts w:ascii="Times New Roman" w:hAnsi="Times New Roman" w:cs="Times New Roman"/>
          <w:b/>
          <w:bCs/>
          <w:noProof/>
          <w:sz w:val="28"/>
          <w:szCs w:val="28"/>
          <w:lang w:val="ru-RU" w:eastAsia="ru-RU"/>
        </w:rPr>
        <w:drawing>
          <wp:inline distT="0" distB="0" distL="114300" distR="114300">
            <wp:extent cx="6051550" cy="9122410"/>
            <wp:effectExtent l="0" t="0" r="6350" b="2540"/>
            <wp:docPr id="135" name="Picture 135" descr="12-9-2019 1-31 Office Le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Picture 135" descr="12-9-2019 1-31 Office Lens"/>
                    <pic:cNvPicPr>
                      <a:picLocks noChangeAspect="1"/>
                    </pic:cNvPicPr>
                  </pic:nvPicPr>
                  <pic:blipFill>
                    <a:blip r:embed="rId63"/>
                    <a:stretch>
                      <a:fillRect/>
                    </a:stretch>
                  </pic:blipFill>
                  <pic:spPr>
                    <a:xfrm>
                      <a:off x="0" y="0"/>
                      <a:ext cx="6051550" cy="9122410"/>
                    </a:xfrm>
                    <a:prstGeom prst="rect">
                      <a:avLst/>
                    </a:prstGeom>
                  </pic:spPr>
                </pic:pic>
              </a:graphicData>
            </a:graphic>
          </wp:inline>
        </w:drawing>
      </w:r>
    </w:p>
    <w:sectPr w:rsidR="00F1629C">
      <w:footerReference w:type="default" r:id="rId64"/>
      <w:pgSz w:w="11906" w:h="16838"/>
      <w:pgMar w:top="1134"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1D2" w:rsidRDefault="00E671D2">
      <w:pPr>
        <w:spacing w:after="0" w:line="240" w:lineRule="auto"/>
      </w:pPr>
      <w:r>
        <w:separator/>
      </w:r>
    </w:p>
  </w:endnote>
  <w:endnote w:type="continuationSeparator" w:id="0">
    <w:p w:rsidR="00E671D2" w:rsidRDefault="00E671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Tahoma">
    <w:altName w:val="Open Sans"/>
    <w:panose1 w:val="020B0604030504040204"/>
    <w:charset w:val="CC"/>
    <w:family w:val="swiss"/>
    <w:pitch w:val="variable"/>
    <w:sig w:usb0="E1002EFF" w:usb1="C000605B" w:usb2="00000029" w:usb3="00000000" w:csb0="000101FF" w:csb1="00000000"/>
  </w:font>
  <w:font w:name="Franklin Gothic Medium">
    <w:altName w:val="Liberation Sans"/>
    <w:panose1 w:val="020B0603020102020204"/>
    <w:charset w:val="CC"/>
    <w:family w:val="swiss"/>
    <w:pitch w:val="variable"/>
    <w:sig w:usb0="00000287" w:usb1="00000000" w:usb2="00000000" w:usb3="00000000" w:csb0="0000009F" w:csb1="00000000"/>
  </w:font>
  <w:font w:name="Bookman Old Style">
    <w:altName w:val="Bitstream Vera Serif"/>
    <w:panose1 w:val="02050604050505020204"/>
    <w:charset w:val="CC"/>
    <w:family w:val="roman"/>
    <w:pitch w:val="variable"/>
    <w:sig w:usb0="00000287" w:usb1="00000000" w:usb2="00000000" w:usb3="00000000" w:csb0="0000009F" w:csb1="00000000"/>
  </w:font>
  <w:font w:name="等?">
    <w:altName w:val="Sans Serif"/>
    <w:charset w:val="80"/>
    <w:family w:val="roman"/>
    <w:pitch w:val="default"/>
    <w:sig w:usb0="00000000" w:usb1="0000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5646246"/>
    </w:sdtPr>
    <w:sdtEndPr/>
    <w:sdtContent>
      <w:p w:rsidR="00F1629C" w:rsidRDefault="00E671D2">
        <w:pPr>
          <w:pStyle w:val="a7"/>
          <w:jc w:val="right"/>
        </w:pPr>
        <w:r>
          <w:fldChar w:fldCharType="begin"/>
        </w:r>
        <w:r>
          <w:instrText>PAGE   \* MERGEFORMAT</w:instrText>
        </w:r>
        <w:r>
          <w:fldChar w:fldCharType="separate"/>
        </w:r>
        <w:r w:rsidR="00486865">
          <w:rPr>
            <w:noProof/>
          </w:rPr>
          <w:t>2</w:t>
        </w:r>
        <w:r>
          <w:fldChar w:fldCharType="end"/>
        </w:r>
      </w:p>
    </w:sdtContent>
  </w:sdt>
  <w:p w:rsidR="00F1629C" w:rsidRDefault="00F1629C">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1D2" w:rsidRDefault="00E671D2">
      <w:pPr>
        <w:spacing w:after="0" w:line="240" w:lineRule="auto"/>
      </w:pPr>
      <w:r>
        <w:separator/>
      </w:r>
    </w:p>
  </w:footnote>
  <w:footnote w:type="continuationSeparator" w:id="0">
    <w:p w:rsidR="00E671D2" w:rsidRDefault="00E671D2">
      <w:pPr>
        <w:spacing w:after="0" w:line="240" w:lineRule="auto"/>
      </w:pPr>
      <w:r>
        <w:continuationSeparator/>
      </w:r>
    </w:p>
  </w:footnote>
  <w:footnote w:id="1">
    <w:p w:rsidR="00F1629C" w:rsidRDefault="00E671D2">
      <w:pPr>
        <w:pStyle w:val="a9"/>
        <w:rPr>
          <w:color w:val="FF0000"/>
        </w:rPr>
      </w:pPr>
      <w:r>
        <w:rPr>
          <w:rStyle w:val="af1"/>
          <w:sz w:val="22"/>
          <w:szCs w:val="22"/>
        </w:rPr>
        <w:sym w:font="Symbol" w:char="F02A"/>
      </w:r>
      <w:r>
        <w:rPr>
          <w:sz w:val="22"/>
          <w:szCs w:val="22"/>
        </w:rPr>
        <w:t xml:space="preserve"> </w:t>
      </w:r>
      <w:r>
        <w:rPr>
          <w:color w:val="FF0000"/>
          <w:sz w:val="22"/>
          <w:szCs w:val="22"/>
        </w:rPr>
        <w:t>Якщо визначені консультанти.</w:t>
      </w:r>
      <w:r>
        <w:rPr>
          <w:color w:val="FF0000"/>
        </w:rPr>
        <w:t xml:space="preserve"> Консультантом не може бути зазначено наукового керівника магістерської дисертації.</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EEE8E33"/>
    <w:multiLevelType w:val="singleLevel"/>
    <w:tmpl w:val="AEEE8E33"/>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B3E67524"/>
    <w:multiLevelType w:val="singleLevel"/>
    <w:tmpl w:val="B3E67524"/>
    <w:lvl w:ilvl="0">
      <w:start w:val="1"/>
      <w:numFmt w:val="decimal"/>
      <w:suff w:val="space"/>
      <w:lvlText w:val="%1)"/>
      <w:lvlJc w:val="left"/>
    </w:lvl>
  </w:abstractNum>
  <w:abstractNum w:abstractNumId="2" w15:restartNumberingAfterBreak="0">
    <w:nsid w:val="DFFE8C5C"/>
    <w:multiLevelType w:val="singleLevel"/>
    <w:tmpl w:val="DFFE8C5C"/>
    <w:lvl w:ilvl="0">
      <w:start w:val="1"/>
      <w:numFmt w:val="decimal"/>
      <w:suff w:val="space"/>
      <w:lvlText w:val="%1."/>
      <w:lvlJc w:val="left"/>
    </w:lvl>
  </w:abstractNum>
  <w:abstractNum w:abstractNumId="3" w15:restartNumberingAfterBreak="0">
    <w:nsid w:val="FB1A586C"/>
    <w:multiLevelType w:val="singleLevel"/>
    <w:tmpl w:val="FB1A586C"/>
    <w:lvl w:ilvl="0">
      <w:start w:val="1"/>
      <w:numFmt w:val="bullet"/>
      <w:lvlText w:val=""/>
      <w:lvlJc w:val="left"/>
      <w:pPr>
        <w:tabs>
          <w:tab w:val="left" w:pos="420"/>
        </w:tabs>
        <w:ind w:left="420" w:hanging="420"/>
      </w:pPr>
      <w:rPr>
        <w:rFonts w:ascii="Wingdings" w:hAnsi="Wingdings" w:hint="default"/>
      </w:rPr>
    </w:lvl>
  </w:abstractNum>
  <w:abstractNum w:abstractNumId="4" w15:restartNumberingAfterBreak="0">
    <w:nsid w:val="FFFF9AE0"/>
    <w:multiLevelType w:val="singleLevel"/>
    <w:tmpl w:val="FFFF9AE0"/>
    <w:lvl w:ilvl="0">
      <w:start w:val="1"/>
      <w:numFmt w:val="bullet"/>
      <w:lvlText w:val=""/>
      <w:lvlJc w:val="left"/>
      <w:pPr>
        <w:tabs>
          <w:tab w:val="left" w:pos="420"/>
        </w:tabs>
        <w:ind w:left="420" w:hanging="420"/>
      </w:pPr>
      <w:rPr>
        <w:rFonts w:ascii="Wingdings" w:hAnsi="Wingdings" w:hint="default"/>
      </w:rPr>
    </w:lvl>
  </w:abstractNum>
  <w:abstractNum w:abstractNumId="5" w15:restartNumberingAfterBreak="0">
    <w:nsid w:val="169215FF"/>
    <w:multiLevelType w:val="multilevel"/>
    <w:tmpl w:val="169215FF"/>
    <w:lvl w:ilvl="0">
      <w:numFmt w:val="bullet"/>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6" w15:restartNumberingAfterBreak="0">
    <w:nsid w:val="1D1A126F"/>
    <w:multiLevelType w:val="multilevel"/>
    <w:tmpl w:val="1D1A126F"/>
    <w:lvl w:ilvl="0">
      <w:start w:val="1"/>
      <w:numFmt w:val="decimal"/>
      <w:lvlText w:val="%1)"/>
      <w:lvlJc w:val="left"/>
      <w:pPr>
        <w:ind w:left="1069" w:hanging="360"/>
      </w:pPr>
      <w:rPr>
        <w:rFonts w:cs="Times New Roman" w:hint="default"/>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7" w15:restartNumberingAfterBreak="0">
    <w:nsid w:val="3EC67E92"/>
    <w:multiLevelType w:val="multilevel"/>
    <w:tmpl w:val="3EC67E9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BFDD484"/>
    <w:multiLevelType w:val="singleLevel"/>
    <w:tmpl w:val="5BFDD484"/>
    <w:lvl w:ilvl="0">
      <w:start w:val="1"/>
      <w:numFmt w:val="decimal"/>
      <w:lvlText w:val="%1."/>
      <w:lvlJc w:val="left"/>
      <w:pPr>
        <w:tabs>
          <w:tab w:val="left" w:pos="425"/>
        </w:tabs>
        <w:ind w:left="425" w:hanging="425"/>
      </w:pPr>
      <w:rPr>
        <w:rFonts w:hint="default"/>
      </w:rPr>
    </w:lvl>
  </w:abstractNum>
  <w:abstractNum w:abstractNumId="9" w15:restartNumberingAfterBreak="0">
    <w:nsid w:val="6C20694A"/>
    <w:multiLevelType w:val="multilevel"/>
    <w:tmpl w:val="6C20694A"/>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A6133BD"/>
    <w:multiLevelType w:val="multilevel"/>
    <w:tmpl w:val="7A6133BD"/>
    <w:lvl w:ilvl="0">
      <w:numFmt w:val="bullet"/>
      <w:lvlText w:val="-"/>
      <w:lvlJc w:val="left"/>
      <w:pPr>
        <w:ind w:left="720" w:hanging="360"/>
      </w:pPr>
      <w:rPr>
        <w:rFonts w:ascii="Calibri" w:eastAsia="Calibri" w:hAnsi="Calibri" w:cs="Calibri"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7A7F8999"/>
    <w:multiLevelType w:val="singleLevel"/>
    <w:tmpl w:val="7A7F8999"/>
    <w:lvl w:ilvl="0">
      <w:start w:val="1"/>
      <w:numFmt w:val="decimal"/>
      <w:lvlText w:val="%1)"/>
      <w:lvlJc w:val="left"/>
      <w:pPr>
        <w:tabs>
          <w:tab w:val="left" w:pos="425"/>
        </w:tabs>
        <w:ind w:left="425" w:hanging="425"/>
      </w:pPr>
      <w:rPr>
        <w:rFonts w:cs="Times New Roman" w:hint="default"/>
      </w:rPr>
    </w:lvl>
  </w:abstractNum>
  <w:num w:numId="1">
    <w:abstractNumId w:val="4"/>
  </w:num>
  <w:num w:numId="2">
    <w:abstractNumId w:val="0"/>
  </w:num>
  <w:num w:numId="3">
    <w:abstractNumId w:val="8"/>
  </w:num>
  <w:num w:numId="4">
    <w:abstractNumId w:val="6"/>
  </w:num>
  <w:num w:numId="5">
    <w:abstractNumId w:val="11"/>
  </w:num>
  <w:num w:numId="6">
    <w:abstractNumId w:val="10"/>
  </w:num>
  <w:num w:numId="7">
    <w:abstractNumId w:val="3"/>
  </w:num>
  <w:num w:numId="8">
    <w:abstractNumId w:val="5"/>
  </w:num>
  <w:num w:numId="9">
    <w:abstractNumId w:val="7"/>
  </w:num>
  <w:num w:numId="10">
    <w:abstractNumId w:val="1"/>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605"/>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AEF9623C"/>
    <w:rsid w:val="F2BF8C7D"/>
    <w:rsid w:val="F7ED9541"/>
    <w:rsid w:val="FA55ADD7"/>
    <w:rsid w:val="FF970F20"/>
    <w:rsid w:val="FFFF1411"/>
    <w:rsid w:val="FFFF634B"/>
    <w:rsid w:val="000104E8"/>
    <w:rsid w:val="00020E0C"/>
    <w:rsid w:val="00030F95"/>
    <w:rsid w:val="00044475"/>
    <w:rsid w:val="0004630C"/>
    <w:rsid w:val="00046477"/>
    <w:rsid w:val="00053A4F"/>
    <w:rsid w:val="00061461"/>
    <w:rsid w:val="00085463"/>
    <w:rsid w:val="000944F8"/>
    <w:rsid w:val="000A14A9"/>
    <w:rsid w:val="000B129D"/>
    <w:rsid w:val="000B2F16"/>
    <w:rsid w:val="000C13A9"/>
    <w:rsid w:val="000C210F"/>
    <w:rsid w:val="000C59E7"/>
    <w:rsid w:val="000D1DEC"/>
    <w:rsid w:val="000E790F"/>
    <w:rsid w:val="000F23FF"/>
    <w:rsid w:val="000F29B9"/>
    <w:rsid w:val="000F4512"/>
    <w:rsid w:val="000F59E6"/>
    <w:rsid w:val="000F70C0"/>
    <w:rsid w:val="00106238"/>
    <w:rsid w:val="00111F3B"/>
    <w:rsid w:val="00111F7E"/>
    <w:rsid w:val="00126D86"/>
    <w:rsid w:val="00133D69"/>
    <w:rsid w:val="0013525B"/>
    <w:rsid w:val="00142BC3"/>
    <w:rsid w:val="00154AA9"/>
    <w:rsid w:val="0016316E"/>
    <w:rsid w:val="0017049A"/>
    <w:rsid w:val="00172A27"/>
    <w:rsid w:val="001832B1"/>
    <w:rsid w:val="00195C21"/>
    <w:rsid w:val="001A407B"/>
    <w:rsid w:val="001A6043"/>
    <w:rsid w:val="001B134B"/>
    <w:rsid w:val="001B2221"/>
    <w:rsid w:val="001B7059"/>
    <w:rsid w:val="001C7BB3"/>
    <w:rsid w:val="001D31D9"/>
    <w:rsid w:val="001F0F9E"/>
    <w:rsid w:val="00212F8C"/>
    <w:rsid w:val="002206B2"/>
    <w:rsid w:val="00240AC9"/>
    <w:rsid w:val="00241FDD"/>
    <w:rsid w:val="00250A65"/>
    <w:rsid w:val="00261D0D"/>
    <w:rsid w:val="00265F8D"/>
    <w:rsid w:val="00271859"/>
    <w:rsid w:val="00283757"/>
    <w:rsid w:val="00287840"/>
    <w:rsid w:val="00290E5C"/>
    <w:rsid w:val="00292169"/>
    <w:rsid w:val="0029387C"/>
    <w:rsid w:val="002B32CC"/>
    <w:rsid w:val="002C2C1B"/>
    <w:rsid w:val="002C60D4"/>
    <w:rsid w:val="002D0438"/>
    <w:rsid w:val="002E2B9C"/>
    <w:rsid w:val="002E75B3"/>
    <w:rsid w:val="002F3D6F"/>
    <w:rsid w:val="002F5C3A"/>
    <w:rsid w:val="0030710F"/>
    <w:rsid w:val="0031150B"/>
    <w:rsid w:val="003117EA"/>
    <w:rsid w:val="0032044C"/>
    <w:rsid w:val="0032360F"/>
    <w:rsid w:val="003250DE"/>
    <w:rsid w:val="00350B0B"/>
    <w:rsid w:val="00356C58"/>
    <w:rsid w:val="00371D99"/>
    <w:rsid w:val="00373B36"/>
    <w:rsid w:val="003A4F7A"/>
    <w:rsid w:val="003A565B"/>
    <w:rsid w:val="003B2B56"/>
    <w:rsid w:val="003B7478"/>
    <w:rsid w:val="003C35AE"/>
    <w:rsid w:val="003C4F61"/>
    <w:rsid w:val="003C7DF5"/>
    <w:rsid w:val="003D28F0"/>
    <w:rsid w:val="003D496F"/>
    <w:rsid w:val="003D673E"/>
    <w:rsid w:val="003E0FAC"/>
    <w:rsid w:val="003F11D2"/>
    <w:rsid w:val="003F45D3"/>
    <w:rsid w:val="003F5738"/>
    <w:rsid w:val="00412A06"/>
    <w:rsid w:val="0042768C"/>
    <w:rsid w:val="00432074"/>
    <w:rsid w:val="00432749"/>
    <w:rsid w:val="004421E9"/>
    <w:rsid w:val="00445193"/>
    <w:rsid w:val="0044647F"/>
    <w:rsid w:val="00450F7B"/>
    <w:rsid w:val="00451021"/>
    <w:rsid w:val="00455978"/>
    <w:rsid w:val="00457AC2"/>
    <w:rsid w:val="004643AD"/>
    <w:rsid w:val="004841C2"/>
    <w:rsid w:val="00486865"/>
    <w:rsid w:val="00487E20"/>
    <w:rsid w:val="00487F7E"/>
    <w:rsid w:val="00490EED"/>
    <w:rsid w:val="00496923"/>
    <w:rsid w:val="00497970"/>
    <w:rsid w:val="004B443B"/>
    <w:rsid w:val="004B5029"/>
    <w:rsid w:val="004C601E"/>
    <w:rsid w:val="004D1688"/>
    <w:rsid w:val="004D2902"/>
    <w:rsid w:val="004E6EB1"/>
    <w:rsid w:val="004F0401"/>
    <w:rsid w:val="004F6254"/>
    <w:rsid w:val="004F6BD3"/>
    <w:rsid w:val="0051363C"/>
    <w:rsid w:val="00516DC6"/>
    <w:rsid w:val="00521DD5"/>
    <w:rsid w:val="00522A3C"/>
    <w:rsid w:val="00526C74"/>
    <w:rsid w:val="0053321D"/>
    <w:rsid w:val="00571469"/>
    <w:rsid w:val="00594FDF"/>
    <w:rsid w:val="005B0DDD"/>
    <w:rsid w:val="005D140E"/>
    <w:rsid w:val="005D1A47"/>
    <w:rsid w:val="005D317B"/>
    <w:rsid w:val="005D5E0E"/>
    <w:rsid w:val="005E187D"/>
    <w:rsid w:val="005E1BB9"/>
    <w:rsid w:val="005F1600"/>
    <w:rsid w:val="005F76C5"/>
    <w:rsid w:val="00617AFC"/>
    <w:rsid w:val="006235FB"/>
    <w:rsid w:val="006338D7"/>
    <w:rsid w:val="0064123D"/>
    <w:rsid w:val="00641FBF"/>
    <w:rsid w:val="00644375"/>
    <w:rsid w:val="00647442"/>
    <w:rsid w:val="006521FF"/>
    <w:rsid w:val="006535B3"/>
    <w:rsid w:val="00660165"/>
    <w:rsid w:val="00664B0B"/>
    <w:rsid w:val="00665A0D"/>
    <w:rsid w:val="00667901"/>
    <w:rsid w:val="00687CD3"/>
    <w:rsid w:val="0069314C"/>
    <w:rsid w:val="00697BBA"/>
    <w:rsid w:val="006B218C"/>
    <w:rsid w:val="006B31A4"/>
    <w:rsid w:val="006C6BEE"/>
    <w:rsid w:val="006D1C20"/>
    <w:rsid w:val="006D3ACC"/>
    <w:rsid w:val="006D7E98"/>
    <w:rsid w:val="006E3C47"/>
    <w:rsid w:val="006F1A71"/>
    <w:rsid w:val="006F5AA8"/>
    <w:rsid w:val="007052C4"/>
    <w:rsid w:val="0070777C"/>
    <w:rsid w:val="00712382"/>
    <w:rsid w:val="007143CD"/>
    <w:rsid w:val="007256E0"/>
    <w:rsid w:val="00727C13"/>
    <w:rsid w:val="0073597D"/>
    <w:rsid w:val="007520DD"/>
    <w:rsid w:val="007563D7"/>
    <w:rsid w:val="00760020"/>
    <w:rsid w:val="0076544C"/>
    <w:rsid w:val="00770018"/>
    <w:rsid w:val="00771811"/>
    <w:rsid w:val="00776D2E"/>
    <w:rsid w:val="00792FB2"/>
    <w:rsid w:val="007B41CA"/>
    <w:rsid w:val="007B47D5"/>
    <w:rsid w:val="007B4B27"/>
    <w:rsid w:val="007C24BF"/>
    <w:rsid w:val="007C2786"/>
    <w:rsid w:val="007C400B"/>
    <w:rsid w:val="007D0B09"/>
    <w:rsid w:val="007D2B7E"/>
    <w:rsid w:val="007D371B"/>
    <w:rsid w:val="007E3A51"/>
    <w:rsid w:val="007E7373"/>
    <w:rsid w:val="008065D1"/>
    <w:rsid w:val="00807AD0"/>
    <w:rsid w:val="0081093D"/>
    <w:rsid w:val="00817EED"/>
    <w:rsid w:val="00820D28"/>
    <w:rsid w:val="0082297D"/>
    <w:rsid w:val="0082517E"/>
    <w:rsid w:val="00835643"/>
    <w:rsid w:val="00845111"/>
    <w:rsid w:val="00846BD5"/>
    <w:rsid w:val="00874B9F"/>
    <w:rsid w:val="00882443"/>
    <w:rsid w:val="00885CD4"/>
    <w:rsid w:val="00887745"/>
    <w:rsid w:val="008961B5"/>
    <w:rsid w:val="008B3438"/>
    <w:rsid w:val="008B3693"/>
    <w:rsid w:val="008B369F"/>
    <w:rsid w:val="008C7F87"/>
    <w:rsid w:val="008D3580"/>
    <w:rsid w:val="008D5050"/>
    <w:rsid w:val="008E4855"/>
    <w:rsid w:val="008F1D48"/>
    <w:rsid w:val="009055AE"/>
    <w:rsid w:val="00905D3D"/>
    <w:rsid w:val="0091085F"/>
    <w:rsid w:val="00920679"/>
    <w:rsid w:val="00926384"/>
    <w:rsid w:val="00934CD0"/>
    <w:rsid w:val="00936D4B"/>
    <w:rsid w:val="00937DF2"/>
    <w:rsid w:val="00940511"/>
    <w:rsid w:val="0094069A"/>
    <w:rsid w:val="00950E30"/>
    <w:rsid w:val="00955D2E"/>
    <w:rsid w:val="00970E3C"/>
    <w:rsid w:val="009730C4"/>
    <w:rsid w:val="00975A0C"/>
    <w:rsid w:val="00982CD2"/>
    <w:rsid w:val="0098441D"/>
    <w:rsid w:val="00995819"/>
    <w:rsid w:val="009A0F9D"/>
    <w:rsid w:val="009A3D93"/>
    <w:rsid w:val="009A4676"/>
    <w:rsid w:val="009B2541"/>
    <w:rsid w:val="009B2649"/>
    <w:rsid w:val="009B5DCC"/>
    <w:rsid w:val="009B5F84"/>
    <w:rsid w:val="009C5DD9"/>
    <w:rsid w:val="009D318D"/>
    <w:rsid w:val="009E07AB"/>
    <w:rsid w:val="009E7767"/>
    <w:rsid w:val="009F105D"/>
    <w:rsid w:val="009F3032"/>
    <w:rsid w:val="00A00141"/>
    <w:rsid w:val="00A03F42"/>
    <w:rsid w:val="00A043F9"/>
    <w:rsid w:val="00A109CB"/>
    <w:rsid w:val="00A20D94"/>
    <w:rsid w:val="00A21B54"/>
    <w:rsid w:val="00A246F1"/>
    <w:rsid w:val="00A310FA"/>
    <w:rsid w:val="00A374D5"/>
    <w:rsid w:val="00A40742"/>
    <w:rsid w:val="00A452B7"/>
    <w:rsid w:val="00A50308"/>
    <w:rsid w:val="00A50982"/>
    <w:rsid w:val="00A53559"/>
    <w:rsid w:val="00A55CFB"/>
    <w:rsid w:val="00A574BA"/>
    <w:rsid w:val="00A62D7B"/>
    <w:rsid w:val="00A706E3"/>
    <w:rsid w:val="00A74413"/>
    <w:rsid w:val="00A8554C"/>
    <w:rsid w:val="00A9037E"/>
    <w:rsid w:val="00A949CD"/>
    <w:rsid w:val="00A94EE4"/>
    <w:rsid w:val="00A9783D"/>
    <w:rsid w:val="00AC609C"/>
    <w:rsid w:val="00AD46A8"/>
    <w:rsid w:val="00AD6DEB"/>
    <w:rsid w:val="00AE77D6"/>
    <w:rsid w:val="00AF6829"/>
    <w:rsid w:val="00B20964"/>
    <w:rsid w:val="00B25788"/>
    <w:rsid w:val="00B50DBF"/>
    <w:rsid w:val="00B85226"/>
    <w:rsid w:val="00B8600C"/>
    <w:rsid w:val="00B86199"/>
    <w:rsid w:val="00B91DFB"/>
    <w:rsid w:val="00B974B6"/>
    <w:rsid w:val="00BA3653"/>
    <w:rsid w:val="00BA7C7C"/>
    <w:rsid w:val="00BB72BB"/>
    <w:rsid w:val="00BC0977"/>
    <w:rsid w:val="00BC22C4"/>
    <w:rsid w:val="00BC5EAE"/>
    <w:rsid w:val="00BC652A"/>
    <w:rsid w:val="00BC6F70"/>
    <w:rsid w:val="00BC7D69"/>
    <w:rsid w:val="00BD435B"/>
    <w:rsid w:val="00BD59E2"/>
    <w:rsid w:val="00BD5F23"/>
    <w:rsid w:val="00BD6FEE"/>
    <w:rsid w:val="00BF1E26"/>
    <w:rsid w:val="00BF2C0B"/>
    <w:rsid w:val="00C03F66"/>
    <w:rsid w:val="00C41E5E"/>
    <w:rsid w:val="00C45F9B"/>
    <w:rsid w:val="00C51A31"/>
    <w:rsid w:val="00C541A8"/>
    <w:rsid w:val="00C5427D"/>
    <w:rsid w:val="00C54BD7"/>
    <w:rsid w:val="00C55627"/>
    <w:rsid w:val="00C60951"/>
    <w:rsid w:val="00C60A37"/>
    <w:rsid w:val="00C63EBF"/>
    <w:rsid w:val="00C64A32"/>
    <w:rsid w:val="00C67E45"/>
    <w:rsid w:val="00C72774"/>
    <w:rsid w:val="00C7771E"/>
    <w:rsid w:val="00C834B9"/>
    <w:rsid w:val="00C93390"/>
    <w:rsid w:val="00CA5331"/>
    <w:rsid w:val="00CC3E46"/>
    <w:rsid w:val="00CC5581"/>
    <w:rsid w:val="00CC5804"/>
    <w:rsid w:val="00CD1E7A"/>
    <w:rsid w:val="00CD1F8C"/>
    <w:rsid w:val="00CD529D"/>
    <w:rsid w:val="00CE17B4"/>
    <w:rsid w:val="00CE381B"/>
    <w:rsid w:val="00CF0528"/>
    <w:rsid w:val="00CF137D"/>
    <w:rsid w:val="00CF55CC"/>
    <w:rsid w:val="00CF587B"/>
    <w:rsid w:val="00D021E5"/>
    <w:rsid w:val="00D033F0"/>
    <w:rsid w:val="00D05BE5"/>
    <w:rsid w:val="00D152BD"/>
    <w:rsid w:val="00D24A96"/>
    <w:rsid w:val="00D27B00"/>
    <w:rsid w:val="00D40147"/>
    <w:rsid w:val="00D424D4"/>
    <w:rsid w:val="00D5634C"/>
    <w:rsid w:val="00D6391E"/>
    <w:rsid w:val="00D7213D"/>
    <w:rsid w:val="00D806F4"/>
    <w:rsid w:val="00D81BD7"/>
    <w:rsid w:val="00D90791"/>
    <w:rsid w:val="00D90C25"/>
    <w:rsid w:val="00D9215E"/>
    <w:rsid w:val="00DA2BD3"/>
    <w:rsid w:val="00DB7673"/>
    <w:rsid w:val="00DC0919"/>
    <w:rsid w:val="00DD26B3"/>
    <w:rsid w:val="00DD7FD1"/>
    <w:rsid w:val="00DE061B"/>
    <w:rsid w:val="00DE63F5"/>
    <w:rsid w:val="00DF2AB9"/>
    <w:rsid w:val="00E02C94"/>
    <w:rsid w:val="00E15BDA"/>
    <w:rsid w:val="00E1750F"/>
    <w:rsid w:val="00E211F3"/>
    <w:rsid w:val="00E23684"/>
    <w:rsid w:val="00E40336"/>
    <w:rsid w:val="00E41E36"/>
    <w:rsid w:val="00E523FC"/>
    <w:rsid w:val="00E558C9"/>
    <w:rsid w:val="00E62C07"/>
    <w:rsid w:val="00E6387F"/>
    <w:rsid w:val="00E64039"/>
    <w:rsid w:val="00E65E51"/>
    <w:rsid w:val="00E6703D"/>
    <w:rsid w:val="00E671D2"/>
    <w:rsid w:val="00E71C59"/>
    <w:rsid w:val="00E8084C"/>
    <w:rsid w:val="00E831B8"/>
    <w:rsid w:val="00E8556C"/>
    <w:rsid w:val="00E90736"/>
    <w:rsid w:val="00E94B90"/>
    <w:rsid w:val="00EB7EE1"/>
    <w:rsid w:val="00EC23A7"/>
    <w:rsid w:val="00EC4CD8"/>
    <w:rsid w:val="00EC73A1"/>
    <w:rsid w:val="00ED0C8E"/>
    <w:rsid w:val="00ED2909"/>
    <w:rsid w:val="00ED33F4"/>
    <w:rsid w:val="00EE5665"/>
    <w:rsid w:val="00EF7D6E"/>
    <w:rsid w:val="00F0275F"/>
    <w:rsid w:val="00F03794"/>
    <w:rsid w:val="00F1167D"/>
    <w:rsid w:val="00F1629C"/>
    <w:rsid w:val="00F27180"/>
    <w:rsid w:val="00F3265E"/>
    <w:rsid w:val="00F35E48"/>
    <w:rsid w:val="00F46348"/>
    <w:rsid w:val="00F50E65"/>
    <w:rsid w:val="00F544D2"/>
    <w:rsid w:val="00F575EA"/>
    <w:rsid w:val="00F613C3"/>
    <w:rsid w:val="00F626C6"/>
    <w:rsid w:val="00F72C4D"/>
    <w:rsid w:val="00F9112A"/>
    <w:rsid w:val="00F91D64"/>
    <w:rsid w:val="00FA2C31"/>
    <w:rsid w:val="00FE43E1"/>
    <w:rsid w:val="00FE51A6"/>
    <w:rsid w:val="00FF26D9"/>
    <w:rsid w:val="00FF2A00"/>
    <w:rsid w:val="1CCF0898"/>
    <w:rsid w:val="27DF9E63"/>
    <w:rsid w:val="5BBF0CD8"/>
    <w:rsid w:val="5DFE29D8"/>
    <w:rsid w:val="5FBDF23D"/>
    <w:rsid w:val="5FD74AA3"/>
    <w:rsid w:val="5FF9132C"/>
    <w:rsid w:val="6E1F4616"/>
    <w:rsid w:val="6F7F9D7C"/>
    <w:rsid w:val="6FBB5D8A"/>
    <w:rsid w:val="7EF3CF54"/>
    <w:rsid w:val="7F2F72BB"/>
  </w:rsids>
  <m:mathPr>
    <m:mathFont m:val="Cambria Math"/>
    <m:brkBin m:val="before"/>
    <m:brkBinSub m:val="--"/>
    <m:smallFrac/>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37821A51-F884-43A1-9189-5F78730BD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qFormat="1"/>
    <w:lsdException w:name="Table Theme" w:semiHidden="1" w:unhideWhenUsed="1"/>
    <w:lsdException w:name="Placeholder Text" w:semiHidden="1" w:qFormat="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heme="minorHAnsi" w:eastAsiaTheme="minorHAnsi" w:hAnsiTheme="minorHAnsi" w:cstheme="minorBidi"/>
      <w:sz w:val="22"/>
      <w:szCs w:val="22"/>
      <w:lang w:val="uk-UA" w:eastAsia="en-US"/>
    </w:rPr>
  </w:style>
  <w:style w:type="paragraph" w:styleId="1">
    <w:name w:val="heading 1"/>
    <w:basedOn w:val="a"/>
    <w:next w:val="a"/>
    <w:link w:val="10"/>
    <w:uiPriority w:val="1"/>
    <w:qFormat/>
    <w:pPr>
      <w:widowControl w:val="0"/>
      <w:autoSpaceDE w:val="0"/>
      <w:autoSpaceDN w:val="0"/>
      <w:spacing w:after="0" w:line="240" w:lineRule="auto"/>
      <w:ind w:left="1750" w:hanging="422"/>
      <w:outlineLvl w:val="0"/>
    </w:pPr>
    <w:rPr>
      <w:rFonts w:ascii="Times New Roman" w:eastAsia="Times New Roman" w:hAnsi="Times New Roman" w:cs="Times New Roman"/>
      <w:b/>
      <w:bCs/>
      <w:sz w:val="28"/>
      <w:szCs w:val="28"/>
      <w:lang w:eastAsia="ru-RU" w:bidi="ru-RU"/>
    </w:rPr>
  </w:style>
  <w:style w:type="paragraph" w:styleId="3">
    <w:name w:val="heading 3"/>
    <w:basedOn w:val="a"/>
    <w:next w:val="a"/>
    <w:link w:val="30"/>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pPr>
      <w:spacing w:after="0" w:line="240" w:lineRule="auto"/>
    </w:pPr>
    <w:rPr>
      <w:rFonts w:ascii="Tahoma" w:hAnsi="Tahoma" w:cs="Tahoma"/>
      <w:sz w:val="16"/>
      <w:szCs w:val="16"/>
    </w:rPr>
  </w:style>
  <w:style w:type="paragraph" w:styleId="a5">
    <w:name w:val="Body Text"/>
    <w:basedOn w:val="a"/>
    <w:link w:val="a6"/>
    <w:uiPriority w:val="1"/>
    <w:qFormat/>
    <w:pPr>
      <w:widowControl w:val="0"/>
      <w:autoSpaceDE w:val="0"/>
      <w:autoSpaceDN w:val="0"/>
      <w:spacing w:after="0" w:line="240" w:lineRule="auto"/>
    </w:pPr>
    <w:rPr>
      <w:rFonts w:ascii="Times New Roman" w:eastAsia="Times New Roman" w:hAnsi="Times New Roman" w:cs="Times New Roman"/>
      <w:sz w:val="28"/>
      <w:szCs w:val="28"/>
      <w:lang w:eastAsia="ru-RU" w:bidi="ru-RU"/>
    </w:rPr>
  </w:style>
  <w:style w:type="paragraph" w:styleId="a7">
    <w:name w:val="footer"/>
    <w:basedOn w:val="a"/>
    <w:link w:val="a8"/>
    <w:uiPriority w:val="99"/>
    <w:unhideWhenUsed/>
    <w:qFormat/>
    <w:pPr>
      <w:tabs>
        <w:tab w:val="center" w:pos="4844"/>
        <w:tab w:val="right" w:pos="9689"/>
      </w:tabs>
      <w:spacing w:after="0" w:line="240" w:lineRule="auto"/>
    </w:pPr>
  </w:style>
  <w:style w:type="paragraph" w:styleId="a9">
    <w:name w:val="footnote text"/>
    <w:basedOn w:val="a"/>
    <w:link w:val="aa"/>
    <w:semiHidden/>
    <w:qFormat/>
    <w:pPr>
      <w:spacing w:after="0" w:line="264" w:lineRule="auto"/>
      <w:ind w:firstLine="357"/>
      <w:jc w:val="both"/>
    </w:pPr>
    <w:rPr>
      <w:rFonts w:ascii="Times New Roman" w:eastAsia="Times New Roman" w:hAnsi="Times New Roman" w:cs="Times New Roman"/>
      <w:sz w:val="20"/>
      <w:szCs w:val="20"/>
      <w:lang w:eastAsia="ru-RU"/>
    </w:rPr>
  </w:style>
  <w:style w:type="paragraph" w:styleId="ab">
    <w:name w:val="header"/>
    <w:basedOn w:val="a"/>
    <w:link w:val="ac"/>
    <w:uiPriority w:val="99"/>
    <w:unhideWhenUsed/>
    <w:qFormat/>
    <w:pPr>
      <w:tabs>
        <w:tab w:val="center" w:pos="4844"/>
        <w:tab w:val="right" w:pos="9689"/>
      </w:tabs>
      <w:spacing w:after="0" w:line="240" w:lineRule="auto"/>
    </w:pPr>
  </w:style>
  <w:style w:type="paragraph" w:styleId="ad">
    <w:name w:val="Normal (Web)"/>
    <w:basedOn w:val="a"/>
    <w:uiPriority w:val="99"/>
    <w:unhideWhenUsed/>
    <w:qFormat/>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e">
    <w:name w:val="Title"/>
    <w:basedOn w:val="a"/>
    <w:next w:val="a"/>
    <w:link w:val="af"/>
    <w:uiPriority w:val="10"/>
    <w:qFormat/>
    <w:pPr>
      <w:spacing w:after="0" w:line="240" w:lineRule="auto"/>
      <w:contextualSpacing/>
    </w:pPr>
    <w:rPr>
      <w:rFonts w:ascii="Calibri Light" w:eastAsia="Times New Roman" w:hAnsi="Calibri Light" w:cs="Times New Roman"/>
      <w:spacing w:val="-10"/>
      <w:kern w:val="28"/>
      <w:sz w:val="56"/>
      <w:szCs w:val="56"/>
      <w:lang w:eastAsia="ru-RU"/>
    </w:rPr>
  </w:style>
  <w:style w:type="character" w:styleId="af0">
    <w:name w:val="Emphasis"/>
    <w:basedOn w:val="a0"/>
    <w:uiPriority w:val="20"/>
    <w:qFormat/>
    <w:rPr>
      <w:rFonts w:ascii="Calibri" w:hAnsi="Calibri" w:cs="Times New Roman"/>
      <w:b/>
      <w:i/>
      <w:iCs/>
    </w:rPr>
  </w:style>
  <w:style w:type="character" w:styleId="af1">
    <w:name w:val="footnote reference"/>
    <w:semiHidden/>
    <w:qFormat/>
    <w:rPr>
      <w:vertAlign w:val="superscript"/>
    </w:rPr>
  </w:style>
  <w:style w:type="character" w:styleId="af2">
    <w:name w:val="Hyperlink"/>
    <w:basedOn w:val="a0"/>
    <w:uiPriority w:val="99"/>
    <w:semiHidden/>
    <w:unhideWhenUsed/>
    <w:qFormat/>
    <w:rPr>
      <w:color w:val="0000FF"/>
      <w:u w:val="single"/>
    </w:rPr>
  </w:style>
  <w:style w:type="table" w:styleId="af3">
    <w:name w:val="Table Grid"/>
    <w:basedOn w:val="a1"/>
    <w:uiPriority w:val="39"/>
    <w:qFormat/>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Основной текст Знак"/>
    <w:basedOn w:val="a0"/>
    <w:link w:val="a5"/>
    <w:uiPriority w:val="1"/>
    <w:qFormat/>
    <w:rPr>
      <w:rFonts w:ascii="Times New Roman" w:eastAsia="Times New Roman" w:hAnsi="Times New Roman" w:cs="Times New Roman"/>
      <w:sz w:val="28"/>
      <w:szCs w:val="28"/>
      <w:lang w:eastAsia="ru-RU" w:bidi="ru-RU"/>
    </w:rPr>
  </w:style>
  <w:style w:type="character" w:customStyle="1" w:styleId="10">
    <w:name w:val="Заголовок 1 Знак"/>
    <w:basedOn w:val="a0"/>
    <w:link w:val="1"/>
    <w:uiPriority w:val="1"/>
    <w:qFormat/>
    <w:rPr>
      <w:rFonts w:ascii="Times New Roman" w:eastAsia="Times New Roman" w:hAnsi="Times New Roman" w:cs="Times New Roman"/>
      <w:b/>
      <w:bCs/>
      <w:sz w:val="28"/>
      <w:szCs w:val="28"/>
      <w:lang w:eastAsia="ru-RU" w:bidi="ru-RU"/>
    </w:rPr>
  </w:style>
  <w:style w:type="paragraph" w:styleId="af4">
    <w:name w:val="List Paragraph"/>
    <w:basedOn w:val="a"/>
    <w:uiPriority w:val="34"/>
    <w:qFormat/>
    <w:pPr>
      <w:widowControl w:val="0"/>
      <w:autoSpaceDE w:val="0"/>
      <w:autoSpaceDN w:val="0"/>
      <w:spacing w:after="0" w:line="240" w:lineRule="auto"/>
      <w:ind w:left="476" w:firstLine="708"/>
    </w:pPr>
    <w:rPr>
      <w:rFonts w:ascii="Times New Roman" w:eastAsia="Times New Roman" w:hAnsi="Times New Roman" w:cs="Times New Roman"/>
      <w:lang w:eastAsia="ru-RU" w:bidi="ru-RU"/>
    </w:rPr>
  </w:style>
  <w:style w:type="character" w:styleId="af5">
    <w:name w:val="Placeholder Text"/>
    <w:basedOn w:val="a0"/>
    <w:uiPriority w:val="99"/>
    <w:semiHidden/>
    <w:qFormat/>
    <w:rPr>
      <w:color w:val="808080"/>
    </w:rPr>
  </w:style>
  <w:style w:type="character" w:customStyle="1" w:styleId="ac">
    <w:name w:val="Верхний колонтитул Знак"/>
    <w:basedOn w:val="a0"/>
    <w:link w:val="ab"/>
    <w:uiPriority w:val="99"/>
    <w:qFormat/>
  </w:style>
  <w:style w:type="character" w:customStyle="1" w:styleId="a8">
    <w:name w:val="Нижний колонтитул Знак"/>
    <w:basedOn w:val="a0"/>
    <w:link w:val="a7"/>
    <w:uiPriority w:val="99"/>
    <w:qFormat/>
  </w:style>
  <w:style w:type="character" w:customStyle="1" w:styleId="30">
    <w:name w:val="Заголовок 3 Знак"/>
    <w:basedOn w:val="a0"/>
    <w:link w:val="3"/>
    <w:uiPriority w:val="9"/>
    <w:qFormat/>
    <w:rPr>
      <w:rFonts w:asciiTheme="majorHAnsi" w:eastAsiaTheme="majorEastAsia" w:hAnsiTheme="majorHAnsi" w:cstheme="majorBidi"/>
      <w:color w:val="1F4E79" w:themeColor="accent1" w:themeShade="80"/>
      <w:sz w:val="24"/>
      <w:szCs w:val="24"/>
    </w:rPr>
  </w:style>
  <w:style w:type="paragraph" w:styleId="af6">
    <w:name w:val="No Spacing"/>
    <w:link w:val="af7"/>
    <w:qFormat/>
    <w:pPr>
      <w:spacing w:after="0" w:line="240" w:lineRule="auto"/>
    </w:pPr>
    <w:rPr>
      <w:rFonts w:ascii="Calibri" w:eastAsia="Times New Roman" w:hAnsi="Calibri" w:cs="Calibri"/>
      <w:sz w:val="22"/>
      <w:szCs w:val="22"/>
      <w:lang w:eastAsia="en-US"/>
    </w:rPr>
  </w:style>
  <w:style w:type="character" w:customStyle="1" w:styleId="af7">
    <w:name w:val="Без интервала Знак"/>
    <w:basedOn w:val="a0"/>
    <w:link w:val="af6"/>
    <w:qFormat/>
    <w:rPr>
      <w:rFonts w:ascii="Calibri" w:eastAsia="Times New Roman" w:hAnsi="Calibri" w:cs="Calibri"/>
    </w:rPr>
  </w:style>
  <w:style w:type="character" w:customStyle="1" w:styleId="FontStyle53">
    <w:name w:val="Font Style53"/>
    <w:uiPriority w:val="99"/>
    <w:qFormat/>
    <w:rPr>
      <w:rFonts w:ascii="Franklin Gothic Medium" w:hAnsi="Franklin Gothic Medium" w:cs="Franklin Gothic Medium"/>
      <w:sz w:val="22"/>
      <w:szCs w:val="22"/>
    </w:rPr>
  </w:style>
  <w:style w:type="character" w:customStyle="1" w:styleId="aa">
    <w:name w:val="Текст сноски Знак"/>
    <w:basedOn w:val="a0"/>
    <w:link w:val="a9"/>
    <w:semiHidden/>
    <w:qFormat/>
    <w:rPr>
      <w:rFonts w:ascii="Times New Roman" w:eastAsia="Times New Roman" w:hAnsi="Times New Roman" w:cs="Times New Roman"/>
      <w:sz w:val="20"/>
      <w:szCs w:val="20"/>
      <w:lang w:val="uk-UA" w:eastAsia="ru-RU"/>
    </w:rPr>
  </w:style>
  <w:style w:type="character" w:customStyle="1" w:styleId="a4">
    <w:name w:val="Текст выноски Знак"/>
    <w:basedOn w:val="a0"/>
    <w:link w:val="a3"/>
    <w:uiPriority w:val="99"/>
    <w:semiHidden/>
    <w:qFormat/>
    <w:rPr>
      <w:rFonts w:ascii="Tahoma" w:hAnsi="Tahoma" w:cs="Tahoma"/>
      <w:sz w:val="16"/>
      <w:szCs w:val="16"/>
    </w:rPr>
  </w:style>
  <w:style w:type="character" w:customStyle="1" w:styleId="tlid-translation">
    <w:name w:val="tlid-translation"/>
    <w:basedOn w:val="a0"/>
    <w:qFormat/>
  </w:style>
  <w:style w:type="character" w:customStyle="1" w:styleId="af">
    <w:name w:val="Заголовок Знак"/>
    <w:basedOn w:val="a0"/>
    <w:link w:val="ae"/>
    <w:uiPriority w:val="10"/>
    <w:qFormat/>
    <w:rPr>
      <w:rFonts w:ascii="Calibri Light" w:eastAsia="Times New Roman" w:hAnsi="Calibri Light" w:cs="Times New Roman"/>
      <w:spacing w:val="-10"/>
      <w:kern w:val="28"/>
      <w:sz w:val="56"/>
      <w:szCs w:val="56"/>
      <w:lang w:val="uk-UA" w:eastAsia="ru-RU"/>
    </w:rPr>
  </w:style>
  <w:style w:type="paragraph" w:customStyle="1" w:styleId="af8">
    <w:name w:val="Подпись к картинке"/>
    <w:basedOn w:val="a"/>
    <w:uiPriority w:val="99"/>
    <w:qFormat/>
    <w:pPr>
      <w:widowControl w:val="0"/>
      <w:shd w:val="clear" w:color="auto" w:fill="FFFFFF"/>
      <w:spacing w:before="240" w:after="0" w:line="418" w:lineRule="exact"/>
      <w:jc w:val="center"/>
    </w:pPr>
    <w:rPr>
      <w:rFonts w:ascii="Times New Roman" w:hAnsi="Times New Roman"/>
      <w:b/>
      <w:bCs/>
    </w:rPr>
  </w:style>
  <w:style w:type="character" w:customStyle="1" w:styleId="hps">
    <w:name w:val="hps"/>
    <w:basedOn w:val="a0"/>
    <w:uiPriority w:val="99"/>
    <w:qFormat/>
    <w:rPr>
      <w:rFonts w:cs="Times New Roman"/>
    </w:rPr>
  </w:style>
  <w:style w:type="character" w:customStyle="1" w:styleId="font01">
    <w:name w:val="font01"/>
    <w:rPr>
      <w:rFonts w:ascii="Calibri" w:hAnsi="Calibri" w:cs="Calibri" w:hint="default"/>
      <w:color w:val="000000"/>
      <w:u w:val="none"/>
      <w:vertAlign w:val="superscript"/>
    </w:rPr>
  </w:style>
  <w:style w:type="character" w:customStyle="1" w:styleId="font11">
    <w:name w:val="font11"/>
    <w:qFormat/>
    <w:rPr>
      <w:rFonts w:ascii="Calibri" w:hAnsi="Calibri" w:cs="Calibri" w:hint="default"/>
      <w:color w:val="000000"/>
      <w:u w:val="none"/>
    </w:rPr>
  </w:style>
  <w:style w:type="paragraph" w:customStyle="1" w:styleId="11">
    <w:name w:val="Абзац списка1"/>
    <w:basedOn w:val="a"/>
    <w:uiPriority w:val="99"/>
    <w:qFormat/>
    <w:pPr>
      <w:ind w:left="720"/>
    </w:pPr>
    <w:rPr>
      <w:rFonts w:cs="Calibri"/>
    </w:rPr>
  </w:style>
  <w:style w:type="table" w:customStyle="1" w:styleId="TableGrid">
    <w:name w:val="TableGrid"/>
    <w:qFormat/>
    <w:pPr>
      <w:spacing w:after="0"/>
    </w:pPr>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af9">
    <w:name w:val="Текст таблиці"/>
    <w:basedOn w:val="a"/>
    <w:qFormat/>
    <w:pPr>
      <w:spacing w:line="240" w:lineRule="auto"/>
    </w:pPr>
    <w:rPr>
      <w:rFonts w:ascii="Calibri" w:hAnsi="Calibri" w:cs="Bookman Old Style"/>
      <w:lang w:eastAsia="ru-RU"/>
    </w:rPr>
  </w:style>
  <w:style w:type="paragraph" w:customStyle="1" w:styleId="m-7023537083019284748gmail-msonormal">
    <w:name w:val="m_-7023537083019284748gmail-msonormal"/>
    <w:basedOn w:val="a"/>
    <w:qFormat/>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9" Type="http://schemas.openxmlformats.org/officeDocument/2006/relationships/chart" Target="charts/chart32.xml"/><Relationship Id="rId21" Type="http://schemas.openxmlformats.org/officeDocument/2006/relationships/chart" Target="charts/chart14.xml"/><Relationship Id="rId34" Type="http://schemas.openxmlformats.org/officeDocument/2006/relationships/chart" Target="charts/chart27.xml"/><Relationship Id="rId42" Type="http://schemas.openxmlformats.org/officeDocument/2006/relationships/chart" Target="charts/chart35.xml"/><Relationship Id="rId47" Type="http://schemas.openxmlformats.org/officeDocument/2006/relationships/chart" Target="charts/chart40.xml"/><Relationship Id="rId50" Type="http://schemas.openxmlformats.org/officeDocument/2006/relationships/image" Target="media/image2.png"/><Relationship Id="rId55" Type="http://schemas.openxmlformats.org/officeDocument/2006/relationships/image" Target="media/image7.jpeg"/><Relationship Id="rId63" Type="http://schemas.openxmlformats.org/officeDocument/2006/relationships/image" Target="media/image1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chart" Target="charts/chart22.xml"/><Relationship Id="rId41" Type="http://schemas.openxmlformats.org/officeDocument/2006/relationships/chart" Target="charts/chart34.xml"/><Relationship Id="rId54" Type="http://schemas.openxmlformats.org/officeDocument/2006/relationships/image" Target="media/image6.jpeg"/><Relationship Id="rId62"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chart" Target="charts/chart25.xml"/><Relationship Id="rId37" Type="http://schemas.openxmlformats.org/officeDocument/2006/relationships/chart" Target="charts/chart30.xml"/><Relationship Id="rId40" Type="http://schemas.openxmlformats.org/officeDocument/2006/relationships/chart" Target="charts/chart33.xml"/><Relationship Id="rId45" Type="http://schemas.openxmlformats.org/officeDocument/2006/relationships/chart" Target="charts/chart38.xml"/><Relationship Id="rId53" Type="http://schemas.openxmlformats.org/officeDocument/2006/relationships/image" Target="media/image5.png"/><Relationship Id="rId58" Type="http://schemas.openxmlformats.org/officeDocument/2006/relationships/image" Target="media/image10.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chart" Target="charts/chart21.xml"/><Relationship Id="rId36" Type="http://schemas.openxmlformats.org/officeDocument/2006/relationships/chart" Target="charts/chart29.xml"/><Relationship Id="rId49" Type="http://schemas.openxmlformats.org/officeDocument/2006/relationships/chart" Target="charts/chart42.xml"/><Relationship Id="rId57" Type="http://schemas.openxmlformats.org/officeDocument/2006/relationships/image" Target="media/image9.jpeg"/><Relationship Id="rId61" Type="http://schemas.openxmlformats.org/officeDocument/2006/relationships/image" Target="media/image13.png"/><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chart" Target="charts/chart24.xml"/><Relationship Id="rId44" Type="http://schemas.openxmlformats.org/officeDocument/2006/relationships/chart" Target="charts/chart37.xml"/><Relationship Id="rId52" Type="http://schemas.openxmlformats.org/officeDocument/2006/relationships/image" Target="media/image4.png"/><Relationship Id="rId60" Type="http://schemas.openxmlformats.org/officeDocument/2006/relationships/image" Target="media/image12.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chart" Target="charts/chart23.xml"/><Relationship Id="rId35" Type="http://schemas.openxmlformats.org/officeDocument/2006/relationships/chart" Target="charts/chart28.xml"/><Relationship Id="rId43" Type="http://schemas.openxmlformats.org/officeDocument/2006/relationships/chart" Target="charts/chart36.xml"/><Relationship Id="rId48" Type="http://schemas.openxmlformats.org/officeDocument/2006/relationships/chart" Target="charts/chart41.xml"/><Relationship Id="rId56" Type="http://schemas.openxmlformats.org/officeDocument/2006/relationships/image" Target="media/image8.jpeg"/><Relationship Id="rId64" Type="http://schemas.openxmlformats.org/officeDocument/2006/relationships/footer" Target="footer1.xml"/><Relationship Id="rId8" Type="http://schemas.openxmlformats.org/officeDocument/2006/relationships/chart" Target="charts/chart1.xml"/><Relationship Id="rId51" Type="http://schemas.openxmlformats.org/officeDocument/2006/relationships/image" Target="media/image3.png"/><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chart" Target="charts/chart26.xml"/><Relationship Id="rId38" Type="http://schemas.openxmlformats.org/officeDocument/2006/relationships/chart" Target="charts/chart31.xml"/><Relationship Id="rId46" Type="http://schemas.openxmlformats.org/officeDocument/2006/relationships/chart" Target="charts/chart39.xml"/><Relationship Id="rId59" Type="http://schemas.openxmlformats.org/officeDocument/2006/relationships/image" Target="media/image1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1072;&#1089;&#1087;&#1080;&#1088;&#1072;&#1085;&#1090;&#1091;&#1088;&#1072;\&#1089;&#1090;&#1072;&#1090;&#1100;&#1080;%20&#1087;&#1086;%20&#1090;&#1103;&#1078;&#1077;&#1083;&#1099;&#1084;%20&#1084;&#1077;&#1090;&#1072;&#1083;&#1083;&#1072;&#1084;\&#1057;&#1058;&#1040;&#1058;&#1068;&#1048;\&#1069;&#1085;&#1077;&#1088;&#1075;&#1086;&#1090;&#1077;&#1093;&#1085;&#1086;&#1083;&#1086;&#1075;&#1080;&#1103;%20&#1080;%20&#1056;&#1077;&#1089;&#1091;&#1088;&#1089;&#1086;&#1089;&#1073;&#1077;&#1088;&#1077;&#1078;&#1077;&#1085;&#1080;&#1077;\&#1048;&#1074;&#1072;&#1085;&#1086;&#1074;&#1072;\&#1043;&#1088;&#1072;&#1092;&#1080;&#1082;&#1080;.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E:\&#1072;&#1089;&#1087;&#1080;&#1088;&#1072;&#1085;&#1090;&#1091;&#1088;&#1072;\&#1089;&#1090;&#1072;&#1090;&#1100;&#1080;%20&#1087;&#1086;%20&#1090;&#1103;&#1078;&#1077;&#1083;&#1099;&#1084;%20&#1084;&#1077;&#1090;&#1072;&#1083;&#1083;&#1072;&#1084;\&#1057;&#1058;&#1040;&#1058;&#1068;&#1048;\&#1061;&#1110;&#1084;&#1110;&#1095;&#1085;&#1072;%20&#1110;&#1085;&#1078;&#1077;&#1085;&#1077;&#1088;&#1110;&#1103;%20+\&#1075;&#1088;&#1072;&#1092;&#1080;&#1082;&#1080;.xls"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E:\&#1072;&#1089;&#1087;&#1080;&#1088;&#1072;&#1085;&#1090;&#1091;&#1088;&#1072;\&#1089;&#1090;&#1072;&#1090;&#1100;&#1080;%20&#1087;&#1086;%20&#1090;&#1103;&#1078;&#1077;&#1083;&#1099;&#1084;%20&#1084;&#1077;&#1090;&#1072;&#1083;&#1083;&#1072;&#1084;\&#1057;&#1058;&#1040;&#1058;&#1068;&#1048;\&#1061;&#1110;&#1084;&#1110;&#1095;&#1085;&#1072;%20&#1110;&#1085;&#1078;&#1077;&#1085;&#1077;&#1088;&#1110;&#1103;%20+\&#1075;&#1088;&#1072;&#1092;&#1080;&#1082;&#1080;.xls"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E:\&#1072;&#1089;&#1087;&#1080;&#1088;&#1072;&#1085;&#1090;&#1091;&#1088;&#1072;\&#1089;&#1090;&#1072;&#1090;&#1100;&#1080;%20&#1087;&#1086;%20&#1090;&#1103;&#1078;&#1077;&#1083;&#1099;&#1084;%20&#1084;&#1077;&#1090;&#1072;&#1083;&#1083;&#1072;&#1084;\&#1057;&#1058;&#1040;&#1058;&#1068;&#1048;\&#1061;&#1110;&#1084;&#1110;&#1095;&#1085;&#1072;%20&#1110;&#1085;&#1078;&#1077;&#1085;&#1077;&#1088;&#1110;&#1103;%20+\&#1075;&#1088;&#1072;&#1092;&#1080;&#1082;&#1080;.xls" TargetMode="External"/></Relationships>
</file>

<file path=word/charts/_rels/chart13.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1.xml"/><Relationship Id="rId1" Type="http://schemas.microsoft.com/office/2011/relationships/chartStyle" Target="style1.xml"/></Relationships>
</file>

<file path=word/charts/_rels/chart14.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2.xml"/><Relationship Id="rId1" Type="http://schemas.microsoft.com/office/2011/relationships/chartStyle" Target="style2.xml"/></Relationships>
</file>

<file path=word/charts/_rels/chart15.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3.xml"/><Relationship Id="rId1" Type="http://schemas.microsoft.com/office/2011/relationships/chartStyle" Target="style3.xml"/></Relationships>
</file>

<file path=word/charts/_rels/chart16.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4.xml"/><Relationship Id="rId1" Type="http://schemas.microsoft.com/office/2011/relationships/chartStyle" Target="style4.xml"/></Relationships>
</file>

<file path=word/charts/_rels/chart17.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5.xml"/><Relationship Id="rId1" Type="http://schemas.microsoft.com/office/2011/relationships/chartStyle" Target="style5.xml"/></Relationships>
</file>

<file path=word/charts/_rels/chart18.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6.xml"/><Relationship Id="rId1" Type="http://schemas.microsoft.com/office/2011/relationships/chartStyle" Target="style6.xml"/></Relationships>
</file>

<file path=word/charts/_rels/chart19.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7.xml"/><Relationship Id="rId1" Type="http://schemas.microsoft.com/office/2011/relationships/chartStyle" Target="style7.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1072;&#1089;&#1087;&#1080;&#1088;&#1072;&#1085;&#1090;&#1091;&#1088;&#1072;\&#1089;&#1090;&#1072;&#1090;&#1100;&#1080;%20&#1087;&#1086;%20&#1090;&#1103;&#1078;&#1077;&#1083;&#1099;&#1084;%20&#1084;&#1077;&#1090;&#1072;&#1083;&#1083;&#1072;&#1084;\&#1057;&#1058;&#1040;&#1058;&#1068;&#1048;\&#1069;&#1085;&#1077;&#1088;&#1075;&#1086;&#1090;&#1077;&#1093;&#1085;&#1086;&#1083;&#1086;&#1075;&#1080;&#1103;%20&#1080;%20&#1056;&#1077;&#1089;&#1091;&#1088;&#1089;&#1086;&#1089;&#1073;&#1077;&#1088;&#1077;&#1078;&#1077;&#1085;&#1080;&#1077;\&#1048;&#1074;&#1072;&#1085;&#1086;&#1074;&#1072;\&#1043;&#1088;&#1072;&#1092;&#1080;&#1082;&#1080;.xlsx" TargetMode="External"/></Relationships>
</file>

<file path=word/charts/_rels/chart20.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8.xml"/><Relationship Id="rId1" Type="http://schemas.microsoft.com/office/2011/relationships/chartStyle" Target="style8.xml"/></Relationships>
</file>

<file path=word/charts/_rels/chart21.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9.xml"/><Relationship Id="rId1" Type="http://schemas.microsoft.com/office/2011/relationships/chartStyle" Target="style9.xml"/></Relationships>
</file>

<file path=word/charts/_rels/chart22.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10.xml"/><Relationship Id="rId1" Type="http://schemas.microsoft.com/office/2011/relationships/chartStyle" Target="style10.xml"/></Relationships>
</file>

<file path=word/charts/_rels/chart23.xml.rels><?xml version="1.0" encoding="UTF-8" standalone="yes"?>
<Relationships xmlns="http://schemas.openxmlformats.org/package/2006/relationships"><Relationship Id="rId3" Type="http://schemas.openxmlformats.org/officeDocument/2006/relationships/oleObject" Target="/home/master/Documents/KPI_docs/mag_dis/magnet_Cu.xlsx" TargetMode="External"/><Relationship Id="rId2" Type="http://schemas.microsoft.com/office/2011/relationships/chartColorStyle" Target="colors11.xml"/><Relationship Id="rId1" Type="http://schemas.microsoft.com/office/2011/relationships/chartStyle" Target="style11.xml"/></Relationships>
</file>

<file path=word/charts/_rels/chart24.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oleObject" Target="file:///E:\&#1072;&#1089;&#1087;&#1080;&#1088;&#1072;&#1085;&#1090;&#1091;&#1088;&#1072;\&#1089;&#1090;&#1072;&#1090;&#1100;&#1080;%20&#1087;&#1086;%20&#1090;&#1103;&#1078;&#1077;&#1083;&#1099;&#1084;%20&#1084;&#1077;&#1090;&#1072;&#1083;&#1083;&#1072;&#1084;\&#1057;&#1058;&#1040;&#1058;&#1068;&#1048;\&#1042;&#1086;&#1089;&#1090;&#1086;&#1095;&#1085;&#1086;-&#1045;&#1074;&#1088;&#1086;&#1087;&#1077;&#1081;&#1089;&#1082;&#1080;&#1081;%20+\&#1075;&#1088;&#1072;&#1092;&#1080;&#1082;&#1080;%201.xls" TargetMode="External"/></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oleObject" Target="file:///E:\&#1072;&#1089;&#1087;&#1080;&#1088;&#1072;&#1085;&#1090;&#1091;&#1088;&#1072;\&#1052;&#1086;&#1081;%20&#1076;&#1080;&#1089;&#1077;&#1088;\&#1054;&#1073;&#1088;&#1072;&#1073;&#1086;&#1090;&#1082;&#1072;%20&#1088;&#1077;&#1079;&#1091;&#1083;&#1100;&#1090;&#1072;&#1090;&#1086;&#1074;\&#1057;&#1074;&#1080;&#1085;&#1077;&#1094;.xlsx" TargetMode="External"/></Relationships>
</file>

<file path=word/charts/_rels/chart26.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oleObject" Target="file:///E:\&#1072;&#1089;&#1087;&#1080;&#1088;&#1072;&#1085;&#1090;&#1091;&#1088;&#1072;\&#1052;&#1086;&#1081;%20&#1076;&#1080;&#1089;&#1077;&#1088;\&#1054;&#1073;&#1088;&#1072;&#1073;&#1086;&#1090;&#1082;&#1072;%20&#1088;&#1077;&#1079;&#1091;&#1083;&#1100;&#1090;&#1072;&#1090;&#1086;&#1074;\&#1057;&#1074;&#1080;&#1085;&#1077;&#1094;.xlsx" TargetMode="External"/></Relationships>
</file>

<file path=word/charts/_rels/chart27.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oleObject" Target="file:///E:\&#1072;&#1089;&#1087;&#1080;&#1088;&#1072;&#1085;&#1090;&#1091;&#1088;&#1072;\&#1052;&#1086;&#1081;%20&#1076;&#1080;&#1089;&#1077;&#1088;\&#1054;&#1073;&#1088;&#1072;&#1073;&#1086;&#1090;&#1082;&#1072;%20&#1088;&#1077;&#1079;&#1091;&#1083;&#1100;&#1090;&#1072;&#1090;&#1086;&#1074;\&#1053;&#1072;&#1085;&#1086;&#1092;&#1080;&#1083;&#1100;&#1090;&#1088;&#1072;&#1094;&#1080;&#1103;%20&#1094;&#1080;&#1085;&#1082;.xlsx" TargetMode="External"/></Relationships>
</file>

<file path=word/charts/_rels/chart28.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oleObject" Target="file:///E:\&#1072;&#1089;&#1087;&#1080;&#1088;&#1072;&#1085;&#1090;&#1091;&#1088;&#1072;\&#1052;&#1086;&#1081;%20&#1076;&#1080;&#1089;&#1077;&#1088;\&#1054;&#1073;&#1088;&#1072;&#1073;&#1086;&#1090;&#1082;&#1072;%20&#1088;&#1077;&#1079;&#1091;&#1083;&#1100;&#1090;&#1072;&#1090;&#1086;&#1074;\&#1053;&#1072;&#1085;&#1086;&#1092;&#1080;&#1083;&#1100;&#1090;&#1088;&#1072;&#1094;&#1080;&#1103;%20&#1094;&#1080;&#1085;&#1082;.xlsx" TargetMode="External"/></Relationships>
</file>

<file path=word/charts/_rels/chart29.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oleObject" Target="file:///E:\&#1072;&#1089;&#1087;&#1080;&#1088;&#1072;&#1085;&#1090;&#1091;&#1088;&#1072;\&#1052;&#1086;&#1081;%20&#1076;&#1080;&#1089;&#1077;&#1088;\&#1054;&#1073;&#1088;&#1072;&#1073;&#1086;&#1090;&#1082;&#1072;%20&#1088;&#1077;&#1079;&#1091;&#1083;&#1100;&#1090;&#1072;&#1090;&#1086;&#1074;\&#1053;&#1072;&#1085;&#1086;&#1092;&#1080;&#1083;&#1100;&#1090;&#1088;&#1072;&#1094;&#1080;&#1103;%20&#1094;&#1080;&#1085;&#1082;.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E:\&#1072;&#1089;&#1087;&#1080;&#1088;&#1072;&#1085;&#1090;&#1091;&#1088;&#1072;\&#1089;&#1090;&#1072;&#1090;&#1100;&#1080;%20&#1087;&#1086;%20&#1090;&#1103;&#1078;&#1077;&#1083;&#1099;&#1084;%20&#1084;&#1077;&#1090;&#1072;&#1083;&#1083;&#1072;&#1084;\&#1057;&#1058;&#1040;&#1058;&#1068;&#1048;\&#1069;&#1085;&#1077;&#1088;&#1075;&#1086;&#1090;&#1077;&#1093;&#1085;&#1086;&#1083;&#1086;&#1075;&#1080;&#1103;%20&#1080;%20&#1056;&#1077;&#1089;&#1091;&#1088;&#1089;&#1086;&#1089;&#1073;&#1077;&#1088;&#1077;&#1078;&#1077;&#1085;&#1080;&#1077;\&#1048;&#1074;&#1072;&#1085;&#1086;&#1074;&#1072;\&#1043;&#1088;&#1072;&#1092;&#1080;&#1082;&#1080;.xlsx" TargetMode="External"/></Relationships>
</file>

<file path=word/charts/_rels/chart30.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oleObject" Target="file:///C:\Users\belka\Desktop\&#1053;&#1080;&#1082;&#1077;&#1083;&#1100;.xlsx" TargetMode="External"/></Relationships>
</file>

<file path=word/charts/_rels/chart31.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oleObject" Target="file:///C:\Users\belka\Desktop\&#1053;&#1080;&#1082;&#1077;&#1083;&#1100;.xlsx" TargetMode="External"/></Relationships>
</file>

<file path=word/charts/_rels/chart32.xml.rels><?xml version="1.0" encoding="UTF-8" standalone="yes"?>
<Relationships xmlns="http://schemas.openxmlformats.org/package/2006/relationships"><Relationship Id="rId2" Type="http://schemas.openxmlformats.org/officeDocument/2006/relationships/chartUserShapes" Target="../drawings/drawing21.xml"/><Relationship Id="rId1" Type="http://schemas.openxmlformats.org/officeDocument/2006/relationships/oleObject" Target="file:///E:\&#1072;&#1089;&#1087;&#1080;&#1088;&#1072;&#1085;&#1090;&#1091;&#1088;&#1072;\&#1089;&#1090;&#1072;&#1090;&#1100;&#1080;%20&#1087;&#1086;%20&#1090;&#1103;&#1078;&#1077;&#1083;&#1099;&#1084;%20&#1084;&#1077;&#1090;&#1072;&#1083;&#1083;&#1072;&#1084;\&#1057;&#1058;&#1040;&#1058;&#1068;&#1048;\&#1069;&#1085;&#1077;&#1088;&#1075;&#1086;&#1090;&#1077;&#1093;&#1085;&#1086;&#1083;&#1086;&#1075;&#1080;&#1103;%20&#1080;%20&#1056;&#1077;&#1089;&#1091;&#1088;&#1089;&#1086;&#1089;&#1073;&#1077;&#1088;&#1077;&#1078;&#1077;&#1085;&#1080;&#1077;\&#1048;&#1074;&#1072;&#1085;&#1086;&#1074;&#1072;\&#1043;&#1088;&#1072;&#1092;&#1080;&#1082;&#1080;.xlsx" TargetMode="External"/></Relationships>
</file>

<file path=word/charts/_rels/chart33.xml.rels><?xml version="1.0" encoding="UTF-8" standalone="yes"?>
<Relationships xmlns="http://schemas.openxmlformats.org/package/2006/relationships"><Relationship Id="rId2" Type="http://schemas.openxmlformats.org/officeDocument/2006/relationships/chartUserShapes" Target="../drawings/drawing22.xml"/><Relationship Id="rId1" Type="http://schemas.openxmlformats.org/officeDocument/2006/relationships/oleObject" Target="file:///E:\&#1072;&#1089;&#1087;&#1080;&#1088;&#1072;&#1085;&#1090;&#1091;&#1088;&#1072;\&#1052;&#1086;&#1081;%20&#1076;&#1080;&#1089;&#1077;&#1088;\&#1054;&#1073;&#1088;&#1072;&#1073;&#1086;&#1090;&#1082;&#1072;%20&#1088;&#1077;&#1079;&#1091;&#1083;&#1100;&#1090;&#1072;&#1090;&#1086;&#1074;\&#1053;&#1072;&#1085;&#1086;&#1092;&#1080;&#1083;&#1100;&#1090;&#1088;&#1072;&#1094;&#1080;&#1103;%20&#1094;&#1080;&#1085;&#1082;.xlsx" TargetMode="External"/></Relationships>
</file>

<file path=word/charts/_rels/chart34.xml.rels><?xml version="1.0" encoding="UTF-8" standalone="yes"?>
<Relationships xmlns="http://schemas.openxmlformats.org/package/2006/relationships"><Relationship Id="rId2" Type="http://schemas.openxmlformats.org/officeDocument/2006/relationships/chartUserShapes" Target="../drawings/drawing23.xml"/><Relationship Id="rId1" Type="http://schemas.openxmlformats.org/officeDocument/2006/relationships/oleObject" Target="file:///E:\&#1072;&#1089;&#1087;&#1080;&#1088;&#1072;&#1085;&#1090;&#1091;&#1088;&#1072;\&#1052;&#1086;&#1081;%20&#1076;&#1080;&#1089;&#1077;&#1088;\&#1054;&#1073;&#1088;&#1072;&#1073;&#1086;&#1090;&#1082;&#1072;%20&#1088;&#1077;&#1079;&#1091;&#1083;&#1100;&#1090;&#1072;&#1090;&#1086;&#1074;\&#1050;&#1072;&#1076;&#1084;&#1080;&#1081;.xlsx" TargetMode="External"/></Relationships>
</file>

<file path=word/charts/_rels/chart35.xml.rels><?xml version="1.0" encoding="UTF-8" standalone="yes"?>
<Relationships xmlns="http://schemas.openxmlformats.org/package/2006/relationships"><Relationship Id="rId2" Type="http://schemas.openxmlformats.org/officeDocument/2006/relationships/chartUserShapes" Target="../drawings/drawing24.xml"/><Relationship Id="rId1" Type="http://schemas.openxmlformats.org/officeDocument/2006/relationships/oleObject" Target="file:///E:\&#1072;&#1089;&#1087;&#1080;&#1088;&#1072;&#1085;&#1090;&#1091;&#1088;&#1072;\&#1052;&#1086;&#1081;%20&#1076;&#1080;&#1089;&#1077;&#1088;\&#1054;&#1073;&#1088;&#1072;&#1073;&#1086;&#1090;&#1082;&#1072;%20&#1088;&#1077;&#1079;&#1091;&#1083;&#1100;&#1090;&#1072;&#1090;&#1086;&#1074;\&#1050;&#1072;&#1076;&#1084;&#1080;&#1081;.xlsx" TargetMode="External"/></Relationships>
</file>

<file path=word/charts/_rels/chart36.xml.rels><?xml version="1.0" encoding="UTF-8" standalone="yes"?>
<Relationships xmlns="http://schemas.openxmlformats.org/package/2006/relationships"><Relationship Id="rId2" Type="http://schemas.openxmlformats.org/officeDocument/2006/relationships/chartUserShapes" Target="../drawings/drawing25.xml"/><Relationship Id="rId1" Type="http://schemas.openxmlformats.org/officeDocument/2006/relationships/oleObject" Target="file:///E:\&#1072;&#1089;&#1087;&#1080;&#1088;&#1072;&#1085;&#1090;&#1091;&#1088;&#1072;\&#1052;&#1086;&#1081;%20&#1076;&#1080;&#1089;&#1077;&#1088;\&#1054;&#1073;&#1088;&#1072;&#1073;&#1086;&#1090;&#1082;&#1072;%20&#1088;&#1077;&#1079;&#1091;&#1083;&#1100;&#1090;&#1072;&#1090;&#1086;&#1074;\&#1050;&#1072;&#1076;&#1084;&#1080;&#1081;.xlsx" TargetMode="External"/></Relationships>
</file>

<file path=word/charts/_rels/chart37.xml.rels><?xml version="1.0" encoding="UTF-8" standalone="yes"?>
<Relationships xmlns="http://schemas.openxmlformats.org/package/2006/relationships"><Relationship Id="rId2" Type="http://schemas.openxmlformats.org/officeDocument/2006/relationships/chartUserShapes" Target="../drawings/drawing26.xml"/><Relationship Id="rId1" Type="http://schemas.openxmlformats.org/officeDocument/2006/relationships/oleObject" Target="file:///E:\&#1072;&#1089;&#1087;&#1080;&#1088;&#1072;&#1085;&#1090;&#1091;&#1088;&#1072;\&#1052;&#1086;&#1081;%20&#1076;&#1080;&#1089;&#1077;&#1088;\&#1054;&#1073;&#1088;&#1072;&#1073;&#1086;&#1090;&#1082;&#1072;%20&#1088;&#1077;&#1079;&#1091;&#1083;&#1100;&#1090;&#1072;&#1090;&#1086;&#1074;\&#1050;&#1072;&#1076;&#1084;&#1080;&#1081;.xlsx" TargetMode="External"/></Relationships>
</file>

<file path=word/charts/_rels/chart38.xml.rels><?xml version="1.0" encoding="UTF-8" standalone="yes"?>
<Relationships xmlns="http://schemas.openxmlformats.org/package/2006/relationships"><Relationship Id="rId2" Type="http://schemas.openxmlformats.org/officeDocument/2006/relationships/chartUserShapes" Target="../drawings/drawing27.xml"/><Relationship Id="rId1" Type="http://schemas.openxmlformats.org/officeDocument/2006/relationships/oleObject" Target="file:///E:\&#1072;&#1089;&#1087;&#1080;&#1088;&#1072;&#1085;&#1090;&#1091;&#1088;&#1072;\&#1052;&#1086;&#1081;%20&#1076;&#1080;&#1089;&#1077;&#1088;\&#1054;&#1073;&#1088;&#1072;&#1073;&#1086;&#1090;&#1082;&#1072;%20&#1088;&#1077;&#1079;&#1091;&#1083;&#1100;&#1090;&#1072;&#1090;&#1086;&#1074;\&#1053;&#1072;&#1085;&#1086;&#1092;&#1080;&#1083;&#1100;&#1090;&#1088;&#1072;&#1094;&#1080;&#1103;%20&#1094;&#1080;&#1085;&#1082;.xlsx" TargetMode="External"/></Relationships>
</file>

<file path=word/charts/_rels/chart39.xml.rels><?xml version="1.0" encoding="UTF-8" standalone="yes"?>
<Relationships xmlns="http://schemas.openxmlformats.org/package/2006/relationships"><Relationship Id="rId2" Type="http://schemas.openxmlformats.org/officeDocument/2006/relationships/chartUserShapes" Target="../drawings/drawing28.xml"/><Relationship Id="rId1" Type="http://schemas.openxmlformats.org/officeDocument/2006/relationships/oleObject" Target="file:///E:\&#1072;&#1089;&#1087;&#1080;&#1088;&#1072;&#1085;&#1090;&#1091;&#1088;&#1072;\&#1052;&#1086;&#1081;%20&#1076;&#1080;&#1089;&#1077;&#1088;\&#1054;&#1073;&#1088;&#1072;&#1073;&#1086;&#1090;&#1082;&#1072;%20&#1088;&#1077;&#1079;&#1091;&#1083;&#1100;&#1090;&#1072;&#1090;&#1086;&#1074;\&#1053;&#1072;&#1085;&#1086;&#1092;&#1080;&#1083;&#1100;&#1090;&#1088;&#1072;&#1094;&#1080;&#1103;%20&#1094;&#1080;&#1085;&#1082;.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E:\&#1072;&#1089;&#1087;&#1080;&#1088;&#1072;&#1085;&#1090;&#1091;&#1088;&#1072;\&#1089;&#1090;&#1072;&#1090;&#1100;&#1080;%20&#1087;&#1086;%20&#1090;&#1103;&#1078;&#1077;&#1083;&#1099;&#1084;%20&#1084;&#1077;&#1090;&#1072;&#1083;&#1083;&#1072;&#1084;\&#1057;&#1058;&#1040;&#1058;&#1068;&#1048;\&#1069;&#1085;&#1077;&#1088;&#1075;&#1086;&#1090;&#1077;&#1093;&#1085;&#1086;&#1083;&#1086;&#1075;&#1080;&#1103;%20&#1080;%20&#1056;&#1077;&#1089;&#1091;&#1088;&#1089;&#1086;&#1089;&#1073;&#1077;&#1088;&#1077;&#1078;&#1077;&#1085;&#1080;&#1077;\&#1048;&#1074;&#1072;&#1085;&#1086;&#1074;&#1072;\&#1043;&#1088;&#1072;&#1092;&#1080;&#1082;&#1080;.xlsx" TargetMode="External"/></Relationships>
</file>

<file path=word/charts/_rels/chart40.xml.rels><?xml version="1.0" encoding="UTF-8" standalone="yes"?>
<Relationships xmlns="http://schemas.openxmlformats.org/package/2006/relationships"><Relationship Id="rId2" Type="http://schemas.openxmlformats.org/officeDocument/2006/relationships/chartUserShapes" Target="../drawings/drawing29.xml"/><Relationship Id="rId1" Type="http://schemas.openxmlformats.org/officeDocument/2006/relationships/oleObject" Target="file:///E:\&#1072;&#1089;&#1087;&#1080;&#1088;&#1072;&#1085;&#1090;&#1091;&#1088;&#1072;\&#1052;&#1086;&#1081;%20&#1076;&#1080;&#1089;&#1077;&#1088;\&#1054;&#1073;&#1088;&#1072;&#1073;&#1086;&#1090;&#1082;&#1072;%20&#1088;&#1077;&#1079;&#1091;&#1083;&#1100;&#1090;&#1072;&#1090;&#1086;&#1074;\&#1062;&#1080;&#1085;&#1082;.xlsx" TargetMode="External"/></Relationships>
</file>

<file path=word/charts/_rels/chart41.xml.rels><?xml version="1.0" encoding="UTF-8" standalone="yes"?>
<Relationships xmlns="http://schemas.openxmlformats.org/package/2006/relationships"><Relationship Id="rId2" Type="http://schemas.openxmlformats.org/officeDocument/2006/relationships/chartUserShapes" Target="../drawings/drawing30.xml"/><Relationship Id="rId1" Type="http://schemas.openxmlformats.org/officeDocument/2006/relationships/oleObject" Target="file:///E:\&#1072;&#1089;&#1087;&#1080;&#1088;&#1072;&#1085;&#1090;&#1091;&#1088;&#1072;\&#1052;&#1086;&#1081;%20&#1076;&#1080;&#1089;&#1077;&#1088;\&#1054;&#1073;&#1088;&#1072;&#1073;&#1086;&#1090;&#1082;&#1072;%20&#1088;&#1077;&#1079;&#1091;&#1083;&#1100;&#1090;&#1072;&#1090;&#1086;&#1074;\&#1062;&#1080;&#1085;&#1082;.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E:\&#1072;&#1089;&#1087;&#1080;&#1088;&#1072;&#1085;&#1090;&#1091;&#1088;&#1072;\&#1052;&#1086;&#1081;%20&#1076;&#1080;&#1089;&#1077;&#1088;\&#1054;&#1073;&#1088;&#1072;&#1073;&#1086;&#1090;&#1082;&#1072;%20&#1088;&#1077;&#1079;&#1091;&#1083;&#1100;&#1090;&#1072;&#1090;&#1086;&#1074;\&#1060;&#1047;&#1044;.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E:\&#1072;&#1089;&#1087;&#1080;&#1088;&#1072;&#1085;&#1090;&#1091;&#1088;&#1072;\&#1089;&#1090;&#1072;&#1090;&#1100;&#1080;%20&#1087;&#1086;%20&#1090;&#1103;&#1078;&#1077;&#1083;&#1099;&#1084;%20&#1084;&#1077;&#1090;&#1072;&#1083;&#1083;&#1072;&#1084;\&#1057;&#1058;&#1040;&#1058;&#1068;&#1048;\&#1042;&#1086;&#1076;&#1072;%20&#1110;%20&#1074;&#1086;&#1076;&#1086;&#1086;&#1095;&#1080;&#1089;&#1085;&#1110;%20&#1090;&#1077;&#1093;&#1085;&#1086;&#1083;&#1086;&#1075;&#1110;&#1111;%20+\&#1075;&#1088;&#1072;&#1092;&#1080;&#1082;&#1080;.xls"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E:\&#1072;&#1089;&#1087;&#1080;&#1088;&#1072;&#1085;&#1090;&#1091;&#1088;&#1072;\&#1089;&#1090;&#1072;&#1090;&#1100;&#1080;%20&#1087;&#1086;%20&#1090;&#1103;&#1078;&#1077;&#1083;&#1099;&#1084;%20&#1084;&#1077;&#1090;&#1072;&#1083;&#1083;&#1072;&#1084;\&#1057;&#1058;&#1040;&#1058;&#1068;&#1048;\&#1042;&#1086;&#1076;&#1072;%20&#1110;%20&#1074;&#1086;&#1076;&#1086;&#1086;&#1095;&#1080;&#1089;&#1085;&#1110;%20&#1090;&#1077;&#1093;&#1085;&#1086;&#1083;&#1086;&#1075;&#1110;&#1111;%20+\&#1075;&#1088;&#1072;&#1092;&#1080;&#1082;&#1080;.xls"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E:\&#1072;&#1089;&#1087;&#1080;&#1088;&#1072;&#1085;&#1090;&#1091;&#1088;&#1072;\&#1089;&#1090;&#1072;&#1090;&#1100;&#1080;%20&#1087;&#1086;%20&#1090;&#1103;&#1078;&#1077;&#1083;&#1099;&#1084;%20&#1084;&#1077;&#1090;&#1072;&#1083;&#1083;&#1072;&#1084;\&#1057;&#1058;&#1040;&#1058;&#1068;&#1048;\&#1042;&#1086;&#1076;&#1072;%20&#1110;%20&#1074;&#1086;&#1076;&#1086;&#1086;&#1095;&#1080;&#1089;&#1085;&#1110;%20&#1090;&#1077;&#1093;&#1085;&#1086;&#1083;&#1086;&#1075;&#1110;&#1111;%20+\&#1075;&#1088;&#1072;&#1092;&#1080;&#1082;&#1080;.xls"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E:\&#1072;&#1089;&#1087;&#1080;&#1088;&#1072;&#1085;&#1090;&#1091;&#1088;&#1072;\&#1089;&#1090;&#1072;&#1090;&#1100;&#1080;%20&#1087;&#1086;%20&#1090;&#1103;&#1078;&#1077;&#1083;&#1099;&#1084;%20&#1084;&#1077;&#1090;&#1072;&#1083;&#1083;&#1072;&#1084;\&#1057;&#1058;&#1040;&#1058;&#1068;&#1048;\&#1042;&#1086;&#1076;&#1072;%20&#1110;%20&#1074;&#1086;&#1076;&#1086;&#1086;&#1095;&#1080;&#1089;&#1085;&#1110;%20&#1090;&#1077;&#1093;&#1085;&#1086;&#1083;&#1086;&#1075;&#1110;&#1111;%20+\&#1075;&#1088;&#1072;&#1092;&#1080;&#1082;&#1080;.xls"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E:\&#1072;&#1089;&#1087;&#1080;&#1088;&#1072;&#1085;&#1090;&#1091;&#1088;&#1072;\&#1089;&#1090;&#1072;&#1090;&#1100;&#1080;%20&#1087;&#1086;%20&#1090;&#1103;&#1078;&#1077;&#1083;&#1099;&#1084;%20&#1084;&#1077;&#1090;&#1072;&#1083;&#1083;&#1072;&#1084;\&#1057;&#1058;&#1040;&#1058;&#1068;&#1048;\&#1061;&#1110;&#1084;&#1110;&#1095;&#1085;&#1072;%20&#1110;&#1085;&#1078;&#1077;&#1085;&#1077;&#1088;&#1110;&#1103;%20+\&#1075;&#1088;&#1072;&#1092;&#1080;&#1082;&#108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351699150425"/>
          <c:y val="6.2714097496706298E-2"/>
          <c:w val="0.76857883558220896"/>
          <c:h val="0.75208023309013095"/>
        </c:manualLayout>
      </c:layout>
      <c:scatterChart>
        <c:scatterStyle val="smoothMarker"/>
        <c:varyColors val="0"/>
        <c:ser>
          <c:idx val="0"/>
          <c:order val="0"/>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Лист3!$A$3:$A$11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Лист3!$B$3:$B$11</c:f>
              <c:numCache>
                <c:formatCode>General</c:formatCode>
                <c:ptCount val="9"/>
                <c:pt idx="0">
                  <c:v>1</c:v>
                </c:pt>
                <c:pt idx="1">
                  <c:v>2</c:v>
                </c:pt>
                <c:pt idx="2">
                  <c:v>3</c:v>
                </c:pt>
                <c:pt idx="3">
                  <c:v>4</c:v>
                </c:pt>
                <c:pt idx="4">
                  <c:v>5</c:v>
                </c:pt>
                <c:pt idx="5">
                  <c:v>5</c:v>
                </c:pt>
                <c:pt idx="6">
                  <c:v>6</c:v>
                </c:pt>
                <c:pt idx="7">
                  <c:v>6</c:v>
                </c:pt>
                <c:pt idx="8">
                  <c:v>6</c:v>
                </c:pt>
              </c:numCache>
            </c:numRef>
          </c:yVal>
          <c:smooth val="1"/>
          <c:extLst>
            <c:ext xmlns:c16="http://schemas.microsoft.com/office/drawing/2014/chart" uri="{C3380CC4-5D6E-409C-BE32-E72D297353CC}">
              <c16:uniqueId val="{00000000-F52A-4111-B2F7-481C87B6CD03}"/>
            </c:ext>
          </c:extLst>
        </c:ser>
        <c:ser>
          <c:idx val="1"/>
          <c:order val="1"/>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Лист3!$A$3:$A$11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Лист3!$C$3:$C$11</c:f>
              <c:numCache>
                <c:formatCode>General</c:formatCode>
                <c:ptCount val="9"/>
                <c:pt idx="0">
                  <c:v>0.8</c:v>
                </c:pt>
                <c:pt idx="1">
                  <c:v>0.8</c:v>
                </c:pt>
                <c:pt idx="2">
                  <c:v>1.6</c:v>
                </c:pt>
                <c:pt idx="3">
                  <c:v>2.4</c:v>
                </c:pt>
                <c:pt idx="4">
                  <c:v>3.2</c:v>
                </c:pt>
                <c:pt idx="5">
                  <c:v>4</c:v>
                </c:pt>
                <c:pt idx="6">
                  <c:v>4</c:v>
                </c:pt>
                <c:pt idx="7">
                  <c:v>4.8</c:v>
                </c:pt>
                <c:pt idx="8">
                  <c:v>4.8</c:v>
                </c:pt>
              </c:numCache>
            </c:numRef>
          </c:yVal>
          <c:smooth val="1"/>
          <c:extLst>
            <c:ext xmlns:c16="http://schemas.microsoft.com/office/drawing/2014/chart" uri="{C3380CC4-5D6E-409C-BE32-E72D297353CC}">
              <c16:uniqueId val="{00000001-F52A-4111-B2F7-481C87B6CD03}"/>
            </c:ext>
          </c:extLst>
        </c:ser>
        <c:ser>
          <c:idx val="2"/>
          <c:order val="2"/>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Лист3!$A$3:$A$11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Лист3!$D$3:$D$11</c:f>
              <c:numCache>
                <c:formatCode>General</c:formatCode>
                <c:ptCount val="9"/>
                <c:pt idx="0">
                  <c:v>1.25</c:v>
                </c:pt>
                <c:pt idx="1">
                  <c:v>1.25</c:v>
                </c:pt>
                <c:pt idx="2">
                  <c:v>1.25</c:v>
                </c:pt>
                <c:pt idx="3">
                  <c:v>1.25</c:v>
                </c:pt>
                <c:pt idx="4">
                  <c:v>2.5</c:v>
                </c:pt>
                <c:pt idx="5">
                  <c:v>2.5</c:v>
                </c:pt>
                <c:pt idx="6">
                  <c:v>2.5</c:v>
                </c:pt>
                <c:pt idx="7">
                  <c:v>2.5</c:v>
                </c:pt>
                <c:pt idx="8">
                  <c:v>2.5</c:v>
                </c:pt>
              </c:numCache>
            </c:numRef>
          </c:yVal>
          <c:smooth val="1"/>
          <c:extLst>
            <c:ext xmlns:c16="http://schemas.microsoft.com/office/drawing/2014/chart" uri="{C3380CC4-5D6E-409C-BE32-E72D297353CC}">
              <c16:uniqueId val="{00000002-F52A-4111-B2F7-481C87B6CD03}"/>
            </c:ext>
          </c:extLst>
        </c:ser>
        <c:ser>
          <c:idx val="3"/>
          <c:order val="3"/>
          <c:spPr>
            <a:ln w="25400" cap="rnd" cmpd="sng" algn="ctr">
              <a:solidFill>
                <a:sysClr val="windowText" lastClr="000000"/>
              </a:solidFill>
              <a:prstDash val="sysDash"/>
              <a:round/>
            </a:ln>
          </c:spPr>
          <c:marker>
            <c:spPr>
              <a:ln w="9525" cap="flat" cmpd="sng" algn="ctr">
                <a:solidFill>
                  <a:sysClr val="windowText" lastClr="000000"/>
                </a:solidFill>
                <a:prstDash val="solid"/>
                <a:round/>
              </a:ln>
            </c:spPr>
          </c:marker>
          <c:xVal>
            <c:numRef>
              <c:f>Лист3!$A$3:$A$11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Лист3!$E$3:$E$11</c:f>
              <c:numCache>
                <c:formatCode>General</c:formatCode>
                <c:ptCount val="9"/>
                <c:pt idx="0">
                  <c:v>1.2195119999999899</c:v>
                </c:pt>
                <c:pt idx="1">
                  <c:v>2.4390239999999999</c:v>
                </c:pt>
                <c:pt idx="2">
                  <c:v>3.6585369999999999</c:v>
                </c:pt>
                <c:pt idx="3">
                  <c:v>3.6585369999999999</c:v>
                </c:pt>
                <c:pt idx="4">
                  <c:v>4.8780489999999999</c:v>
                </c:pt>
                <c:pt idx="5">
                  <c:v>4.8780489999999999</c:v>
                </c:pt>
                <c:pt idx="6">
                  <c:v>6.09756099999999</c:v>
                </c:pt>
                <c:pt idx="7">
                  <c:v>6.09756099999999</c:v>
                </c:pt>
                <c:pt idx="8">
                  <c:v>6.09756099999999</c:v>
                </c:pt>
              </c:numCache>
            </c:numRef>
          </c:yVal>
          <c:smooth val="1"/>
          <c:extLst>
            <c:ext xmlns:c16="http://schemas.microsoft.com/office/drawing/2014/chart" uri="{C3380CC4-5D6E-409C-BE32-E72D297353CC}">
              <c16:uniqueId val="{00000003-F52A-4111-B2F7-481C87B6CD03}"/>
            </c:ext>
          </c:extLst>
        </c:ser>
        <c:dLbls>
          <c:showLegendKey val="0"/>
          <c:showVal val="0"/>
          <c:showCatName val="0"/>
          <c:showSerName val="0"/>
          <c:showPercent val="0"/>
          <c:showBubbleSize val="0"/>
        </c:dLbls>
        <c:axId val="229180544"/>
        <c:axId val="229182848"/>
      </c:scatterChart>
      <c:valAx>
        <c:axId val="229180544"/>
        <c:scaling>
          <c:orientation val="minMax"/>
          <c:max val="9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 %</a:t>
                </a:r>
              </a:p>
            </c:rich>
          </c:tx>
          <c:layout>
            <c:manualLayout>
              <c:xMode val="edge"/>
              <c:yMode val="edge"/>
              <c:x val="0.91358476023830404"/>
              <c:y val="0.8501529051987769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29182848"/>
        <c:crosses val="autoZero"/>
        <c:crossBetween val="midCat"/>
        <c:majorUnit val="10"/>
      </c:valAx>
      <c:valAx>
        <c:axId val="229182848"/>
        <c:scaling>
          <c:orientation val="minMax"/>
          <c:max val="7"/>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baseline="0">
                    <a:solidFill>
                      <a:schemeClr val="tx1"/>
                    </a:solidFill>
                    <a:latin typeface="Times New Roman" panose="02020603050405020304" charset="0"/>
                    <a:cs typeface="Times New Roman" panose="02020603050405020304" charset="0"/>
                  </a:rPr>
                  <a:t>R, %</a:t>
                </a:r>
              </a:p>
            </c:rich>
          </c:tx>
          <c:layout>
            <c:manualLayout>
              <c:xMode val="edge"/>
              <c:yMode val="edge"/>
              <c:x val="3.7350541208238598E-3"/>
              <c:y val="0.34597208004189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29180544"/>
        <c:crosses val="autoZero"/>
        <c:crossBetween val="midCat"/>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891130589808301"/>
          <c:y val="8.3808121545782502E-2"/>
          <c:w val="0.71003258554944804"/>
          <c:h val="0.79278663337814503"/>
        </c:manualLayout>
      </c:layout>
      <c:scatterChart>
        <c:scatterStyle val="smoothMarker"/>
        <c:varyColors val="0"/>
        <c:ser>
          <c:idx val="0"/>
          <c:order val="0"/>
          <c:tx>
            <c:strRef>
              <c:f>1</c:f>
              <c:strCache>
                <c:ptCount val="1"/>
                <c:pt idx="0">
                  <c:v>1</c:v>
                </c:pt>
              </c:strCache>
            </c:strRef>
          </c:tx>
          <c:spPr>
            <a:ln w="22225" cap="rnd" cmpd="sng" algn="ctr">
              <a:solidFill>
                <a:schemeClr val="tx1"/>
              </a:solidFill>
              <a:prstDash val="sysDash"/>
              <a:round/>
            </a:ln>
          </c:spPr>
          <c:marker>
            <c:symbol val="diamond"/>
            <c:size val="7"/>
            <c:spPr>
              <a:noFill/>
              <a:ln w="9525" cap="flat" cmpd="sng" algn="ctr">
                <a:solidFill>
                  <a:schemeClr val="tx1"/>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Лист3!$B$209:$B$224</c:f>
              <c:numCache>
                <c:formatCode>General</c:formatCode>
                <c:ptCount val="16"/>
                <c:pt idx="0">
                  <c:v>4.8</c:v>
                </c:pt>
                <c:pt idx="1">
                  <c:v>0.60000000000000098</c:v>
                </c:pt>
                <c:pt idx="2">
                  <c:v>0.94000000000000095</c:v>
                </c:pt>
                <c:pt idx="3">
                  <c:v>1.08</c:v>
                </c:pt>
                <c:pt idx="4">
                  <c:v>1.1000000000000001</c:v>
                </c:pt>
                <c:pt idx="5">
                  <c:v>1.28</c:v>
                </c:pt>
                <c:pt idx="6">
                  <c:v>1.4</c:v>
                </c:pt>
                <c:pt idx="7">
                  <c:v>1.6</c:v>
                </c:pt>
                <c:pt idx="8">
                  <c:v>1.76</c:v>
                </c:pt>
                <c:pt idx="9">
                  <c:v>1.84</c:v>
                </c:pt>
                <c:pt idx="10">
                  <c:v>1.96000000000001</c:v>
                </c:pt>
                <c:pt idx="11">
                  <c:v>2.1</c:v>
                </c:pt>
                <c:pt idx="12">
                  <c:v>2.2999999999999998</c:v>
                </c:pt>
                <c:pt idx="13">
                  <c:v>2.4</c:v>
                </c:pt>
                <c:pt idx="14">
                  <c:v>2.6</c:v>
                </c:pt>
                <c:pt idx="15">
                  <c:v>2.85</c:v>
                </c:pt>
              </c:numCache>
            </c:numRef>
          </c:yVal>
          <c:smooth val="1"/>
          <c:extLst>
            <c:ext xmlns:c16="http://schemas.microsoft.com/office/drawing/2014/chart" uri="{C3380CC4-5D6E-409C-BE32-E72D297353CC}">
              <c16:uniqueId val="{00000000-E0E2-4E5A-AD8A-C60428D58A01}"/>
            </c:ext>
          </c:extLst>
        </c:ser>
        <c:ser>
          <c:idx val="1"/>
          <c:order val="1"/>
          <c:tx>
            <c:strRef>
              <c:f>2</c:f>
              <c:strCache>
                <c:ptCount val="1"/>
                <c:pt idx="0">
                  <c:v>2</c:v>
                </c:pt>
              </c:strCache>
            </c:strRef>
          </c:tx>
          <c:spPr>
            <a:ln w="22225" cap="rnd" cmpd="sng" algn="ctr">
              <a:solidFill>
                <a:schemeClr val="tx1"/>
              </a:solidFill>
              <a:prstDash val="solid"/>
              <a:round/>
            </a:ln>
          </c:spPr>
          <c:marker>
            <c:symbol val="diamond"/>
            <c:size val="7"/>
            <c:spPr>
              <a:solidFill>
                <a:sysClr val="windowText" lastClr="000000"/>
              </a:solidFill>
              <a:ln w="9525" cap="flat" cmpd="sng" algn="ctr">
                <a:solidFill>
                  <a:schemeClr val="tx1"/>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Лист3!$C$209:$C$224</c:f>
              <c:numCache>
                <c:formatCode>General</c:formatCode>
                <c:ptCount val="16"/>
                <c:pt idx="0">
                  <c:v>4.8</c:v>
                </c:pt>
                <c:pt idx="1">
                  <c:v>0.1</c:v>
                </c:pt>
                <c:pt idx="2">
                  <c:v>0.1</c:v>
                </c:pt>
                <c:pt idx="3">
                  <c:v>0.16</c:v>
                </c:pt>
                <c:pt idx="4">
                  <c:v>0.16</c:v>
                </c:pt>
                <c:pt idx="5">
                  <c:v>0.18</c:v>
                </c:pt>
                <c:pt idx="6">
                  <c:v>0.19</c:v>
                </c:pt>
                <c:pt idx="7">
                  <c:v>0.19</c:v>
                </c:pt>
                <c:pt idx="8">
                  <c:v>0.2</c:v>
                </c:pt>
                <c:pt idx="9">
                  <c:v>0.21</c:v>
                </c:pt>
                <c:pt idx="10">
                  <c:v>0.22</c:v>
                </c:pt>
                <c:pt idx="11">
                  <c:v>0.25</c:v>
                </c:pt>
                <c:pt idx="12">
                  <c:v>0.28999999999999998</c:v>
                </c:pt>
                <c:pt idx="13">
                  <c:v>0.33000000000000201</c:v>
                </c:pt>
                <c:pt idx="14">
                  <c:v>0.41</c:v>
                </c:pt>
                <c:pt idx="15">
                  <c:v>0.52</c:v>
                </c:pt>
              </c:numCache>
            </c:numRef>
          </c:yVal>
          <c:smooth val="1"/>
          <c:extLst>
            <c:ext xmlns:c16="http://schemas.microsoft.com/office/drawing/2014/chart" uri="{C3380CC4-5D6E-409C-BE32-E72D297353CC}">
              <c16:uniqueId val="{00000001-E0E2-4E5A-AD8A-C60428D58A01}"/>
            </c:ext>
          </c:extLst>
        </c:ser>
        <c:ser>
          <c:idx val="2"/>
          <c:order val="2"/>
          <c:tx>
            <c:strRef>
              <c:f>3</c:f>
              <c:strCache>
                <c:ptCount val="1"/>
                <c:pt idx="0">
                  <c:v>3</c:v>
                </c:pt>
              </c:strCache>
            </c:strRef>
          </c:tx>
          <c:spPr>
            <a:ln w="22225" cap="rnd" cmpd="sng" algn="ctr">
              <a:solidFill>
                <a:schemeClr val="tx1"/>
              </a:solidFill>
              <a:prstDash val="solid"/>
              <a:round/>
            </a:ln>
          </c:spPr>
          <c:marker>
            <c:symbol val="triangle"/>
            <c:size val="6"/>
            <c:spPr>
              <a:solidFill>
                <a:sysClr val="windowText" lastClr="000000"/>
              </a:solidFill>
              <a:ln w="9525" cap="flat" cmpd="sng" algn="ctr">
                <a:solidFill>
                  <a:schemeClr val="tx1"/>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Лист3!$D$209:$D$224</c:f>
              <c:numCache>
                <c:formatCode>General</c:formatCode>
                <c:ptCount val="16"/>
                <c:pt idx="0">
                  <c:v>0.56000000000000005</c:v>
                </c:pt>
                <c:pt idx="1">
                  <c:v>0.36</c:v>
                </c:pt>
                <c:pt idx="2">
                  <c:v>0.24</c:v>
                </c:pt>
                <c:pt idx="3">
                  <c:v>0.2</c:v>
                </c:pt>
                <c:pt idx="4">
                  <c:v>0.16</c:v>
                </c:pt>
                <c:pt idx="5">
                  <c:v>0.12</c:v>
                </c:pt>
                <c:pt idx="6">
                  <c:v>0.1</c:v>
                </c:pt>
                <c:pt idx="7">
                  <c:v>0.08</c:v>
                </c:pt>
                <c:pt idx="8">
                  <c:v>0</c:v>
                </c:pt>
                <c:pt idx="9">
                  <c:v>0</c:v>
                </c:pt>
                <c:pt idx="10">
                  <c:v>0</c:v>
                </c:pt>
                <c:pt idx="11">
                  <c:v>0</c:v>
                </c:pt>
                <c:pt idx="12">
                  <c:v>0</c:v>
                </c:pt>
                <c:pt idx="13">
                  <c:v>0</c:v>
                </c:pt>
                <c:pt idx="14">
                  <c:v>0</c:v>
                </c:pt>
                <c:pt idx="15">
                  <c:v>0</c:v>
                </c:pt>
              </c:numCache>
            </c:numRef>
          </c:yVal>
          <c:smooth val="1"/>
          <c:extLst>
            <c:ext xmlns:c16="http://schemas.microsoft.com/office/drawing/2014/chart" uri="{C3380CC4-5D6E-409C-BE32-E72D297353CC}">
              <c16:uniqueId val="{00000002-E0E2-4E5A-AD8A-C60428D58A01}"/>
            </c:ext>
          </c:extLst>
        </c:ser>
        <c:ser>
          <c:idx val="3"/>
          <c:order val="3"/>
          <c:tx>
            <c:strRef>
              <c:f>4</c:f>
              <c:strCache>
                <c:ptCount val="1"/>
                <c:pt idx="0">
                  <c:v>4</c:v>
                </c:pt>
              </c:strCache>
            </c:strRef>
          </c:tx>
          <c:spPr>
            <a:ln w="22225" cap="rnd" cmpd="sng" algn="ctr">
              <a:solidFill>
                <a:schemeClr val="tx1"/>
              </a:solidFill>
              <a:prstDash val="solid"/>
              <a:round/>
            </a:ln>
          </c:spPr>
          <c:marker>
            <c:symbol val="x"/>
            <c:size val="7"/>
            <c:spPr>
              <a:ln w="9525" cap="flat" cmpd="sng" algn="ctr">
                <a:solidFill>
                  <a:schemeClr val="tx1"/>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Лист3!$E$209:$E$224</c:f>
              <c:numCache>
                <c:formatCode>General</c:formatCode>
                <c:ptCount val="16"/>
                <c:pt idx="0">
                  <c:v>4.8</c:v>
                </c:pt>
                <c:pt idx="1">
                  <c:v>0</c:v>
                </c:pt>
                <c:pt idx="2">
                  <c:v>0</c:v>
                </c:pt>
                <c:pt idx="3">
                  <c:v>0</c:v>
                </c:pt>
                <c:pt idx="4">
                  <c:v>0</c:v>
                </c:pt>
                <c:pt idx="5">
                  <c:v>0</c:v>
                </c:pt>
                <c:pt idx="6">
                  <c:v>0</c:v>
                </c:pt>
                <c:pt idx="7">
                  <c:v>0</c:v>
                </c:pt>
                <c:pt idx="8">
                  <c:v>0</c:v>
                </c:pt>
                <c:pt idx="9">
                  <c:v>0.3</c:v>
                </c:pt>
                <c:pt idx="10">
                  <c:v>0.4</c:v>
                </c:pt>
                <c:pt idx="11">
                  <c:v>0.5</c:v>
                </c:pt>
                <c:pt idx="12">
                  <c:v>0.60000000000000098</c:v>
                </c:pt>
                <c:pt idx="13">
                  <c:v>0.70000000000000095</c:v>
                </c:pt>
                <c:pt idx="14">
                  <c:v>0.8</c:v>
                </c:pt>
                <c:pt idx="15">
                  <c:v>1</c:v>
                </c:pt>
              </c:numCache>
            </c:numRef>
          </c:yVal>
          <c:smooth val="1"/>
          <c:extLst>
            <c:ext xmlns:c16="http://schemas.microsoft.com/office/drawing/2014/chart" uri="{C3380CC4-5D6E-409C-BE32-E72D297353CC}">
              <c16:uniqueId val="{00000003-E0E2-4E5A-AD8A-C60428D58A01}"/>
            </c:ext>
          </c:extLst>
        </c:ser>
        <c:ser>
          <c:idx val="4"/>
          <c:order val="4"/>
          <c:tx>
            <c:strRef>
              <c:f>5</c:f>
              <c:strCache>
                <c:ptCount val="1"/>
                <c:pt idx="0">
                  <c:v>5</c:v>
                </c:pt>
              </c:strCache>
            </c:strRef>
          </c:tx>
          <c:spPr>
            <a:ln w="22225" cap="rnd" cmpd="sng" algn="ctr">
              <a:solidFill>
                <a:schemeClr val="tx1"/>
              </a:solidFill>
              <a:prstDash val="sysDot"/>
              <a:round/>
            </a:ln>
          </c:spPr>
          <c:marker>
            <c:symbol val="star"/>
            <c:size val="6"/>
            <c:spPr>
              <a:ln w="9525" cap="flat" cmpd="sng" algn="ctr">
                <a:solidFill>
                  <a:schemeClr val="tx1"/>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Лист3!$F$209:$F$224</c:f>
              <c:numCache>
                <c:formatCode>General</c:formatCode>
                <c:ptCount val="16"/>
                <c:pt idx="0">
                  <c:v>4.8</c:v>
                </c:pt>
                <c:pt idx="1">
                  <c:v>4.9000000000000004</c:v>
                </c:pt>
                <c:pt idx="2">
                  <c:v>4.9000000000000004</c:v>
                </c:pt>
                <c:pt idx="3">
                  <c:v>4.8499999999999996</c:v>
                </c:pt>
                <c:pt idx="4">
                  <c:v>4.8</c:v>
                </c:pt>
                <c:pt idx="5">
                  <c:v>4.75</c:v>
                </c:pt>
                <c:pt idx="6">
                  <c:v>4.7</c:v>
                </c:pt>
                <c:pt idx="7">
                  <c:v>4.7</c:v>
                </c:pt>
                <c:pt idx="8">
                  <c:v>4.6500000000000004</c:v>
                </c:pt>
                <c:pt idx="9">
                  <c:v>4.6500000000000004</c:v>
                </c:pt>
                <c:pt idx="10">
                  <c:v>4.5999999999999996</c:v>
                </c:pt>
                <c:pt idx="11">
                  <c:v>4.5999999999999996</c:v>
                </c:pt>
                <c:pt idx="12">
                  <c:v>4.5999999999999996</c:v>
                </c:pt>
                <c:pt idx="13">
                  <c:v>4.62</c:v>
                </c:pt>
                <c:pt idx="14">
                  <c:v>4.6100000000000003</c:v>
                </c:pt>
                <c:pt idx="15">
                  <c:v>4.5999999999999996</c:v>
                </c:pt>
              </c:numCache>
            </c:numRef>
          </c:yVal>
          <c:smooth val="1"/>
          <c:extLst>
            <c:ext xmlns:c16="http://schemas.microsoft.com/office/drawing/2014/chart" uri="{C3380CC4-5D6E-409C-BE32-E72D297353CC}">
              <c16:uniqueId val="{00000004-E0E2-4E5A-AD8A-C60428D58A01}"/>
            </c:ext>
          </c:extLst>
        </c:ser>
        <c:dLbls>
          <c:showLegendKey val="0"/>
          <c:showVal val="0"/>
          <c:showCatName val="0"/>
          <c:showSerName val="0"/>
          <c:showPercent val="0"/>
          <c:showBubbleSize val="0"/>
        </c:dLbls>
        <c:axId val="241140096"/>
        <c:axId val="241142400"/>
      </c:scatterChart>
      <c:scatterChart>
        <c:scatterStyle val="smoothMarker"/>
        <c:varyColors val="0"/>
        <c:ser>
          <c:idx val="5"/>
          <c:order val="5"/>
          <c:tx>
            <c:strRef>
              <c:f>6</c:f>
              <c:strCache>
                <c:ptCount val="1"/>
                <c:pt idx="0">
                  <c:v>6</c:v>
                </c:pt>
              </c:strCache>
            </c:strRef>
          </c:tx>
          <c:spPr>
            <a:ln w="22225" cap="rnd" cmpd="sng" algn="ctr">
              <a:solidFill>
                <a:schemeClr val="tx1"/>
              </a:solidFill>
              <a:prstDash val="solid"/>
              <a:round/>
            </a:ln>
          </c:spPr>
          <c:marker>
            <c:symbol val="circle"/>
            <c:size val="6"/>
            <c:spPr>
              <a:noFill/>
              <a:ln w="9525" cap="flat" cmpd="sng" algn="ctr">
                <a:solidFill>
                  <a:schemeClr val="tx1"/>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Лист3!$G$209:$G$224</c:f>
              <c:numCache>
                <c:formatCode>General</c:formatCode>
                <c:ptCount val="16"/>
                <c:pt idx="0">
                  <c:v>30</c:v>
                </c:pt>
                <c:pt idx="1">
                  <c:v>0</c:v>
                </c:pt>
                <c:pt idx="2">
                  <c:v>0</c:v>
                </c:pt>
                <c:pt idx="3">
                  <c:v>0</c:v>
                </c:pt>
                <c:pt idx="4">
                  <c:v>0</c:v>
                </c:pt>
                <c:pt idx="5">
                  <c:v>0.4</c:v>
                </c:pt>
                <c:pt idx="6">
                  <c:v>0.44</c:v>
                </c:pt>
                <c:pt idx="7">
                  <c:v>0.45</c:v>
                </c:pt>
                <c:pt idx="8">
                  <c:v>0.44</c:v>
                </c:pt>
                <c:pt idx="9">
                  <c:v>0.4</c:v>
                </c:pt>
                <c:pt idx="10">
                  <c:v>0.4</c:v>
                </c:pt>
                <c:pt idx="11">
                  <c:v>0.45</c:v>
                </c:pt>
                <c:pt idx="12">
                  <c:v>0.54</c:v>
                </c:pt>
                <c:pt idx="13">
                  <c:v>0.70000000000000095</c:v>
                </c:pt>
                <c:pt idx="14">
                  <c:v>1.35</c:v>
                </c:pt>
                <c:pt idx="15">
                  <c:v>1.6</c:v>
                </c:pt>
              </c:numCache>
            </c:numRef>
          </c:yVal>
          <c:smooth val="1"/>
          <c:extLst>
            <c:ext xmlns:c16="http://schemas.microsoft.com/office/drawing/2014/chart" uri="{C3380CC4-5D6E-409C-BE32-E72D297353CC}">
              <c16:uniqueId val="{00000005-E0E2-4E5A-AD8A-C60428D58A01}"/>
            </c:ext>
          </c:extLst>
        </c:ser>
        <c:ser>
          <c:idx val="6"/>
          <c:order val="6"/>
          <c:tx>
            <c:strRef>
              <c:f>7</c:f>
              <c:strCache>
                <c:ptCount val="1"/>
                <c:pt idx="0">
                  <c:v>7</c:v>
                </c:pt>
              </c:strCache>
            </c:strRef>
          </c:tx>
          <c:spPr>
            <a:ln w="22225" cap="rnd" cmpd="sng" algn="ctr">
              <a:solidFill>
                <a:schemeClr val="tx1"/>
              </a:solidFill>
              <a:prstDash val="solid"/>
              <a:round/>
            </a:ln>
          </c:spPr>
          <c:marker>
            <c:symbol val="square"/>
            <c:size val="6"/>
            <c:spPr>
              <a:noFill/>
              <a:ln w="9525" cap="flat" cmpd="sng" algn="ctr">
                <a:solidFill>
                  <a:prstClr val="black"/>
                </a:solidFill>
                <a:prstDash val="solid"/>
                <a:round/>
              </a:ln>
            </c:spPr>
          </c:marker>
          <c:xVal>
            <c:numRef>
              <c:f>Лист3!$A$209:$A$224</c:f>
              <c:numCache>
                <c:formatCode>General</c:formatCode>
                <c:ptCount val="16"/>
                <c:pt idx="0">
                  <c:v>0</c:v>
                </c:pt>
                <c:pt idx="1">
                  <c:v>0.60000000000000098</c:v>
                </c:pt>
                <c:pt idx="2">
                  <c:v>1.2</c:v>
                </c:pt>
                <c:pt idx="3">
                  <c:v>1.8</c:v>
                </c:pt>
                <c:pt idx="4">
                  <c:v>2.4</c:v>
                </c:pt>
                <c:pt idx="5">
                  <c:v>3</c:v>
                </c:pt>
                <c:pt idx="6">
                  <c:v>3.6</c:v>
                </c:pt>
                <c:pt idx="7">
                  <c:v>4.2</c:v>
                </c:pt>
                <c:pt idx="8">
                  <c:v>4.8</c:v>
                </c:pt>
                <c:pt idx="9">
                  <c:v>5.4</c:v>
                </c:pt>
                <c:pt idx="10">
                  <c:v>6</c:v>
                </c:pt>
                <c:pt idx="11">
                  <c:v>6.6</c:v>
                </c:pt>
                <c:pt idx="12">
                  <c:v>7.2</c:v>
                </c:pt>
                <c:pt idx="13">
                  <c:v>7.8</c:v>
                </c:pt>
                <c:pt idx="14">
                  <c:v>8.4</c:v>
                </c:pt>
                <c:pt idx="15">
                  <c:v>9</c:v>
                </c:pt>
              </c:numCache>
            </c:numRef>
          </c:xVal>
          <c:yVal>
            <c:numRef>
              <c:f>Лист3!$H$209:$H$224</c:f>
              <c:numCache>
                <c:formatCode>General</c:formatCode>
                <c:ptCount val="16"/>
                <c:pt idx="0">
                  <c:v>30</c:v>
                </c:pt>
                <c:pt idx="1">
                  <c:v>0.05</c:v>
                </c:pt>
                <c:pt idx="2">
                  <c:v>0.15</c:v>
                </c:pt>
                <c:pt idx="3">
                  <c:v>0.25</c:v>
                </c:pt>
                <c:pt idx="4">
                  <c:v>0.44</c:v>
                </c:pt>
                <c:pt idx="5">
                  <c:v>0.45</c:v>
                </c:pt>
                <c:pt idx="6">
                  <c:v>0.55000000000000004</c:v>
                </c:pt>
                <c:pt idx="7">
                  <c:v>0.89</c:v>
                </c:pt>
                <c:pt idx="8">
                  <c:v>0.95000000000000095</c:v>
                </c:pt>
                <c:pt idx="9">
                  <c:v>1.05</c:v>
                </c:pt>
                <c:pt idx="10">
                  <c:v>1.1000000000000001</c:v>
                </c:pt>
                <c:pt idx="11">
                  <c:v>1</c:v>
                </c:pt>
                <c:pt idx="12">
                  <c:v>1.1499999999999899</c:v>
                </c:pt>
                <c:pt idx="13">
                  <c:v>1.25</c:v>
                </c:pt>
                <c:pt idx="14">
                  <c:v>1.8</c:v>
                </c:pt>
                <c:pt idx="15">
                  <c:v>2.5</c:v>
                </c:pt>
              </c:numCache>
            </c:numRef>
          </c:yVal>
          <c:smooth val="1"/>
          <c:extLst>
            <c:ext xmlns:c16="http://schemas.microsoft.com/office/drawing/2014/chart" uri="{C3380CC4-5D6E-409C-BE32-E72D297353CC}">
              <c16:uniqueId val="{00000006-E0E2-4E5A-AD8A-C60428D58A01}"/>
            </c:ext>
          </c:extLst>
        </c:ser>
        <c:dLbls>
          <c:showLegendKey val="0"/>
          <c:showVal val="0"/>
          <c:showCatName val="0"/>
          <c:showSerName val="0"/>
          <c:showPercent val="0"/>
          <c:showBubbleSize val="0"/>
        </c:dLbls>
        <c:axId val="241148672"/>
        <c:axId val="241150208"/>
      </c:scatterChart>
      <c:valAx>
        <c:axId val="241140096"/>
        <c:scaling>
          <c:orientation val="minMax"/>
          <c:max val="9"/>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p-y,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84883436531759504"/>
              <c:y val="0.90822909331455604"/>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1142400"/>
        <c:crosses val="autoZero"/>
        <c:crossBetween val="midCat"/>
        <c:majorUnit val="1"/>
        <c:minorUnit val="0.12"/>
      </c:valAx>
      <c:valAx>
        <c:axId val="241142400"/>
        <c:scaling>
          <c:orientation val="minMax"/>
          <c:max val="5"/>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Ж, Л, К, мг-екв/дм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9.8608428663398404E-4"/>
              <c:y val="0.150058704493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1140096"/>
        <c:crosses val="autoZero"/>
        <c:crossBetween val="midCat"/>
        <c:majorUnit val="1"/>
      </c:valAx>
      <c:valAx>
        <c:axId val="241148672"/>
        <c:scaling>
          <c:orientation val="minMax"/>
        </c:scaling>
        <c:delete val="1"/>
        <c:axPos val="b"/>
        <c:numFmt formatCode="General" sourceLinked="1"/>
        <c:majorTickMark val="out"/>
        <c:minorTickMark val="none"/>
        <c:tickLblPos val="none"/>
        <c:crossAx val="241150208"/>
        <c:crosses val="autoZero"/>
        <c:crossBetween val="midCat"/>
      </c:valAx>
      <c:valAx>
        <c:axId val="241150208"/>
        <c:scaling>
          <c:orientation val="minMax"/>
          <c:max val="30"/>
          <c:min val="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Cu,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91926219167355405"/>
              <c:y val="0.299649190192688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1148672"/>
        <c:crosses val="max"/>
        <c:crossBetween val="midCat"/>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3051618547681701"/>
          <c:y val="2.82524059492563E-2"/>
          <c:w val="0.79136570428695996"/>
          <c:h val="0.74970373021554304"/>
        </c:manualLayout>
      </c:layout>
      <c:scatterChart>
        <c:scatterStyle val="lineMarker"/>
        <c:varyColors val="0"/>
        <c:ser>
          <c:idx val="0"/>
          <c:order val="0"/>
          <c:tx>
            <c:strRef>
              <c:f>1</c:f>
              <c:strCache>
                <c:ptCount val="1"/>
                <c:pt idx="0">
                  <c:v>1</c:v>
                </c:pt>
              </c:strCache>
            </c:strRef>
          </c:tx>
          <c:spPr>
            <a:ln w="22225" cap="rnd" cmpd="sng" algn="ctr">
              <a:solidFill>
                <a:schemeClr val="tx1"/>
              </a:solidFill>
              <a:prstDash val="solid"/>
              <a:round/>
            </a:ln>
          </c:spPr>
          <c:marker>
            <c:symbol val="diamond"/>
            <c:size val="8"/>
            <c:spPr>
              <a:solidFill>
                <a:sysClr val="windowText" lastClr="000000"/>
              </a:solid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Лист3!$B$183:$B$193</c:f>
              <c:numCache>
                <c:formatCode>General</c:formatCode>
                <c:ptCount val="11"/>
                <c:pt idx="0">
                  <c:v>0</c:v>
                </c:pt>
                <c:pt idx="1">
                  <c:v>100</c:v>
                </c:pt>
                <c:pt idx="2">
                  <c:v>100</c:v>
                </c:pt>
                <c:pt idx="3">
                  <c:v>99.33</c:v>
                </c:pt>
                <c:pt idx="4">
                  <c:v>98.6</c:v>
                </c:pt>
                <c:pt idx="5">
                  <c:v>98.5</c:v>
                </c:pt>
                <c:pt idx="6">
                  <c:v>98.45</c:v>
                </c:pt>
                <c:pt idx="7">
                  <c:v>96.87</c:v>
                </c:pt>
                <c:pt idx="8">
                  <c:v>94.67</c:v>
                </c:pt>
                <c:pt idx="9">
                  <c:v>92.33</c:v>
                </c:pt>
                <c:pt idx="10">
                  <c:v>91.75</c:v>
                </c:pt>
              </c:numCache>
            </c:numRef>
          </c:yVal>
          <c:smooth val="0"/>
          <c:extLst>
            <c:ext xmlns:c16="http://schemas.microsoft.com/office/drawing/2014/chart" uri="{C3380CC4-5D6E-409C-BE32-E72D297353CC}">
              <c16:uniqueId val="{00000000-6960-4AC7-9CDF-CE668BA0A3CE}"/>
            </c:ext>
          </c:extLst>
        </c:ser>
        <c:ser>
          <c:idx val="1"/>
          <c:order val="1"/>
          <c:tx>
            <c:strRef>
              <c:f>2</c:f>
              <c:strCache>
                <c:ptCount val="1"/>
                <c:pt idx="0">
                  <c:v>2</c:v>
                </c:pt>
              </c:strCache>
            </c:strRef>
          </c:tx>
          <c:spPr>
            <a:ln w="15875" cap="rnd" cmpd="sng" algn="ctr">
              <a:solidFill>
                <a:schemeClr val="tx1"/>
              </a:solidFill>
              <a:prstDash val="solid"/>
              <a:round/>
            </a:ln>
          </c:spPr>
          <c:marker>
            <c:symbol val="square"/>
            <c:size val="6"/>
            <c:spPr>
              <a:no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Лист3!$C$183:$C$193</c:f>
              <c:numCache>
                <c:formatCode>General</c:formatCode>
                <c:ptCount val="11"/>
                <c:pt idx="0">
                  <c:v>0</c:v>
                </c:pt>
                <c:pt idx="1">
                  <c:v>99.83</c:v>
                </c:pt>
                <c:pt idx="2">
                  <c:v>99.5</c:v>
                </c:pt>
                <c:pt idx="3">
                  <c:v>98.5</c:v>
                </c:pt>
                <c:pt idx="4">
                  <c:v>98.16</c:v>
                </c:pt>
                <c:pt idx="5">
                  <c:v>96.8</c:v>
                </c:pt>
                <c:pt idx="6">
                  <c:v>96.33</c:v>
                </c:pt>
                <c:pt idx="7">
                  <c:v>96.17</c:v>
                </c:pt>
                <c:pt idx="8">
                  <c:v>94</c:v>
                </c:pt>
                <c:pt idx="9">
                  <c:v>91.67</c:v>
                </c:pt>
                <c:pt idx="10">
                  <c:v>91.01</c:v>
                </c:pt>
              </c:numCache>
            </c:numRef>
          </c:yVal>
          <c:smooth val="0"/>
          <c:extLst>
            <c:ext xmlns:c16="http://schemas.microsoft.com/office/drawing/2014/chart" uri="{C3380CC4-5D6E-409C-BE32-E72D297353CC}">
              <c16:uniqueId val="{00000001-6960-4AC7-9CDF-CE668BA0A3CE}"/>
            </c:ext>
          </c:extLst>
        </c:ser>
        <c:ser>
          <c:idx val="2"/>
          <c:order val="2"/>
          <c:tx>
            <c:strRef>
              <c:f>3</c:f>
              <c:strCache>
                <c:ptCount val="1"/>
                <c:pt idx="0">
                  <c:v>3</c:v>
                </c:pt>
              </c:strCache>
            </c:strRef>
          </c:tx>
          <c:spPr>
            <a:ln w="19050" cap="rnd" cmpd="sng" algn="ctr">
              <a:solidFill>
                <a:schemeClr val="tx1"/>
              </a:solidFill>
              <a:prstDash val="solid"/>
              <a:round/>
            </a:ln>
          </c:spPr>
          <c:marker>
            <c:symbol val="triangle"/>
            <c:size val="6"/>
            <c:spPr>
              <a:no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Лист3!$D$183:$D$193</c:f>
              <c:numCache>
                <c:formatCode>General</c:formatCode>
                <c:ptCount val="11"/>
                <c:pt idx="0">
                  <c:v>0</c:v>
                </c:pt>
                <c:pt idx="1">
                  <c:v>100</c:v>
                </c:pt>
                <c:pt idx="2">
                  <c:v>100</c:v>
                </c:pt>
                <c:pt idx="3">
                  <c:v>100</c:v>
                </c:pt>
                <c:pt idx="4">
                  <c:v>100</c:v>
                </c:pt>
                <c:pt idx="5">
                  <c:v>100</c:v>
                </c:pt>
                <c:pt idx="6">
                  <c:v>100</c:v>
                </c:pt>
                <c:pt idx="7">
                  <c:v>100</c:v>
                </c:pt>
                <c:pt idx="8">
                  <c:v>90</c:v>
                </c:pt>
                <c:pt idx="9">
                  <c:v>80</c:v>
                </c:pt>
                <c:pt idx="10">
                  <c:v>79.5</c:v>
                </c:pt>
              </c:numCache>
            </c:numRef>
          </c:yVal>
          <c:smooth val="0"/>
          <c:extLst>
            <c:ext xmlns:c16="http://schemas.microsoft.com/office/drawing/2014/chart" uri="{C3380CC4-5D6E-409C-BE32-E72D297353CC}">
              <c16:uniqueId val="{00000002-6960-4AC7-9CDF-CE668BA0A3CE}"/>
            </c:ext>
          </c:extLst>
        </c:ser>
        <c:ser>
          <c:idx val="3"/>
          <c:order val="3"/>
          <c:tx>
            <c:strRef>
              <c:f>4</c:f>
              <c:strCache>
                <c:ptCount val="1"/>
                <c:pt idx="0">
                  <c:v>4</c:v>
                </c:pt>
              </c:strCache>
            </c:strRef>
          </c:tx>
          <c:spPr>
            <a:ln w="22225" cap="rnd" cmpd="sng" algn="ctr">
              <a:solidFill>
                <a:schemeClr val="tx1"/>
              </a:solidFill>
              <a:prstDash val="solid"/>
              <a:round/>
            </a:ln>
          </c:spPr>
          <c:marker>
            <c:symbol val="x"/>
            <c:size val="6"/>
            <c:spPr>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Лист3!$E$183:$E$193</c:f>
              <c:numCache>
                <c:formatCode>General</c:formatCode>
                <c:ptCount val="11"/>
                <c:pt idx="0">
                  <c:v>0</c:v>
                </c:pt>
                <c:pt idx="1">
                  <c:v>100</c:v>
                </c:pt>
                <c:pt idx="2">
                  <c:v>100</c:v>
                </c:pt>
                <c:pt idx="3">
                  <c:v>100</c:v>
                </c:pt>
                <c:pt idx="4">
                  <c:v>99</c:v>
                </c:pt>
                <c:pt idx="5">
                  <c:v>99</c:v>
                </c:pt>
                <c:pt idx="6">
                  <c:v>98</c:v>
                </c:pt>
                <c:pt idx="7">
                  <c:v>90</c:v>
                </c:pt>
                <c:pt idx="8">
                  <c:v>80</c:v>
                </c:pt>
                <c:pt idx="9">
                  <c:v>80</c:v>
                </c:pt>
                <c:pt idx="10">
                  <c:v>75</c:v>
                </c:pt>
              </c:numCache>
            </c:numRef>
          </c:yVal>
          <c:smooth val="0"/>
          <c:extLst>
            <c:ext xmlns:c16="http://schemas.microsoft.com/office/drawing/2014/chart" uri="{C3380CC4-5D6E-409C-BE32-E72D297353CC}">
              <c16:uniqueId val="{00000003-6960-4AC7-9CDF-CE668BA0A3CE}"/>
            </c:ext>
          </c:extLst>
        </c:ser>
        <c:ser>
          <c:idx val="4"/>
          <c:order val="4"/>
          <c:tx>
            <c:strRef>
              <c:f>5</c:f>
              <c:strCache>
                <c:ptCount val="1"/>
                <c:pt idx="0">
                  <c:v>5</c:v>
                </c:pt>
              </c:strCache>
            </c:strRef>
          </c:tx>
          <c:spPr>
            <a:ln w="22225" cap="rnd" cmpd="sng" algn="ctr">
              <a:solidFill>
                <a:schemeClr val="tx1"/>
              </a:solidFill>
              <a:prstDash val="sysDash"/>
              <a:round/>
            </a:ln>
          </c:spPr>
          <c:marker>
            <c:symbol val="square"/>
            <c:size val="5"/>
            <c:spPr>
              <a:solidFill>
                <a:schemeClr val="tx1"/>
              </a:solid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Лист3!$F$183:$F$193</c:f>
              <c:numCache>
                <c:formatCode>General</c:formatCode>
                <c:ptCount val="11"/>
                <c:pt idx="0">
                  <c:v>0</c:v>
                </c:pt>
                <c:pt idx="1">
                  <c:v>87.5</c:v>
                </c:pt>
                <c:pt idx="2">
                  <c:v>79.17</c:v>
                </c:pt>
                <c:pt idx="3">
                  <c:v>73.33</c:v>
                </c:pt>
                <c:pt idx="4">
                  <c:v>70.8</c:v>
                </c:pt>
                <c:pt idx="5">
                  <c:v>63.33</c:v>
                </c:pt>
                <c:pt idx="6">
                  <c:v>59.16</c:v>
                </c:pt>
                <c:pt idx="7">
                  <c:v>56.25</c:v>
                </c:pt>
                <c:pt idx="8">
                  <c:v>54.3</c:v>
                </c:pt>
                <c:pt idx="9">
                  <c:v>52.1</c:v>
                </c:pt>
                <c:pt idx="10">
                  <c:v>50.05</c:v>
                </c:pt>
              </c:numCache>
            </c:numRef>
          </c:yVal>
          <c:smooth val="0"/>
          <c:extLst>
            <c:ext xmlns:c16="http://schemas.microsoft.com/office/drawing/2014/chart" uri="{C3380CC4-5D6E-409C-BE32-E72D297353CC}">
              <c16:uniqueId val="{00000004-6960-4AC7-9CDF-CE668BA0A3CE}"/>
            </c:ext>
          </c:extLst>
        </c:ser>
        <c:ser>
          <c:idx val="5"/>
          <c:order val="5"/>
          <c:tx>
            <c:strRef>
              <c:f>6</c:f>
              <c:strCache>
                <c:ptCount val="1"/>
                <c:pt idx="0">
                  <c:v>6</c:v>
                </c:pt>
              </c:strCache>
            </c:strRef>
          </c:tx>
          <c:spPr>
            <a:ln w="15875" cap="rnd" cmpd="sng" algn="ctr">
              <a:solidFill>
                <a:schemeClr val="tx1"/>
              </a:solidFill>
              <a:prstDash val="solid"/>
              <a:round/>
            </a:ln>
          </c:spPr>
          <c:marker>
            <c:symbol val="circle"/>
            <c:size val="6"/>
            <c:spPr>
              <a:no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Лист3!$G$183:$G$193</c:f>
              <c:numCache>
                <c:formatCode>General</c:formatCode>
                <c:ptCount val="11"/>
                <c:pt idx="0">
                  <c:v>0</c:v>
                </c:pt>
                <c:pt idx="1">
                  <c:v>97.92</c:v>
                </c:pt>
                <c:pt idx="2">
                  <c:v>96.67</c:v>
                </c:pt>
                <c:pt idx="3">
                  <c:v>96.25</c:v>
                </c:pt>
                <c:pt idx="4">
                  <c:v>96.04</c:v>
                </c:pt>
                <c:pt idx="5">
                  <c:v>95.83</c:v>
                </c:pt>
                <c:pt idx="6">
                  <c:v>95.42</c:v>
                </c:pt>
                <c:pt idx="7">
                  <c:v>93.96</c:v>
                </c:pt>
                <c:pt idx="8">
                  <c:v>93.13</c:v>
                </c:pt>
                <c:pt idx="9">
                  <c:v>91.46</c:v>
                </c:pt>
                <c:pt idx="10">
                  <c:v>89.17</c:v>
                </c:pt>
              </c:numCache>
            </c:numRef>
          </c:yVal>
          <c:smooth val="0"/>
          <c:extLst>
            <c:ext xmlns:c16="http://schemas.microsoft.com/office/drawing/2014/chart" uri="{C3380CC4-5D6E-409C-BE32-E72D297353CC}">
              <c16:uniqueId val="{00000005-6960-4AC7-9CDF-CE668BA0A3CE}"/>
            </c:ext>
          </c:extLst>
        </c:ser>
        <c:ser>
          <c:idx val="6"/>
          <c:order val="6"/>
          <c:tx>
            <c:strRef>
              <c:f>7</c:f>
              <c:strCache>
                <c:ptCount val="1"/>
                <c:pt idx="0">
                  <c:v>7</c:v>
                </c:pt>
              </c:strCache>
            </c:strRef>
          </c:tx>
          <c:spPr>
            <a:ln w="22225" cap="rnd" cmpd="sng" algn="ctr">
              <a:solidFill>
                <a:schemeClr val="tx1"/>
              </a:solidFill>
              <a:prstDash val="sysDot"/>
              <a:round/>
            </a:ln>
          </c:spPr>
          <c:marker>
            <c:symbol val="star"/>
            <c:size val="7"/>
            <c:spPr>
              <a:no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Лист3!$H$183:$H$193</c:f>
              <c:numCache>
                <c:formatCode>General</c:formatCode>
                <c:ptCount val="11"/>
                <c:pt idx="0">
                  <c:v>0</c:v>
                </c:pt>
                <c:pt idx="1">
                  <c:v>98.33</c:v>
                </c:pt>
                <c:pt idx="2">
                  <c:v>98.33</c:v>
                </c:pt>
                <c:pt idx="3">
                  <c:v>97.92</c:v>
                </c:pt>
                <c:pt idx="4">
                  <c:v>97.5</c:v>
                </c:pt>
                <c:pt idx="5">
                  <c:v>97.5</c:v>
                </c:pt>
                <c:pt idx="6">
                  <c:v>97.25</c:v>
                </c:pt>
                <c:pt idx="7">
                  <c:v>97.12</c:v>
                </c:pt>
                <c:pt idx="8">
                  <c:v>97.08</c:v>
                </c:pt>
                <c:pt idx="9">
                  <c:v>96.25</c:v>
                </c:pt>
                <c:pt idx="10">
                  <c:v>95.41</c:v>
                </c:pt>
              </c:numCache>
            </c:numRef>
          </c:yVal>
          <c:smooth val="0"/>
          <c:extLst>
            <c:ext xmlns:c16="http://schemas.microsoft.com/office/drawing/2014/chart" uri="{C3380CC4-5D6E-409C-BE32-E72D297353CC}">
              <c16:uniqueId val="{00000006-6960-4AC7-9CDF-CE668BA0A3CE}"/>
            </c:ext>
          </c:extLst>
        </c:ser>
        <c:ser>
          <c:idx val="7"/>
          <c:order val="7"/>
          <c:tx>
            <c:strRef>
              <c:f>8</c:f>
              <c:strCache>
                <c:ptCount val="1"/>
                <c:pt idx="0">
                  <c:v>8</c:v>
                </c:pt>
              </c:strCache>
            </c:strRef>
          </c:tx>
          <c:spPr>
            <a:ln w="22225" cap="rnd" cmpd="sng" algn="ctr">
              <a:solidFill>
                <a:schemeClr val="tx1"/>
              </a:solidFill>
              <a:prstDash val="dash"/>
              <a:round/>
            </a:ln>
          </c:spPr>
          <c:marker>
            <c:symbol val="triangle"/>
            <c:size val="6"/>
            <c:spPr>
              <a:solidFill>
                <a:schemeClr val="tx1"/>
              </a:solidFill>
              <a:ln w="9525" cap="flat" cmpd="sng" algn="ctr">
                <a:solidFill>
                  <a:schemeClr val="tx1"/>
                </a:solidFill>
                <a:prstDash val="solid"/>
                <a:round/>
              </a:ln>
            </c:spPr>
          </c:marker>
          <c:xVal>
            <c:numRef>
              <c:f>Лист3!$A$183:$A$193</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Лист3!$I$183:$I$193</c:f>
              <c:numCache>
                <c:formatCode>General</c:formatCode>
                <c:ptCount val="11"/>
                <c:pt idx="0">
                  <c:v>0</c:v>
                </c:pt>
                <c:pt idx="1">
                  <c:v>90</c:v>
                </c:pt>
                <c:pt idx="2">
                  <c:v>90</c:v>
                </c:pt>
                <c:pt idx="3">
                  <c:v>89.17</c:v>
                </c:pt>
                <c:pt idx="4">
                  <c:v>85.8</c:v>
                </c:pt>
                <c:pt idx="5">
                  <c:v>85</c:v>
                </c:pt>
                <c:pt idx="6">
                  <c:v>82.5</c:v>
                </c:pt>
                <c:pt idx="7">
                  <c:v>81.25</c:v>
                </c:pt>
                <c:pt idx="8">
                  <c:v>80</c:v>
                </c:pt>
                <c:pt idx="9">
                  <c:v>76.87</c:v>
                </c:pt>
                <c:pt idx="10">
                  <c:v>72.91</c:v>
                </c:pt>
              </c:numCache>
            </c:numRef>
          </c:yVal>
          <c:smooth val="0"/>
          <c:extLst>
            <c:ext xmlns:c16="http://schemas.microsoft.com/office/drawing/2014/chart" uri="{C3380CC4-5D6E-409C-BE32-E72D297353CC}">
              <c16:uniqueId val="{00000007-6960-4AC7-9CDF-CE668BA0A3CE}"/>
            </c:ext>
          </c:extLst>
        </c:ser>
        <c:dLbls>
          <c:showLegendKey val="0"/>
          <c:showVal val="0"/>
          <c:showCatName val="0"/>
          <c:showSerName val="0"/>
          <c:showPercent val="0"/>
          <c:showBubbleSize val="0"/>
        </c:dLbls>
        <c:axId val="241330432"/>
        <c:axId val="241357568"/>
      </c:scatterChart>
      <c:valAx>
        <c:axId val="241330432"/>
        <c:scaling>
          <c:orientation val="minMax"/>
          <c:max val="1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p-y,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84512592414498"/>
              <c:y val="0.89486518730613196"/>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1357568"/>
        <c:crosses val="autoZero"/>
        <c:crossBetween val="midCat"/>
        <c:majorUnit val="1"/>
      </c:valAx>
      <c:valAx>
        <c:axId val="241357568"/>
        <c:scaling>
          <c:orientation val="minMax"/>
          <c:max val="100"/>
          <c:min val="5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 %</a:t>
                </a:r>
                <a:endParaRPr lang="ru-RU" sz="1200" b="1">
                  <a:latin typeface="Times New Roman" panose="02020603050405020304" charset="0"/>
                  <a:cs typeface="Times New Roman" panose="02020603050405020304" charset="0"/>
                </a:endParaRPr>
              </a:p>
            </c:rich>
          </c:tx>
          <c:layout>
            <c:manualLayout>
              <c:xMode val="edge"/>
              <c:yMode val="edge"/>
              <c:x val="2.7777443850053401E-3"/>
              <c:y val="0.273842360614016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1330432"/>
        <c:crosses val="autoZero"/>
        <c:crossBetween val="midCat"/>
        <c:majorUnit val="1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503013704314601"/>
          <c:y val="5.7525943872400599E-2"/>
          <c:w val="0.68591785710580699"/>
          <c:h val="0.76167720838174002"/>
        </c:manualLayout>
      </c:layout>
      <c:scatterChart>
        <c:scatterStyle val="smoothMarker"/>
        <c:varyColors val="0"/>
        <c:ser>
          <c:idx val="0"/>
          <c:order val="0"/>
          <c:tx>
            <c:strRef>
              <c:f>1</c:f>
              <c:strCache>
                <c:ptCount val="1"/>
                <c:pt idx="0">
                  <c:v>1</c:v>
                </c:pt>
              </c:strCache>
            </c:strRef>
          </c:tx>
          <c:spPr>
            <a:ln w="22225" cap="rnd" cmpd="sng" algn="ctr">
              <a:solidFill>
                <a:schemeClr val="tx1"/>
              </a:solidFill>
              <a:prstDash val="solid"/>
              <a:round/>
            </a:ln>
          </c:spPr>
          <c:marker>
            <c:symbol val="diamond"/>
            <c:size val="6"/>
            <c:spPr>
              <a:solidFill>
                <a:schemeClr val="tx1"/>
              </a:solidFill>
              <a:ln w="9525" cap="flat" cmpd="sng" algn="ctr">
                <a:solidFill>
                  <a:prstClr val="black"/>
                </a:solidFill>
                <a:prstDash val="solid"/>
                <a:round/>
              </a:ln>
            </c:spPr>
          </c:marker>
          <c:xVal>
            <c:numRef>
              <c:f>Лист3!$A$156:$A$180</c:f>
              <c:numCache>
                <c:formatCode>General</c:formatCode>
                <c:ptCount val="25"/>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pt idx="23">
                  <c:v>11.5</c:v>
                </c:pt>
                <c:pt idx="24">
                  <c:v>12</c:v>
                </c:pt>
              </c:numCache>
            </c:numRef>
          </c:xVal>
          <c:yVal>
            <c:numRef>
              <c:f>Лист3!$B$156:$B$180</c:f>
              <c:numCache>
                <c:formatCode>General</c:formatCode>
                <c:ptCount val="25"/>
                <c:pt idx="0">
                  <c:v>4.8</c:v>
                </c:pt>
                <c:pt idx="1">
                  <c:v>0.08</c:v>
                </c:pt>
                <c:pt idx="2">
                  <c:v>0.08</c:v>
                </c:pt>
                <c:pt idx="3">
                  <c:v>0.08</c:v>
                </c:pt>
                <c:pt idx="4">
                  <c:v>0.08</c:v>
                </c:pt>
                <c:pt idx="5">
                  <c:v>0.08</c:v>
                </c:pt>
                <c:pt idx="6">
                  <c:v>0.1</c:v>
                </c:pt>
                <c:pt idx="7">
                  <c:v>0.1</c:v>
                </c:pt>
                <c:pt idx="8">
                  <c:v>0.1</c:v>
                </c:pt>
                <c:pt idx="9">
                  <c:v>0.1</c:v>
                </c:pt>
                <c:pt idx="10">
                  <c:v>0.12</c:v>
                </c:pt>
                <c:pt idx="11">
                  <c:v>0.12</c:v>
                </c:pt>
                <c:pt idx="12">
                  <c:v>0.12</c:v>
                </c:pt>
                <c:pt idx="13">
                  <c:v>0.12</c:v>
                </c:pt>
                <c:pt idx="14">
                  <c:v>0.12</c:v>
                </c:pt>
                <c:pt idx="15">
                  <c:v>0.12</c:v>
                </c:pt>
                <c:pt idx="16">
                  <c:v>0.14000000000000001</c:v>
                </c:pt>
                <c:pt idx="17">
                  <c:v>0.14000000000000001</c:v>
                </c:pt>
                <c:pt idx="18">
                  <c:v>0.18</c:v>
                </c:pt>
                <c:pt idx="19">
                  <c:v>0.2</c:v>
                </c:pt>
                <c:pt idx="20">
                  <c:v>0.22</c:v>
                </c:pt>
              </c:numCache>
            </c:numRef>
          </c:yVal>
          <c:smooth val="1"/>
          <c:extLst>
            <c:ext xmlns:c16="http://schemas.microsoft.com/office/drawing/2014/chart" uri="{C3380CC4-5D6E-409C-BE32-E72D297353CC}">
              <c16:uniqueId val="{00000000-1F9D-4D73-ACFF-98117A83DBEF}"/>
            </c:ext>
          </c:extLst>
        </c:ser>
        <c:ser>
          <c:idx val="1"/>
          <c:order val="1"/>
          <c:tx>
            <c:strRef>
              <c:f>2</c:f>
              <c:strCache>
                <c:ptCount val="1"/>
                <c:pt idx="0">
                  <c:v>2</c:v>
                </c:pt>
              </c:strCache>
            </c:strRef>
          </c:tx>
          <c:spPr>
            <a:ln w="22225" cap="rnd" cmpd="sng" algn="ctr">
              <a:solidFill>
                <a:schemeClr val="tx1"/>
              </a:solidFill>
              <a:prstDash val="solid"/>
              <a:round/>
            </a:ln>
          </c:spPr>
          <c:marker>
            <c:symbol val="square"/>
            <c:size val="5"/>
            <c:spPr>
              <a:noFill/>
              <a:ln w="9525" cap="flat" cmpd="sng" algn="ctr">
                <a:solidFill>
                  <a:schemeClr val="tx1"/>
                </a:solidFill>
                <a:prstDash val="solid"/>
                <a:round/>
              </a:ln>
            </c:spPr>
          </c:marker>
          <c:xVal>
            <c:numRef>
              <c:f>Лист3!$A$156:$A$180</c:f>
              <c:numCache>
                <c:formatCode>General</c:formatCode>
                <c:ptCount val="25"/>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pt idx="23">
                  <c:v>11.5</c:v>
                </c:pt>
                <c:pt idx="24">
                  <c:v>12</c:v>
                </c:pt>
              </c:numCache>
            </c:numRef>
          </c:xVal>
          <c:yVal>
            <c:numRef>
              <c:f>Лист3!$C$156:$C$180</c:f>
              <c:numCache>
                <c:formatCode>General</c:formatCode>
                <c:ptCount val="25"/>
                <c:pt idx="0">
                  <c:v>4.8</c:v>
                </c:pt>
                <c:pt idx="1">
                  <c:v>0.48</c:v>
                </c:pt>
                <c:pt idx="2">
                  <c:v>0.48</c:v>
                </c:pt>
                <c:pt idx="3">
                  <c:v>0.48</c:v>
                </c:pt>
                <c:pt idx="4">
                  <c:v>0.48</c:v>
                </c:pt>
                <c:pt idx="5">
                  <c:v>0.48</c:v>
                </c:pt>
                <c:pt idx="6">
                  <c:v>0.52</c:v>
                </c:pt>
                <c:pt idx="7">
                  <c:v>0.60000000000000098</c:v>
                </c:pt>
                <c:pt idx="8">
                  <c:v>0.68</c:v>
                </c:pt>
                <c:pt idx="9">
                  <c:v>0.72000000000000097</c:v>
                </c:pt>
                <c:pt idx="10">
                  <c:v>0.72000000000000097</c:v>
                </c:pt>
                <c:pt idx="11">
                  <c:v>0.8</c:v>
                </c:pt>
                <c:pt idx="12">
                  <c:v>0.8</c:v>
                </c:pt>
                <c:pt idx="13">
                  <c:v>0.84000000000000097</c:v>
                </c:pt>
                <c:pt idx="14">
                  <c:v>0.84000000000000097</c:v>
                </c:pt>
                <c:pt idx="15">
                  <c:v>0.88</c:v>
                </c:pt>
                <c:pt idx="16">
                  <c:v>0.9</c:v>
                </c:pt>
                <c:pt idx="17">
                  <c:v>0.95000000000000095</c:v>
                </c:pt>
                <c:pt idx="18">
                  <c:v>0.96000000000000096</c:v>
                </c:pt>
                <c:pt idx="19">
                  <c:v>0.98</c:v>
                </c:pt>
                <c:pt idx="20">
                  <c:v>1.1100000000000001</c:v>
                </c:pt>
                <c:pt idx="21">
                  <c:v>1.28</c:v>
                </c:pt>
                <c:pt idx="22">
                  <c:v>1.3</c:v>
                </c:pt>
                <c:pt idx="23">
                  <c:v>1.35</c:v>
                </c:pt>
                <c:pt idx="24">
                  <c:v>1.38</c:v>
                </c:pt>
              </c:numCache>
            </c:numRef>
          </c:yVal>
          <c:smooth val="1"/>
          <c:extLst>
            <c:ext xmlns:c16="http://schemas.microsoft.com/office/drawing/2014/chart" uri="{C3380CC4-5D6E-409C-BE32-E72D297353CC}">
              <c16:uniqueId val="{00000001-1F9D-4D73-ACFF-98117A83DBEF}"/>
            </c:ext>
          </c:extLst>
        </c:ser>
        <c:dLbls>
          <c:showLegendKey val="0"/>
          <c:showVal val="0"/>
          <c:showCatName val="0"/>
          <c:showSerName val="0"/>
          <c:showPercent val="0"/>
          <c:showBubbleSize val="0"/>
        </c:dLbls>
        <c:axId val="240335872"/>
        <c:axId val="240346624"/>
      </c:scatterChart>
      <c:scatterChart>
        <c:scatterStyle val="smoothMarker"/>
        <c:varyColors val="0"/>
        <c:ser>
          <c:idx val="2"/>
          <c:order val="2"/>
          <c:tx>
            <c:strRef>
              <c:f>3</c:f>
              <c:strCache>
                <c:ptCount val="1"/>
                <c:pt idx="0">
                  <c:v>3</c:v>
                </c:pt>
              </c:strCache>
            </c:strRef>
          </c:tx>
          <c:spPr>
            <a:ln w="22225" cap="rnd" cmpd="sng" algn="ctr">
              <a:solidFill>
                <a:schemeClr val="tx1"/>
              </a:solidFill>
              <a:prstDash val="solid"/>
              <a:round/>
            </a:ln>
          </c:spPr>
          <c:marker>
            <c:symbol val="triangle"/>
            <c:size val="6"/>
            <c:spPr>
              <a:noFill/>
              <a:ln w="9525" cap="flat" cmpd="sng" algn="ctr">
                <a:solidFill>
                  <a:schemeClr val="tx1"/>
                </a:solidFill>
                <a:prstDash val="solid"/>
                <a:round/>
              </a:ln>
            </c:spPr>
          </c:marker>
          <c:xVal>
            <c:numRef>
              <c:f>Лист3!$A$156:$A$180</c:f>
              <c:numCache>
                <c:formatCode>General</c:formatCode>
                <c:ptCount val="25"/>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pt idx="23">
                  <c:v>11.5</c:v>
                </c:pt>
                <c:pt idx="24">
                  <c:v>12</c:v>
                </c:pt>
              </c:numCache>
            </c:numRef>
          </c:xVal>
          <c:yVal>
            <c:numRef>
              <c:f>Лист3!$D$156:$D$180</c:f>
              <c:numCache>
                <c:formatCode>General</c:formatCode>
                <c:ptCount val="25"/>
                <c:pt idx="0">
                  <c:v>2</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0.15</c:v>
                </c:pt>
                <c:pt idx="16">
                  <c:v>0.2</c:v>
                </c:pt>
                <c:pt idx="17">
                  <c:v>0.35</c:v>
                </c:pt>
                <c:pt idx="18">
                  <c:v>0.39000000000000201</c:v>
                </c:pt>
                <c:pt idx="19">
                  <c:v>0.4</c:v>
                </c:pt>
                <c:pt idx="20">
                  <c:v>0.41</c:v>
                </c:pt>
              </c:numCache>
            </c:numRef>
          </c:yVal>
          <c:smooth val="1"/>
          <c:extLst>
            <c:ext xmlns:c16="http://schemas.microsoft.com/office/drawing/2014/chart" uri="{C3380CC4-5D6E-409C-BE32-E72D297353CC}">
              <c16:uniqueId val="{00000002-1F9D-4D73-ACFF-98117A83DBEF}"/>
            </c:ext>
          </c:extLst>
        </c:ser>
        <c:ser>
          <c:idx val="3"/>
          <c:order val="3"/>
          <c:tx>
            <c:strRef>
              <c:f>4</c:f>
              <c:strCache>
                <c:ptCount val="1"/>
                <c:pt idx="0">
                  <c:v>4</c:v>
                </c:pt>
              </c:strCache>
            </c:strRef>
          </c:tx>
          <c:spPr>
            <a:ln w="22225" cap="rnd" cmpd="sng" algn="ctr">
              <a:solidFill>
                <a:schemeClr val="tx1"/>
              </a:solidFill>
              <a:prstDash val="solid"/>
              <a:round/>
            </a:ln>
          </c:spPr>
          <c:marker>
            <c:symbol val="circle"/>
            <c:size val="5"/>
            <c:spPr>
              <a:noFill/>
              <a:ln w="9525" cap="flat" cmpd="sng" algn="ctr">
                <a:solidFill>
                  <a:schemeClr val="tx1"/>
                </a:solidFill>
                <a:prstDash val="solid"/>
                <a:round/>
              </a:ln>
            </c:spPr>
          </c:marker>
          <c:xVal>
            <c:numRef>
              <c:f>Лист3!$A$156:$A$180</c:f>
              <c:numCache>
                <c:formatCode>General</c:formatCode>
                <c:ptCount val="25"/>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pt idx="23">
                  <c:v>11.5</c:v>
                </c:pt>
                <c:pt idx="24">
                  <c:v>12</c:v>
                </c:pt>
              </c:numCache>
            </c:numRef>
          </c:xVal>
          <c:yVal>
            <c:numRef>
              <c:f>Лист3!$E$156:$E$180</c:f>
              <c:numCache>
                <c:formatCode>General</c:formatCode>
                <c:ptCount val="25"/>
                <c:pt idx="0">
                  <c:v>1</c:v>
                </c:pt>
                <c:pt idx="1">
                  <c:v>0</c:v>
                </c:pt>
                <c:pt idx="2">
                  <c:v>0</c:v>
                </c:pt>
                <c:pt idx="3">
                  <c:v>0</c:v>
                </c:pt>
                <c:pt idx="4">
                  <c:v>0</c:v>
                </c:pt>
                <c:pt idx="5">
                  <c:v>0</c:v>
                </c:pt>
                <c:pt idx="6">
                  <c:v>0.01</c:v>
                </c:pt>
                <c:pt idx="7">
                  <c:v>0.01</c:v>
                </c:pt>
                <c:pt idx="8">
                  <c:v>0.01</c:v>
                </c:pt>
                <c:pt idx="9">
                  <c:v>0.01</c:v>
                </c:pt>
                <c:pt idx="10">
                  <c:v>0.01</c:v>
                </c:pt>
                <c:pt idx="11">
                  <c:v>0.02</c:v>
                </c:pt>
                <c:pt idx="12">
                  <c:v>0.02</c:v>
                </c:pt>
                <c:pt idx="13">
                  <c:v>0.02</c:v>
                </c:pt>
                <c:pt idx="14">
                  <c:v>0.1</c:v>
                </c:pt>
                <c:pt idx="15">
                  <c:v>0.11</c:v>
                </c:pt>
                <c:pt idx="16">
                  <c:v>0.2</c:v>
                </c:pt>
                <c:pt idx="17">
                  <c:v>0.2</c:v>
                </c:pt>
                <c:pt idx="18">
                  <c:v>0.2</c:v>
                </c:pt>
                <c:pt idx="19">
                  <c:v>0.25</c:v>
                </c:pt>
                <c:pt idx="20">
                  <c:v>0.25</c:v>
                </c:pt>
                <c:pt idx="21">
                  <c:v>0.25</c:v>
                </c:pt>
                <c:pt idx="22">
                  <c:v>0.25</c:v>
                </c:pt>
                <c:pt idx="23">
                  <c:v>0.25</c:v>
                </c:pt>
                <c:pt idx="24">
                  <c:v>0.25</c:v>
                </c:pt>
              </c:numCache>
            </c:numRef>
          </c:yVal>
          <c:smooth val="1"/>
          <c:extLst>
            <c:ext xmlns:c16="http://schemas.microsoft.com/office/drawing/2014/chart" uri="{C3380CC4-5D6E-409C-BE32-E72D297353CC}">
              <c16:uniqueId val="{00000003-1F9D-4D73-ACFF-98117A83DBEF}"/>
            </c:ext>
          </c:extLst>
        </c:ser>
        <c:dLbls>
          <c:showLegendKey val="0"/>
          <c:showVal val="0"/>
          <c:showCatName val="0"/>
          <c:showSerName val="0"/>
          <c:showPercent val="0"/>
          <c:showBubbleSize val="0"/>
        </c:dLbls>
        <c:axId val="240348544"/>
        <c:axId val="240362624"/>
      </c:scatterChart>
      <c:valAx>
        <c:axId val="240335872"/>
        <c:scaling>
          <c:orientation val="minMax"/>
          <c:max val="12"/>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p-y,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84003962943367305"/>
              <c:y val="0.847852071769717"/>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0346624"/>
        <c:crosses val="autoZero"/>
        <c:crossBetween val="midCat"/>
        <c:majorUnit val="1"/>
      </c:valAx>
      <c:valAx>
        <c:axId val="240346624"/>
        <c:scaling>
          <c:orientation val="minMax"/>
          <c:max val="5"/>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u="none" strike="noStrike" baseline="0">
                    <a:latin typeface="Times New Roman" panose="02020603050405020304" charset="0"/>
                    <a:cs typeface="Times New Roman" panose="02020603050405020304" charset="0"/>
                  </a:rPr>
                  <a:t>Ж, мг-екв/дм</a:t>
                </a:r>
                <a:r>
                  <a:rPr lang="ru-RU" sz="1200" b="1" i="0" u="none" strike="noStrike"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5.5564200719969295E-4"/>
              <c:y val="0.211567938623057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335872"/>
        <c:crosses val="autoZero"/>
        <c:crossBetween val="midCat"/>
        <c:majorUnit val="0.5"/>
      </c:valAx>
      <c:valAx>
        <c:axId val="240348544"/>
        <c:scaling>
          <c:orientation val="minMax"/>
        </c:scaling>
        <c:delete val="1"/>
        <c:axPos val="b"/>
        <c:numFmt formatCode="General" sourceLinked="1"/>
        <c:majorTickMark val="out"/>
        <c:minorTickMark val="none"/>
        <c:tickLblPos val="none"/>
        <c:crossAx val="240362624"/>
        <c:crosses val="autoZero"/>
        <c:crossBetween val="midCat"/>
      </c:valAx>
      <c:valAx>
        <c:axId val="240362624"/>
        <c:scaling>
          <c:orientation val="minMax"/>
          <c:max val="2"/>
          <c:min val="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Cu,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93905304327077799"/>
              <c:y val="0.22037835655158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348544"/>
        <c:crosses val="max"/>
        <c:crossBetween val="midCat"/>
        <c:majorUnit val="0.2"/>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"5 мг/дм3"</c:f>
              <c:strCache>
                <c:ptCount val="1"/>
                <c:pt idx="0">
                  <c:v>5 мг/дм3</c:v>
                </c:pt>
              </c:strCache>
            </c:strRef>
          </c:tx>
          <c:spPr>
            <a:ln w="19050" cap="rnd">
              <a:noFill/>
              <a:round/>
            </a:ln>
            <a:effectLst/>
          </c:spPr>
          <c:marker>
            <c:symbol val="circle"/>
            <c:size val="5"/>
            <c:spPr>
              <a:solidFill>
                <a:schemeClr val="tx1"/>
              </a:solidFill>
              <a:ln w="9525">
                <a:solidFill>
                  <a:schemeClr val="tx1"/>
                </a:solidFill>
              </a:ln>
              <a:effectLst/>
            </c:spPr>
          </c:marker>
          <c:trendline>
            <c:spPr>
              <a:ln w="28575" cap="rnd" cmpd="sng">
                <a:solidFill>
                  <a:schemeClr val="tx1"/>
                </a:solidFill>
                <a:prstDash val="solid"/>
              </a:ln>
              <a:effectLst/>
            </c:spPr>
            <c:trendlineType val="poly"/>
            <c:order val="2"/>
            <c:dispRSqr val="0"/>
            <c:dispEq val="0"/>
          </c:trendline>
          <c:xVal>
            <c:numRef>
              <c:f>[magnet_Cu.xlsx]kinet!$B$2:$J$2</c:f>
              <c:numCache>
                <c:formatCode>General</c:formatCode>
                <c:ptCount val="9"/>
                <c:pt idx="0">
                  <c:v>0</c:v>
                </c:pt>
                <c:pt idx="1">
                  <c:v>0.5</c:v>
                </c:pt>
                <c:pt idx="2">
                  <c:v>1</c:v>
                </c:pt>
                <c:pt idx="3">
                  <c:v>1.5</c:v>
                </c:pt>
                <c:pt idx="4">
                  <c:v>2</c:v>
                </c:pt>
                <c:pt idx="5">
                  <c:v>2.5</c:v>
                </c:pt>
                <c:pt idx="6">
                  <c:v>3</c:v>
                </c:pt>
                <c:pt idx="7">
                  <c:v>3.5</c:v>
                </c:pt>
                <c:pt idx="8">
                  <c:v>4</c:v>
                </c:pt>
              </c:numCache>
            </c:numRef>
          </c:xVal>
          <c:yVal>
            <c:numRef>
              <c:f>[magnet_Cu.xlsx]kinet!$B$18:$J$18</c:f>
              <c:numCache>
                <c:formatCode>General</c:formatCode>
                <c:ptCount val="9"/>
                <c:pt idx="0">
                  <c:v>0</c:v>
                </c:pt>
                <c:pt idx="1">
                  <c:v>36.255600000000001</c:v>
                </c:pt>
                <c:pt idx="2">
                  <c:v>73.52</c:v>
                </c:pt>
                <c:pt idx="3">
                  <c:v>82.257720000000006</c:v>
                </c:pt>
                <c:pt idx="4">
                  <c:v>98</c:v>
                </c:pt>
                <c:pt idx="5">
                  <c:v>94.644900000000007</c:v>
                </c:pt>
                <c:pt idx="6">
                  <c:v>84.891999999999996</c:v>
                </c:pt>
                <c:pt idx="7">
                  <c:v>79.8005</c:v>
                </c:pt>
                <c:pt idx="8">
                  <c:v>60.607599999999998</c:v>
                </c:pt>
              </c:numCache>
            </c:numRef>
          </c:yVal>
          <c:smooth val="1"/>
          <c:extLst>
            <c:ext xmlns:c16="http://schemas.microsoft.com/office/drawing/2014/chart" uri="{C3380CC4-5D6E-409C-BE32-E72D297353CC}">
              <c16:uniqueId val="{00000000-0B12-486A-BC09-FBB544CD7790}"/>
            </c:ext>
          </c:extLst>
        </c:ser>
        <c:dLbls>
          <c:showLegendKey val="0"/>
          <c:showVal val="0"/>
          <c:showCatName val="0"/>
          <c:showSerName val="0"/>
          <c:showPercent val="0"/>
          <c:showBubbleSize val="0"/>
        </c:dLbls>
        <c:axId val="413275148"/>
        <c:axId val="532992970"/>
      </c:scatterChart>
      <c:valAx>
        <c:axId val="413275148"/>
        <c:scaling>
          <c:orientation val="minMax"/>
          <c:max val="4"/>
        </c:scaling>
        <c:delete val="0"/>
        <c:axPos val="b"/>
        <c:majorGridlines>
          <c:spPr>
            <a:ln w="9525" cap="flat" cmpd="sng" algn="ctr">
              <a:noFill/>
              <a:round/>
            </a:ln>
            <a:effectLst/>
          </c:spPr>
        </c:majorGridlines>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t, год</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532992970"/>
        <c:crosses val="autoZero"/>
        <c:crossBetween val="midCat"/>
      </c:valAx>
      <c:valAx>
        <c:axId val="532992970"/>
        <c:scaling>
          <c:orientation val="minMax"/>
          <c:max val="100"/>
        </c:scaling>
        <c:delete val="0"/>
        <c:axPos val="l"/>
        <c:majorGridlines>
          <c:spPr>
            <a:ln w="9525" cap="flat" cmpd="sng" algn="ctr">
              <a:noFill/>
              <a:round/>
            </a:ln>
            <a:effectLst/>
          </c:spPr>
        </c:majorGridlines>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E, %</a:t>
                </a:r>
              </a:p>
            </c:rich>
          </c:tx>
          <c:layout>
            <c:manualLayout>
              <c:xMode val="edge"/>
              <c:yMode val="edge"/>
              <c:x val="2.1411192214111901E-2"/>
              <c:y val="0.39406301824212298"/>
            </c:manualLayout>
          </c:layout>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4132751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"5 мг/дм3"</c:f>
              <c:strCache>
                <c:ptCount val="1"/>
                <c:pt idx="0">
                  <c:v>5 мг/дм3</c:v>
                </c:pt>
              </c:strCache>
            </c:strRef>
          </c:tx>
          <c:spPr>
            <a:ln w="19050" cap="rnd">
              <a:noFill/>
              <a:round/>
            </a:ln>
            <a:effectLst/>
          </c:spPr>
          <c:marker>
            <c:symbol val="circle"/>
            <c:size val="5"/>
            <c:spPr>
              <a:solidFill>
                <a:schemeClr val="tx1"/>
              </a:solidFill>
              <a:ln w="9525">
                <a:solidFill>
                  <a:schemeClr val="tx1"/>
                </a:solidFill>
              </a:ln>
              <a:effectLst/>
            </c:spPr>
          </c:marker>
          <c:trendline>
            <c:spPr>
              <a:ln w="28575" cap="rnd" cmpd="sng">
                <a:solidFill>
                  <a:schemeClr val="tx1"/>
                </a:solidFill>
                <a:prstDash val="solid"/>
              </a:ln>
              <a:effectLst/>
            </c:spPr>
            <c:trendlineType val="poly"/>
            <c:order val="2"/>
            <c:dispRSqr val="0"/>
            <c:dispEq val="0"/>
          </c:trendline>
          <c:xVal>
            <c:numRef>
              <c:f>[magnet_Cu.xlsx]kinet!$B$2:$J$2</c:f>
              <c:numCache>
                <c:formatCode>General</c:formatCode>
                <c:ptCount val="9"/>
                <c:pt idx="0">
                  <c:v>0</c:v>
                </c:pt>
                <c:pt idx="1">
                  <c:v>0.5</c:v>
                </c:pt>
                <c:pt idx="2">
                  <c:v>1</c:v>
                </c:pt>
                <c:pt idx="3">
                  <c:v>1.5</c:v>
                </c:pt>
                <c:pt idx="4">
                  <c:v>2</c:v>
                </c:pt>
                <c:pt idx="5">
                  <c:v>2.5</c:v>
                </c:pt>
                <c:pt idx="6">
                  <c:v>3</c:v>
                </c:pt>
                <c:pt idx="7">
                  <c:v>3.5</c:v>
                </c:pt>
                <c:pt idx="8">
                  <c:v>4</c:v>
                </c:pt>
              </c:numCache>
            </c:numRef>
          </c:xVal>
          <c:yVal>
            <c:numRef>
              <c:f>[magnet_Cu.xlsx]kinet!$B$42:$J$42</c:f>
              <c:numCache>
                <c:formatCode>General</c:formatCode>
                <c:ptCount val="9"/>
                <c:pt idx="0">
                  <c:v>0</c:v>
                </c:pt>
                <c:pt idx="1">
                  <c:v>32.436500000000002</c:v>
                </c:pt>
                <c:pt idx="2">
                  <c:v>46.957999999999998</c:v>
                </c:pt>
                <c:pt idx="3">
                  <c:v>70.110650000000007</c:v>
                </c:pt>
                <c:pt idx="4">
                  <c:v>81.073999999999998</c:v>
                </c:pt>
                <c:pt idx="5">
                  <c:v>78.766949999999994</c:v>
                </c:pt>
                <c:pt idx="6">
                  <c:v>69.701999999999998</c:v>
                </c:pt>
                <c:pt idx="7">
                  <c:v>62.067</c:v>
                </c:pt>
                <c:pt idx="8">
                  <c:v>54.341500000000003</c:v>
                </c:pt>
              </c:numCache>
            </c:numRef>
          </c:yVal>
          <c:smooth val="1"/>
          <c:extLst>
            <c:ext xmlns:c16="http://schemas.microsoft.com/office/drawing/2014/chart" uri="{C3380CC4-5D6E-409C-BE32-E72D297353CC}">
              <c16:uniqueId val="{00000000-0211-48E0-99D0-CFE62B960A34}"/>
            </c:ext>
          </c:extLst>
        </c:ser>
        <c:dLbls>
          <c:showLegendKey val="0"/>
          <c:showVal val="0"/>
          <c:showCatName val="0"/>
          <c:showSerName val="0"/>
          <c:showPercent val="0"/>
          <c:showBubbleSize val="0"/>
        </c:dLbls>
        <c:axId val="413275148"/>
        <c:axId val="532992970"/>
      </c:scatterChart>
      <c:valAx>
        <c:axId val="413275148"/>
        <c:scaling>
          <c:orientation val="minMax"/>
          <c:max val="4"/>
        </c:scaling>
        <c:delete val="0"/>
        <c:axPos val="b"/>
        <c:majorGridlines>
          <c:spPr>
            <a:ln w="9525" cap="flat" cmpd="sng" algn="ctr">
              <a:noFill/>
              <a:round/>
            </a:ln>
            <a:effectLst/>
          </c:spPr>
        </c:majorGridlines>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t, год</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532992970"/>
        <c:crosses val="autoZero"/>
        <c:crossBetween val="midCat"/>
      </c:valAx>
      <c:valAx>
        <c:axId val="532992970"/>
        <c:scaling>
          <c:orientation val="minMax"/>
        </c:scaling>
        <c:delete val="0"/>
        <c:axPos val="l"/>
        <c:majorGridlines>
          <c:spPr>
            <a:ln w="9525" cap="flat" cmpd="sng" algn="ctr">
              <a:noFill/>
              <a:round/>
            </a:ln>
            <a:effectLst/>
          </c:spPr>
        </c:majorGridlines>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E, %</a:t>
                </a:r>
              </a:p>
            </c:rich>
          </c:tx>
          <c:layout>
            <c:manualLayout>
              <c:xMode val="edge"/>
              <c:yMode val="edge"/>
              <c:x val="2.1411192214111901E-2"/>
              <c:y val="0.39406301824212298"/>
            </c:manualLayout>
          </c:layout>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4132751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"5 мг/дм3"</c:f>
              <c:strCache>
                <c:ptCount val="1"/>
                <c:pt idx="0">
                  <c:v>5 мг/дм3</c:v>
                </c:pt>
              </c:strCache>
            </c:strRef>
          </c:tx>
          <c:spPr>
            <a:ln w="19050" cap="rnd">
              <a:noFill/>
              <a:round/>
            </a:ln>
            <a:effectLst/>
          </c:spPr>
          <c:marker>
            <c:symbol val="circle"/>
            <c:size val="5"/>
            <c:spPr>
              <a:solidFill>
                <a:schemeClr val="tx1"/>
              </a:solidFill>
              <a:ln w="9525">
                <a:solidFill>
                  <a:schemeClr val="tx1"/>
                </a:solidFill>
              </a:ln>
              <a:effectLst/>
            </c:spPr>
          </c:marker>
          <c:trendline>
            <c:spPr>
              <a:ln w="28575" cap="rnd" cmpd="sng">
                <a:solidFill>
                  <a:schemeClr val="tx1"/>
                </a:solidFill>
                <a:prstDash val="solid"/>
              </a:ln>
              <a:effectLst/>
            </c:spPr>
            <c:trendlineType val="poly"/>
            <c:order val="2"/>
            <c:dispRSqr val="0"/>
            <c:dispEq val="0"/>
          </c:trendline>
          <c:xVal>
            <c:numRef>
              <c:f>[magnet_Cu.xlsx]kinet!$B$2:$J$2</c:f>
              <c:numCache>
                <c:formatCode>General</c:formatCode>
                <c:ptCount val="9"/>
                <c:pt idx="0">
                  <c:v>0</c:v>
                </c:pt>
                <c:pt idx="1">
                  <c:v>0.5</c:v>
                </c:pt>
                <c:pt idx="2">
                  <c:v>1</c:v>
                </c:pt>
                <c:pt idx="3">
                  <c:v>1.5</c:v>
                </c:pt>
                <c:pt idx="4">
                  <c:v>2</c:v>
                </c:pt>
                <c:pt idx="5">
                  <c:v>2.5</c:v>
                </c:pt>
                <c:pt idx="6">
                  <c:v>3</c:v>
                </c:pt>
                <c:pt idx="7">
                  <c:v>3.5</c:v>
                </c:pt>
                <c:pt idx="8">
                  <c:v>4</c:v>
                </c:pt>
              </c:numCache>
            </c:numRef>
          </c:xVal>
          <c:yVal>
            <c:numRef>
              <c:f>[magnet_Cu.xlsx]kinet!$B$22:$J$22</c:f>
              <c:numCache>
                <c:formatCode>0.000_ </c:formatCode>
                <c:ptCount val="9"/>
                <c:pt idx="0" formatCode="General">
                  <c:v>0</c:v>
                </c:pt>
                <c:pt idx="1">
                  <c:v>9.0593703148425797E-3</c:v>
                </c:pt>
                <c:pt idx="2">
                  <c:v>1.8162055335968399E-2</c:v>
                </c:pt>
                <c:pt idx="3">
                  <c:v>2.05541529235382E-2</c:v>
                </c:pt>
                <c:pt idx="4">
                  <c:v>2.6589920948616601E-2</c:v>
                </c:pt>
                <c:pt idx="5">
                  <c:v>2.3649400299850101E-2</c:v>
                </c:pt>
                <c:pt idx="6">
                  <c:v>2.09713438735178E-2</c:v>
                </c:pt>
                <c:pt idx="7">
                  <c:v>1.99401549225387E-2</c:v>
                </c:pt>
                <c:pt idx="8">
                  <c:v>1.5144327836082E-2</c:v>
                </c:pt>
              </c:numCache>
            </c:numRef>
          </c:yVal>
          <c:smooth val="1"/>
          <c:extLst>
            <c:ext xmlns:c16="http://schemas.microsoft.com/office/drawing/2014/chart" uri="{C3380CC4-5D6E-409C-BE32-E72D297353CC}">
              <c16:uniqueId val="{00000000-AAEF-4CF1-B4A7-8B956A942A6E}"/>
            </c:ext>
          </c:extLst>
        </c:ser>
        <c:ser>
          <c:idx val="1"/>
          <c:order val="1"/>
          <c:spPr>
            <a:ln w="19050" cap="rnd">
              <a:noFill/>
              <a:round/>
            </a:ln>
            <a:effectLst/>
          </c:spPr>
          <c:marker>
            <c:symbol val="square"/>
            <c:size val="5"/>
            <c:spPr>
              <a:solidFill>
                <a:schemeClr val="tx1"/>
              </a:solidFill>
              <a:ln w="28575" cmpd="sng">
                <a:solidFill>
                  <a:schemeClr val="tx1"/>
                </a:solidFill>
                <a:prstDash val="solid"/>
              </a:ln>
              <a:effectLst/>
            </c:spPr>
          </c:marker>
          <c:trendline>
            <c:spPr>
              <a:ln w="28575" cap="rnd" cmpd="sng">
                <a:solidFill>
                  <a:schemeClr val="tx1"/>
                </a:solidFill>
                <a:prstDash val="solid"/>
              </a:ln>
              <a:effectLst/>
            </c:spPr>
            <c:trendlineType val="poly"/>
            <c:order val="2"/>
            <c:dispRSqr val="0"/>
            <c:dispEq val="0"/>
          </c:trendline>
          <c:xVal>
            <c:numRef>
              <c:f>[magnet_Cu.xlsx]kinet!$B$2:$J$2</c:f>
              <c:numCache>
                <c:formatCode>General</c:formatCode>
                <c:ptCount val="9"/>
                <c:pt idx="0">
                  <c:v>0</c:v>
                </c:pt>
                <c:pt idx="1">
                  <c:v>0.5</c:v>
                </c:pt>
                <c:pt idx="2">
                  <c:v>1</c:v>
                </c:pt>
                <c:pt idx="3">
                  <c:v>1.5</c:v>
                </c:pt>
                <c:pt idx="4">
                  <c:v>2</c:v>
                </c:pt>
                <c:pt idx="5">
                  <c:v>2.5</c:v>
                </c:pt>
                <c:pt idx="6">
                  <c:v>3</c:v>
                </c:pt>
                <c:pt idx="7">
                  <c:v>3.5</c:v>
                </c:pt>
                <c:pt idx="8">
                  <c:v>4</c:v>
                </c:pt>
              </c:numCache>
            </c:numRef>
          </c:xVal>
          <c:yVal>
            <c:numRef>
              <c:f>[magnet_Cu.xlsx]kinet!$B$46:$J$46</c:f>
              <c:numCache>
                <c:formatCode>0.000_ </c:formatCode>
                <c:ptCount val="9"/>
                <c:pt idx="0" formatCode="General">
                  <c:v>0</c:v>
                </c:pt>
                <c:pt idx="1">
                  <c:v>1.62101449275362E-2</c:v>
                </c:pt>
                <c:pt idx="2">
                  <c:v>2.3200592885375501E-2</c:v>
                </c:pt>
                <c:pt idx="3">
                  <c:v>3.50378060969515E-2</c:v>
                </c:pt>
                <c:pt idx="4">
                  <c:v>4.00563241106719E-2</c:v>
                </c:pt>
                <c:pt idx="5">
                  <c:v>3.93637931034483E-2</c:v>
                </c:pt>
                <c:pt idx="6">
                  <c:v>3.4437747035573098E-2</c:v>
                </c:pt>
                <c:pt idx="7">
                  <c:v>3.1017991004497699E-2</c:v>
                </c:pt>
                <c:pt idx="8">
                  <c:v>2.7157171414292899E-2</c:v>
                </c:pt>
              </c:numCache>
            </c:numRef>
          </c:yVal>
          <c:smooth val="1"/>
          <c:extLst>
            <c:ext xmlns:c16="http://schemas.microsoft.com/office/drawing/2014/chart" uri="{C3380CC4-5D6E-409C-BE32-E72D297353CC}">
              <c16:uniqueId val="{00000001-AAEF-4CF1-B4A7-8B956A942A6E}"/>
            </c:ext>
          </c:extLst>
        </c:ser>
        <c:dLbls>
          <c:showLegendKey val="0"/>
          <c:showVal val="0"/>
          <c:showCatName val="0"/>
          <c:showSerName val="0"/>
          <c:showPercent val="0"/>
          <c:showBubbleSize val="0"/>
        </c:dLbls>
        <c:axId val="413275148"/>
        <c:axId val="532992970"/>
      </c:scatterChart>
      <c:valAx>
        <c:axId val="413275148"/>
        <c:scaling>
          <c:orientation val="minMax"/>
          <c:max val="4"/>
        </c:scaling>
        <c:delete val="0"/>
        <c:axPos val="b"/>
        <c:majorGridlines>
          <c:spPr>
            <a:ln w="9525" cap="flat" cmpd="sng" algn="ctr">
              <a:noFill/>
              <a:round/>
            </a:ln>
            <a:effectLst/>
          </c:spPr>
        </c:majorGridlines>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t, год</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532992970"/>
        <c:crosses val="autoZero"/>
        <c:crossBetween val="midCat"/>
      </c:valAx>
      <c:valAx>
        <c:axId val="532992970"/>
        <c:scaling>
          <c:orientation val="minMax"/>
          <c:max val="4.4999999999999998E-2"/>
        </c:scaling>
        <c:delete val="0"/>
        <c:axPos val="l"/>
        <c:majorGridlines>
          <c:spPr>
            <a:ln w="9525" cap="flat" cmpd="sng" algn="ctr">
              <a:noFill/>
              <a:round/>
            </a:ln>
            <a:effectLst/>
          </c:spPr>
        </c:majorGridlines>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А, г/г</a:t>
                </a:r>
              </a:p>
            </c:rich>
          </c:tx>
          <c:layout>
            <c:manualLayout>
              <c:xMode val="edge"/>
              <c:yMode val="edge"/>
              <c:x val="2.1411192214111901E-2"/>
              <c:y val="0.39406301824212298"/>
            </c:manualLayout>
          </c:layout>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4132751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601851851851901E-2"/>
          <c:y val="8.6805555555555594E-2"/>
          <c:w val="0.89356481481481498"/>
          <c:h val="0.76930555555555602"/>
        </c:manualLayout>
      </c:layout>
      <c:scatterChart>
        <c:scatterStyle val="smoothMarker"/>
        <c:varyColors val="0"/>
        <c:ser>
          <c:idx val="0"/>
          <c:order val="0"/>
          <c:tx>
            <c:strRef>
              <c:f>"kisl_teor"</c:f>
              <c:strCache>
                <c:ptCount val="1"/>
                <c:pt idx="0">
                  <c:v>kisl_teor</c:v>
                </c:pt>
              </c:strCache>
            </c:strRef>
          </c:tx>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[magnet_Cu.xlsx]isoterm!$B$3:$H$3</c:f>
              <c:numCache>
                <c:formatCode>General</c:formatCode>
                <c:ptCount val="7"/>
                <c:pt idx="0">
                  <c:v>0</c:v>
                </c:pt>
                <c:pt idx="1">
                  <c:v>5</c:v>
                </c:pt>
                <c:pt idx="2">
                  <c:v>10</c:v>
                </c:pt>
                <c:pt idx="3">
                  <c:v>20</c:v>
                </c:pt>
                <c:pt idx="4">
                  <c:v>50</c:v>
                </c:pt>
                <c:pt idx="5">
                  <c:v>100</c:v>
                </c:pt>
                <c:pt idx="6">
                  <c:v>150</c:v>
                </c:pt>
              </c:numCache>
            </c:numRef>
          </c:xVal>
          <c:yVal>
            <c:numRef>
              <c:f>[magnet_Cu.xlsx]isoterm!$B$22:$H$22</c:f>
              <c:numCache>
                <c:formatCode>0.00_ </c:formatCode>
                <c:ptCount val="7"/>
                <c:pt idx="0" formatCode="General">
                  <c:v>0</c:v>
                </c:pt>
                <c:pt idx="1">
                  <c:v>1.7493903048475801E-2</c:v>
                </c:pt>
                <c:pt idx="2" formatCode="0.000_ ">
                  <c:v>3.2791504247876101E-2</c:v>
                </c:pt>
                <c:pt idx="3">
                  <c:v>3.9352123938031003E-2</c:v>
                </c:pt>
                <c:pt idx="4">
                  <c:v>3.1163418290854599E-2</c:v>
                </c:pt>
                <c:pt idx="5">
                  <c:v>9.9593203398300897E-2</c:v>
                </c:pt>
                <c:pt idx="6">
                  <c:v>0.13926936531734099</c:v>
                </c:pt>
              </c:numCache>
            </c:numRef>
          </c:yVal>
          <c:smooth val="1"/>
          <c:extLst>
            <c:ext xmlns:c16="http://schemas.microsoft.com/office/drawing/2014/chart" uri="{C3380CC4-5D6E-409C-BE32-E72D297353CC}">
              <c16:uniqueId val="{00000000-91D8-49A9-A074-A3316900E32C}"/>
            </c:ext>
          </c:extLst>
        </c:ser>
        <c:ser>
          <c:idx val="1"/>
          <c:order val="1"/>
          <c:tx>
            <c:strRef>
              <c:f>"nejtr_teor"</c:f>
              <c:strCache>
                <c:ptCount val="1"/>
                <c:pt idx="0">
                  <c:v>nejtr_teor</c:v>
                </c:pt>
              </c:strCache>
            </c:strRef>
          </c:tx>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[magnet_Cu.xlsx]isoterm!$B$3:$H$3</c:f>
              <c:numCache>
                <c:formatCode>General</c:formatCode>
                <c:ptCount val="7"/>
                <c:pt idx="0">
                  <c:v>0</c:v>
                </c:pt>
                <c:pt idx="1">
                  <c:v>5</c:v>
                </c:pt>
                <c:pt idx="2">
                  <c:v>10</c:v>
                </c:pt>
                <c:pt idx="3">
                  <c:v>20</c:v>
                </c:pt>
                <c:pt idx="4">
                  <c:v>50</c:v>
                </c:pt>
                <c:pt idx="5">
                  <c:v>100</c:v>
                </c:pt>
                <c:pt idx="6">
                  <c:v>150</c:v>
                </c:pt>
              </c:numCache>
            </c:numRef>
          </c:xVal>
          <c:yVal>
            <c:numRef>
              <c:f>[magnet_Cu.xlsx]isoterm!$I$22:$O$22</c:f>
              <c:numCache>
                <c:formatCode>0.00_ </c:formatCode>
                <c:ptCount val="7"/>
                <c:pt idx="0" formatCode="General">
                  <c:v>0</c:v>
                </c:pt>
                <c:pt idx="1">
                  <c:v>2.1854360319840099E-2</c:v>
                </c:pt>
                <c:pt idx="2" formatCode="0.000_ ">
                  <c:v>5.1686819090454798E-2</c:v>
                </c:pt>
                <c:pt idx="3" formatCode="0.000_ ">
                  <c:v>6.9945483102198905E-2</c:v>
                </c:pt>
                <c:pt idx="4" formatCode="0.000_ ">
                  <c:v>0.21171119477761099</c:v>
                </c:pt>
                <c:pt idx="5" formatCode="0.000_ ">
                  <c:v>0.39145962018990499</c:v>
                </c:pt>
                <c:pt idx="6" formatCode="0.000_ ">
                  <c:v>0.53550464767616202</c:v>
                </c:pt>
              </c:numCache>
            </c:numRef>
          </c:yVal>
          <c:smooth val="1"/>
          <c:extLst>
            <c:ext xmlns:c16="http://schemas.microsoft.com/office/drawing/2014/chart" uri="{C3380CC4-5D6E-409C-BE32-E72D297353CC}">
              <c16:uniqueId val="{00000001-91D8-49A9-A074-A3316900E32C}"/>
            </c:ext>
          </c:extLst>
        </c:ser>
        <c:ser>
          <c:idx val="2"/>
          <c:order val="2"/>
          <c:tx>
            <c:strRef>
              <c:f>"shchel_teor"</c:f>
              <c:strCache>
                <c:ptCount val="1"/>
                <c:pt idx="0">
                  <c:v>shchel_teor</c:v>
                </c:pt>
              </c:strCache>
            </c:strRef>
          </c:tx>
          <c:spPr>
            <a:ln w="19050" cap="rnd">
              <a:noFill/>
              <a:round/>
            </a:ln>
            <a:effectLst/>
          </c:spPr>
          <c:marker>
            <c:symbol val="diamond"/>
            <c:size val="6"/>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[magnet_Cu.xlsx]isoterm!$B$3:$H$3</c:f>
              <c:numCache>
                <c:formatCode>General</c:formatCode>
                <c:ptCount val="7"/>
                <c:pt idx="0">
                  <c:v>0</c:v>
                </c:pt>
                <c:pt idx="1">
                  <c:v>5</c:v>
                </c:pt>
                <c:pt idx="2">
                  <c:v>10</c:v>
                </c:pt>
                <c:pt idx="3">
                  <c:v>20</c:v>
                </c:pt>
                <c:pt idx="4">
                  <c:v>50</c:v>
                </c:pt>
                <c:pt idx="5">
                  <c:v>100</c:v>
                </c:pt>
                <c:pt idx="6">
                  <c:v>150</c:v>
                </c:pt>
              </c:numCache>
            </c:numRef>
          </c:xVal>
          <c:yVal>
            <c:numRef>
              <c:f>[magnet_Cu.xlsx]isoterm!$P$22:$V$22</c:f>
              <c:numCache>
                <c:formatCode>0.00_ </c:formatCode>
                <c:ptCount val="7"/>
                <c:pt idx="0" formatCode="General">
                  <c:v>0</c:v>
                </c:pt>
                <c:pt idx="1">
                  <c:v>2.04008745627186E-2</c:v>
                </c:pt>
                <c:pt idx="2" formatCode="0.000_ ">
                  <c:v>5.2171314342828602E-2</c:v>
                </c:pt>
                <c:pt idx="3">
                  <c:v>8.9038454272863596E-2</c:v>
                </c:pt>
                <c:pt idx="4">
                  <c:v>0.24990804597701199</c:v>
                </c:pt>
                <c:pt idx="5">
                  <c:v>0.50526473600699695</c:v>
                </c:pt>
                <c:pt idx="6">
                  <c:v>0.74199436483258396</c:v>
                </c:pt>
              </c:numCache>
            </c:numRef>
          </c:yVal>
          <c:smooth val="1"/>
          <c:extLst>
            <c:ext xmlns:c16="http://schemas.microsoft.com/office/drawing/2014/chart" uri="{C3380CC4-5D6E-409C-BE32-E72D297353CC}">
              <c16:uniqueId val="{00000002-91D8-49A9-A074-A3316900E32C}"/>
            </c:ext>
          </c:extLst>
        </c:ser>
        <c:dLbls>
          <c:showLegendKey val="0"/>
          <c:showVal val="0"/>
          <c:showCatName val="0"/>
          <c:showSerName val="0"/>
          <c:showPercent val="0"/>
          <c:showBubbleSize val="0"/>
        </c:dLbls>
        <c:axId val="870659853"/>
        <c:axId val="448941659"/>
      </c:scatterChart>
      <c:valAx>
        <c:axId val="870659853"/>
        <c:scaling>
          <c:orientation val="minMax"/>
          <c:max val="150"/>
          <c:min val="0"/>
        </c:scaling>
        <c:delete val="0"/>
        <c:axPos val="b"/>
        <c:majorGridlines>
          <c:spPr>
            <a:ln w="9525" cap="flat" cmpd="sng" algn="ctr">
              <a:noFill/>
              <a:round/>
            </a:ln>
            <a:effectLst/>
          </c:spPr>
        </c:majorGridlines>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С(Сu), мг/дм3</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448941659"/>
        <c:crosses val="autoZero"/>
        <c:crossBetween val="midCat"/>
        <c:majorUnit val="10"/>
        <c:minorUnit val="5"/>
      </c:valAx>
      <c:valAx>
        <c:axId val="448941659"/>
        <c:scaling>
          <c:orientation val="minMax"/>
          <c:max val="0.8"/>
          <c:min val="0"/>
        </c:scaling>
        <c:delete val="0"/>
        <c:axPos val="l"/>
        <c:majorGridlines>
          <c:spPr>
            <a:ln w="9525" cap="flat" cmpd="sng" algn="ctr">
              <a:noFill/>
              <a:round/>
            </a:ln>
            <a:effectLst/>
          </c:spPr>
        </c:majorGridlines>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A, г/г</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870659853"/>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"10 мг/дм3"</c:f>
              <c:strCache>
                <c:ptCount val="1"/>
                <c:pt idx="0">
                  <c:v>10 мг/дм3</c:v>
                </c:pt>
              </c:strCache>
            </c:strRef>
          </c:tx>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[magnet_Cu.xlsx]рН!$B$5:$H$5</c:f>
              <c:numCache>
                <c:formatCode>General</c:formatCode>
                <c:ptCount val="7"/>
                <c:pt idx="0">
                  <c:v>3.956</c:v>
                </c:pt>
                <c:pt idx="1">
                  <c:v>4.7009999999999996</c:v>
                </c:pt>
                <c:pt idx="2">
                  <c:v>5.891</c:v>
                </c:pt>
                <c:pt idx="3">
                  <c:v>7.0259999999999998</c:v>
                </c:pt>
                <c:pt idx="4">
                  <c:v>7.891</c:v>
                </c:pt>
                <c:pt idx="5">
                  <c:v>9.0039999999999996</c:v>
                </c:pt>
                <c:pt idx="6">
                  <c:v>9.9570000000000007</c:v>
                </c:pt>
              </c:numCache>
            </c:numRef>
          </c:xVal>
          <c:yVal>
            <c:numRef>
              <c:f>[magnet_Cu.xlsx]рН!$B$22:$H$22</c:f>
              <c:numCache>
                <c:formatCode>0.000_ </c:formatCode>
                <c:ptCount val="7"/>
                <c:pt idx="0">
                  <c:v>3.2649775112443803E-2</c:v>
                </c:pt>
                <c:pt idx="1">
                  <c:v>3.5326736631684202E-2</c:v>
                </c:pt>
                <c:pt idx="2">
                  <c:v>4.0131834082958499E-2</c:v>
                </c:pt>
                <c:pt idx="3">
                  <c:v>4.3357621189405303E-2</c:v>
                </c:pt>
                <c:pt idx="4">
                  <c:v>4.5429821339330302E-2</c:v>
                </c:pt>
                <c:pt idx="5">
                  <c:v>4.0680659670164897E-2</c:v>
                </c:pt>
                <c:pt idx="6">
                  <c:v>3.45094802598701E-2</c:v>
                </c:pt>
              </c:numCache>
            </c:numRef>
          </c:yVal>
          <c:smooth val="1"/>
          <c:extLst>
            <c:ext xmlns:c16="http://schemas.microsoft.com/office/drawing/2014/chart" uri="{C3380CC4-5D6E-409C-BE32-E72D297353CC}">
              <c16:uniqueId val="{00000000-8591-4ADE-AC42-A8CC835AE35B}"/>
            </c:ext>
          </c:extLst>
        </c:ser>
        <c:ser>
          <c:idx val="1"/>
          <c:order val="1"/>
          <c:tx>
            <c:strRef>
              <c:f>"5 мг/дм3"</c:f>
              <c:strCache>
                <c:ptCount val="1"/>
                <c:pt idx="0">
                  <c:v>5 мг/дм3</c:v>
                </c:pt>
              </c:strCache>
            </c:strRef>
          </c:tx>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[magnet_Cu.xlsx]рН!$B$29:$H$29</c:f>
              <c:numCache>
                <c:formatCode>General</c:formatCode>
                <c:ptCount val="7"/>
                <c:pt idx="0">
                  <c:v>3.9260000000000002</c:v>
                </c:pt>
                <c:pt idx="1">
                  <c:v>5.0579999999999998</c:v>
                </c:pt>
                <c:pt idx="2">
                  <c:v>6.2519999999999998</c:v>
                </c:pt>
                <c:pt idx="3">
                  <c:v>7.3479999999999999</c:v>
                </c:pt>
                <c:pt idx="4">
                  <c:v>8.1210000000000004</c:v>
                </c:pt>
                <c:pt idx="5">
                  <c:v>9.0259999999999998</c:v>
                </c:pt>
                <c:pt idx="6">
                  <c:v>10.087999999999999</c:v>
                </c:pt>
              </c:numCache>
            </c:numRef>
          </c:xVal>
          <c:yVal>
            <c:numRef>
              <c:f>[magnet_Cu.xlsx]рН!$B$46:$H$46</c:f>
              <c:numCache>
                <c:formatCode>0.000_ </c:formatCode>
                <c:ptCount val="7"/>
                <c:pt idx="0">
                  <c:v>1.5144327836082E-2</c:v>
                </c:pt>
                <c:pt idx="1">
                  <c:v>1.9469215392303799E-2</c:v>
                </c:pt>
                <c:pt idx="2">
                  <c:v>2.1631659170414801E-2</c:v>
                </c:pt>
                <c:pt idx="3">
                  <c:v>2.37941029485257E-2</c:v>
                </c:pt>
                <c:pt idx="4">
                  <c:v>2.49142428785607E-2</c:v>
                </c:pt>
                <c:pt idx="5">
                  <c:v>2.1941454272863599E-2</c:v>
                </c:pt>
                <c:pt idx="6">
                  <c:v>2.0950524737631201E-2</c:v>
                </c:pt>
              </c:numCache>
            </c:numRef>
          </c:yVal>
          <c:smooth val="1"/>
          <c:extLst>
            <c:ext xmlns:c16="http://schemas.microsoft.com/office/drawing/2014/chart" uri="{C3380CC4-5D6E-409C-BE32-E72D297353CC}">
              <c16:uniqueId val="{00000001-8591-4ADE-AC42-A8CC835AE35B}"/>
            </c:ext>
          </c:extLst>
        </c:ser>
        <c:dLbls>
          <c:showLegendKey val="0"/>
          <c:showVal val="0"/>
          <c:showCatName val="0"/>
          <c:showSerName val="0"/>
          <c:showPercent val="0"/>
          <c:showBubbleSize val="0"/>
        </c:dLbls>
        <c:axId val="128296395"/>
        <c:axId val="965499719"/>
      </c:scatterChart>
      <c:valAx>
        <c:axId val="128296395"/>
        <c:scaling>
          <c:orientation val="minMax"/>
          <c:max val="10"/>
          <c:min val="4"/>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рН</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965499719"/>
        <c:crosses val="autoZero"/>
        <c:crossBetween val="midCat"/>
      </c:valAx>
      <c:valAx>
        <c:axId val="965499719"/>
        <c:scaling>
          <c:orientation val="minMax"/>
          <c:min val="0.01"/>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A, г/г</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0.000_ "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128296395"/>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"10 мг/дм3"</c:f>
              <c:strCache>
                <c:ptCount val="1"/>
                <c:pt idx="0">
                  <c:v>10 мг/дм3</c:v>
                </c:pt>
              </c:strCache>
            </c:strRef>
          </c:tx>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[magnet_Cu.xlsx]рН!$B$5:$H$5</c:f>
              <c:numCache>
                <c:formatCode>General</c:formatCode>
                <c:ptCount val="7"/>
                <c:pt idx="0">
                  <c:v>3.956</c:v>
                </c:pt>
                <c:pt idx="1">
                  <c:v>4.7009999999999996</c:v>
                </c:pt>
                <c:pt idx="2">
                  <c:v>5.891</c:v>
                </c:pt>
                <c:pt idx="3">
                  <c:v>7.0259999999999998</c:v>
                </c:pt>
                <c:pt idx="4">
                  <c:v>7.891</c:v>
                </c:pt>
                <c:pt idx="5">
                  <c:v>9.0039999999999996</c:v>
                </c:pt>
                <c:pt idx="6">
                  <c:v>9.9570000000000007</c:v>
                </c:pt>
              </c:numCache>
            </c:numRef>
          </c:xVal>
          <c:yVal>
            <c:numRef>
              <c:f>[magnet_Cu.xlsx]рН!$B$18:$H$18</c:f>
              <c:numCache>
                <c:formatCode>General</c:formatCode>
                <c:ptCount val="7"/>
                <c:pt idx="0">
                  <c:v>65.3322</c:v>
                </c:pt>
                <c:pt idx="1">
                  <c:v>70.688800000000001</c:v>
                </c:pt>
                <c:pt idx="2">
                  <c:v>80.303799999999995</c:v>
                </c:pt>
                <c:pt idx="3">
                  <c:v>86.758600000000001</c:v>
                </c:pt>
                <c:pt idx="4">
                  <c:v>90.905072500000003</c:v>
                </c:pt>
                <c:pt idx="5">
                  <c:v>81.402000000000001</c:v>
                </c:pt>
                <c:pt idx="6">
                  <c:v>69.053470000000004</c:v>
                </c:pt>
              </c:numCache>
            </c:numRef>
          </c:yVal>
          <c:smooth val="1"/>
          <c:extLst>
            <c:ext xmlns:c16="http://schemas.microsoft.com/office/drawing/2014/chart" uri="{C3380CC4-5D6E-409C-BE32-E72D297353CC}">
              <c16:uniqueId val="{00000000-9206-4D1F-936B-F2A17AA3E8AD}"/>
            </c:ext>
          </c:extLst>
        </c:ser>
        <c:ser>
          <c:idx val="1"/>
          <c:order val="1"/>
          <c:tx>
            <c:strRef>
              <c:f>"5 мг/дм3"</c:f>
              <c:strCache>
                <c:ptCount val="1"/>
                <c:pt idx="0">
                  <c:v>5 мг/дм3</c:v>
                </c:pt>
              </c:strCache>
            </c:strRef>
          </c:tx>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[magnet_Cu.xlsx]рН!$B$29:$H$29</c:f>
              <c:numCache>
                <c:formatCode>General</c:formatCode>
                <c:ptCount val="7"/>
                <c:pt idx="0">
                  <c:v>3.9260000000000002</c:v>
                </c:pt>
                <c:pt idx="1">
                  <c:v>5.0579999999999998</c:v>
                </c:pt>
                <c:pt idx="2">
                  <c:v>6.2519999999999998</c:v>
                </c:pt>
                <c:pt idx="3">
                  <c:v>7.3479999999999999</c:v>
                </c:pt>
                <c:pt idx="4">
                  <c:v>8.1210000000000004</c:v>
                </c:pt>
                <c:pt idx="5">
                  <c:v>9.0259999999999998</c:v>
                </c:pt>
                <c:pt idx="6">
                  <c:v>10.087999999999999</c:v>
                </c:pt>
              </c:numCache>
            </c:numRef>
          </c:xVal>
          <c:yVal>
            <c:numRef>
              <c:f>[magnet_Cu.xlsx]рН!$B$42:$H$42</c:f>
              <c:numCache>
                <c:formatCode>General</c:formatCode>
                <c:ptCount val="7"/>
                <c:pt idx="0">
                  <c:v>60.607599999999998</c:v>
                </c:pt>
                <c:pt idx="1">
                  <c:v>77.915800000000004</c:v>
                </c:pt>
                <c:pt idx="2">
                  <c:v>86.569900000000004</c:v>
                </c:pt>
                <c:pt idx="3">
                  <c:v>95.224000000000004</c:v>
                </c:pt>
                <c:pt idx="4">
                  <c:v>99.706800000000001</c:v>
                </c:pt>
                <c:pt idx="5">
                  <c:v>87.809700000000007</c:v>
                </c:pt>
                <c:pt idx="6">
                  <c:v>83.843999999999994</c:v>
                </c:pt>
              </c:numCache>
            </c:numRef>
          </c:yVal>
          <c:smooth val="1"/>
          <c:extLst>
            <c:ext xmlns:c16="http://schemas.microsoft.com/office/drawing/2014/chart" uri="{C3380CC4-5D6E-409C-BE32-E72D297353CC}">
              <c16:uniqueId val="{00000001-9206-4D1F-936B-F2A17AA3E8AD}"/>
            </c:ext>
          </c:extLst>
        </c:ser>
        <c:dLbls>
          <c:showLegendKey val="0"/>
          <c:showVal val="0"/>
          <c:showCatName val="0"/>
          <c:showSerName val="0"/>
          <c:showPercent val="0"/>
          <c:showBubbleSize val="0"/>
        </c:dLbls>
        <c:axId val="128296395"/>
        <c:axId val="965499719"/>
      </c:scatterChart>
      <c:valAx>
        <c:axId val="128296395"/>
        <c:scaling>
          <c:orientation val="minMax"/>
          <c:max val="10"/>
          <c:min val="4"/>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рН</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965499719"/>
        <c:crosses val="autoZero"/>
        <c:crossBetween val="midCat"/>
      </c:valAx>
      <c:valAx>
        <c:axId val="965499719"/>
        <c:scaling>
          <c:orientation val="minMax"/>
          <c:max val="100"/>
          <c:min val="0"/>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Е, %</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128296395"/>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"10 мг/дм3"</c:f>
              <c:strCache>
                <c:ptCount val="1"/>
                <c:pt idx="0">
                  <c:v>10 мг/дм3</c:v>
                </c:pt>
              </c:strCache>
            </c:strRef>
          </c:tx>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[magnet_Cu.xlsx]рН!$B$5:$H$5</c:f>
              <c:numCache>
                <c:formatCode>General</c:formatCode>
                <c:ptCount val="7"/>
                <c:pt idx="0">
                  <c:v>3.956</c:v>
                </c:pt>
                <c:pt idx="1">
                  <c:v>4.7009999999999996</c:v>
                </c:pt>
                <c:pt idx="2">
                  <c:v>5.891</c:v>
                </c:pt>
                <c:pt idx="3">
                  <c:v>7.0259999999999998</c:v>
                </c:pt>
                <c:pt idx="4">
                  <c:v>7.891</c:v>
                </c:pt>
                <c:pt idx="5">
                  <c:v>9.0039999999999996</c:v>
                </c:pt>
                <c:pt idx="6">
                  <c:v>9.9570000000000007</c:v>
                </c:pt>
              </c:numCache>
            </c:numRef>
          </c:xVal>
          <c:yVal>
            <c:numRef>
              <c:f>[magnet_Cu.xlsx]рН!$B$13:$H$13</c:f>
              <c:numCache>
                <c:formatCode>0.000_ </c:formatCode>
                <c:ptCount val="7"/>
                <c:pt idx="0">
                  <c:v>5.633</c:v>
                </c:pt>
                <c:pt idx="1">
                  <c:v>5.7809999999999997</c:v>
                </c:pt>
                <c:pt idx="2">
                  <c:v>5.7729999999999997</c:v>
                </c:pt>
                <c:pt idx="3">
                  <c:v>6.6619999999999999</c:v>
                </c:pt>
                <c:pt idx="4">
                  <c:v>6.7480000000000002</c:v>
                </c:pt>
                <c:pt idx="5">
                  <c:v>7.05</c:v>
                </c:pt>
                <c:pt idx="6">
                  <c:v>7.3780000000000001</c:v>
                </c:pt>
              </c:numCache>
            </c:numRef>
          </c:yVal>
          <c:smooth val="1"/>
          <c:extLst>
            <c:ext xmlns:c16="http://schemas.microsoft.com/office/drawing/2014/chart" uri="{C3380CC4-5D6E-409C-BE32-E72D297353CC}">
              <c16:uniqueId val="{00000000-182D-49A5-8EE0-3AC3983D39E9}"/>
            </c:ext>
          </c:extLst>
        </c:ser>
        <c:ser>
          <c:idx val="1"/>
          <c:order val="1"/>
          <c:tx>
            <c:strRef>
              <c:f>"5 мг/дм3"</c:f>
              <c:strCache>
                <c:ptCount val="1"/>
                <c:pt idx="0">
                  <c:v>5 мг/дм3</c:v>
                </c:pt>
              </c:strCache>
            </c:strRef>
          </c:tx>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[magnet_Cu.xlsx]рН!$B$29:$H$29</c:f>
              <c:numCache>
                <c:formatCode>General</c:formatCode>
                <c:ptCount val="7"/>
                <c:pt idx="0">
                  <c:v>3.9260000000000002</c:v>
                </c:pt>
                <c:pt idx="1">
                  <c:v>5.0579999999999998</c:v>
                </c:pt>
                <c:pt idx="2">
                  <c:v>6.2519999999999998</c:v>
                </c:pt>
                <c:pt idx="3">
                  <c:v>7.3479999999999999</c:v>
                </c:pt>
                <c:pt idx="4">
                  <c:v>8.1210000000000004</c:v>
                </c:pt>
                <c:pt idx="5">
                  <c:v>9.0259999999999998</c:v>
                </c:pt>
                <c:pt idx="6">
                  <c:v>10.087999999999999</c:v>
                </c:pt>
              </c:numCache>
            </c:numRef>
          </c:xVal>
          <c:yVal>
            <c:numRef>
              <c:f>[magnet_Cu.xlsx]рН!$B$37:$H$37</c:f>
              <c:numCache>
                <c:formatCode>0.000_ </c:formatCode>
                <c:ptCount val="7"/>
                <c:pt idx="0">
                  <c:v>5.44</c:v>
                </c:pt>
                <c:pt idx="1">
                  <c:v>6.056</c:v>
                </c:pt>
                <c:pt idx="2">
                  <c:v>6.1639999999999997</c:v>
                </c:pt>
                <c:pt idx="3">
                  <c:v>6.891</c:v>
                </c:pt>
                <c:pt idx="4">
                  <c:v>7.0469999999999997</c:v>
                </c:pt>
                <c:pt idx="5">
                  <c:v>7.1509999999999998</c:v>
                </c:pt>
                <c:pt idx="6">
                  <c:v>8.3829999999999991</c:v>
                </c:pt>
              </c:numCache>
            </c:numRef>
          </c:yVal>
          <c:smooth val="1"/>
          <c:extLst>
            <c:ext xmlns:c16="http://schemas.microsoft.com/office/drawing/2014/chart" uri="{C3380CC4-5D6E-409C-BE32-E72D297353CC}">
              <c16:uniqueId val="{00000001-182D-49A5-8EE0-3AC3983D39E9}"/>
            </c:ext>
          </c:extLst>
        </c:ser>
        <c:dLbls>
          <c:showLegendKey val="0"/>
          <c:showVal val="0"/>
          <c:showCatName val="0"/>
          <c:showSerName val="0"/>
          <c:showPercent val="0"/>
          <c:showBubbleSize val="0"/>
        </c:dLbls>
        <c:axId val="128296395"/>
        <c:axId val="965499719"/>
      </c:scatterChart>
      <c:valAx>
        <c:axId val="128296395"/>
        <c:scaling>
          <c:orientation val="minMax"/>
          <c:max val="10"/>
          <c:min val="4"/>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рН, од</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965499719"/>
        <c:crosses val="autoZero"/>
        <c:crossBetween val="midCat"/>
      </c:valAx>
      <c:valAx>
        <c:axId val="965499719"/>
        <c:scaling>
          <c:orientation val="minMax"/>
          <c:max val="8.5"/>
          <c:min val="5.5"/>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pH, од</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0.000_ "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128296395"/>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9576014536644"/>
          <c:y val="5.60363511994919E-2"/>
          <c:w val="0.73687189271989595"/>
          <c:h val="0.83261956838728501"/>
        </c:manualLayout>
      </c:layout>
      <c:scatterChart>
        <c:scatterStyle val="smoothMarker"/>
        <c:varyColors val="0"/>
        <c:ser>
          <c:idx val="0"/>
          <c:order val="0"/>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Лист4!$A$2:$A$10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Лист4!$B$2:$B$10</c:f>
              <c:numCache>
                <c:formatCode>General</c:formatCode>
                <c:ptCount val="9"/>
                <c:pt idx="0">
                  <c:v>69.400000000000006</c:v>
                </c:pt>
                <c:pt idx="1">
                  <c:v>65.7</c:v>
                </c:pt>
                <c:pt idx="2">
                  <c:v>63.2</c:v>
                </c:pt>
                <c:pt idx="3">
                  <c:v>61.5</c:v>
                </c:pt>
                <c:pt idx="4">
                  <c:v>58.1</c:v>
                </c:pt>
                <c:pt idx="5">
                  <c:v>55.3</c:v>
                </c:pt>
                <c:pt idx="6">
                  <c:v>53</c:v>
                </c:pt>
                <c:pt idx="7">
                  <c:v>50.1</c:v>
                </c:pt>
                <c:pt idx="8">
                  <c:v>47.9</c:v>
                </c:pt>
              </c:numCache>
            </c:numRef>
          </c:yVal>
          <c:smooth val="1"/>
          <c:extLst>
            <c:ext xmlns:c16="http://schemas.microsoft.com/office/drawing/2014/chart" uri="{C3380CC4-5D6E-409C-BE32-E72D297353CC}">
              <c16:uniqueId val="{00000000-D572-427F-93E5-0D77E05D706E}"/>
            </c:ext>
          </c:extLst>
        </c:ser>
        <c:ser>
          <c:idx val="1"/>
          <c:order val="1"/>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Лист4!$A$2:$A$10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Лист4!$C$2:$C$10</c:f>
              <c:numCache>
                <c:formatCode>General</c:formatCode>
                <c:ptCount val="9"/>
                <c:pt idx="0">
                  <c:v>77.099999999999994</c:v>
                </c:pt>
                <c:pt idx="1">
                  <c:v>72.3</c:v>
                </c:pt>
                <c:pt idx="2">
                  <c:v>70.5</c:v>
                </c:pt>
                <c:pt idx="3">
                  <c:v>66.3</c:v>
                </c:pt>
                <c:pt idx="4">
                  <c:v>61</c:v>
                </c:pt>
                <c:pt idx="5">
                  <c:v>58.2</c:v>
                </c:pt>
                <c:pt idx="6">
                  <c:v>54.9</c:v>
                </c:pt>
                <c:pt idx="7">
                  <c:v>50.1</c:v>
                </c:pt>
                <c:pt idx="8">
                  <c:v>47.5</c:v>
                </c:pt>
              </c:numCache>
            </c:numRef>
          </c:yVal>
          <c:smooth val="1"/>
          <c:extLst>
            <c:ext xmlns:c16="http://schemas.microsoft.com/office/drawing/2014/chart" uri="{C3380CC4-5D6E-409C-BE32-E72D297353CC}">
              <c16:uniqueId val="{00000001-D572-427F-93E5-0D77E05D706E}"/>
            </c:ext>
          </c:extLst>
        </c:ser>
        <c:ser>
          <c:idx val="2"/>
          <c:order val="2"/>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Лист4!$A$2:$A$10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Лист4!$D$2:$D$10</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1"/>
          <c:extLst>
            <c:ext xmlns:c16="http://schemas.microsoft.com/office/drawing/2014/chart" uri="{C3380CC4-5D6E-409C-BE32-E72D297353CC}">
              <c16:uniqueId val="{00000002-D572-427F-93E5-0D77E05D706E}"/>
            </c:ext>
          </c:extLst>
        </c:ser>
        <c:ser>
          <c:idx val="3"/>
          <c:order val="3"/>
          <c:spPr>
            <a:ln w="25400" cap="rnd" cmpd="sng" algn="ctr">
              <a:solidFill>
                <a:sysClr val="windowText" lastClr="000000"/>
              </a:solidFill>
              <a:prstDash val="sysDash"/>
              <a:round/>
            </a:ln>
          </c:spPr>
          <c:marker>
            <c:spPr>
              <a:ln w="9525" cap="flat" cmpd="sng" algn="ctr">
                <a:solidFill>
                  <a:sysClr val="windowText" lastClr="000000"/>
                </a:solidFill>
                <a:prstDash val="solid"/>
                <a:round/>
              </a:ln>
            </c:spPr>
          </c:marker>
          <c:xVal>
            <c:numRef>
              <c:f>Лист4!$A$2:$A$10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Лист4!$E$2:$E$10</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1"/>
          <c:extLst>
            <c:ext xmlns:c16="http://schemas.microsoft.com/office/drawing/2014/chart" uri="{C3380CC4-5D6E-409C-BE32-E72D297353CC}">
              <c16:uniqueId val="{00000003-D572-427F-93E5-0D77E05D706E}"/>
            </c:ext>
          </c:extLst>
        </c:ser>
        <c:dLbls>
          <c:showLegendKey val="0"/>
          <c:showVal val="0"/>
          <c:showCatName val="0"/>
          <c:showSerName val="0"/>
          <c:showPercent val="0"/>
          <c:showBubbleSize val="0"/>
        </c:dLbls>
        <c:axId val="229884288"/>
        <c:axId val="229886592"/>
      </c:scatterChart>
      <c:valAx>
        <c:axId val="229884288"/>
        <c:scaling>
          <c:orientation val="minMax"/>
          <c:max val="9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 %</a:t>
                </a:r>
              </a:p>
            </c:rich>
          </c:tx>
          <c:layout>
            <c:manualLayout>
              <c:xMode val="edge"/>
              <c:yMode val="edge"/>
              <c:x val="0.91520464378812805"/>
              <c:y val="0.9073958333333339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29886592"/>
        <c:crosses val="autoZero"/>
        <c:crossBetween val="midCat"/>
        <c:majorUnit val="10"/>
      </c:valAx>
      <c:valAx>
        <c:axId val="229886592"/>
        <c:scaling>
          <c:orientation val="minMax"/>
          <c:max val="100"/>
          <c:min val="3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R, %</a:t>
                </a:r>
              </a:p>
            </c:rich>
          </c:tx>
          <c:layout>
            <c:manualLayout>
              <c:xMode val="edge"/>
              <c:yMode val="edge"/>
              <c:x val="3.6015322818347899E-2"/>
              <c:y val="0.366245761469685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29884288"/>
        <c:crosses val="autoZero"/>
        <c:crossBetween val="midCat"/>
        <c:majorUnit val="1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[magnet_Cu.xlsx]Sheet2!$B$5:$E$5</c:f>
              <c:numCache>
                <c:formatCode>_-* #,##0.000_-;\-* #,##0.000_-;_-* "-"??.00_-;_-@_-</c:formatCode>
                <c:ptCount val="4"/>
                <c:pt idx="0">
                  <c:v>5.5</c:v>
                </c:pt>
                <c:pt idx="1">
                  <c:v>7.4859999999999998</c:v>
                </c:pt>
                <c:pt idx="2">
                  <c:v>8.3079999999999998</c:v>
                </c:pt>
                <c:pt idx="3">
                  <c:v>9.0250000000000004</c:v>
                </c:pt>
              </c:numCache>
            </c:numRef>
          </c:xVal>
          <c:yVal>
            <c:numRef>
              <c:f>[magnet_Cu.xlsx]Sheet2!$B$18:$E$18</c:f>
              <c:numCache>
                <c:formatCode>_-* #,##0.00_-;\-* #,##0.00_-;_-* "-"??_-;_-@_-</c:formatCode>
                <c:ptCount val="4"/>
                <c:pt idx="0">
                  <c:v>78.915201999999994</c:v>
                </c:pt>
                <c:pt idx="1">
                  <c:v>96.40632712</c:v>
                </c:pt>
                <c:pt idx="2">
                  <c:v>95.184428479999994</c:v>
                </c:pt>
                <c:pt idx="3">
                  <c:v>99.442586019999993</c:v>
                </c:pt>
              </c:numCache>
            </c:numRef>
          </c:yVal>
          <c:smooth val="1"/>
          <c:extLst>
            <c:ext xmlns:c16="http://schemas.microsoft.com/office/drawing/2014/chart" uri="{C3380CC4-5D6E-409C-BE32-E72D297353CC}">
              <c16:uniqueId val="{00000000-9F16-4752-8969-AB6A77851694}"/>
            </c:ext>
          </c:extLst>
        </c:ser>
        <c:ser>
          <c:idx val="1"/>
          <c:order val="1"/>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[magnet_Cu.xlsx]Sheet2!$G$5:$J$5</c:f>
              <c:numCache>
                <c:formatCode>_-* #,##0.000_-;\-* #,##0.000_-;_-* "-"??.00_-;_-@_-</c:formatCode>
                <c:ptCount val="4"/>
                <c:pt idx="0">
                  <c:v>5.5</c:v>
                </c:pt>
                <c:pt idx="1">
                  <c:v>7.202</c:v>
                </c:pt>
                <c:pt idx="2">
                  <c:v>8.3109999999999999</c:v>
                </c:pt>
                <c:pt idx="3">
                  <c:v>9.0890000000000004</c:v>
                </c:pt>
              </c:numCache>
            </c:numRef>
          </c:xVal>
          <c:yVal>
            <c:numRef>
              <c:f>[magnet_Cu.xlsx]Sheet2!$G$18:$J$18</c:f>
              <c:numCache>
                <c:formatCode>_-* #,##0.00_-;\-* #,##0.00_-;_-* "-"??_-;_-@_-</c:formatCode>
                <c:ptCount val="4"/>
                <c:pt idx="0">
                  <c:v>51.808862980000001</c:v>
                </c:pt>
                <c:pt idx="1">
                  <c:v>60.930222624999999</c:v>
                </c:pt>
                <c:pt idx="2">
                  <c:v>78.915201999999994</c:v>
                </c:pt>
                <c:pt idx="3">
                  <c:v>91.493378000000007</c:v>
                </c:pt>
              </c:numCache>
            </c:numRef>
          </c:yVal>
          <c:smooth val="1"/>
          <c:extLst>
            <c:ext xmlns:c16="http://schemas.microsoft.com/office/drawing/2014/chart" uri="{C3380CC4-5D6E-409C-BE32-E72D297353CC}">
              <c16:uniqueId val="{00000001-9F16-4752-8969-AB6A77851694}"/>
            </c:ext>
          </c:extLst>
        </c:ser>
        <c:dLbls>
          <c:showLegendKey val="0"/>
          <c:showVal val="0"/>
          <c:showCatName val="0"/>
          <c:showSerName val="0"/>
          <c:showPercent val="0"/>
          <c:showBubbleSize val="0"/>
        </c:dLbls>
        <c:axId val="922998823"/>
        <c:axId val="976598480"/>
      </c:scatterChart>
      <c:valAx>
        <c:axId val="922998823"/>
        <c:scaling>
          <c:orientation val="minMax"/>
          <c:min val="5.5"/>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pH</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_-* #,##0.000_-;\-* #,##0.000_-;_-* &quot;-&quot;??.00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976598480"/>
        <c:crosses val="autoZero"/>
        <c:crossBetween val="midCat"/>
      </c:valAx>
      <c:valAx>
        <c:axId val="976598480"/>
        <c:scaling>
          <c:orientation val="minMax"/>
          <c:max val="100"/>
          <c:min val="50"/>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E, %</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_-* #,##0.00_-;\-* #,##0.00_-;_-* &quot;-&quot;??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922998823"/>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[magnet_Cu.xlsx]Sheet3!$A$5:$D$5</c:f>
              <c:numCache>
                <c:formatCode>_-* #,##0.000_-;\-* #,##0.000_-;_-* "-"??.00_-;_-@_-</c:formatCode>
                <c:ptCount val="4"/>
                <c:pt idx="0">
                  <c:v>6</c:v>
                </c:pt>
                <c:pt idx="1">
                  <c:v>7.0670000000000002</c:v>
                </c:pt>
                <c:pt idx="2">
                  <c:v>8.0410000000000004</c:v>
                </c:pt>
                <c:pt idx="3">
                  <c:v>9</c:v>
                </c:pt>
              </c:numCache>
            </c:numRef>
          </c:xVal>
          <c:yVal>
            <c:numRef>
              <c:f>[magnet_Cu.xlsx]Sheet3!$A$18:$D$18</c:f>
              <c:numCache>
                <c:formatCode>_-* #,##0.00_-;\-* #,##0.00_-;_-* "-"??_-;_-@_-</c:formatCode>
                <c:ptCount val="4"/>
                <c:pt idx="0">
                  <c:v>72.467647999999997</c:v>
                </c:pt>
                <c:pt idx="1">
                  <c:v>91.493378000000007</c:v>
                </c:pt>
                <c:pt idx="2">
                  <c:v>95.795906020000004</c:v>
                </c:pt>
                <c:pt idx="3">
                  <c:v>92.111194179999998</c:v>
                </c:pt>
              </c:numCache>
            </c:numRef>
          </c:yVal>
          <c:smooth val="1"/>
          <c:extLst>
            <c:ext xmlns:c16="http://schemas.microsoft.com/office/drawing/2014/chart" uri="{C3380CC4-5D6E-409C-BE32-E72D297353CC}">
              <c16:uniqueId val="{00000000-10B3-4626-8D64-277D1636F7F7}"/>
            </c:ext>
          </c:extLst>
        </c:ser>
        <c:ser>
          <c:idx val="1"/>
          <c:order val="1"/>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[magnet_Cu.xlsx]Sheet3!$E$5:$H$5</c:f>
              <c:numCache>
                <c:formatCode>_-* #,##0.000_-;\-* #,##0.000_-;_-* "-"??.00_-;_-@_-</c:formatCode>
                <c:ptCount val="4"/>
                <c:pt idx="0">
                  <c:v>6</c:v>
                </c:pt>
                <c:pt idx="1">
                  <c:v>7.0949999999999998</c:v>
                </c:pt>
                <c:pt idx="2">
                  <c:v>8.0169999999999995</c:v>
                </c:pt>
                <c:pt idx="3">
                  <c:v>9</c:v>
                </c:pt>
              </c:numCache>
            </c:numRef>
          </c:xVal>
          <c:yVal>
            <c:numRef>
              <c:f>[magnet_Cu.xlsx]Sheet3!$E$18:$H$18</c:f>
              <c:numCache>
                <c:formatCode>_-* #,##0.00_-;\-* #,##0.00_-;_-* "-"??_-;_-@_-</c:formatCode>
                <c:ptCount val="4"/>
                <c:pt idx="0">
                  <c:v>0.92105000000000103</c:v>
                </c:pt>
                <c:pt idx="1">
                  <c:v>2.7987536250000198</c:v>
                </c:pt>
                <c:pt idx="2">
                  <c:v>9.8818359199999897</c:v>
                </c:pt>
                <c:pt idx="3">
                  <c:v>20.079097999999998</c:v>
                </c:pt>
              </c:numCache>
            </c:numRef>
          </c:yVal>
          <c:smooth val="1"/>
          <c:extLst>
            <c:ext xmlns:c16="http://schemas.microsoft.com/office/drawing/2014/chart" uri="{C3380CC4-5D6E-409C-BE32-E72D297353CC}">
              <c16:uniqueId val="{00000001-10B3-4626-8D64-277D1636F7F7}"/>
            </c:ext>
          </c:extLst>
        </c:ser>
        <c:dLbls>
          <c:showLegendKey val="0"/>
          <c:showVal val="0"/>
          <c:showCatName val="0"/>
          <c:showSerName val="0"/>
          <c:showPercent val="0"/>
          <c:showBubbleSize val="0"/>
        </c:dLbls>
        <c:axId val="270593948"/>
        <c:axId val="591102951"/>
      </c:scatterChart>
      <c:valAx>
        <c:axId val="270593948"/>
        <c:scaling>
          <c:orientation val="minMax"/>
          <c:max val="9"/>
          <c:min val="6"/>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pH</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_-* #,##0.000_-;\-* #,##0.000_-;_-* &quot;-&quot;??.00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591102951"/>
        <c:crosses val="autoZero"/>
        <c:crossBetween val="midCat"/>
      </c:valAx>
      <c:valAx>
        <c:axId val="591102951"/>
        <c:scaling>
          <c:orientation val="minMax"/>
          <c:max val="100"/>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E, %</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_-* #,##0.00_-;\-* #,##0.00_-;_-* &quot;-&quot;??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27059394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[magnet_Cu.xlsx]Sheet1!$B$100:$E$100</c:f>
              <c:numCache>
                <c:formatCode>0_ </c:formatCode>
                <c:ptCount val="4"/>
                <c:pt idx="0">
                  <c:v>6</c:v>
                </c:pt>
                <c:pt idx="1">
                  <c:v>7</c:v>
                </c:pt>
                <c:pt idx="2">
                  <c:v>8</c:v>
                </c:pt>
                <c:pt idx="3">
                  <c:v>9</c:v>
                </c:pt>
              </c:numCache>
            </c:numRef>
          </c:xVal>
          <c:yVal>
            <c:numRef>
              <c:f>[magnet_Cu.xlsx]Sheet1!$B$116:$E$116</c:f>
              <c:numCache>
                <c:formatCode>_-* #,##0.00_-;\-* #,##0.00_-;_-* "-"??_-;_-@_-</c:formatCode>
                <c:ptCount val="4"/>
                <c:pt idx="0">
                  <c:v>88.39</c:v>
                </c:pt>
                <c:pt idx="1">
                  <c:v>97.4</c:v>
                </c:pt>
                <c:pt idx="2">
                  <c:v>95.76</c:v>
                </c:pt>
                <c:pt idx="3">
                  <c:v>89.58</c:v>
                </c:pt>
              </c:numCache>
            </c:numRef>
          </c:yVal>
          <c:smooth val="1"/>
          <c:extLst>
            <c:ext xmlns:c16="http://schemas.microsoft.com/office/drawing/2014/chart" uri="{C3380CC4-5D6E-409C-BE32-E72D297353CC}">
              <c16:uniqueId val="{00000000-AE22-44A2-A0F7-E1D6A0C01C3B}"/>
            </c:ext>
          </c:extLst>
        </c:ser>
        <c:ser>
          <c:idx val="1"/>
          <c:order val="1"/>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[magnet_Cu.xlsx]Sheet1!$B$100:$E$100</c:f>
              <c:numCache>
                <c:formatCode>0_ </c:formatCode>
                <c:ptCount val="4"/>
                <c:pt idx="0">
                  <c:v>6</c:v>
                </c:pt>
                <c:pt idx="1">
                  <c:v>7</c:v>
                </c:pt>
                <c:pt idx="2">
                  <c:v>8</c:v>
                </c:pt>
                <c:pt idx="3">
                  <c:v>9</c:v>
                </c:pt>
              </c:numCache>
            </c:numRef>
          </c:xVal>
          <c:yVal>
            <c:numRef>
              <c:f>[magnet_Cu.xlsx]Sheet1!$F$115:$I$115</c:f>
              <c:numCache>
                <c:formatCode>_-* #,##0.00_-;\-* #,##0.00_-;_-* "-"??_-;_-@_-</c:formatCode>
                <c:ptCount val="4"/>
                <c:pt idx="0">
                  <c:v>88.172775999999999</c:v>
                </c:pt>
                <c:pt idx="1">
                  <c:v>97.36</c:v>
                </c:pt>
                <c:pt idx="2">
                  <c:v>99.826292499999994</c:v>
                </c:pt>
                <c:pt idx="3">
                  <c:v>90.384758120000001</c:v>
                </c:pt>
              </c:numCache>
            </c:numRef>
          </c:yVal>
          <c:smooth val="1"/>
          <c:extLst>
            <c:ext xmlns:c16="http://schemas.microsoft.com/office/drawing/2014/chart" uri="{C3380CC4-5D6E-409C-BE32-E72D297353CC}">
              <c16:uniqueId val="{00000001-AE22-44A2-A0F7-E1D6A0C01C3B}"/>
            </c:ext>
          </c:extLst>
        </c:ser>
        <c:ser>
          <c:idx val="2"/>
          <c:order val="2"/>
          <c:spPr>
            <a:ln w="19050" cap="rnd">
              <a:noFill/>
              <a:round/>
            </a:ln>
            <a:effectLst/>
          </c:spPr>
          <c:marker>
            <c:symbol val="diamond"/>
            <c:size val="6"/>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[magnet_Cu.xlsx]Sheet1!$B$100:$E$100</c:f>
              <c:numCache>
                <c:formatCode>0_ </c:formatCode>
                <c:ptCount val="4"/>
                <c:pt idx="0">
                  <c:v>6</c:v>
                </c:pt>
                <c:pt idx="1">
                  <c:v>7</c:v>
                </c:pt>
                <c:pt idx="2">
                  <c:v>8</c:v>
                </c:pt>
                <c:pt idx="3">
                  <c:v>9</c:v>
                </c:pt>
              </c:numCache>
            </c:numRef>
          </c:xVal>
          <c:yVal>
            <c:numRef>
              <c:f>[magnet_Cu.xlsx]Sheet1!$J$115:$M$115</c:f>
              <c:numCache>
                <c:formatCode>_-* #,##0.00_-;\-* #,##0.00_-;_-* "-"??_-;_-@_-</c:formatCode>
                <c:ptCount val="4"/>
                <c:pt idx="0">
                  <c:v>79.309080640744796</c:v>
                </c:pt>
                <c:pt idx="1">
                  <c:v>89.78</c:v>
                </c:pt>
                <c:pt idx="2">
                  <c:v>94.6</c:v>
                </c:pt>
                <c:pt idx="3">
                  <c:v>88.66</c:v>
                </c:pt>
              </c:numCache>
            </c:numRef>
          </c:yVal>
          <c:smooth val="1"/>
          <c:extLst>
            <c:ext xmlns:c16="http://schemas.microsoft.com/office/drawing/2014/chart" uri="{C3380CC4-5D6E-409C-BE32-E72D297353CC}">
              <c16:uniqueId val="{00000002-AE22-44A2-A0F7-E1D6A0C01C3B}"/>
            </c:ext>
          </c:extLst>
        </c:ser>
        <c:dLbls>
          <c:showLegendKey val="0"/>
          <c:showVal val="0"/>
          <c:showCatName val="0"/>
          <c:showSerName val="0"/>
          <c:showPercent val="0"/>
          <c:showBubbleSize val="0"/>
        </c:dLbls>
        <c:axId val="679970386"/>
        <c:axId val="108097243"/>
      </c:scatterChart>
      <c:valAx>
        <c:axId val="679970386"/>
        <c:scaling>
          <c:orientation val="minMax"/>
          <c:max val="9"/>
          <c:min val="6"/>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pH</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0_ "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108097243"/>
        <c:crosses val="autoZero"/>
        <c:crossBetween val="midCat"/>
        <c:majorUnit val="1"/>
      </c:valAx>
      <c:valAx>
        <c:axId val="108097243"/>
        <c:scaling>
          <c:orientation val="minMax"/>
          <c:max val="100"/>
          <c:min val="75"/>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E, %</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_-* #,##0.00_-;\-* #,##0.00_-;_-* &quot;-&quot;??_-;_-@_-"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67997038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noFill/>
              <a:round/>
            </a:ln>
            <a:effectLst/>
          </c:spPr>
          <c:marker>
            <c:symbol val="circl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[magnet_Cu.xlsx]Sheet1!$B$100:$E$100</c:f>
              <c:numCache>
                <c:formatCode>0_ </c:formatCode>
                <c:ptCount val="4"/>
                <c:pt idx="0">
                  <c:v>6</c:v>
                </c:pt>
                <c:pt idx="1">
                  <c:v>7</c:v>
                </c:pt>
                <c:pt idx="2">
                  <c:v>8</c:v>
                </c:pt>
                <c:pt idx="3">
                  <c:v>9</c:v>
                </c:pt>
              </c:numCache>
            </c:numRef>
          </c:xVal>
          <c:yVal>
            <c:numRef>
              <c:f>[magnet_Cu.xlsx]Sheet1!$B$121:$E$121</c:f>
              <c:numCache>
                <c:formatCode>0.000_ </c:formatCode>
                <c:ptCount val="4"/>
                <c:pt idx="0">
                  <c:v>1.9831872120562501E-2</c:v>
                </c:pt>
                <c:pt idx="1">
                  <c:v>2.3088455772113901E-2</c:v>
                </c:pt>
                <c:pt idx="2">
                  <c:v>2.2678660669665202E-2</c:v>
                </c:pt>
                <c:pt idx="3">
                  <c:v>2.2383808095952001E-2</c:v>
                </c:pt>
              </c:numCache>
            </c:numRef>
          </c:yVal>
          <c:smooth val="1"/>
          <c:extLst>
            <c:ext xmlns:c16="http://schemas.microsoft.com/office/drawing/2014/chart" uri="{C3380CC4-5D6E-409C-BE32-E72D297353CC}">
              <c16:uniqueId val="{00000000-D4CF-4F27-ABBE-2B3D9711AF9F}"/>
            </c:ext>
          </c:extLst>
        </c:ser>
        <c:ser>
          <c:idx val="1"/>
          <c:order val="1"/>
          <c:spPr>
            <a:ln w="19050" cap="rnd">
              <a:noFill/>
              <a:round/>
            </a:ln>
            <a:effectLst/>
          </c:spPr>
          <c:marker>
            <c:symbol val="square"/>
            <c:size val="5"/>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[magnet_Cu.xlsx]Sheet1!$B$100:$E$100</c:f>
              <c:numCache>
                <c:formatCode>0_ </c:formatCode>
                <c:ptCount val="4"/>
                <c:pt idx="0">
                  <c:v>6</c:v>
                </c:pt>
                <c:pt idx="1">
                  <c:v>7</c:v>
                </c:pt>
                <c:pt idx="2">
                  <c:v>8</c:v>
                </c:pt>
                <c:pt idx="3">
                  <c:v>9</c:v>
                </c:pt>
              </c:numCache>
            </c:numRef>
          </c:xVal>
          <c:yVal>
            <c:numRef>
              <c:f>[magnet_Cu.xlsx]Sheet1!$F$120:$I$120</c:f>
              <c:numCache>
                <c:formatCode>0.000_ </c:formatCode>
                <c:ptCount val="4"/>
                <c:pt idx="0">
                  <c:v>2.07828025987007E-2</c:v>
                </c:pt>
                <c:pt idx="1">
                  <c:v>2.30784607696152E-2</c:v>
                </c:pt>
                <c:pt idx="2">
                  <c:v>2.3694725762118899E-2</c:v>
                </c:pt>
                <c:pt idx="3">
                  <c:v>2.1335521769115399E-2</c:v>
                </c:pt>
              </c:numCache>
            </c:numRef>
          </c:yVal>
          <c:smooth val="1"/>
          <c:extLst>
            <c:ext xmlns:c16="http://schemas.microsoft.com/office/drawing/2014/chart" uri="{C3380CC4-5D6E-409C-BE32-E72D297353CC}">
              <c16:uniqueId val="{00000001-D4CF-4F27-ABBE-2B3D9711AF9F}"/>
            </c:ext>
          </c:extLst>
        </c:ser>
        <c:ser>
          <c:idx val="2"/>
          <c:order val="2"/>
          <c:spPr>
            <a:ln w="19050" cap="rnd">
              <a:noFill/>
              <a:round/>
            </a:ln>
            <a:effectLst/>
          </c:spPr>
          <c:marker>
            <c:symbol val="diamond"/>
            <c:size val="6"/>
            <c:spPr>
              <a:solidFill>
                <a:schemeClr val="tx1"/>
              </a:solidFill>
              <a:ln w="9525">
                <a:noFill/>
              </a:ln>
              <a:effectLst/>
            </c:spPr>
          </c:marker>
          <c:trendline>
            <c:spPr>
              <a:ln w="28575" cap="rnd" cmpd="sng">
                <a:solidFill>
                  <a:schemeClr val="tx1"/>
                </a:solidFill>
                <a:prstDash val="solid"/>
              </a:ln>
              <a:effectLst/>
            </c:spPr>
            <c:trendlineType val="poly"/>
            <c:order val="2"/>
            <c:dispRSqr val="0"/>
            <c:dispEq val="0"/>
          </c:trendline>
          <c:xVal>
            <c:numRef>
              <c:f>[magnet_Cu.xlsx]Sheet1!$B$100:$E$100</c:f>
              <c:numCache>
                <c:formatCode>0_ </c:formatCode>
                <c:ptCount val="4"/>
                <c:pt idx="0">
                  <c:v>6</c:v>
                </c:pt>
                <c:pt idx="1">
                  <c:v>7</c:v>
                </c:pt>
                <c:pt idx="2">
                  <c:v>8</c:v>
                </c:pt>
                <c:pt idx="3">
                  <c:v>9</c:v>
                </c:pt>
              </c:numCache>
            </c:numRef>
          </c:xVal>
          <c:yVal>
            <c:numRef>
              <c:f>[magnet_Cu.xlsx]Sheet1!$J$120:$M$120</c:f>
              <c:numCache>
                <c:formatCode>0.000_ </c:formatCode>
                <c:ptCount val="4"/>
                <c:pt idx="0">
                  <c:v>1.8567986167102601E-2</c:v>
                </c:pt>
                <c:pt idx="1">
                  <c:v>2.1184407796101899E-2</c:v>
                </c:pt>
                <c:pt idx="2">
                  <c:v>2.2388805597201401E-2</c:v>
                </c:pt>
                <c:pt idx="3">
                  <c:v>2.09045477261369E-2</c:v>
                </c:pt>
              </c:numCache>
            </c:numRef>
          </c:yVal>
          <c:smooth val="1"/>
          <c:extLst>
            <c:ext xmlns:c16="http://schemas.microsoft.com/office/drawing/2014/chart" uri="{C3380CC4-5D6E-409C-BE32-E72D297353CC}">
              <c16:uniqueId val="{00000002-D4CF-4F27-ABBE-2B3D9711AF9F}"/>
            </c:ext>
          </c:extLst>
        </c:ser>
        <c:dLbls>
          <c:showLegendKey val="0"/>
          <c:showVal val="0"/>
          <c:showCatName val="0"/>
          <c:showSerName val="0"/>
          <c:showPercent val="0"/>
          <c:showBubbleSize val="0"/>
        </c:dLbls>
        <c:axId val="679970386"/>
        <c:axId val="108097243"/>
      </c:scatterChart>
      <c:valAx>
        <c:axId val="679970386"/>
        <c:scaling>
          <c:orientation val="minMax"/>
          <c:max val="9"/>
          <c:min val="6"/>
        </c:scaling>
        <c:delete val="0"/>
        <c:axPos val="b"/>
        <c:title>
          <c:tx>
            <c:rich>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pH</a:t>
                </a:r>
              </a:p>
            </c:rich>
          </c:tx>
          <c:overlay val="0"/>
          <c:spPr>
            <a:noFill/>
            <a:ln>
              <a:noFill/>
            </a:ln>
            <a:effectLst/>
          </c:spPr>
          <c:txPr>
            <a:bodyPr rot="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0_ "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108097243"/>
        <c:crosses val="autoZero"/>
        <c:crossBetween val="midCat"/>
        <c:majorUnit val="1"/>
      </c:valAx>
      <c:valAx>
        <c:axId val="108097243"/>
        <c:scaling>
          <c:orientation val="minMax"/>
          <c:max val="2.4E-2"/>
          <c:min val="1.7999999999999999E-2"/>
        </c:scaling>
        <c:delete val="0"/>
        <c:axPos val="l"/>
        <c:title>
          <c:tx>
            <c:rich>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r>
                  <a:rPr lang="en-US" altLang="en-US">
                    <a:solidFill>
                      <a:sysClr val="windowText" lastClr="000000"/>
                    </a:solidFill>
                  </a:rPr>
                  <a:t>A, г/г</a:t>
                </a:r>
              </a:p>
            </c:rich>
          </c:tx>
          <c:overlay val="0"/>
          <c:spPr>
            <a:noFill/>
            <a:ln>
              <a:noFill/>
            </a:ln>
            <a:effectLst/>
          </c:spPr>
          <c:txPr>
            <a:bodyPr rot="-5400000" spcFirstLastPara="0" vertOverflow="ellipsis" vert="horz" wrap="square" anchor="ctr" anchorCtr="1"/>
            <a:lstStyle/>
            <a:p>
              <a:pPr defTabSz="914400">
                <a:defRPr lang="en-US" sz="1000" b="0" i="0" u="none" strike="noStrike" kern="1200" baseline="0">
                  <a:solidFill>
                    <a:sysClr val="windowText" lastClr="000000"/>
                  </a:solidFill>
                  <a:latin typeface="+mn-lt"/>
                  <a:ea typeface="+mn-ea"/>
                  <a:cs typeface="+mn-cs"/>
                </a:defRPr>
              </a:pPr>
              <a:endParaRPr lang="ru-RU"/>
            </a:p>
          </c:txPr>
        </c:title>
        <c:numFmt formatCode="0.000_ "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0"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ru-RU"/>
          </a:p>
        </c:txPr>
        <c:crossAx val="67997038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ru-RU"/>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669692330125401"/>
          <c:y val="7.2695103759512103E-2"/>
          <c:w val="0.70614048983522004"/>
          <c:h val="0.78390311447289596"/>
        </c:manualLayout>
      </c:layout>
      <c:scatterChart>
        <c:scatterStyle val="smoothMarker"/>
        <c:varyColors val="0"/>
        <c:ser>
          <c:idx val="0"/>
          <c:order val="0"/>
          <c:spPr>
            <a:ln w="25400" cap="rnd" cmpd="sng" algn="ctr">
              <a:solidFill>
                <a:prstClr val="black">
                  <a:shade val="95000"/>
                  <a:satMod val="105000"/>
                </a:prstClr>
              </a:solidFill>
              <a:prstDash val="solid"/>
              <a:round/>
            </a:ln>
          </c:spPr>
          <c:marker>
            <c:spPr>
              <a:solidFill>
                <a:sysClr val="windowText" lastClr="000000"/>
              </a:solidFill>
              <a:ln w="9525" cap="flat" cmpd="sng" algn="ctr">
                <a:solidFill>
                  <a:prstClr val="black">
                    <a:shade val="95000"/>
                    <a:satMod val="105000"/>
                  </a:prstClr>
                </a:solidFill>
                <a:prstDash val="solid"/>
                <a:round/>
              </a:ln>
            </c:spPr>
          </c:marker>
          <c:dLbls>
            <c:delete val="1"/>
          </c:dLbls>
          <c:xVal>
            <c:numRef>
              <c:f>'Рис. 6'!$A$2:$A$11</c:f>
              <c:numCache>
                <c:formatCode>General</c:formatCode>
                <c:ptCount val="10"/>
                <c:pt idx="0">
                  <c:v>0</c:v>
                </c:pt>
                <c:pt idx="1">
                  <c:v>0.5</c:v>
                </c:pt>
                <c:pt idx="2">
                  <c:v>1</c:v>
                </c:pt>
                <c:pt idx="3">
                  <c:v>1.5</c:v>
                </c:pt>
                <c:pt idx="4">
                  <c:v>2</c:v>
                </c:pt>
                <c:pt idx="5">
                  <c:v>2.5</c:v>
                </c:pt>
                <c:pt idx="6">
                  <c:v>3</c:v>
                </c:pt>
                <c:pt idx="7">
                  <c:v>3.5</c:v>
                </c:pt>
                <c:pt idx="8">
                  <c:v>4</c:v>
                </c:pt>
                <c:pt idx="9">
                  <c:v>4.5</c:v>
                </c:pt>
              </c:numCache>
            </c:numRef>
          </c:xVal>
          <c:yVal>
            <c:numRef>
              <c:f>'Рис. 6'!$B$2:$B$11</c:f>
              <c:numCache>
                <c:formatCode>General</c:formatCode>
                <c:ptCount val="10"/>
                <c:pt idx="0">
                  <c:v>0</c:v>
                </c:pt>
                <c:pt idx="1">
                  <c:v>7.56</c:v>
                </c:pt>
                <c:pt idx="2">
                  <c:v>5.0999999999999996</c:v>
                </c:pt>
                <c:pt idx="3">
                  <c:v>5.4</c:v>
                </c:pt>
                <c:pt idx="4">
                  <c:v>0.78</c:v>
                </c:pt>
                <c:pt idx="5">
                  <c:v>0.22</c:v>
                </c:pt>
                <c:pt idx="6">
                  <c:v>0.13</c:v>
                </c:pt>
                <c:pt idx="7">
                  <c:v>0.12</c:v>
                </c:pt>
                <c:pt idx="8">
                  <c:v>0.05</c:v>
                </c:pt>
                <c:pt idx="9">
                  <c:v>0.06</c:v>
                </c:pt>
              </c:numCache>
            </c:numRef>
          </c:yVal>
          <c:smooth val="1"/>
          <c:extLst>
            <c:ext xmlns:c16="http://schemas.microsoft.com/office/drawing/2014/chart" uri="{C3380CC4-5D6E-409C-BE32-E72D297353CC}">
              <c16:uniqueId val="{00000000-E653-4A2B-93FB-4EAACFC1F889}"/>
            </c:ext>
          </c:extLst>
        </c:ser>
        <c:ser>
          <c:idx val="1"/>
          <c:order val="1"/>
          <c:spPr>
            <a:ln w="25400" cap="rnd" cmpd="sng" algn="ctr">
              <a:solidFill>
                <a:prstClr val="black">
                  <a:shade val="95000"/>
                  <a:satMod val="105000"/>
                </a:prstClr>
              </a:solidFill>
              <a:prstDash val="solid"/>
              <a:round/>
            </a:ln>
          </c:spPr>
          <c:marker>
            <c:symbol val="square"/>
            <c:size val="6"/>
            <c:spPr>
              <a:solidFill>
                <a:schemeClr val="tx1"/>
              </a:solidFill>
              <a:ln w="9525" cap="flat" cmpd="sng" algn="ctr">
                <a:solidFill>
                  <a:prstClr val="black">
                    <a:shade val="95000"/>
                    <a:satMod val="105000"/>
                  </a:prstClr>
                </a:solidFill>
                <a:prstDash val="solid"/>
                <a:round/>
              </a:ln>
            </c:spPr>
          </c:marker>
          <c:dLbls>
            <c:delete val="1"/>
          </c:dLbls>
          <c:xVal>
            <c:numRef>
              <c:f>'Рис. 6'!$A$2:$A$11</c:f>
              <c:numCache>
                <c:formatCode>General</c:formatCode>
                <c:ptCount val="10"/>
                <c:pt idx="0">
                  <c:v>0</c:v>
                </c:pt>
                <c:pt idx="1">
                  <c:v>0.5</c:v>
                </c:pt>
                <c:pt idx="2">
                  <c:v>1</c:v>
                </c:pt>
                <c:pt idx="3">
                  <c:v>1.5</c:v>
                </c:pt>
                <c:pt idx="4">
                  <c:v>2</c:v>
                </c:pt>
                <c:pt idx="5">
                  <c:v>2.5</c:v>
                </c:pt>
                <c:pt idx="6">
                  <c:v>3</c:v>
                </c:pt>
                <c:pt idx="7">
                  <c:v>3.5</c:v>
                </c:pt>
                <c:pt idx="8">
                  <c:v>4</c:v>
                </c:pt>
                <c:pt idx="9">
                  <c:v>4.5</c:v>
                </c:pt>
              </c:numCache>
            </c:numRef>
          </c:xVal>
          <c:yVal>
            <c:numRef>
              <c:f>'Рис. 6'!$C$2:$C$11</c:f>
              <c:numCache>
                <c:formatCode>General</c:formatCode>
                <c:ptCount val="10"/>
                <c:pt idx="0">
                  <c:v>2.0299999999999998</c:v>
                </c:pt>
                <c:pt idx="1">
                  <c:v>6</c:v>
                </c:pt>
                <c:pt idx="2">
                  <c:v>4.12</c:v>
                </c:pt>
                <c:pt idx="3">
                  <c:v>3.38</c:v>
                </c:pt>
                <c:pt idx="4">
                  <c:v>3.03</c:v>
                </c:pt>
                <c:pt idx="5">
                  <c:v>3.06</c:v>
                </c:pt>
                <c:pt idx="6">
                  <c:v>3.04</c:v>
                </c:pt>
                <c:pt idx="7">
                  <c:v>3.04</c:v>
                </c:pt>
                <c:pt idx="8">
                  <c:v>3.05</c:v>
                </c:pt>
                <c:pt idx="9">
                  <c:v>3</c:v>
                </c:pt>
              </c:numCache>
            </c:numRef>
          </c:yVal>
          <c:smooth val="1"/>
          <c:extLst>
            <c:ext xmlns:c16="http://schemas.microsoft.com/office/drawing/2014/chart" uri="{C3380CC4-5D6E-409C-BE32-E72D297353CC}">
              <c16:uniqueId val="{00000001-E653-4A2B-93FB-4EAACFC1F889}"/>
            </c:ext>
          </c:extLst>
        </c:ser>
        <c:dLbls>
          <c:showLegendKey val="1"/>
          <c:showVal val="1"/>
          <c:showCatName val="1"/>
          <c:showSerName val="1"/>
          <c:showPercent val="1"/>
          <c:showBubbleSize val="1"/>
        </c:dLbls>
        <c:axId val="34404608"/>
        <c:axId val="34570624"/>
      </c:scatterChart>
      <c:scatterChart>
        <c:scatterStyle val="smoothMarker"/>
        <c:varyColors val="0"/>
        <c:ser>
          <c:idx val="2"/>
          <c:order val="2"/>
          <c:spPr>
            <a:ln w="25400" cap="rnd" cmpd="sng" algn="ctr">
              <a:solidFill>
                <a:schemeClr val="dk1">
                  <a:shade val="95000"/>
                  <a:satMod val="105000"/>
                </a:schemeClr>
              </a:solidFill>
              <a:prstDash val="solid"/>
              <a:round/>
            </a:ln>
          </c:spPr>
          <c:marker>
            <c:spPr>
              <a:solidFill>
                <a:schemeClr val="bg1"/>
              </a:solidFill>
              <a:ln w="9525" cap="flat" cmpd="sng" algn="ctr">
                <a:solidFill>
                  <a:prstClr val="black">
                    <a:shade val="95000"/>
                    <a:satMod val="105000"/>
                  </a:prstClr>
                </a:solidFill>
                <a:prstDash val="solid"/>
                <a:round/>
              </a:ln>
            </c:spPr>
          </c:marker>
          <c:dLbls>
            <c:delete val="1"/>
          </c:dLbls>
          <c:xVal>
            <c:numRef>
              <c:f>'Рис. 6'!$A$2:$A$11</c:f>
              <c:numCache>
                <c:formatCode>General</c:formatCode>
                <c:ptCount val="10"/>
                <c:pt idx="0">
                  <c:v>0</c:v>
                </c:pt>
                <c:pt idx="1">
                  <c:v>0.5</c:v>
                </c:pt>
                <c:pt idx="2">
                  <c:v>1</c:v>
                </c:pt>
                <c:pt idx="3">
                  <c:v>1.5</c:v>
                </c:pt>
                <c:pt idx="4">
                  <c:v>2</c:v>
                </c:pt>
                <c:pt idx="5">
                  <c:v>2.5</c:v>
                </c:pt>
                <c:pt idx="6">
                  <c:v>3</c:v>
                </c:pt>
                <c:pt idx="7">
                  <c:v>3.5</c:v>
                </c:pt>
                <c:pt idx="8">
                  <c:v>4</c:v>
                </c:pt>
                <c:pt idx="9">
                  <c:v>4.5</c:v>
                </c:pt>
              </c:numCache>
            </c:numRef>
          </c:xVal>
          <c:yVal>
            <c:numRef>
              <c:f>'Рис. 6'!$D$2:$D$11</c:f>
              <c:numCache>
                <c:formatCode>General</c:formatCode>
                <c:ptCount val="10"/>
                <c:pt idx="0">
                  <c:v>0</c:v>
                </c:pt>
                <c:pt idx="1">
                  <c:v>99.3</c:v>
                </c:pt>
                <c:pt idx="2">
                  <c:v>99.54</c:v>
                </c:pt>
                <c:pt idx="3">
                  <c:v>99.52</c:v>
                </c:pt>
                <c:pt idx="4">
                  <c:v>99.95</c:v>
                </c:pt>
                <c:pt idx="5">
                  <c:v>99.98</c:v>
                </c:pt>
                <c:pt idx="6">
                  <c:v>99.98</c:v>
                </c:pt>
                <c:pt idx="7">
                  <c:v>99.98</c:v>
                </c:pt>
                <c:pt idx="8">
                  <c:v>99.99</c:v>
                </c:pt>
                <c:pt idx="9">
                  <c:v>99.99</c:v>
                </c:pt>
              </c:numCache>
            </c:numRef>
          </c:yVal>
          <c:smooth val="1"/>
          <c:extLst>
            <c:ext xmlns:c16="http://schemas.microsoft.com/office/drawing/2014/chart" uri="{C3380CC4-5D6E-409C-BE32-E72D297353CC}">
              <c16:uniqueId val="{00000002-E653-4A2B-93FB-4EAACFC1F889}"/>
            </c:ext>
          </c:extLst>
        </c:ser>
        <c:dLbls>
          <c:showLegendKey val="1"/>
          <c:showVal val="1"/>
          <c:showCatName val="1"/>
          <c:showSerName val="1"/>
          <c:showPercent val="1"/>
          <c:showBubbleSize val="1"/>
        </c:dLbls>
        <c:axId val="34572544"/>
        <c:axId val="34590720"/>
      </c:scatterChart>
      <c:valAx>
        <c:axId val="34404608"/>
        <c:scaling>
          <c:orientation val="minMax"/>
          <c:max val="4.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0.89907170457859498"/>
              <c:y val="0.91140264947196503"/>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a:ea typeface="Times New Roman" panose="02020603050405020304"/>
                <a:cs typeface="Times New Roman" panose="02020603050405020304"/>
              </a:defRPr>
            </a:pPr>
            <a:endParaRPr lang="ru-RU"/>
          </a:p>
        </c:txPr>
        <c:crossAx val="34570624"/>
        <c:crosses val="autoZero"/>
        <c:crossBetween val="midCat"/>
        <c:majorUnit val="0.5"/>
      </c:valAx>
      <c:valAx>
        <c:axId val="34570624"/>
        <c:scaling>
          <c:orientation val="minMax"/>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ltLang="en-US" sz="1200" b="1" i="0" baseline="0">
                    <a:latin typeface="Times New Roman" panose="02020603050405020304" charset="0"/>
                    <a:cs typeface="Times New Roman" panose="02020603050405020304" charset="0"/>
                  </a:rPr>
                  <a:t>[Pb</a:t>
                </a:r>
                <a:r>
                  <a:rPr lang="en-US" altLang="en-US" sz="1200" b="1" i="0" baseline="30000">
                    <a:latin typeface="Times New Roman" panose="02020603050405020304" charset="0"/>
                    <a:cs typeface="Times New Roman" panose="02020603050405020304" charset="0"/>
                  </a:rPr>
                  <a:t>2+</a:t>
                </a:r>
                <a:r>
                  <a:rPr lang="en-US" altLang="en-US" sz="1200" b="1" i="0" baseline="0">
                    <a:latin typeface="Times New Roman" panose="02020603050405020304" charset="0"/>
                    <a:cs typeface="Times New Roman" panose="02020603050405020304" charset="0"/>
                  </a:rPr>
                  <a:t>]</a:t>
                </a:r>
                <a:r>
                  <a:rPr lang="en-US" sz="1200" b="1" i="0" baseline="0">
                    <a:latin typeface="Times New Roman" panose="02020603050405020304" charset="0"/>
                    <a:cs typeface="Times New Roman" panose="02020603050405020304" charset="0"/>
                  </a:rPr>
                  <a:t>·10</a:t>
                </a:r>
                <a:r>
                  <a:rPr lang="ru-RU" sz="1200" b="1" i="0" baseline="30000">
                    <a:latin typeface="Times New Roman" panose="02020603050405020304" charset="0"/>
                    <a:cs typeface="Times New Roman" panose="02020603050405020304" charset="0"/>
                  </a:rPr>
                  <a:t>4</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p>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рН</a:t>
                </a:r>
              </a:p>
            </c:rich>
          </c:tx>
          <c:layout>
            <c:manualLayout>
              <c:xMode val="edge"/>
              <c:yMode val="edge"/>
              <c:x val="1.38888888888889E-2"/>
              <c:y val="0.208002562671792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4404608"/>
        <c:crosses val="autoZero"/>
        <c:crossBetween val="midCat"/>
        <c:majorUnit val="1"/>
      </c:valAx>
      <c:valAx>
        <c:axId val="34572544"/>
        <c:scaling>
          <c:orientation val="minMax"/>
        </c:scaling>
        <c:delete val="1"/>
        <c:axPos val="b"/>
        <c:numFmt formatCode="General" sourceLinked="1"/>
        <c:majorTickMark val="out"/>
        <c:minorTickMark val="none"/>
        <c:tickLblPos val="none"/>
        <c:crossAx val="34590720"/>
        <c:crosses val="autoZero"/>
        <c:crossBetween val="midCat"/>
      </c:valAx>
      <c:valAx>
        <c:axId val="34590720"/>
        <c:scaling>
          <c:orientation val="minMax"/>
          <c:max val="105"/>
          <c:min val="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А, %</a:t>
                </a:r>
              </a:p>
            </c:rich>
          </c:tx>
          <c:layout>
            <c:manualLayout>
              <c:xMode val="edge"/>
              <c:yMode val="edge"/>
              <c:x val="0.94156532516768698"/>
              <c:y val="0.415770351540703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4572544"/>
        <c:crosses val="max"/>
        <c:crossBetween val="midCat"/>
        <c:majorUnit val="20"/>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4409133542992"/>
          <c:y val="7.45487022455526E-2"/>
          <c:w val="0.68459987546601697"/>
          <c:h val="0.72706401283173006"/>
        </c:manualLayout>
      </c:layout>
      <c:scatterChart>
        <c:scatterStyle val="smoothMarker"/>
        <c:varyColors val="0"/>
        <c:ser>
          <c:idx val="0"/>
          <c:order val="0"/>
          <c:spPr>
            <a:ln w="22225" cap="rnd" cmpd="sng" algn="ctr">
              <a:solidFill>
                <a:prstClr val="black"/>
              </a:solidFill>
              <a:prstDash val="solid"/>
              <a:round/>
            </a:ln>
          </c:spPr>
          <c:marker>
            <c:spPr>
              <a:solidFill>
                <a:sysClr val="windowText" lastClr="000000"/>
              </a:solid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1'!$B$2:$B$12</c:f>
              <c:numCache>
                <c:formatCode>General</c:formatCode>
                <c:ptCount val="11"/>
                <c:pt idx="0">
                  <c:v>0</c:v>
                </c:pt>
                <c:pt idx="1">
                  <c:v>4</c:v>
                </c:pt>
                <c:pt idx="2">
                  <c:v>4.7</c:v>
                </c:pt>
                <c:pt idx="3">
                  <c:v>5</c:v>
                </c:pt>
                <c:pt idx="4">
                  <c:v>5</c:v>
                </c:pt>
                <c:pt idx="5">
                  <c:v>5</c:v>
                </c:pt>
                <c:pt idx="6">
                  <c:v>5</c:v>
                </c:pt>
                <c:pt idx="7">
                  <c:v>6</c:v>
                </c:pt>
                <c:pt idx="8">
                  <c:v>7</c:v>
                </c:pt>
                <c:pt idx="9">
                  <c:v>12</c:v>
                </c:pt>
                <c:pt idx="10">
                  <c:v>23</c:v>
                </c:pt>
              </c:numCache>
            </c:numRef>
          </c:yVal>
          <c:smooth val="1"/>
          <c:extLst>
            <c:ext xmlns:c16="http://schemas.microsoft.com/office/drawing/2014/chart" uri="{C3380CC4-5D6E-409C-BE32-E72D297353CC}">
              <c16:uniqueId val="{00000000-99E0-4413-82FB-2E7D8F263CE4}"/>
            </c:ext>
          </c:extLst>
        </c:ser>
        <c:ser>
          <c:idx val="1"/>
          <c:order val="1"/>
          <c:spPr>
            <a:ln w="22225" cap="rnd" cmpd="sng" algn="ctr">
              <a:solidFill>
                <a:prstClr val="black"/>
              </a:solidFill>
              <a:prstDash val="solid"/>
              <a:round/>
            </a:ln>
          </c:spPr>
          <c:marker>
            <c:symbol val="square"/>
            <c:size val="6"/>
            <c:spPr>
              <a:no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1'!$C$2:$C$12</c:f>
              <c:numCache>
                <c:formatCode>General</c:formatCode>
                <c:ptCount val="11"/>
                <c:pt idx="0">
                  <c:v>0</c:v>
                </c:pt>
                <c:pt idx="1">
                  <c:v>2</c:v>
                </c:pt>
                <c:pt idx="2">
                  <c:v>4</c:v>
                </c:pt>
                <c:pt idx="3">
                  <c:v>6</c:v>
                </c:pt>
                <c:pt idx="4">
                  <c:v>7</c:v>
                </c:pt>
                <c:pt idx="5">
                  <c:v>8</c:v>
                </c:pt>
                <c:pt idx="6">
                  <c:v>10</c:v>
                </c:pt>
                <c:pt idx="7">
                  <c:v>11</c:v>
                </c:pt>
                <c:pt idx="8">
                  <c:v>14</c:v>
                </c:pt>
                <c:pt idx="9">
                  <c:v>17</c:v>
                </c:pt>
                <c:pt idx="10">
                  <c:v>18</c:v>
                </c:pt>
              </c:numCache>
            </c:numRef>
          </c:yVal>
          <c:smooth val="1"/>
          <c:extLst>
            <c:ext xmlns:c16="http://schemas.microsoft.com/office/drawing/2014/chart" uri="{C3380CC4-5D6E-409C-BE32-E72D297353CC}">
              <c16:uniqueId val="{00000001-99E0-4413-82FB-2E7D8F263CE4}"/>
            </c:ext>
          </c:extLst>
        </c:ser>
        <c:dLbls>
          <c:showLegendKey val="1"/>
          <c:showVal val="1"/>
          <c:showCatName val="1"/>
          <c:showSerName val="1"/>
          <c:showPercent val="1"/>
          <c:showBubbleSize val="1"/>
        </c:dLbls>
        <c:axId val="34630656"/>
        <c:axId val="34649216"/>
      </c:scatterChart>
      <c:scatterChart>
        <c:scatterStyle val="smoothMarker"/>
        <c:varyColors val="0"/>
        <c:ser>
          <c:idx val="2"/>
          <c:order val="2"/>
          <c:spPr>
            <a:ln w="22225" cap="rnd" cmpd="sng" algn="ctr">
              <a:solidFill>
                <a:schemeClr val="tx1"/>
              </a:solidFill>
              <a:prstDash val="dash"/>
              <a:round/>
            </a:ln>
          </c:spPr>
          <c:marker>
            <c:spPr>
              <a:solidFill>
                <a:schemeClr val="tx1"/>
              </a:solid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1'!$D$2:$D$12</c:f>
              <c:numCache>
                <c:formatCode>General</c:formatCode>
                <c:ptCount val="11"/>
                <c:pt idx="0">
                  <c:v>0</c:v>
                </c:pt>
                <c:pt idx="1">
                  <c:v>1.6800000000000099</c:v>
                </c:pt>
                <c:pt idx="2">
                  <c:v>2.65</c:v>
                </c:pt>
                <c:pt idx="3">
                  <c:v>3.2</c:v>
                </c:pt>
                <c:pt idx="4">
                  <c:v>3.3</c:v>
                </c:pt>
                <c:pt idx="5">
                  <c:v>3.3</c:v>
                </c:pt>
                <c:pt idx="6">
                  <c:v>3.4</c:v>
                </c:pt>
                <c:pt idx="7">
                  <c:v>3.48</c:v>
                </c:pt>
                <c:pt idx="8">
                  <c:v>3.52</c:v>
                </c:pt>
                <c:pt idx="9">
                  <c:v>3.6</c:v>
                </c:pt>
                <c:pt idx="10">
                  <c:v>3.7</c:v>
                </c:pt>
              </c:numCache>
            </c:numRef>
          </c:yVal>
          <c:smooth val="1"/>
          <c:extLst>
            <c:ext xmlns:c16="http://schemas.microsoft.com/office/drawing/2014/chart" uri="{C3380CC4-5D6E-409C-BE32-E72D297353CC}">
              <c16:uniqueId val="{00000002-99E0-4413-82FB-2E7D8F263CE4}"/>
            </c:ext>
          </c:extLst>
        </c:ser>
        <c:dLbls>
          <c:showLegendKey val="1"/>
          <c:showVal val="1"/>
          <c:showCatName val="1"/>
          <c:showSerName val="1"/>
          <c:showPercent val="1"/>
          <c:showBubbleSize val="1"/>
        </c:dLbls>
        <c:axId val="34651136"/>
        <c:axId val="34657024"/>
      </c:scatterChart>
      <c:valAx>
        <c:axId val="34630656"/>
        <c:scaling>
          <c:orientation val="minMax"/>
          <c:max val="5"/>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0154780567969597"/>
              <c:y val="0.889477205907201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4649216"/>
        <c:crosses val="autoZero"/>
        <c:crossBetween val="midCat"/>
      </c:valAx>
      <c:valAx>
        <c:axId val="34649216"/>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ltLang="en-US" sz="1200" b="1" i="0" baseline="0">
                    <a:latin typeface="Times New Roman" panose="02020603050405020304" charset="0"/>
                    <a:cs typeface="Times New Roman" panose="02020603050405020304" charset="0"/>
                  </a:rPr>
                  <a:t>[Pb</a:t>
                </a:r>
                <a:r>
                  <a:rPr lang="en-US" altLang="en-US" sz="1200" b="1" i="0" baseline="30000">
                    <a:latin typeface="Times New Roman" panose="02020603050405020304" charset="0"/>
                    <a:cs typeface="Times New Roman" panose="02020603050405020304" charset="0"/>
                  </a:rPr>
                  <a:t>2+</a:t>
                </a:r>
                <a:r>
                  <a:rPr lang="en-US" altLang="en-US" sz="1200" b="1" i="0" baseline="0">
                    <a:latin typeface="Times New Roman" panose="02020603050405020304" charset="0"/>
                    <a:cs typeface="Times New Roman" panose="02020603050405020304" charset="0"/>
                  </a:rPr>
                  <a:t>]</a:t>
                </a:r>
                <a:r>
                  <a:rPr lang="en-US" sz="1200" b="1" i="0" baseline="0">
                    <a:latin typeface="Times New Roman" panose="02020603050405020304" charset="0"/>
                    <a:cs typeface="Times New Roman" panose="02020603050405020304" charset="0"/>
                  </a:rPr>
                  <a:t>·10</a:t>
                </a:r>
                <a:r>
                  <a:rPr lang="uk-UA" sz="1200" b="1" i="0" baseline="30000">
                    <a:latin typeface="Times New Roman" panose="02020603050405020304" charset="0"/>
                    <a:cs typeface="Times New Roman" panose="02020603050405020304" charset="0"/>
                  </a:rPr>
                  <a:t>6</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6.0060060060060103E-3"/>
              <c:y val="0.205673121331937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4630656"/>
        <c:crosses val="autoZero"/>
        <c:crossBetween val="midCat"/>
      </c:valAx>
      <c:valAx>
        <c:axId val="34651136"/>
        <c:scaling>
          <c:orientation val="minMax"/>
        </c:scaling>
        <c:delete val="1"/>
        <c:axPos val="b"/>
        <c:numFmt formatCode="General" sourceLinked="1"/>
        <c:majorTickMark val="out"/>
        <c:minorTickMark val="none"/>
        <c:tickLblPos val="none"/>
        <c:crossAx val="34657024"/>
        <c:crosses val="autoZero"/>
        <c:crossBetween val="midCat"/>
      </c:valAx>
      <c:valAx>
        <c:axId val="34657024"/>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Ж, мг-екв/дм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94444444444444497"/>
              <c:y val="0.209164047627095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4651136"/>
        <c:crosses val="max"/>
        <c:crossBetween val="midCat"/>
      </c:valAx>
      <c:spPr>
        <a:solidFill>
          <a:srgbClr val="FFFFFF"/>
        </a:solidFill>
        <a:ln>
          <a:noFill/>
        </a:ln>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9016393442623"/>
          <c:y val="5.0100777425856599E-2"/>
          <c:w val="0.70567124501550804"/>
          <c:h val="0.79475957385545604"/>
        </c:manualLayout>
      </c:layout>
      <c:scatterChart>
        <c:scatterStyle val="lineMarker"/>
        <c:varyColors val="0"/>
        <c:ser>
          <c:idx val="0"/>
          <c:order val="0"/>
          <c:spPr>
            <a:ln w="22225" cap="rnd" cmpd="sng" algn="ctr">
              <a:solidFill>
                <a:prstClr val="black"/>
              </a:solidFill>
              <a:prstDash val="solid"/>
              <a:round/>
            </a:ln>
          </c:spPr>
          <c:marker>
            <c:symbol val="diamond"/>
            <c:size val="6"/>
            <c:spPr>
              <a:solidFill>
                <a:sysClr val="windowText" lastClr="000000"/>
              </a:solid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2'!$B$2:$B$12</c:f>
              <c:numCache>
                <c:formatCode>General</c:formatCode>
                <c:ptCount val="11"/>
                <c:pt idx="0">
                  <c:v>0</c:v>
                </c:pt>
                <c:pt idx="1">
                  <c:v>99.64</c:v>
                </c:pt>
                <c:pt idx="2">
                  <c:v>99.57</c:v>
                </c:pt>
                <c:pt idx="3">
                  <c:v>99.55</c:v>
                </c:pt>
                <c:pt idx="4">
                  <c:v>99.55</c:v>
                </c:pt>
                <c:pt idx="5">
                  <c:v>99.55</c:v>
                </c:pt>
                <c:pt idx="6">
                  <c:v>99.55</c:v>
                </c:pt>
                <c:pt idx="7">
                  <c:v>99.45</c:v>
                </c:pt>
                <c:pt idx="8">
                  <c:v>99.36</c:v>
                </c:pt>
                <c:pt idx="9">
                  <c:v>98.91</c:v>
                </c:pt>
                <c:pt idx="10">
                  <c:v>97.91</c:v>
                </c:pt>
              </c:numCache>
            </c:numRef>
          </c:yVal>
          <c:smooth val="1"/>
          <c:extLst>
            <c:ext xmlns:c16="http://schemas.microsoft.com/office/drawing/2014/chart" uri="{C3380CC4-5D6E-409C-BE32-E72D297353CC}">
              <c16:uniqueId val="{00000000-ED70-466E-A595-CE2861DF238A}"/>
            </c:ext>
          </c:extLst>
        </c:ser>
        <c:ser>
          <c:idx val="1"/>
          <c:order val="1"/>
          <c:spPr>
            <a:ln w="22225" cap="rnd" cmpd="sng" algn="ctr">
              <a:solidFill>
                <a:prstClr val="black"/>
              </a:solidFill>
              <a:prstDash val="dash"/>
              <a:round/>
            </a:ln>
          </c:spPr>
          <c:marker>
            <c:symbol val="square"/>
            <c:size val="7"/>
            <c:spPr>
              <a:no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2'!$C$2:$C$12</c:f>
              <c:numCache>
                <c:formatCode>General</c:formatCode>
                <c:ptCount val="11"/>
                <c:pt idx="0">
                  <c:v>0</c:v>
                </c:pt>
                <c:pt idx="1">
                  <c:v>99.92</c:v>
                </c:pt>
                <c:pt idx="2">
                  <c:v>99.84</c:v>
                </c:pt>
                <c:pt idx="3">
                  <c:v>99.76</c:v>
                </c:pt>
                <c:pt idx="4">
                  <c:v>99.72</c:v>
                </c:pt>
                <c:pt idx="5">
                  <c:v>99.68</c:v>
                </c:pt>
                <c:pt idx="6">
                  <c:v>99.6</c:v>
                </c:pt>
                <c:pt idx="7">
                  <c:v>99.56</c:v>
                </c:pt>
                <c:pt idx="8">
                  <c:v>99.44</c:v>
                </c:pt>
                <c:pt idx="9">
                  <c:v>99.32</c:v>
                </c:pt>
                <c:pt idx="10">
                  <c:v>99.28</c:v>
                </c:pt>
              </c:numCache>
            </c:numRef>
          </c:yVal>
          <c:smooth val="1"/>
          <c:extLst>
            <c:ext xmlns:c16="http://schemas.microsoft.com/office/drawing/2014/chart" uri="{C3380CC4-5D6E-409C-BE32-E72D297353CC}">
              <c16:uniqueId val="{00000001-ED70-466E-A595-CE2861DF238A}"/>
            </c:ext>
          </c:extLst>
        </c:ser>
        <c:dLbls>
          <c:showLegendKey val="1"/>
          <c:showVal val="1"/>
          <c:showCatName val="1"/>
          <c:showSerName val="1"/>
          <c:showPercent val="1"/>
          <c:showBubbleSize val="1"/>
        </c:dLbls>
        <c:axId val="35914880"/>
        <c:axId val="35916800"/>
      </c:scatterChart>
      <c:scatterChart>
        <c:scatterStyle val="lineMarker"/>
        <c:varyColors val="0"/>
        <c:ser>
          <c:idx val="2"/>
          <c:order val="2"/>
          <c:spPr>
            <a:ln w="22225" cap="rnd" cmpd="sng" algn="ctr">
              <a:solidFill>
                <a:prstClr val="black"/>
              </a:solidFill>
              <a:prstDash val="sysDash"/>
              <a:round/>
            </a:ln>
          </c:spPr>
          <c:marker>
            <c:spPr>
              <a:solidFill>
                <a:sysClr val="windowText" lastClr="000000"/>
              </a:solid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2'!$D$2:$D$12</c:f>
              <c:numCache>
                <c:formatCode>General</c:formatCode>
                <c:ptCount val="11"/>
                <c:pt idx="0">
                  <c:v>5.57</c:v>
                </c:pt>
                <c:pt idx="1">
                  <c:v>2.72</c:v>
                </c:pt>
                <c:pt idx="2">
                  <c:v>2.95</c:v>
                </c:pt>
                <c:pt idx="3">
                  <c:v>3.15</c:v>
                </c:pt>
                <c:pt idx="4">
                  <c:v>3.21</c:v>
                </c:pt>
                <c:pt idx="5">
                  <c:v>3.24</c:v>
                </c:pt>
                <c:pt idx="6">
                  <c:v>3.27</c:v>
                </c:pt>
                <c:pt idx="7">
                  <c:v>3.28</c:v>
                </c:pt>
                <c:pt idx="8">
                  <c:v>3.44</c:v>
                </c:pt>
                <c:pt idx="9">
                  <c:v>3.48</c:v>
                </c:pt>
                <c:pt idx="10">
                  <c:v>3.51</c:v>
                </c:pt>
              </c:numCache>
            </c:numRef>
          </c:yVal>
          <c:smooth val="1"/>
          <c:extLst>
            <c:ext xmlns:c16="http://schemas.microsoft.com/office/drawing/2014/chart" uri="{C3380CC4-5D6E-409C-BE32-E72D297353CC}">
              <c16:uniqueId val="{00000002-ED70-466E-A595-CE2861DF238A}"/>
            </c:ext>
          </c:extLst>
        </c:ser>
        <c:ser>
          <c:idx val="3"/>
          <c:order val="3"/>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2'!$E$2:$E$12</c:f>
              <c:numCache>
                <c:formatCode>General</c:formatCode>
                <c:ptCount val="11"/>
                <c:pt idx="0">
                  <c:v>4.24</c:v>
                </c:pt>
                <c:pt idx="1">
                  <c:v>2.67</c:v>
                </c:pt>
                <c:pt idx="2">
                  <c:v>2.91</c:v>
                </c:pt>
                <c:pt idx="3">
                  <c:v>2.99</c:v>
                </c:pt>
                <c:pt idx="4">
                  <c:v>3.35</c:v>
                </c:pt>
                <c:pt idx="5">
                  <c:v>3.44</c:v>
                </c:pt>
                <c:pt idx="6">
                  <c:v>3.58</c:v>
                </c:pt>
                <c:pt idx="7">
                  <c:v>3.81</c:v>
                </c:pt>
                <c:pt idx="8">
                  <c:v>3.84</c:v>
                </c:pt>
                <c:pt idx="9">
                  <c:v>3.98</c:v>
                </c:pt>
                <c:pt idx="10">
                  <c:v>4.0999999999999996</c:v>
                </c:pt>
              </c:numCache>
            </c:numRef>
          </c:yVal>
          <c:smooth val="1"/>
          <c:extLst>
            <c:ext xmlns:c16="http://schemas.microsoft.com/office/drawing/2014/chart" uri="{C3380CC4-5D6E-409C-BE32-E72D297353CC}">
              <c16:uniqueId val="{00000003-ED70-466E-A595-CE2861DF238A}"/>
            </c:ext>
          </c:extLst>
        </c:ser>
        <c:dLbls>
          <c:showLegendKey val="1"/>
          <c:showVal val="1"/>
          <c:showCatName val="1"/>
          <c:showSerName val="1"/>
          <c:showPercent val="1"/>
          <c:showBubbleSize val="1"/>
        </c:dLbls>
        <c:axId val="35923072"/>
        <c:axId val="35924608"/>
      </c:scatterChart>
      <c:valAx>
        <c:axId val="35914880"/>
        <c:scaling>
          <c:orientation val="minMax"/>
          <c:max val="5"/>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76096038634237195"/>
              <c:y val="0.893048932263749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35916800"/>
        <c:crosses val="autoZero"/>
        <c:crossBetween val="midCat"/>
      </c:valAx>
      <c:valAx>
        <c:axId val="35916800"/>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А, %</a:t>
                </a:r>
              </a:p>
            </c:rich>
          </c:tx>
          <c:layout>
            <c:manualLayout>
              <c:xMode val="edge"/>
              <c:yMode val="edge"/>
              <c:x val="7.8633895459424103E-5"/>
              <c:y val="0.3388322228952159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35914880"/>
        <c:crosses val="autoZero"/>
        <c:crossBetween val="midCat"/>
        <c:majorUnit val="20"/>
      </c:valAx>
      <c:valAx>
        <c:axId val="35923072"/>
        <c:scaling>
          <c:orientation val="minMax"/>
        </c:scaling>
        <c:delete val="1"/>
        <c:axPos val="b"/>
        <c:numFmt formatCode="General" sourceLinked="1"/>
        <c:majorTickMark val="out"/>
        <c:minorTickMark val="none"/>
        <c:tickLblPos val="none"/>
        <c:crossAx val="35924608"/>
        <c:crosses val="autoZero"/>
        <c:crossBetween val="midCat"/>
      </c:valAx>
      <c:valAx>
        <c:axId val="35924608"/>
        <c:scaling>
          <c:orientation val="minMax"/>
          <c:min val="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рН</a:t>
                </a:r>
              </a:p>
            </c:rich>
          </c:tx>
          <c:layout>
            <c:manualLayout>
              <c:xMode val="edge"/>
              <c:yMode val="edge"/>
              <c:x val="0.94777774235710599"/>
              <c:y val="0.392737734706239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35923072"/>
        <c:crosses val="max"/>
        <c:crossBetween val="midCat"/>
        <c:majorUnit val="1"/>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247337948898"/>
          <c:y val="3.75116652085156E-2"/>
          <c:w val="0.72759281178087298"/>
          <c:h val="0.81211030912802595"/>
        </c:manualLayout>
      </c:layout>
      <c:scatterChart>
        <c:scatterStyle val="smoothMarker"/>
        <c:varyColors val="0"/>
        <c:ser>
          <c:idx val="0"/>
          <c:order val="0"/>
          <c:spPr>
            <a:ln w="22225" cap="rnd" cmpd="sng" algn="ctr">
              <a:solidFill>
                <a:prstClr val="black"/>
              </a:solidFill>
              <a:prstDash val="solid"/>
              <a:round/>
            </a:ln>
          </c:spPr>
          <c:marker>
            <c:symbol val="diamond"/>
            <c:size val="7"/>
            <c:spPr>
              <a:solidFill>
                <a:sysClr val="windowText" lastClr="000000"/>
              </a:solidFill>
              <a:ln w="9525" cap="flat" cmpd="sng" algn="ctr">
                <a:solidFill>
                  <a:prstClr val="black"/>
                </a:solidFill>
                <a:prstDash val="solid"/>
                <a:round/>
              </a:ln>
            </c:spPr>
          </c:marker>
          <c:xVal>
            <c:numRef>
              <c:f>Никель!$A$2:$A$11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Никель!$B$2:$B$11</c:f>
              <c:numCache>
                <c:formatCode>General</c:formatCode>
                <c:ptCount val="10"/>
                <c:pt idx="0">
                  <c:v>15.2</c:v>
                </c:pt>
                <c:pt idx="1">
                  <c:v>9</c:v>
                </c:pt>
                <c:pt idx="2">
                  <c:v>8.9</c:v>
                </c:pt>
                <c:pt idx="3">
                  <c:v>8.8000000000000007</c:v>
                </c:pt>
                <c:pt idx="4">
                  <c:v>8.6999999999999993</c:v>
                </c:pt>
                <c:pt idx="5">
                  <c:v>8.6</c:v>
                </c:pt>
                <c:pt idx="6">
                  <c:v>8.57</c:v>
                </c:pt>
                <c:pt idx="7">
                  <c:v>8.57</c:v>
                </c:pt>
                <c:pt idx="8">
                  <c:v>8.57</c:v>
                </c:pt>
                <c:pt idx="9">
                  <c:v>8.57</c:v>
                </c:pt>
              </c:numCache>
            </c:numRef>
          </c:yVal>
          <c:smooth val="1"/>
          <c:extLst>
            <c:ext xmlns:c16="http://schemas.microsoft.com/office/drawing/2014/chart" uri="{C3380CC4-5D6E-409C-BE32-E72D297353CC}">
              <c16:uniqueId val="{00000000-217E-4482-8C4A-91DBF68E112F}"/>
            </c:ext>
          </c:extLst>
        </c:ser>
        <c:ser>
          <c:idx val="1"/>
          <c:order val="1"/>
          <c:spPr>
            <a:ln w="22225" cap="rnd" cmpd="sng" algn="ctr">
              <a:solidFill>
                <a:prstClr val="black"/>
              </a:solidFill>
              <a:prstDash val="sysDash"/>
              <a:round/>
            </a:ln>
          </c:spPr>
          <c:marker>
            <c:symbol val="square"/>
            <c:size val="6"/>
            <c:spPr>
              <a:noFill/>
              <a:ln w="9525" cap="flat" cmpd="sng" algn="ctr">
                <a:solidFill>
                  <a:prstClr val="black"/>
                </a:solidFill>
                <a:prstDash val="solid"/>
                <a:round/>
              </a:ln>
            </c:spPr>
          </c:marker>
          <c:xVal>
            <c:numRef>
              <c:f>Никель!$A$2:$A$11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Никель!$C$2:$C$11</c:f>
              <c:numCache>
                <c:formatCode>General</c:formatCode>
                <c:ptCount val="10"/>
                <c:pt idx="0">
                  <c:v>10</c:v>
                </c:pt>
                <c:pt idx="1">
                  <c:v>0</c:v>
                </c:pt>
                <c:pt idx="2">
                  <c:v>0</c:v>
                </c:pt>
                <c:pt idx="3">
                  <c:v>0</c:v>
                </c:pt>
                <c:pt idx="4">
                  <c:v>0</c:v>
                </c:pt>
                <c:pt idx="5">
                  <c:v>0</c:v>
                </c:pt>
                <c:pt idx="6">
                  <c:v>0</c:v>
                </c:pt>
                <c:pt idx="7">
                  <c:v>0</c:v>
                </c:pt>
                <c:pt idx="8">
                  <c:v>0</c:v>
                </c:pt>
                <c:pt idx="9">
                  <c:v>0</c:v>
                </c:pt>
              </c:numCache>
            </c:numRef>
          </c:yVal>
          <c:smooth val="1"/>
          <c:extLst>
            <c:ext xmlns:c16="http://schemas.microsoft.com/office/drawing/2014/chart" uri="{C3380CC4-5D6E-409C-BE32-E72D297353CC}">
              <c16:uniqueId val="{00000001-217E-4482-8C4A-91DBF68E112F}"/>
            </c:ext>
          </c:extLst>
        </c:ser>
        <c:ser>
          <c:idx val="2"/>
          <c:order val="2"/>
          <c:spPr>
            <a:ln w="22225" cap="rnd" cmpd="sng" algn="ctr">
              <a:solidFill>
                <a:prstClr val="black"/>
              </a:solidFill>
              <a:prstDash val="dashDot"/>
              <a:round/>
            </a:ln>
          </c:spPr>
          <c:marker>
            <c:symbol val="triangle"/>
            <c:size val="7"/>
            <c:spPr>
              <a:noFill/>
              <a:ln w="9525" cap="flat" cmpd="sng" algn="ctr">
                <a:solidFill>
                  <a:prstClr val="black"/>
                </a:solidFill>
                <a:prstDash val="solid"/>
                <a:round/>
              </a:ln>
            </c:spPr>
          </c:marker>
          <c:xVal>
            <c:numRef>
              <c:f>Никель!$A$2:$A$11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Никель!$D$2:$D$11</c:f>
              <c:numCache>
                <c:formatCode>General</c:formatCode>
                <c:ptCount val="10"/>
                <c:pt idx="0">
                  <c:v>15.2</c:v>
                </c:pt>
                <c:pt idx="1">
                  <c:v>5.5</c:v>
                </c:pt>
                <c:pt idx="2">
                  <c:v>5.2</c:v>
                </c:pt>
                <c:pt idx="3">
                  <c:v>5</c:v>
                </c:pt>
                <c:pt idx="4">
                  <c:v>4.8</c:v>
                </c:pt>
                <c:pt idx="5">
                  <c:v>4.5999999999999996</c:v>
                </c:pt>
                <c:pt idx="6">
                  <c:v>4.4000000000000004</c:v>
                </c:pt>
                <c:pt idx="7">
                  <c:v>4.2</c:v>
                </c:pt>
                <c:pt idx="8">
                  <c:v>4.1279999999999699</c:v>
                </c:pt>
                <c:pt idx="9">
                  <c:v>4.1279999999999699</c:v>
                </c:pt>
              </c:numCache>
            </c:numRef>
          </c:yVal>
          <c:smooth val="1"/>
          <c:extLst>
            <c:ext xmlns:c16="http://schemas.microsoft.com/office/drawing/2014/chart" uri="{C3380CC4-5D6E-409C-BE32-E72D297353CC}">
              <c16:uniqueId val="{00000002-217E-4482-8C4A-91DBF68E112F}"/>
            </c:ext>
          </c:extLst>
        </c:ser>
        <c:ser>
          <c:idx val="3"/>
          <c:order val="3"/>
          <c:spPr>
            <a:ln w="22225" cap="rnd" cmpd="sng" algn="ctr">
              <a:solidFill>
                <a:prstClr val="black"/>
              </a:solidFill>
              <a:prstDash val="solid"/>
              <a:round/>
            </a:ln>
          </c:spPr>
          <c:marker>
            <c:symbol val="x"/>
            <c:size val="7"/>
            <c:spPr>
              <a:noFill/>
              <a:ln w="9525" cap="flat" cmpd="sng" algn="ctr">
                <a:solidFill>
                  <a:prstClr val="black"/>
                </a:solidFill>
                <a:prstDash val="solid"/>
                <a:round/>
              </a:ln>
            </c:spPr>
          </c:marker>
          <c:xVal>
            <c:numRef>
              <c:f>Никель!$A$2:$A$11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Никель!$E$2:$E$11</c:f>
              <c:numCache>
                <c:formatCode>General</c:formatCode>
                <c:ptCount val="10"/>
                <c:pt idx="1">
                  <c:v>16.88</c:v>
                </c:pt>
                <c:pt idx="2">
                  <c:v>19</c:v>
                </c:pt>
                <c:pt idx="3">
                  <c:v>21.71</c:v>
                </c:pt>
                <c:pt idx="4">
                  <c:v>25.33</c:v>
                </c:pt>
                <c:pt idx="5">
                  <c:v>30.4</c:v>
                </c:pt>
                <c:pt idx="6">
                  <c:v>38</c:v>
                </c:pt>
                <c:pt idx="7">
                  <c:v>50.67</c:v>
                </c:pt>
                <c:pt idx="8">
                  <c:v>57.4</c:v>
                </c:pt>
                <c:pt idx="9">
                  <c:v>64.25</c:v>
                </c:pt>
              </c:numCache>
            </c:numRef>
          </c:yVal>
          <c:smooth val="1"/>
          <c:extLst>
            <c:ext xmlns:c16="http://schemas.microsoft.com/office/drawing/2014/chart" uri="{C3380CC4-5D6E-409C-BE32-E72D297353CC}">
              <c16:uniqueId val="{00000003-217E-4482-8C4A-91DBF68E112F}"/>
            </c:ext>
          </c:extLst>
        </c:ser>
        <c:ser>
          <c:idx val="4"/>
          <c:order val="4"/>
          <c:spPr>
            <a:ln w="22225" cap="rnd" cmpd="sng" algn="ctr">
              <a:solidFill>
                <a:prstClr val="black"/>
              </a:solidFill>
              <a:prstDash val="sysDash"/>
              <a:round/>
            </a:ln>
          </c:spPr>
          <c:marker>
            <c:symbol val="star"/>
            <c:size val="7"/>
            <c:spPr>
              <a:noFill/>
              <a:ln w="9525" cap="flat" cmpd="sng" algn="ctr">
                <a:solidFill>
                  <a:prstClr val="black"/>
                </a:solidFill>
                <a:prstDash val="solid"/>
                <a:round/>
              </a:ln>
            </c:spPr>
          </c:marker>
          <c:xVal>
            <c:numRef>
              <c:f>Никель!$A$2:$A$11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Никель!$F$2:$F$11</c:f>
              <c:numCache>
                <c:formatCode>General</c:formatCode>
                <c:ptCount val="10"/>
                <c:pt idx="1">
                  <c:v>11.11</c:v>
                </c:pt>
                <c:pt idx="2">
                  <c:v>12.5</c:v>
                </c:pt>
                <c:pt idx="3">
                  <c:v>14.28</c:v>
                </c:pt>
                <c:pt idx="4">
                  <c:v>16.66</c:v>
                </c:pt>
                <c:pt idx="5">
                  <c:v>20</c:v>
                </c:pt>
                <c:pt idx="6">
                  <c:v>25</c:v>
                </c:pt>
                <c:pt idx="7">
                  <c:v>33.33</c:v>
                </c:pt>
                <c:pt idx="8">
                  <c:v>50</c:v>
                </c:pt>
                <c:pt idx="9">
                  <c:v>91.39</c:v>
                </c:pt>
              </c:numCache>
            </c:numRef>
          </c:yVal>
          <c:smooth val="1"/>
          <c:extLst>
            <c:ext xmlns:c16="http://schemas.microsoft.com/office/drawing/2014/chart" uri="{C3380CC4-5D6E-409C-BE32-E72D297353CC}">
              <c16:uniqueId val="{00000004-217E-4482-8C4A-91DBF68E112F}"/>
            </c:ext>
          </c:extLst>
        </c:ser>
        <c:ser>
          <c:idx val="5"/>
          <c:order val="5"/>
          <c:spPr>
            <a:ln w="22225" cap="rnd" cmpd="sng" algn="ctr">
              <a:solidFill>
                <a:prstClr val="black"/>
              </a:solidFill>
              <a:prstDash val="dash"/>
              <a:round/>
            </a:ln>
          </c:spPr>
          <c:marker>
            <c:symbol val="circle"/>
            <c:size val="6"/>
            <c:spPr>
              <a:noFill/>
              <a:ln w="9525" cap="flat" cmpd="sng" algn="ctr">
                <a:solidFill>
                  <a:prstClr val="black"/>
                </a:solidFill>
                <a:prstDash val="solid"/>
                <a:round/>
              </a:ln>
            </c:spPr>
          </c:marker>
          <c:xVal>
            <c:numRef>
              <c:f>Никель!$A$2:$A$11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Никель!$G$2:$G$11</c:f>
              <c:numCache>
                <c:formatCode>General</c:formatCode>
                <c:ptCount val="10"/>
                <c:pt idx="1">
                  <c:v>16.88</c:v>
                </c:pt>
                <c:pt idx="2">
                  <c:v>19</c:v>
                </c:pt>
                <c:pt idx="3">
                  <c:v>21.71</c:v>
                </c:pt>
                <c:pt idx="4">
                  <c:v>25.33</c:v>
                </c:pt>
                <c:pt idx="5">
                  <c:v>30.4</c:v>
                </c:pt>
                <c:pt idx="6">
                  <c:v>38</c:v>
                </c:pt>
                <c:pt idx="7">
                  <c:v>50.66</c:v>
                </c:pt>
                <c:pt idx="8">
                  <c:v>57.4</c:v>
                </c:pt>
                <c:pt idx="9">
                  <c:v>85.7</c:v>
                </c:pt>
              </c:numCache>
            </c:numRef>
          </c:yVal>
          <c:smooth val="1"/>
          <c:extLst>
            <c:ext xmlns:c16="http://schemas.microsoft.com/office/drawing/2014/chart" uri="{C3380CC4-5D6E-409C-BE32-E72D297353CC}">
              <c16:uniqueId val="{00000005-217E-4482-8C4A-91DBF68E112F}"/>
            </c:ext>
          </c:extLst>
        </c:ser>
        <c:dLbls>
          <c:showLegendKey val="0"/>
          <c:showVal val="0"/>
          <c:showCatName val="0"/>
          <c:showSerName val="0"/>
          <c:showPercent val="0"/>
          <c:showBubbleSize val="0"/>
        </c:dLbls>
        <c:axId val="237731200"/>
        <c:axId val="237737856"/>
      </c:scatterChart>
      <c:valAx>
        <c:axId val="237731200"/>
        <c:scaling>
          <c:orientation val="minMax"/>
          <c:max val="9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А, %</a:t>
                </a:r>
                <a:endParaRPr lang="en-US" sz="1200" b="1" i="0" baseline="0">
                  <a:latin typeface="Times New Roman" panose="02020603050405020304" charset="0"/>
                  <a:cs typeface="Times New Roman" panose="02020603050405020304" charset="0"/>
                </a:endParaRPr>
              </a:p>
            </c:rich>
          </c:tx>
          <c:layout>
            <c:manualLayout>
              <c:xMode val="edge"/>
              <c:yMode val="edge"/>
              <c:x val="0.88558265918775203"/>
              <c:y val="0.8751155584718579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7737856"/>
        <c:crosses val="autoZero"/>
        <c:crossBetween val="midCat"/>
        <c:majorUnit val="10"/>
      </c:valAx>
      <c:valAx>
        <c:axId val="237737856"/>
        <c:scaling>
          <c:orientation val="minMax"/>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uk-UA" sz="1200" b="1" i="0" baseline="0">
                    <a:latin typeface="Times New Roman" panose="02020603050405020304" charset="0"/>
                    <a:cs typeface="Times New Roman" panose="02020603050405020304" charset="0"/>
                  </a:rPr>
                  <a:t>С∙10</a:t>
                </a:r>
                <a:r>
                  <a:rPr lang="uk-UA" sz="1200" b="1" i="0" baseline="30000">
                    <a:latin typeface="Times New Roman" panose="02020603050405020304" charset="0"/>
                    <a:cs typeface="Times New Roman" panose="02020603050405020304" charset="0"/>
                  </a:rPr>
                  <a:t>2</a:t>
                </a:r>
                <a:r>
                  <a:rPr lang="uk-UA" sz="1200" b="1" i="0" baseline="0">
                    <a:latin typeface="Times New Roman" panose="02020603050405020304" charset="0"/>
                    <a:cs typeface="Times New Roman" panose="02020603050405020304" charset="0"/>
                  </a:rPr>
                  <a:t>, мг/дм</a:t>
                </a:r>
                <a:r>
                  <a:rPr lang="uk-UA"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1.3888888888888999E-2"/>
              <c:y val="0.2597936716243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7731200"/>
        <c:crosses val="autoZero"/>
        <c:crossBetween val="midCat"/>
        <c:majorUnit val="2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10150840574499"/>
          <c:y val="4.3111232802680498E-2"/>
          <c:w val="0.75572037562359395"/>
          <c:h val="0.79057107843137298"/>
        </c:manualLayout>
      </c:layout>
      <c:scatterChart>
        <c:scatterStyle val="smoothMarker"/>
        <c:varyColors val="0"/>
        <c:ser>
          <c:idx val="0"/>
          <c:order val="0"/>
          <c:spPr>
            <a:ln w="22225" cap="rnd" cmpd="sng" algn="ctr">
              <a:solidFill>
                <a:prstClr val="black"/>
              </a:solidFill>
              <a:prstDash val="dash"/>
              <a:round/>
            </a:ln>
          </c:spPr>
          <c:marker>
            <c:symbol val="diamond"/>
            <c:size val="7"/>
            <c:spPr>
              <a:solidFill>
                <a:sysClr val="windowText" lastClr="000000"/>
              </a:solidFill>
              <a:ln w="9525" cap="flat" cmpd="sng" algn="ctr">
                <a:solidFill>
                  <a:prstClr val="black"/>
                </a:solidFill>
                <a:prstDash val="solid"/>
                <a:round/>
              </a:ln>
            </c:spPr>
          </c:marker>
          <c:xVal>
            <c:numRef>
              <c:f>'Никель 4, 5'!$A$2:$A$11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5'!$B$2:$B$11</c:f>
              <c:numCache>
                <c:formatCode>General</c:formatCode>
                <c:ptCount val="10"/>
                <c:pt idx="0">
                  <c:v>12.5</c:v>
                </c:pt>
                <c:pt idx="1">
                  <c:v>10</c:v>
                </c:pt>
                <c:pt idx="2">
                  <c:v>9.8000000000000007</c:v>
                </c:pt>
                <c:pt idx="3">
                  <c:v>9.9</c:v>
                </c:pt>
                <c:pt idx="4">
                  <c:v>9.6999999999999993</c:v>
                </c:pt>
                <c:pt idx="5">
                  <c:v>9.5</c:v>
                </c:pt>
                <c:pt idx="6">
                  <c:v>9.5</c:v>
                </c:pt>
                <c:pt idx="7">
                  <c:v>9.42</c:v>
                </c:pt>
                <c:pt idx="8">
                  <c:v>9.42</c:v>
                </c:pt>
                <c:pt idx="9">
                  <c:v>9.42</c:v>
                </c:pt>
              </c:numCache>
            </c:numRef>
          </c:yVal>
          <c:smooth val="1"/>
          <c:extLst>
            <c:ext xmlns:c16="http://schemas.microsoft.com/office/drawing/2014/chart" uri="{C3380CC4-5D6E-409C-BE32-E72D297353CC}">
              <c16:uniqueId val="{00000000-44AE-4E19-8101-2E201A6141A7}"/>
            </c:ext>
          </c:extLst>
        </c:ser>
        <c:ser>
          <c:idx val="1"/>
          <c:order val="1"/>
          <c:spPr>
            <a:ln w="22225" cap="rnd" cmpd="sng" algn="ctr">
              <a:solidFill>
                <a:prstClr val="black"/>
              </a:solidFill>
              <a:prstDash val="sysDash"/>
              <a:round/>
            </a:ln>
          </c:spPr>
          <c:marker>
            <c:symbol val="square"/>
            <c:size val="6"/>
            <c:spPr>
              <a:noFill/>
              <a:ln w="9525" cap="flat" cmpd="sng" algn="ctr">
                <a:solidFill>
                  <a:prstClr val="black"/>
                </a:solidFill>
                <a:prstDash val="solid"/>
                <a:round/>
              </a:ln>
            </c:spPr>
          </c:marker>
          <c:xVal>
            <c:numRef>
              <c:f>'Никель 4, 5'!$A$2:$A$11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5'!$C$2:$C$11</c:f>
              <c:numCache>
                <c:formatCode>General</c:formatCode>
                <c:ptCount val="10"/>
                <c:pt idx="1">
                  <c:v>13.88</c:v>
                </c:pt>
                <c:pt idx="2">
                  <c:v>15.63</c:v>
                </c:pt>
                <c:pt idx="3">
                  <c:v>17.850000000000001</c:v>
                </c:pt>
                <c:pt idx="4">
                  <c:v>20.83</c:v>
                </c:pt>
                <c:pt idx="5">
                  <c:v>25</c:v>
                </c:pt>
                <c:pt idx="6">
                  <c:v>31.25</c:v>
                </c:pt>
                <c:pt idx="7">
                  <c:v>41.66</c:v>
                </c:pt>
                <c:pt idx="8">
                  <c:v>62.5</c:v>
                </c:pt>
                <c:pt idx="9">
                  <c:v>125</c:v>
                </c:pt>
              </c:numCache>
            </c:numRef>
          </c:yVal>
          <c:smooth val="1"/>
          <c:extLst>
            <c:ext xmlns:c16="http://schemas.microsoft.com/office/drawing/2014/chart" uri="{C3380CC4-5D6E-409C-BE32-E72D297353CC}">
              <c16:uniqueId val="{00000001-44AE-4E19-8101-2E201A6141A7}"/>
            </c:ext>
          </c:extLst>
        </c:ser>
        <c:dLbls>
          <c:showLegendKey val="0"/>
          <c:showVal val="0"/>
          <c:showCatName val="0"/>
          <c:showSerName val="0"/>
          <c:showPercent val="0"/>
          <c:showBubbleSize val="0"/>
        </c:dLbls>
        <c:axId val="238037248"/>
        <c:axId val="238060288"/>
      </c:scatterChart>
      <c:scatterChart>
        <c:scatterStyle val="smoothMarker"/>
        <c:varyColors val="0"/>
        <c:ser>
          <c:idx val="2"/>
          <c:order val="2"/>
          <c:spPr>
            <a:ln w="22225" cap="rnd" cmpd="sng" algn="ctr">
              <a:solidFill>
                <a:prstClr val="black"/>
              </a:solidFill>
              <a:prstDash val="solid"/>
              <a:round/>
            </a:ln>
          </c:spPr>
          <c:marker>
            <c:symbol val="triangle"/>
            <c:size val="7"/>
            <c:spPr>
              <a:noFill/>
              <a:ln w="9525" cap="flat" cmpd="sng" algn="ctr">
                <a:solidFill>
                  <a:prstClr val="black"/>
                </a:solidFill>
                <a:prstDash val="solid"/>
                <a:round/>
              </a:ln>
            </c:spPr>
          </c:marker>
          <c:xVal>
            <c:numRef>
              <c:f>'Никель 4, 5'!$A$2:$A$11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5'!$D$2:$D$11</c:f>
              <c:numCache>
                <c:formatCode>General</c:formatCode>
                <c:ptCount val="10"/>
                <c:pt idx="0">
                  <c:v>4.5999999999999996</c:v>
                </c:pt>
                <c:pt idx="1">
                  <c:v>2.2599999999999998</c:v>
                </c:pt>
                <c:pt idx="2">
                  <c:v>2.2599999999999998</c:v>
                </c:pt>
                <c:pt idx="3">
                  <c:v>2.33</c:v>
                </c:pt>
                <c:pt idx="4">
                  <c:v>2.33</c:v>
                </c:pt>
                <c:pt idx="5">
                  <c:v>2.37</c:v>
                </c:pt>
                <c:pt idx="6">
                  <c:v>2.37</c:v>
                </c:pt>
                <c:pt idx="7">
                  <c:v>2.37</c:v>
                </c:pt>
                <c:pt idx="8">
                  <c:v>2.4</c:v>
                </c:pt>
                <c:pt idx="9">
                  <c:v>2.54</c:v>
                </c:pt>
              </c:numCache>
            </c:numRef>
          </c:yVal>
          <c:smooth val="1"/>
          <c:extLst>
            <c:ext xmlns:c16="http://schemas.microsoft.com/office/drawing/2014/chart" uri="{C3380CC4-5D6E-409C-BE32-E72D297353CC}">
              <c16:uniqueId val="{00000002-44AE-4E19-8101-2E201A6141A7}"/>
            </c:ext>
          </c:extLst>
        </c:ser>
        <c:ser>
          <c:idx val="3"/>
          <c:order val="3"/>
          <c:spPr>
            <a:ln w="22225" cap="rnd" cmpd="sng" algn="ctr">
              <a:solidFill>
                <a:prstClr val="black"/>
              </a:solidFill>
              <a:prstDash val="solid"/>
              <a:round/>
            </a:ln>
          </c:spPr>
          <c:marker>
            <c:symbol val="x"/>
            <c:size val="7"/>
            <c:spPr>
              <a:noFill/>
              <a:ln w="9525" cap="flat" cmpd="sng" algn="ctr">
                <a:solidFill>
                  <a:prstClr val="black"/>
                </a:solidFill>
                <a:prstDash val="solid"/>
                <a:round/>
              </a:ln>
            </c:spPr>
          </c:marker>
          <c:xVal>
            <c:numRef>
              <c:f>'Никель 4, 5'!$A$2:$A$11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5'!$E$2:$E$11</c:f>
              <c:numCache>
                <c:formatCode>General</c:formatCode>
                <c:ptCount val="10"/>
                <c:pt idx="1">
                  <c:v>5.1100000000000003</c:v>
                </c:pt>
                <c:pt idx="2">
                  <c:v>5.75</c:v>
                </c:pt>
                <c:pt idx="3">
                  <c:v>6.02</c:v>
                </c:pt>
                <c:pt idx="4">
                  <c:v>6.85</c:v>
                </c:pt>
                <c:pt idx="5">
                  <c:v>7.43</c:v>
                </c:pt>
                <c:pt idx="6">
                  <c:v>7.83</c:v>
                </c:pt>
                <c:pt idx="7">
                  <c:v>8.2200000000000006</c:v>
                </c:pt>
                <c:pt idx="8">
                  <c:v>8.61</c:v>
                </c:pt>
                <c:pt idx="9">
                  <c:v>9.1999999999999993</c:v>
                </c:pt>
              </c:numCache>
            </c:numRef>
          </c:yVal>
          <c:smooth val="1"/>
          <c:extLst>
            <c:ext xmlns:c16="http://schemas.microsoft.com/office/drawing/2014/chart" uri="{C3380CC4-5D6E-409C-BE32-E72D297353CC}">
              <c16:uniqueId val="{00000003-44AE-4E19-8101-2E201A6141A7}"/>
            </c:ext>
          </c:extLst>
        </c:ser>
        <c:dLbls>
          <c:showLegendKey val="0"/>
          <c:showVal val="0"/>
          <c:showCatName val="0"/>
          <c:showSerName val="0"/>
          <c:showPercent val="0"/>
          <c:showBubbleSize val="0"/>
        </c:dLbls>
        <c:axId val="238072576"/>
        <c:axId val="238062208"/>
      </c:scatterChart>
      <c:valAx>
        <c:axId val="238037248"/>
        <c:scaling>
          <c:orientation val="minMax"/>
          <c:max val="90"/>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А, %</a:t>
                </a:r>
                <a:endParaRPr lang="en-US" sz="1200" b="1" i="0" baseline="0">
                  <a:latin typeface="Times New Roman" panose="02020603050405020304" charset="0"/>
                  <a:cs typeface="Times New Roman" panose="02020603050405020304" charset="0"/>
                </a:endParaRPr>
              </a:p>
            </c:rich>
          </c:tx>
          <c:layout>
            <c:manualLayout>
              <c:xMode val="edge"/>
              <c:yMode val="edge"/>
              <c:x val="0.91829288005665899"/>
              <c:y val="0.91039999999999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8060288"/>
        <c:crosses val="autoZero"/>
        <c:crossBetween val="midCat"/>
        <c:majorUnit val="10"/>
      </c:valAx>
      <c:valAx>
        <c:axId val="238060288"/>
        <c:scaling>
          <c:orientation val="minMax"/>
          <c:max val="130"/>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uk-UA" sz="1200" b="1" i="0" baseline="0">
                    <a:latin typeface="Times New Roman" panose="02020603050405020304" charset="0"/>
                    <a:cs typeface="Times New Roman" panose="02020603050405020304" charset="0"/>
                  </a:rPr>
                  <a:t>С∙10</a:t>
                </a:r>
                <a:r>
                  <a:rPr lang="uk-UA" sz="1200" b="1" i="0" baseline="30000">
                    <a:latin typeface="Times New Roman" panose="02020603050405020304" charset="0"/>
                    <a:cs typeface="Times New Roman" panose="02020603050405020304" charset="0"/>
                  </a:rPr>
                  <a:t>2</a:t>
                </a:r>
                <a:r>
                  <a:rPr lang="uk-UA" sz="1200" b="1" i="0" baseline="0">
                    <a:latin typeface="Times New Roman" panose="02020603050405020304" charset="0"/>
                    <a:cs typeface="Times New Roman" panose="02020603050405020304" charset="0"/>
                  </a:rPr>
                  <a:t>, мг/дм</a:t>
                </a:r>
                <a:r>
                  <a:rPr lang="uk-UA"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9.6570023888839802E-3"/>
              <c:y val="0.271742532258690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8037248"/>
        <c:crosses val="autoZero"/>
        <c:crossBetween val="midCat"/>
        <c:majorUnit val="20"/>
      </c:valAx>
      <c:valAx>
        <c:axId val="238072576"/>
        <c:scaling>
          <c:orientation val="minMax"/>
        </c:scaling>
        <c:delete val="1"/>
        <c:axPos val="b"/>
        <c:numFmt formatCode="General" sourceLinked="1"/>
        <c:majorTickMark val="out"/>
        <c:minorTickMark val="none"/>
        <c:tickLblPos val="none"/>
        <c:crossAx val="238062208"/>
        <c:crosses val="autoZero"/>
        <c:crossBetween val="midCat"/>
      </c:valAx>
      <c:valAx>
        <c:axId val="238062208"/>
        <c:scaling>
          <c:orientation val="minMax"/>
          <c:max val="1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uk-UA" sz="1200" b="1" i="0" baseline="0">
                    <a:latin typeface="Times New Roman" panose="02020603050405020304" charset="0"/>
                    <a:cs typeface="Times New Roman" panose="02020603050405020304" charset="0"/>
                  </a:rPr>
                  <a:t>Ж, </a:t>
                </a:r>
                <a:r>
                  <a:rPr lang="ru-RU" sz="1200" b="1" i="0" baseline="0">
                    <a:latin typeface="Times New Roman" panose="02020603050405020304" charset="0"/>
                    <a:cs typeface="Times New Roman" panose="02020603050405020304" charset="0"/>
                  </a:rPr>
                  <a:t>мг</a:t>
                </a:r>
                <a:r>
                  <a:rPr lang="en-US" sz="1200" b="1" i="0" baseline="0">
                    <a:latin typeface="Times New Roman" panose="02020603050405020304" charset="0"/>
                    <a:cs typeface="Times New Roman" panose="02020603050405020304" charset="0"/>
                  </a:rPr>
                  <a:t>-</a:t>
                </a:r>
                <a:r>
                  <a:rPr lang="uk-UA" sz="1200" b="1" i="0" baseline="0">
                    <a:latin typeface="Times New Roman" panose="02020603050405020304" charset="0"/>
                    <a:cs typeface="Times New Roman" panose="02020603050405020304" charset="0"/>
                  </a:rPr>
                  <a:t>екв</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95227913653626195"/>
              <c:y val="0.218963237868909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8072576"/>
        <c:crosses val="max"/>
        <c:crossBetween val="midCat"/>
        <c:majorUnit val="2"/>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1873241267905"/>
          <c:y val="5.1400554097404502E-2"/>
          <c:w val="0.78054810812291098"/>
          <c:h val="0.75655398338365598"/>
        </c:manualLayout>
      </c:layout>
      <c:scatterChart>
        <c:scatterStyle val="smoothMarker"/>
        <c:varyColors val="0"/>
        <c:ser>
          <c:idx val="0"/>
          <c:order val="0"/>
          <c:spPr>
            <a:ln w="22225" cap="rnd" cmpd="sng" algn="ctr">
              <a:solidFill>
                <a:prstClr val="black"/>
              </a:solidFill>
              <a:prstDash val="dash"/>
              <a:round/>
            </a:ln>
          </c:spPr>
          <c:marker>
            <c:symbol val="diamond"/>
            <c:size val="7"/>
            <c:spPr>
              <a:solidFill>
                <a:sysClr val="windowText" lastClr="000000"/>
              </a:solidFill>
              <a:ln w="9525" cap="flat" cmpd="sng" algn="ctr">
                <a:solidFill>
                  <a:prstClr val="black"/>
                </a:solidFill>
                <a:prstDash val="solid"/>
                <a:round/>
              </a:ln>
            </c:spPr>
          </c:marker>
          <c:xVal>
            <c:numRef>
              <c:f>'Никель 4, 5'!$A$16:$A$25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5'!$B$16:$B$25</c:f>
              <c:numCache>
                <c:formatCode>General</c:formatCode>
                <c:ptCount val="10"/>
                <c:pt idx="0">
                  <c:v>10.15</c:v>
                </c:pt>
                <c:pt idx="1">
                  <c:v>0</c:v>
                </c:pt>
                <c:pt idx="2">
                  <c:v>0</c:v>
                </c:pt>
                <c:pt idx="3">
                  <c:v>0</c:v>
                </c:pt>
                <c:pt idx="4">
                  <c:v>0</c:v>
                </c:pt>
                <c:pt idx="5">
                  <c:v>0</c:v>
                </c:pt>
                <c:pt idx="6">
                  <c:v>0</c:v>
                </c:pt>
                <c:pt idx="7">
                  <c:v>0</c:v>
                </c:pt>
                <c:pt idx="8">
                  <c:v>0</c:v>
                </c:pt>
                <c:pt idx="9">
                  <c:v>0</c:v>
                </c:pt>
              </c:numCache>
            </c:numRef>
          </c:yVal>
          <c:smooth val="1"/>
          <c:extLst>
            <c:ext xmlns:c16="http://schemas.microsoft.com/office/drawing/2014/chart" uri="{C3380CC4-5D6E-409C-BE32-E72D297353CC}">
              <c16:uniqueId val="{00000000-883D-4864-BF52-BD942CFC74DC}"/>
            </c:ext>
          </c:extLst>
        </c:ser>
        <c:ser>
          <c:idx val="1"/>
          <c:order val="1"/>
          <c:spPr>
            <a:ln w="22225" cap="rnd" cmpd="sng" algn="ctr">
              <a:solidFill>
                <a:prstClr val="black"/>
              </a:solidFill>
              <a:prstDash val="solid"/>
              <a:round/>
            </a:ln>
          </c:spPr>
          <c:marker>
            <c:symbol val="square"/>
            <c:size val="5"/>
            <c:spPr>
              <a:noFill/>
              <a:ln w="9525" cap="flat" cmpd="sng" algn="ctr">
                <a:solidFill>
                  <a:prstClr val="black"/>
                </a:solidFill>
                <a:prstDash val="solid"/>
                <a:round/>
              </a:ln>
            </c:spPr>
          </c:marker>
          <c:xVal>
            <c:numRef>
              <c:f>'Никель 4, 5'!$A$16:$A$25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5'!$C$16:$C$25</c:f>
              <c:numCache>
                <c:formatCode>General</c:formatCode>
                <c:ptCount val="10"/>
                <c:pt idx="1">
                  <c:v>11.28</c:v>
                </c:pt>
                <c:pt idx="2">
                  <c:v>12.68</c:v>
                </c:pt>
                <c:pt idx="3">
                  <c:v>14.5</c:v>
                </c:pt>
                <c:pt idx="4">
                  <c:v>16.920000000000002</c:v>
                </c:pt>
                <c:pt idx="5">
                  <c:v>20.3</c:v>
                </c:pt>
                <c:pt idx="6">
                  <c:v>25.37</c:v>
                </c:pt>
                <c:pt idx="7">
                  <c:v>33.83</c:v>
                </c:pt>
                <c:pt idx="8">
                  <c:v>50.75</c:v>
                </c:pt>
                <c:pt idx="9">
                  <c:v>95.28</c:v>
                </c:pt>
              </c:numCache>
            </c:numRef>
          </c:yVal>
          <c:smooth val="1"/>
          <c:extLst>
            <c:ext xmlns:c16="http://schemas.microsoft.com/office/drawing/2014/chart" uri="{C3380CC4-5D6E-409C-BE32-E72D297353CC}">
              <c16:uniqueId val="{00000001-883D-4864-BF52-BD942CFC74DC}"/>
            </c:ext>
          </c:extLst>
        </c:ser>
        <c:dLbls>
          <c:showLegendKey val="0"/>
          <c:showVal val="0"/>
          <c:showCatName val="0"/>
          <c:showSerName val="0"/>
          <c:showPercent val="0"/>
          <c:showBubbleSize val="0"/>
        </c:dLbls>
        <c:axId val="238217088"/>
        <c:axId val="238219648"/>
      </c:scatterChart>
      <c:scatterChart>
        <c:scatterStyle val="smoothMarker"/>
        <c:varyColors val="0"/>
        <c:ser>
          <c:idx val="2"/>
          <c:order val="2"/>
          <c:spPr>
            <a:ln w="22225" cap="rnd" cmpd="sng" algn="ctr">
              <a:solidFill>
                <a:prstClr val="black"/>
              </a:solidFill>
              <a:prstDash val="solid"/>
              <a:round/>
            </a:ln>
          </c:spPr>
          <c:marker>
            <c:symbol val="triangle"/>
            <c:size val="7"/>
            <c:spPr>
              <a:solidFill>
                <a:sysClr val="windowText" lastClr="000000"/>
              </a:solidFill>
              <a:ln w="9525" cap="flat" cmpd="sng" algn="ctr">
                <a:solidFill>
                  <a:prstClr val="black"/>
                </a:solidFill>
                <a:prstDash val="solid"/>
                <a:round/>
              </a:ln>
            </c:spPr>
          </c:marker>
          <c:xVal>
            <c:numRef>
              <c:f>'Никель 4, 5'!$A$16:$A$25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'Никель 4, 5'!$D$16:$D$25</c:f>
              <c:numCache>
                <c:formatCode>General</c:formatCode>
                <c:ptCount val="10"/>
                <c:pt idx="1">
                  <c:v>100</c:v>
                </c:pt>
                <c:pt idx="2">
                  <c:v>100</c:v>
                </c:pt>
                <c:pt idx="3">
                  <c:v>100</c:v>
                </c:pt>
                <c:pt idx="4">
                  <c:v>100</c:v>
                </c:pt>
                <c:pt idx="5">
                  <c:v>100</c:v>
                </c:pt>
                <c:pt idx="6">
                  <c:v>100</c:v>
                </c:pt>
                <c:pt idx="7">
                  <c:v>100</c:v>
                </c:pt>
                <c:pt idx="8">
                  <c:v>100</c:v>
                </c:pt>
                <c:pt idx="9">
                  <c:v>100</c:v>
                </c:pt>
              </c:numCache>
            </c:numRef>
          </c:yVal>
          <c:smooth val="1"/>
          <c:extLst>
            <c:ext xmlns:c16="http://schemas.microsoft.com/office/drawing/2014/chart" uri="{C3380CC4-5D6E-409C-BE32-E72D297353CC}">
              <c16:uniqueId val="{00000002-883D-4864-BF52-BD942CFC74DC}"/>
            </c:ext>
          </c:extLst>
        </c:ser>
        <c:dLbls>
          <c:showLegendKey val="0"/>
          <c:showVal val="0"/>
          <c:showCatName val="0"/>
          <c:showSerName val="0"/>
          <c:showPercent val="0"/>
          <c:showBubbleSize val="0"/>
        </c:dLbls>
        <c:axId val="238289280"/>
        <c:axId val="238221568"/>
      </c:scatterChart>
      <c:valAx>
        <c:axId val="238217088"/>
        <c:scaling>
          <c:orientation val="minMax"/>
          <c:max val="9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А, %</a:t>
                </a:r>
                <a:endParaRPr lang="en-US" sz="1200" b="1" i="0" baseline="0">
                  <a:latin typeface="Times New Roman" panose="02020603050405020304" charset="0"/>
                  <a:cs typeface="Times New Roman" panose="02020603050405020304" charset="0"/>
                </a:endParaRPr>
              </a:p>
            </c:rich>
          </c:tx>
          <c:layout>
            <c:manualLayout>
              <c:xMode val="edge"/>
              <c:yMode val="edge"/>
              <c:x val="0.92372455194414205"/>
              <c:y val="0.890421921921921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8219648"/>
        <c:crosses val="autoZero"/>
        <c:crossBetween val="midCat"/>
        <c:majorUnit val="10"/>
      </c:valAx>
      <c:valAx>
        <c:axId val="238219648"/>
        <c:scaling>
          <c:orientation val="minMax"/>
          <c:max val="100"/>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uk-UA" sz="1200" b="1" i="0" baseline="0">
                    <a:latin typeface="Times New Roman" panose="02020603050405020304" charset="0"/>
                    <a:cs typeface="Times New Roman" panose="02020603050405020304" charset="0"/>
                  </a:rPr>
                  <a:t>С∙10</a:t>
                </a:r>
                <a:r>
                  <a:rPr lang="uk-UA" sz="1200" b="1" i="0" baseline="30000">
                    <a:latin typeface="Times New Roman" panose="02020603050405020304" charset="0"/>
                    <a:cs typeface="Times New Roman" panose="02020603050405020304" charset="0"/>
                  </a:rPr>
                  <a:t>2</a:t>
                </a:r>
                <a:r>
                  <a:rPr lang="uk-UA" sz="1200" b="1" i="0" baseline="0">
                    <a:latin typeface="Times New Roman" panose="02020603050405020304" charset="0"/>
                    <a:cs typeface="Times New Roman" panose="02020603050405020304" charset="0"/>
                  </a:rPr>
                  <a:t>, мг/дм</a:t>
                </a:r>
                <a:r>
                  <a:rPr lang="uk-UA"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9.8293367898034294E-4"/>
              <c:y val="0.2505344123651209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8217088"/>
        <c:crosses val="autoZero"/>
        <c:crossBetween val="midCat"/>
        <c:majorUnit val="20"/>
      </c:valAx>
      <c:valAx>
        <c:axId val="238289280"/>
        <c:scaling>
          <c:orientation val="minMax"/>
        </c:scaling>
        <c:delete val="1"/>
        <c:axPos val="b"/>
        <c:numFmt formatCode="General" sourceLinked="1"/>
        <c:majorTickMark val="out"/>
        <c:minorTickMark val="none"/>
        <c:tickLblPos val="none"/>
        <c:crossAx val="238221568"/>
        <c:crosses val="autoZero"/>
        <c:crossBetween val="midCat"/>
      </c:valAx>
      <c:valAx>
        <c:axId val="238221568"/>
        <c:scaling>
          <c:orientation val="minMax"/>
          <c:max val="100"/>
          <c:min val="6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R, %</a:t>
                </a:r>
                <a:endParaRPr lang="ru-RU" sz="1200" b="1" i="0" baseline="0">
                  <a:latin typeface="Times New Roman" panose="02020603050405020304" charset="0"/>
                  <a:cs typeface="Times New Roman" panose="02020603050405020304" charset="0"/>
                </a:endParaRPr>
              </a:p>
            </c:rich>
          </c:tx>
          <c:layout>
            <c:manualLayout>
              <c:xMode val="edge"/>
              <c:yMode val="edge"/>
              <c:x val="0.95507957082163197"/>
              <c:y val="0.351858413531641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8289280"/>
        <c:crosses val="max"/>
        <c:crossBetween val="midCat"/>
        <c:majorUnit val="1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1581139808799"/>
          <c:y val="8.3807961504811998E-2"/>
          <c:w val="0.75351179666623103"/>
          <c:h val="0.78199534047008201"/>
        </c:manualLayout>
      </c:layout>
      <c:scatterChart>
        <c:scatterStyle val="smoothMarker"/>
        <c:varyColors val="0"/>
        <c:ser>
          <c:idx val="0"/>
          <c:order val="0"/>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Лист5!$A$2:$A$10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Лист5!$B$2:$B$10</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1"/>
          <c:extLst>
            <c:ext xmlns:c16="http://schemas.microsoft.com/office/drawing/2014/chart" uri="{C3380CC4-5D6E-409C-BE32-E72D297353CC}">
              <c16:uniqueId val="{00000000-15C3-4B65-BBDF-92FA8BF83F53}"/>
            </c:ext>
          </c:extLst>
        </c:ser>
        <c:ser>
          <c:idx val="1"/>
          <c:order val="1"/>
          <c:spPr>
            <a:ln w="25400" cap="rnd" cmpd="sng" algn="ctr">
              <a:solidFill>
                <a:sysClr val="windowText" lastClr="000000"/>
              </a:solidFill>
              <a:prstDash val="sysDash"/>
              <a:round/>
            </a:ln>
          </c:spPr>
          <c:marker>
            <c:spPr>
              <a:noFill/>
              <a:ln w="9525" cap="flat" cmpd="sng" algn="ctr">
                <a:solidFill>
                  <a:sysClr val="windowText" lastClr="000000"/>
                </a:solidFill>
                <a:prstDash val="solid"/>
                <a:round/>
              </a:ln>
            </c:spPr>
          </c:marker>
          <c:xVal>
            <c:numRef>
              <c:f>Лист5!$A$2:$A$10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Лист5!$C$2:$C$10</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1"/>
          <c:extLst>
            <c:ext xmlns:c16="http://schemas.microsoft.com/office/drawing/2014/chart" uri="{C3380CC4-5D6E-409C-BE32-E72D297353CC}">
              <c16:uniqueId val="{00000001-15C3-4B65-BBDF-92FA8BF83F53}"/>
            </c:ext>
          </c:extLst>
        </c:ser>
        <c:ser>
          <c:idx val="2"/>
          <c:order val="2"/>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Лист5!$A$2:$A$10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Лист5!$D$2:$D$10</c:f>
              <c:numCache>
                <c:formatCode>General</c:formatCode>
                <c:ptCount val="9"/>
                <c:pt idx="0">
                  <c:v>25</c:v>
                </c:pt>
                <c:pt idx="1">
                  <c:v>26.1</c:v>
                </c:pt>
                <c:pt idx="2">
                  <c:v>26.3</c:v>
                </c:pt>
                <c:pt idx="3">
                  <c:v>26.7</c:v>
                </c:pt>
                <c:pt idx="4">
                  <c:v>26.8</c:v>
                </c:pt>
                <c:pt idx="5">
                  <c:v>26.8</c:v>
                </c:pt>
                <c:pt idx="6">
                  <c:v>26.9</c:v>
                </c:pt>
                <c:pt idx="7">
                  <c:v>26.7</c:v>
                </c:pt>
                <c:pt idx="8">
                  <c:v>26.7</c:v>
                </c:pt>
              </c:numCache>
            </c:numRef>
          </c:yVal>
          <c:smooth val="1"/>
          <c:extLst>
            <c:ext xmlns:c16="http://schemas.microsoft.com/office/drawing/2014/chart" uri="{C3380CC4-5D6E-409C-BE32-E72D297353CC}">
              <c16:uniqueId val="{00000002-15C3-4B65-BBDF-92FA8BF83F53}"/>
            </c:ext>
          </c:extLst>
        </c:ser>
        <c:ser>
          <c:idx val="3"/>
          <c:order val="3"/>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Лист5!$A$2:$A$10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Лист5!$E$2:$E$10</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1"/>
          <c:extLst>
            <c:ext xmlns:c16="http://schemas.microsoft.com/office/drawing/2014/chart" uri="{C3380CC4-5D6E-409C-BE32-E72D297353CC}">
              <c16:uniqueId val="{00000003-15C3-4B65-BBDF-92FA8BF83F53}"/>
            </c:ext>
          </c:extLst>
        </c:ser>
        <c:ser>
          <c:idx val="4"/>
          <c:order val="4"/>
          <c:spPr>
            <a:ln w="25400" cap="rnd" cmpd="sng" algn="ctr">
              <a:solidFill>
                <a:sysClr val="windowText" lastClr="000000"/>
              </a:solidFill>
              <a:prstDash val="sysDash"/>
              <a:round/>
            </a:ln>
          </c:spPr>
          <c:marker>
            <c:spPr>
              <a:noFill/>
              <a:ln w="9525" cap="flat" cmpd="sng" algn="ctr">
                <a:solidFill>
                  <a:sysClr val="windowText" lastClr="000000"/>
                </a:solidFill>
                <a:prstDash val="solid"/>
                <a:round/>
              </a:ln>
            </c:spPr>
          </c:marker>
          <c:xVal>
            <c:numRef>
              <c:f>Лист5!$A$2:$A$10</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Лист5!$F$2:$F$10</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1"/>
          <c:extLst>
            <c:ext xmlns:c16="http://schemas.microsoft.com/office/drawing/2014/chart" uri="{C3380CC4-5D6E-409C-BE32-E72D297353CC}">
              <c16:uniqueId val="{00000004-15C3-4B65-BBDF-92FA8BF83F53}"/>
            </c:ext>
          </c:extLst>
        </c:ser>
        <c:dLbls>
          <c:showLegendKey val="0"/>
          <c:showVal val="0"/>
          <c:showCatName val="0"/>
          <c:showSerName val="0"/>
          <c:showPercent val="0"/>
          <c:showBubbleSize val="0"/>
        </c:dLbls>
        <c:axId val="230019840"/>
        <c:axId val="230022144"/>
      </c:scatterChart>
      <c:valAx>
        <c:axId val="230019840"/>
        <c:scaling>
          <c:orientation val="minMax"/>
          <c:max val="9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a:t>
                </a:r>
                <a:r>
                  <a:rPr lang="uk-UA" sz="1200" b="1">
                    <a:latin typeface="Times New Roman" panose="02020603050405020304" charset="0"/>
                    <a:cs typeface="Times New Roman" panose="02020603050405020304" charset="0"/>
                  </a:rPr>
                  <a:t>,</a:t>
                </a:r>
                <a:r>
                  <a:rPr lang="en-US" sz="1200" b="1">
                    <a:latin typeface="Times New Roman" panose="02020603050405020304" charset="0"/>
                    <a:cs typeface="Times New Roman" panose="02020603050405020304" charset="0"/>
                  </a:rPr>
                  <a:t> %</a:t>
                </a:r>
              </a:p>
            </c:rich>
          </c:tx>
          <c:layout>
            <c:manualLayout>
              <c:xMode val="edge"/>
              <c:yMode val="edge"/>
              <c:x val="0.91943328696262805"/>
              <c:y val="0.9141592694171659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022144"/>
        <c:crosses val="autoZero"/>
        <c:crossBetween val="midCat"/>
        <c:majorUnit val="10"/>
      </c:valAx>
      <c:valAx>
        <c:axId val="230022144"/>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R, %</a:t>
                </a:r>
              </a:p>
            </c:rich>
          </c:tx>
          <c:layout>
            <c:manualLayout>
              <c:xMode val="edge"/>
              <c:yMode val="edge"/>
              <c:x val="3.1183764206742198E-3"/>
              <c:y val="0.359377004957714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019840"/>
        <c:crosses val="autoZero"/>
        <c:crossBetween val="midCat"/>
        <c:majorUnit val="20"/>
      </c:valAx>
      <c:spPr>
        <a:ln>
          <a:noFill/>
        </a:ln>
      </c:spPr>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099518810148"/>
          <c:y val="5.6030183727034097E-2"/>
          <c:w val="0.73691328770819597"/>
          <c:h val="0.80615165039853998"/>
        </c:manualLayout>
      </c:layout>
      <c:scatterChart>
        <c:scatterStyle val="smoothMarker"/>
        <c:varyColors val="0"/>
        <c:ser>
          <c:idx val="0"/>
          <c:order val="0"/>
          <c:spPr>
            <a:ln w="22225" cap="rnd" cmpd="sng" algn="ctr">
              <a:solidFill>
                <a:prstClr val="black"/>
              </a:solidFill>
              <a:prstDash val="sysDash"/>
              <a:round/>
            </a:ln>
          </c:spPr>
          <c:marker>
            <c:spPr>
              <a:solidFill>
                <a:schemeClr val="tx1"/>
              </a:solidFill>
              <a:ln w="9525" cap="flat" cmpd="sng" algn="ctr">
                <a:solidFill>
                  <a:prstClr val="black"/>
                </a:solidFill>
                <a:prstDash val="solid"/>
                <a:round/>
              </a:ln>
            </c:spPr>
          </c:marker>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Лист1!$B$2:$B$12</c:f>
              <c:numCache>
                <c:formatCode>General</c:formatCode>
                <c:ptCount val="11"/>
                <c:pt idx="0">
                  <c:v>0</c:v>
                </c:pt>
                <c:pt idx="1">
                  <c:v>1.21</c:v>
                </c:pt>
                <c:pt idx="2">
                  <c:v>1.25</c:v>
                </c:pt>
                <c:pt idx="3">
                  <c:v>1.28</c:v>
                </c:pt>
                <c:pt idx="4">
                  <c:v>1.34</c:v>
                </c:pt>
                <c:pt idx="5">
                  <c:v>1.45</c:v>
                </c:pt>
                <c:pt idx="6">
                  <c:v>1.58</c:v>
                </c:pt>
                <c:pt idx="7">
                  <c:v>1.77</c:v>
                </c:pt>
                <c:pt idx="8">
                  <c:v>2.12</c:v>
                </c:pt>
                <c:pt idx="9">
                  <c:v>2.75</c:v>
                </c:pt>
                <c:pt idx="10">
                  <c:v>3.23</c:v>
                </c:pt>
              </c:numCache>
            </c:numRef>
          </c:yVal>
          <c:smooth val="1"/>
          <c:extLst>
            <c:ext xmlns:c16="http://schemas.microsoft.com/office/drawing/2014/chart" uri="{C3380CC4-5D6E-409C-BE32-E72D297353CC}">
              <c16:uniqueId val="{00000000-D822-4C79-AC59-65297673B7D9}"/>
            </c:ext>
          </c:extLst>
        </c:ser>
        <c:ser>
          <c:idx val="1"/>
          <c:order val="1"/>
          <c:spPr>
            <a:ln w="22225" cap="rnd" cmpd="sng" algn="ctr">
              <a:solidFill>
                <a:schemeClr val="tx1"/>
              </a:solidFill>
              <a:prstDash val="solid"/>
              <a:round/>
            </a:ln>
          </c:spPr>
          <c:marker>
            <c:symbol val="square"/>
            <c:size val="6"/>
            <c:spPr>
              <a:noFill/>
              <a:ln w="9525" cap="flat" cmpd="sng" algn="ctr">
                <a:solidFill>
                  <a:schemeClr val="tx1"/>
                </a:solidFill>
                <a:prstDash val="solid"/>
                <a:round/>
              </a:ln>
            </c:spPr>
          </c:marker>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Лист1!$C$2:$C$12</c:f>
              <c:numCache>
                <c:formatCode>General</c:formatCode>
                <c:ptCount val="11"/>
                <c:pt idx="0">
                  <c:v>0</c:v>
                </c:pt>
                <c:pt idx="1">
                  <c:v>1.1800000000000099</c:v>
                </c:pt>
                <c:pt idx="2">
                  <c:v>1.85</c:v>
                </c:pt>
                <c:pt idx="3">
                  <c:v>2.23</c:v>
                </c:pt>
                <c:pt idx="4">
                  <c:v>2.52</c:v>
                </c:pt>
                <c:pt idx="5">
                  <c:v>3.53</c:v>
                </c:pt>
                <c:pt idx="6">
                  <c:v>4.57</c:v>
                </c:pt>
                <c:pt idx="7">
                  <c:v>6.16</c:v>
                </c:pt>
                <c:pt idx="8">
                  <c:v>7.24</c:v>
                </c:pt>
                <c:pt idx="9">
                  <c:v>8.15</c:v>
                </c:pt>
                <c:pt idx="10">
                  <c:v>9.23</c:v>
                </c:pt>
              </c:numCache>
            </c:numRef>
          </c:yVal>
          <c:smooth val="1"/>
          <c:extLst>
            <c:ext xmlns:c16="http://schemas.microsoft.com/office/drawing/2014/chart" uri="{C3380CC4-5D6E-409C-BE32-E72D297353CC}">
              <c16:uniqueId val="{00000001-D822-4C79-AC59-65297673B7D9}"/>
            </c:ext>
          </c:extLst>
        </c:ser>
        <c:ser>
          <c:idx val="2"/>
          <c:order val="2"/>
          <c:spPr>
            <a:ln w="22225" cap="rnd" cmpd="sng" algn="ctr">
              <a:solidFill>
                <a:prstClr val="black"/>
              </a:solidFill>
              <a:prstDash val="lgDashDot"/>
              <a:round/>
            </a:ln>
          </c:spPr>
          <c:marker>
            <c:spPr>
              <a:noFill/>
              <a:ln w="9525" cap="flat" cmpd="sng" algn="ctr">
                <a:solidFill>
                  <a:prstClr val="black"/>
                </a:solidFill>
                <a:prstDash val="solid"/>
                <a:round/>
              </a:ln>
            </c:spPr>
          </c:marker>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Лист1!$D$2:$D$12</c:f>
              <c:numCache>
                <c:formatCode>General</c:formatCode>
                <c:ptCount val="11"/>
                <c:pt idx="0">
                  <c:v>0</c:v>
                </c:pt>
                <c:pt idx="1">
                  <c:v>1.37</c:v>
                </c:pt>
                <c:pt idx="2">
                  <c:v>1.45</c:v>
                </c:pt>
                <c:pt idx="3">
                  <c:v>1.52</c:v>
                </c:pt>
                <c:pt idx="4">
                  <c:v>1.53</c:v>
                </c:pt>
                <c:pt idx="5">
                  <c:v>1.6800000000000099</c:v>
                </c:pt>
                <c:pt idx="6">
                  <c:v>1.72</c:v>
                </c:pt>
                <c:pt idx="7">
                  <c:v>2.17</c:v>
                </c:pt>
                <c:pt idx="8">
                  <c:v>2.58</c:v>
                </c:pt>
                <c:pt idx="9">
                  <c:v>3.12</c:v>
                </c:pt>
                <c:pt idx="10">
                  <c:v>3.74</c:v>
                </c:pt>
              </c:numCache>
            </c:numRef>
          </c:yVal>
          <c:smooth val="1"/>
          <c:extLst>
            <c:ext xmlns:c16="http://schemas.microsoft.com/office/drawing/2014/chart" uri="{C3380CC4-5D6E-409C-BE32-E72D297353CC}">
              <c16:uniqueId val="{00000002-D822-4C79-AC59-65297673B7D9}"/>
            </c:ext>
          </c:extLst>
        </c:ser>
        <c:ser>
          <c:idx val="3"/>
          <c:order val="3"/>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Лист1!$E$2:$E$12</c:f>
              <c:numCache>
                <c:formatCode>General</c:formatCode>
                <c:ptCount val="11"/>
                <c:pt idx="0">
                  <c:v>0</c:v>
                </c:pt>
                <c:pt idx="1">
                  <c:v>1.1499999999999899</c:v>
                </c:pt>
                <c:pt idx="2">
                  <c:v>1.17</c:v>
                </c:pt>
                <c:pt idx="3">
                  <c:v>1.25</c:v>
                </c:pt>
                <c:pt idx="4">
                  <c:v>1.27</c:v>
                </c:pt>
                <c:pt idx="5">
                  <c:v>1.34</c:v>
                </c:pt>
                <c:pt idx="6">
                  <c:v>1.37</c:v>
                </c:pt>
                <c:pt idx="7">
                  <c:v>1.42</c:v>
                </c:pt>
                <c:pt idx="8">
                  <c:v>1.6800000000000099</c:v>
                </c:pt>
                <c:pt idx="9">
                  <c:v>2.02</c:v>
                </c:pt>
                <c:pt idx="10">
                  <c:v>2.4500000000000002</c:v>
                </c:pt>
              </c:numCache>
            </c:numRef>
          </c:yVal>
          <c:smooth val="1"/>
          <c:extLst>
            <c:ext xmlns:c16="http://schemas.microsoft.com/office/drawing/2014/chart" uri="{C3380CC4-5D6E-409C-BE32-E72D297353CC}">
              <c16:uniqueId val="{00000003-D822-4C79-AC59-65297673B7D9}"/>
            </c:ext>
          </c:extLst>
        </c:ser>
        <c:dLbls>
          <c:showLegendKey val="0"/>
          <c:showVal val="0"/>
          <c:showCatName val="0"/>
          <c:showSerName val="0"/>
          <c:showPercent val="0"/>
          <c:showBubbleSize val="0"/>
        </c:dLbls>
        <c:axId val="244261632"/>
        <c:axId val="244263936"/>
      </c:scatterChart>
      <c:scatterChart>
        <c:scatterStyle val="smoothMarker"/>
        <c:varyColors val="0"/>
        <c:ser>
          <c:idx val="4"/>
          <c:order val="4"/>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Лист1!$F$2:$F$12</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mooth val="1"/>
          <c:extLst>
            <c:ext xmlns:c16="http://schemas.microsoft.com/office/drawing/2014/chart" uri="{C3380CC4-5D6E-409C-BE32-E72D297353CC}">
              <c16:uniqueId val="{00000004-D822-4C79-AC59-65297673B7D9}"/>
            </c:ext>
          </c:extLst>
        </c:ser>
        <c:ser>
          <c:idx val="5"/>
          <c:order val="5"/>
          <c:spPr>
            <a:ln w="22225" cap="rnd" cmpd="sng" algn="ctr">
              <a:solidFill>
                <a:prstClr val="black"/>
              </a:solidFill>
              <a:prstDash val="solid"/>
              <a:round/>
            </a:ln>
          </c:spPr>
          <c:marker>
            <c:symbol val="circle"/>
            <c:size val="6"/>
            <c:spPr>
              <a:noFill/>
              <a:ln w="9525" cap="flat" cmpd="sng" algn="ctr">
                <a:solidFill>
                  <a:prstClr val="black"/>
                </a:solidFill>
                <a:prstDash val="solid"/>
                <a:round/>
              </a:ln>
            </c:spPr>
          </c:marker>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Лист1!$G$2:$G$12</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yVal>
          <c:smooth val="1"/>
          <c:extLst>
            <c:ext xmlns:c16="http://schemas.microsoft.com/office/drawing/2014/chart" uri="{C3380CC4-5D6E-409C-BE32-E72D297353CC}">
              <c16:uniqueId val="{00000005-D822-4C79-AC59-65297673B7D9}"/>
            </c:ext>
          </c:extLst>
        </c:ser>
        <c:dLbls>
          <c:showLegendKey val="0"/>
          <c:showVal val="0"/>
          <c:showCatName val="0"/>
          <c:showSerName val="0"/>
          <c:showPercent val="0"/>
          <c:showBubbleSize val="0"/>
        </c:dLbls>
        <c:axId val="244268032"/>
        <c:axId val="244266112"/>
      </c:scatterChart>
      <c:valAx>
        <c:axId val="244261632"/>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9767017440576902"/>
              <c:y val="0.891687410041486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4263936"/>
        <c:crosses val="autoZero"/>
        <c:crossBetween val="midCat"/>
      </c:valAx>
      <c:valAx>
        <c:axId val="244263936"/>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a:t>
                </a:r>
                <a:r>
                  <a:rPr lang="en-US" sz="1200" b="1" i="0" baseline="-25000">
                    <a:latin typeface="Times New Roman" panose="02020603050405020304" charset="0"/>
                    <a:cs typeface="Times New Roman" panose="02020603050405020304" charset="0"/>
                  </a:rPr>
                  <a:t>Ni</a:t>
                </a:r>
                <a:r>
                  <a:rPr lang="en-US" sz="1200" b="1" i="0" baseline="0">
                    <a:latin typeface="Times New Roman" panose="02020603050405020304" charset="0"/>
                    <a:cs typeface="Times New Roman" panose="02020603050405020304" charset="0"/>
                  </a:rPr>
                  <a:t>·10</a:t>
                </a:r>
                <a:r>
                  <a:rPr lang="uk-UA" sz="1200" b="1" i="0" baseline="30000">
                    <a:latin typeface="Times New Roman" panose="02020603050405020304" charset="0"/>
                    <a:cs typeface="Times New Roman" panose="02020603050405020304" charset="0"/>
                  </a:rPr>
                  <a:t>2</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5.5554737900753099E-3"/>
              <c:y val="0.182880963408985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4261632"/>
        <c:crosses val="autoZero"/>
        <c:crossBetween val="midCat"/>
      </c:valAx>
      <c:valAx>
        <c:axId val="244268032"/>
        <c:scaling>
          <c:orientation val="minMax"/>
        </c:scaling>
        <c:delete val="1"/>
        <c:axPos val="b"/>
        <c:numFmt formatCode="General" sourceLinked="1"/>
        <c:majorTickMark val="out"/>
        <c:minorTickMark val="none"/>
        <c:tickLblPos val="none"/>
        <c:crossAx val="244266112"/>
        <c:crosses val="autoZero"/>
        <c:crossBetween val="midCat"/>
      </c:valAx>
      <c:valAx>
        <c:axId val="244266112"/>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Ж, мг-екв/дм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95277768783574901"/>
              <c:y val="0.16823749972429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4268032"/>
        <c:crosses val="max"/>
        <c:crossBetween val="midCat"/>
        <c:majorUnit val="0.2"/>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9909443590467"/>
          <c:y val="5.50925925925927E-2"/>
          <c:w val="0.75559954408089502"/>
          <c:h val="0.78575602942336098"/>
        </c:manualLayout>
      </c:layout>
      <c:scatterChart>
        <c:scatterStyle val="lineMarker"/>
        <c:varyColors val="0"/>
        <c:ser>
          <c:idx val="0"/>
          <c:order val="0"/>
          <c:spPr>
            <a:ln w="22225" cap="rnd" cmpd="sng" algn="ctr">
              <a:solidFill>
                <a:prstClr val="black"/>
              </a:solidFill>
              <a:prstDash val="solid"/>
              <a:round/>
            </a:ln>
          </c:spPr>
          <c:marker>
            <c:spPr>
              <a:no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4'!$B$2:$B$12</c:f>
              <c:numCache>
                <c:formatCode>General</c:formatCode>
                <c:ptCount val="11"/>
                <c:pt idx="0">
                  <c:v>0</c:v>
                </c:pt>
                <c:pt idx="1">
                  <c:v>99.7</c:v>
                </c:pt>
                <c:pt idx="2">
                  <c:v>99.64</c:v>
                </c:pt>
                <c:pt idx="3">
                  <c:v>99.52</c:v>
                </c:pt>
                <c:pt idx="4">
                  <c:v>99.31</c:v>
                </c:pt>
                <c:pt idx="5">
                  <c:v>99.22</c:v>
                </c:pt>
                <c:pt idx="6">
                  <c:v>99.16</c:v>
                </c:pt>
                <c:pt idx="7">
                  <c:v>99.08</c:v>
                </c:pt>
                <c:pt idx="8">
                  <c:v>99.04</c:v>
                </c:pt>
                <c:pt idx="9">
                  <c:v>98.99</c:v>
                </c:pt>
                <c:pt idx="10">
                  <c:v>98.97</c:v>
                </c:pt>
              </c:numCache>
            </c:numRef>
          </c:yVal>
          <c:smooth val="0"/>
          <c:extLst>
            <c:ext xmlns:c16="http://schemas.microsoft.com/office/drawing/2014/chart" uri="{C3380CC4-5D6E-409C-BE32-E72D297353CC}">
              <c16:uniqueId val="{00000000-2E7E-410F-8260-7A30F40BACC8}"/>
            </c:ext>
          </c:extLst>
        </c:ser>
        <c:ser>
          <c:idx val="1"/>
          <c:order val="1"/>
          <c:spPr>
            <a:ln w="22225" cap="rnd" cmpd="sng" algn="ctr">
              <a:solidFill>
                <a:prstClr val="black"/>
              </a:solidFill>
              <a:prstDash val="dash"/>
              <a:round/>
            </a:ln>
          </c:spPr>
          <c:marker>
            <c:symbol val="square"/>
            <c:size val="6"/>
            <c:spPr>
              <a:no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4'!$C$2:$C$12</c:f>
              <c:numCache>
                <c:formatCode>General</c:formatCode>
                <c:ptCount val="11"/>
                <c:pt idx="0">
                  <c:v>0</c:v>
                </c:pt>
                <c:pt idx="1">
                  <c:v>99.67</c:v>
                </c:pt>
                <c:pt idx="2">
                  <c:v>99.51</c:v>
                </c:pt>
                <c:pt idx="3">
                  <c:v>99.37</c:v>
                </c:pt>
                <c:pt idx="4">
                  <c:v>99.28</c:v>
                </c:pt>
                <c:pt idx="5">
                  <c:v>99.24</c:v>
                </c:pt>
                <c:pt idx="6">
                  <c:v>99.21</c:v>
                </c:pt>
                <c:pt idx="7">
                  <c:v>99.14</c:v>
                </c:pt>
                <c:pt idx="8">
                  <c:v>99.09</c:v>
                </c:pt>
                <c:pt idx="9">
                  <c:v>98.99</c:v>
                </c:pt>
                <c:pt idx="10">
                  <c:v>98.95</c:v>
                </c:pt>
              </c:numCache>
            </c:numRef>
          </c:yVal>
          <c:smooth val="0"/>
          <c:extLst>
            <c:ext xmlns:c16="http://schemas.microsoft.com/office/drawing/2014/chart" uri="{C3380CC4-5D6E-409C-BE32-E72D297353CC}">
              <c16:uniqueId val="{00000001-2E7E-410F-8260-7A30F40BACC8}"/>
            </c:ext>
          </c:extLst>
        </c:ser>
        <c:ser>
          <c:idx val="2"/>
          <c:order val="2"/>
          <c:spPr>
            <a:ln w="22225" cap="rnd" cmpd="sng" algn="ctr">
              <a:solidFill>
                <a:prstClr val="black"/>
              </a:solidFill>
              <a:prstDash val="lgDashDot"/>
              <a:round/>
            </a:ln>
          </c:spPr>
          <c:marker>
            <c:spPr>
              <a:no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4'!$D$2:$D$12</c:f>
              <c:numCache>
                <c:formatCode>General</c:formatCode>
                <c:ptCount val="11"/>
                <c:pt idx="0">
                  <c:v>0</c:v>
                </c:pt>
                <c:pt idx="1">
                  <c:v>99.66</c:v>
                </c:pt>
                <c:pt idx="2">
                  <c:v>99.59</c:v>
                </c:pt>
                <c:pt idx="3">
                  <c:v>99.55</c:v>
                </c:pt>
                <c:pt idx="4">
                  <c:v>99.31</c:v>
                </c:pt>
                <c:pt idx="5">
                  <c:v>99.24</c:v>
                </c:pt>
                <c:pt idx="6">
                  <c:v>99.22</c:v>
                </c:pt>
                <c:pt idx="7">
                  <c:v>99.17</c:v>
                </c:pt>
                <c:pt idx="8">
                  <c:v>99.12</c:v>
                </c:pt>
                <c:pt idx="9">
                  <c:v>99.05</c:v>
                </c:pt>
                <c:pt idx="10">
                  <c:v>98.97</c:v>
                </c:pt>
              </c:numCache>
            </c:numRef>
          </c:yVal>
          <c:smooth val="0"/>
          <c:extLst>
            <c:ext xmlns:c16="http://schemas.microsoft.com/office/drawing/2014/chart" uri="{C3380CC4-5D6E-409C-BE32-E72D297353CC}">
              <c16:uniqueId val="{00000002-2E7E-410F-8260-7A30F40BACC8}"/>
            </c:ext>
          </c:extLst>
        </c:ser>
        <c:ser>
          <c:idx val="3"/>
          <c:order val="3"/>
          <c:spPr>
            <a:ln w="22225" cap="rnd" cmpd="sng" algn="ctr">
              <a:solidFill>
                <a:prstClr val="black"/>
              </a:solidFill>
              <a:prstDash val="solid"/>
              <a:round/>
            </a:ln>
          </c:spPr>
          <c:marker>
            <c:symbol val="x"/>
            <c:size val="7"/>
            <c:spPr>
              <a:no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4'!$E$2:$E$12</c:f>
              <c:numCache>
                <c:formatCode>General</c:formatCode>
                <c:ptCount val="11"/>
                <c:pt idx="0">
                  <c:v>0</c:v>
                </c:pt>
                <c:pt idx="1">
                  <c:v>99.51</c:v>
                </c:pt>
                <c:pt idx="2">
                  <c:v>99.05</c:v>
                </c:pt>
                <c:pt idx="3">
                  <c:v>98.97</c:v>
                </c:pt>
                <c:pt idx="4">
                  <c:v>98.9</c:v>
                </c:pt>
                <c:pt idx="5">
                  <c:v>98.89</c:v>
                </c:pt>
                <c:pt idx="6">
                  <c:v>98.84</c:v>
                </c:pt>
                <c:pt idx="7">
                  <c:v>98.72</c:v>
                </c:pt>
                <c:pt idx="8">
                  <c:v>98.67</c:v>
                </c:pt>
                <c:pt idx="9">
                  <c:v>98.64</c:v>
                </c:pt>
                <c:pt idx="10">
                  <c:v>98.57</c:v>
                </c:pt>
              </c:numCache>
            </c:numRef>
          </c:yVal>
          <c:smooth val="0"/>
          <c:extLst>
            <c:ext xmlns:c16="http://schemas.microsoft.com/office/drawing/2014/chart" uri="{C3380CC4-5D6E-409C-BE32-E72D297353CC}">
              <c16:uniqueId val="{00000003-2E7E-410F-8260-7A30F40BACC8}"/>
            </c:ext>
          </c:extLst>
        </c:ser>
        <c:dLbls>
          <c:showLegendKey val="0"/>
          <c:showVal val="0"/>
          <c:showCatName val="0"/>
          <c:showSerName val="0"/>
          <c:showPercent val="0"/>
          <c:showBubbleSize val="0"/>
        </c:dLbls>
        <c:axId val="244459776"/>
        <c:axId val="244482816"/>
      </c:scatterChart>
      <c:scatterChart>
        <c:scatterStyle val="lineMarker"/>
        <c:varyColors val="0"/>
        <c:ser>
          <c:idx val="4"/>
          <c:order val="4"/>
          <c:spPr>
            <a:ln w="22225" cap="rnd" cmpd="sng" algn="ctr">
              <a:solidFill>
                <a:prstClr val="black"/>
              </a:solidFill>
              <a:prstDash val="sysDot"/>
              <a:round/>
            </a:ln>
          </c:spPr>
          <c:marker>
            <c:spPr>
              <a:no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4'!$F$2:$F$12</c:f>
              <c:numCache>
                <c:formatCode>General</c:formatCode>
                <c:ptCount val="11"/>
                <c:pt idx="0">
                  <c:v>7.34</c:v>
                </c:pt>
                <c:pt idx="1">
                  <c:v>9.843</c:v>
                </c:pt>
                <c:pt idx="2">
                  <c:v>9.84</c:v>
                </c:pt>
                <c:pt idx="3">
                  <c:v>9.8379999999999992</c:v>
                </c:pt>
                <c:pt idx="4">
                  <c:v>9.7769999999999992</c:v>
                </c:pt>
                <c:pt idx="5">
                  <c:v>9.4979999999999993</c:v>
                </c:pt>
                <c:pt idx="6">
                  <c:v>9.4830000000000005</c:v>
                </c:pt>
                <c:pt idx="7">
                  <c:v>9.4789999999999992</c:v>
                </c:pt>
                <c:pt idx="8">
                  <c:v>9.2780000000000005</c:v>
                </c:pt>
                <c:pt idx="9">
                  <c:v>9.2750000000000004</c:v>
                </c:pt>
                <c:pt idx="10">
                  <c:v>9.27</c:v>
                </c:pt>
              </c:numCache>
            </c:numRef>
          </c:yVal>
          <c:smooth val="0"/>
          <c:extLst>
            <c:ext xmlns:c16="http://schemas.microsoft.com/office/drawing/2014/chart" uri="{C3380CC4-5D6E-409C-BE32-E72D297353CC}">
              <c16:uniqueId val="{00000004-2E7E-410F-8260-7A30F40BACC8}"/>
            </c:ext>
          </c:extLst>
        </c:ser>
        <c:ser>
          <c:idx val="5"/>
          <c:order val="5"/>
          <c:spPr>
            <a:ln w="22225" cap="rnd" cmpd="sng" algn="ctr">
              <a:solidFill>
                <a:schemeClr val="tx1"/>
              </a:solidFill>
              <a:prstDash val="solid"/>
              <a:round/>
            </a:ln>
          </c:spPr>
          <c:marker>
            <c:symbol val="circle"/>
            <c:size val="6"/>
            <c:spPr>
              <a:noFill/>
              <a:ln w="9525" cap="flat" cmpd="sng" algn="ctr">
                <a:solidFill>
                  <a:schemeClr val="tx1"/>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4'!$G$2:$G$12</c:f>
              <c:numCache>
                <c:formatCode>General</c:formatCode>
                <c:ptCount val="11"/>
                <c:pt idx="0">
                  <c:v>5.55</c:v>
                </c:pt>
                <c:pt idx="1">
                  <c:v>9.4499999999999993</c:v>
                </c:pt>
                <c:pt idx="2">
                  <c:v>9.42</c:v>
                </c:pt>
                <c:pt idx="3">
                  <c:v>9.4</c:v>
                </c:pt>
                <c:pt idx="4">
                  <c:v>9.3800000000000008</c:v>
                </c:pt>
                <c:pt idx="5">
                  <c:v>9.36</c:v>
                </c:pt>
                <c:pt idx="6">
                  <c:v>9.34</c:v>
                </c:pt>
                <c:pt idx="7">
                  <c:v>9.3000000000000007</c:v>
                </c:pt>
                <c:pt idx="8">
                  <c:v>9.2799999999999994</c:v>
                </c:pt>
                <c:pt idx="9">
                  <c:v>9.27</c:v>
                </c:pt>
                <c:pt idx="10">
                  <c:v>9.25</c:v>
                </c:pt>
              </c:numCache>
            </c:numRef>
          </c:yVal>
          <c:smooth val="0"/>
          <c:extLst>
            <c:ext xmlns:c16="http://schemas.microsoft.com/office/drawing/2014/chart" uri="{C3380CC4-5D6E-409C-BE32-E72D297353CC}">
              <c16:uniqueId val="{00000005-2E7E-410F-8260-7A30F40BACC8}"/>
            </c:ext>
          </c:extLst>
        </c:ser>
        <c:ser>
          <c:idx val="6"/>
          <c:order val="6"/>
          <c:spPr>
            <a:ln w="22225" cap="rnd" cmpd="sng" algn="ctr">
              <a:solidFill>
                <a:prstClr val="black"/>
              </a:solidFill>
              <a:prstDash val="solid"/>
              <a:round/>
            </a:ln>
          </c:spPr>
          <c:marker>
            <c:spPr>
              <a:no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4'!$H$2:$H$12</c:f>
              <c:numCache>
                <c:formatCode>General</c:formatCode>
                <c:ptCount val="11"/>
                <c:pt idx="0">
                  <c:v>7.15</c:v>
                </c:pt>
                <c:pt idx="1">
                  <c:v>2.87</c:v>
                </c:pt>
                <c:pt idx="2">
                  <c:v>2.89</c:v>
                </c:pt>
                <c:pt idx="3">
                  <c:v>2.92</c:v>
                </c:pt>
                <c:pt idx="4">
                  <c:v>2.95</c:v>
                </c:pt>
                <c:pt idx="5">
                  <c:v>3</c:v>
                </c:pt>
                <c:pt idx="6">
                  <c:v>3.05</c:v>
                </c:pt>
                <c:pt idx="7">
                  <c:v>3.1</c:v>
                </c:pt>
                <c:pt idx="8">
                  <c:v>3.12</c:v>
                </c:pt>
                <c:pt idx="9">
                  <c:v>3.15</c:v>
                </c:pt>
                <c:pt idx="10">
                  <c:v>3.18</c:v>
                </c:pt>
              </c:numCache>
            </c:numRef>
          </c:yVal>
          <c:smooth val="0"/>
          <c:extLst>
            <c:ext xmlns:c16="http://schemas.microsoft.com/office/drawing/2014/chart" uri="{C3380CC4-5D6E-409C-BE32-E72D297353CC}">
              <c16:uniqueId val="{00000006-2E7E-410F-8260-7A30F40BACC8}"/>
            </c:ext>
          </c:extLst>
        </c:ser>
        <c:ser>
          <c:idx val="7"/>
          <c:order val="7"/>
          <c:spPr>
            <a:ln w="22225" cap="rnd" cmpd="sng" algn="ctr">
              <a:solidFill>
                <a:prstClr val="black"/>
              </a:solidFill>
              <a:prstDash val="lgDashDot"/>
              <a:round/>
            </a:ln>
          </c:spPr>
          <c:marker>
            <c:symbol val="diamond"/>
            <c:size val="6"/>
            <c:spPr>
              <a:solidFill>
                <a:sysClr val="windowText" lastClr="000000"/>
              </a:solidFill>
              <a:ln w="9525" cap="flat" cmpd="sng" algn="ctr">
                <a:solidFill>
                  <a:prstClr val="black"/>
                </a:solidFill>
                <a:prstDash val="solid"/>
                <a:round/>
              </a:ln>
            </c:spPr>
          </c:marker>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4'!$I$2:$I$12</c:f>
              <c:numCache>
                <c:formatCode>General</c:formatCode>
                <c:ptCount val="11"/>
                <c:pt idx="0">
                  <c:v>5.34</c:v>
                </c:pt>
                <c:pt idx="1">
                  <c:v>3.28</c:v>
                </c:pt>
                <c:pt idx="2">
                  <c:v>3.45</c:v>
                </c:pt>
                <c:pt idx="3">
                  <c:v>3.63</c:v>
                </c:pt>
                <c:pt idx="4">
                  <c:v>4.05</c:v>
                </c:pt>
                <c:pt idx="5">
                  <c:v>4.12</c:v>
                </c:pt>
                <c:pt idx="6">
                  <c:v>4.17</c:v>
                </c:pt>
                <c:pt idx="7">
                  <c:v>4.1900000000000004</c:v>
                </c:pt>
                <c:pt idx="8">
                  <c:v>4.21</c:v>
                </c:pt>
                <c:pt idx="9">
                  <c:v>4.24</c:v>
                </c:pt>
                <c:pt idx="10">
                  <c:v>4.2699999999999996</c:v>
                </c:pt>
              </c:numCache>
            </c:numRef>
          </c:yVal>
          <c:smooth val="0"/>
          <c:extLst>
            <c:ext xmlns:c16="http://schemas.microsoft.com/office/drawing/2014/chart" uri="{C3380CC4-5D6E-409C-BE32-E72D297353CC}">
              <c16:uniqueId val="{00000007-2E7E-410F-8260-7A30F40BACC8}"/>
            </c:ext>
          </c:extLst>
        </c:ser>
        <c:dLbls>
          <c:showLegendKey val="0"/>
          <c:showVal val="0"/>
          <c:showCatName val="0"/>
          <c:showSerName val="0"/>
          <c:showPercent val="0"/>
          <c:showBubbleSize val="0"/>
        </c:dLbls>
        <c:axId val="244491008"/>
        <c:axId val="244484736"/>
      </c:scatterChart>
      <c:valAx>
        <c:axId val="244459776"/>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9182001652183995"/>
              <c:y val="0.9003269011974359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4482816"/>
        <c:crosses val="autoZero"/>
        <c:crossBetween val="midCat"/>
      </c:valAx>
      <c:valAx>
        <c:axId val="244482816"/>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А, %</a:t>
                </a:r>
              </a:p>
            </c:rich>
          </c:tx>
          <c:layout>
            <c:manualLayout>
              <c:xMode val="edge"/>
              <c:yMode val="edge"/>
              <c:x val="3.65153558992378E-4"/>
              <c:y val="0.339223178498037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4459776"/>
        <c:crosses val="autoZero"/>
        <c:crossBetween val="midCat"/>
        <c:majorUnit val="20"/>
      </c:valAx>
      <c:valAx>
        <c:axId val="244491008"/>
        <c:scaling>
          <c:orientation val="minMax"/>
        </c:scaling>
        <c:delete val="1"/>
        <c:axPos val="b"/>
        <c:numFmt formatCode="General" sourceLinked="1"/>
        <c:majorTickMark val="out"/>
        <c:minorTickMark val="none"/>
        <c:tickLblPos val="none"/>
        <c:crossAx val="244484736"/>
        <c:crosses val="autoZero"/>
        <c:crossBetween val="midCat"/>
      </c:valAx>
      <c:valAx>
        <c:axId val="244484736"/>
        <c:scaling>
          <c:orientation val="minMax"/>
          <c:max val="1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рН</a:t>
                </a:r>
              </a:p>
            </c:rich>
          </c:tx>
          <c:layout>
            <c:manualLayout>
              <c:xMode val="edge"/>
              <c:yMode val="edge"/>
              <c:x val="0.94656042496679904"/>
              <c:y val="0.407794665201734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4491008"/>
        <c:crosses val="max"/>
        <c:crossBetween val="midCat"/>
        <c:majorUnit val="2"/>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849518810148"/>
          <c:y val="8.8437591134441607E-2"/>
          <c:w val="0.78793698232367504"/>
          <c:h val="0.72706401283173006"/>
        </c:manualLayout>
      </c:layout>
      <c:scatterChart>
        <c:scatterStyle val="smoothMarker"/>
        <c:varyColors val="0"/>
        <c:ser>
          <c:idx val="0"/>
          <c:order val="0"/>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Лист7!$A$2:$A$11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Лист7!$B$2:$B$11</c:f>
              <c:numCache>
                <c:formatCode>General</c:formatCode>
                <c:ptCount val="10"/>
                <c:pt idx="0">
                  <c:v>0</c:v>
                </c:pt>
                <c:pt idx="1">
                  <c:v>0</c:v>
                </c:pt>
                <c:pt idx="2">
                  <c:v>0</c:v>
                </c:pt>
                <c:pt idx="3">
                  <c:v>0</c:v>
                </c:pt>
                <c:pt idx="4">
                  <c:v>0</c:v>
                </c:pt>
                <c:pt idx="5">
                  <c:v>0</c:v>
                </c:pt>
                <c:pt idx="6">
                  <c:v>0</c:v>
                </c:pt>
                <c:pt idx="7">
                  <c:v>0</c:v>
                </c:pt>
                <c:pt idx="8">
                  <c:v>0</c:v>
                </c:pt>
                <c:pt idx="9">
                  <c:v>0</c:v>
                </c:pt>
              </c:numCache>
            </c:numRef>
          </c:yVal>
          <c:smooth val="1"/>
          <c:extLst>
            <c:ext xmlns:c16="http://schemas.microsoft.com/office/drawing/2014/chart" uri="{C3380CC4-5D6E-409C-BE32-E72D297353CC}">
              <c16:uniqueId val="{00000000-8B17-450A-9C50-D98FE7F26B1A}"/>
            </c:ext>
          </c:extLst>
        </c:ser>
        <c:ser>
          <c:idx val="1"/>
          <c:order val="1"/>
          <c:spPr>
            <a:ln w="25400" cap="rnd" cmpd="sng" algn="ctr">
              <a:solidFill>
                <a:sysClr val="windowText" lastClr="000000"/>
              </a:solidFill>
              <a:prstDash val="sysDash"/>
              <a:round/>
            </a:ln>
          </c:spPr>
          <c:marker>
            <c:spPr>
              <a:noFill/>
              <a:ln w="9525" cap="flat" cmpd="sng" algn="ctr">
                <a:solidFill>
                  <a:sysClr val="windowText" lastClr="000000"/>
                </a:solidFill>
                <a:prstDash val="solid"/>
                <a:round/>
              </a:ln>
            </c:spPr>
          </c:marker>
          <c:xVal>
            <c:numRef>
              <c:f>Лист7!$A$2:$A$11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Лист7!$C$2:$C$11</c:f>
              <c:numCache>
                <c:formatCode>General</c:formatCode>
                <c:ptCount val="10"/>
                <c:pt idx="0">
                  <c:v>94.3</c:v>
                </c:pt>
                <c:pt idx="1">
                  <c:v>94.3</c:v>
                </c:pt>
                <c:pt idx="2">
                  <c:v>94.3</c:v>
                </c:pt>
                <c:pt idx="3">
                  <c:v>94.3</c:v>
                </c:pt>
                <c:pt idx="4">
                  <c:v>94.3</c:v>
                </c:pt>
                <c:pt idx="5">
                  <c:v>94.3</c:v>
                </c:pt>
                <c:pt idx="6">
                  <c:v>94.3</c:v>
                </c:pt>
                <c:pt idx="7">
                  <c:v>94.3</c:v>
                </c:pt>
                <c:pt idx="8">
                  <c:v>94.3</c:v>
                </c:pt>
                <c:pt idx="9">
                  <c:v>94.3</c:v>
                </c:pt>
              </c:numCache>
            </c:numRef>
          </c:yVal>
          <c:smooth val="1"/>
          <c:extLst>
            <c:ext xmlns:c16="http://schemas.microsoft.com/office/drawing/2014/chart" uri="{C3380CC4-5D6E-409C-BE32-E72D297353CC}">
              <c16:uniqueId val="{00000001-8B17-450A-9C50-D98FE7F26B1A}"/>
            </c:ext>
          </c:extLst>
        </c:ser>
        <c:ser>
          <c:idx val="2"/>
          <c:order val="2"/>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Лист7!$A$2:$A$11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Лист7!$D$2:$D$11</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1"/>
          <c:extLst>
            <c:ext xmlns:c16="http://schemas.microsoft.com/office/drawing/2014/chart" uri="{C3380CC4-5D6E-409C-BE32-E72D297353CC}">
              <c16:uniqueId val="{00000002-8B17-450A-9C50-D98FE7F26B1A}"/>
            </c:ext>
          </c:extLst>
        </c:ser>
        <c:ser>
          <c:idx val="3"/>
          <c:order val="3"/>
          <c:spPr>
            <a:ln w="25400" cap="rnd" cmpd="sng" algn="ctr">
              <a:solidFill>
                <a:schemeClr val="tx1"/>
              </a:solidFill>
              <a:prstDash val="sysDash"/>
              <a:round/>
            </a:ln>
          </c:spPr>
          <c:marker>
            <c:spPr>
              <a:noFill/>
              <a:ln w="9525" cap="flat" cmpd="sng" algn="ctr">
                <a:solidFill>
                  <a:schemeClr val="tx1"/>
                </a:solidFill>
                <a:prstDash val="solid"/>
                <a:round/>
              </a:ln>
            </c:spPr>
          </c:marker>
          <c:xVal>
            <c:numRef>
              <c:f>Лист7!$A$2:$A$11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Лист7!$E$2:$E$11</c:f>
              <c:numCache>
                <c:formatCode>General</c:formatCode>
                <c:ptCount val="10"/>
                <c:pt idx="0">
                  <c:v>29.7</c:v>
                </c:pt>
                <c:pt idx="1">
                  <c:v>29.7</c:v>
                </c:pt>
                <c:pt idx="2">
                  <c:v>29.7</c:v>
                </c:pt>
                <c:pt idx="3">
                  <c:v>29.7</c:v>
                </c:pt>
                <c:pt idx="4">
                  <c:v>29.7</c:v>
                </c:pt>
                <c:pt idx="5">
                  <c:v>29.7</c:v>
                </c:pt>
                <c:pt idx="6">
                  <c:v>29.7</c:v>
                </c:pt>
                <c:pt idx="7">
                  <c:v>29.7</c:v>
                </c:pt>
                <c:pt idx="8">
                  <c:v>29.7</c:v>
                </c:pt>
                <c:pt idx="9">
                  <c:v>29.7</c:v>
                </c:pt>
              </c:numCache>
            </c:numRef>
          </c:yVal>
          <c:smooth val="1"/>
          <c:extLst>
            <c:ext xmlns:c16="http://schemas.microsoft.com/office/drawing/2014/chart" uri="{C3380CC4-5D6E-409C-BE32-E72D297353CC}">
              <c16:uniqueId val="{00000003-8B17-450A-9C50-D98FE7F26B1A}"/>
            </c:ext>
          </c:extLst>
        </c:ser>
        <c:ser>
          <c:idx val="4"/>
          <c:order val="4"/>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Лист7!$A$2:$A$11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Лист7!$F$2:$F$11</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1"/>
          <c:extLst>
            <c:ext xmlns:c16="http://schemas.microsoft.com/office/drawing/2014/chart" uri="{C3380CC4-5D6E-409C-BE32-E72D297353CC}">
              <c16:uniqueId val="{00000004-8B17-450A-9C50-D98FE7F26B1A}"/>
            </c:ext>
          </c:extLst>
        </c:ser>
        <c:ser>
          <c:idx val="5"/>
          <c:order val="5"/>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Лист7!$A$2:$A$11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Лист7!$G$2:$G$11</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1"/>
          <c:extLst>
            <c:ext xmlns:c16="http://schemas.microsoft.com/office/drawing/2014/chart" uri="{C3380CC4-5D6E-409C-BE32-E72D297353CC}">
              <c16:uniqueId val="{00000005-8B17-450A-9C50-D98FE7F26B1A}"/>
            </c:ext>
          </c:extLst>
        </c:ser>
        <c:dLbls>
          <c:showLegendKey val="0"/>
          <c:showVal val="0"/>
          <c:showCatName val="0"/>
          <c:showSerName val="0"/>
          <c:showPercent val="0"/>
          <c:showBubbleSize val="0"/>
        </c:dLbls>
        <c:axId val="230168064"/>
        <c:axId val="230178816"/>
      </c:scatterChart>
      <c:valAx>
        <c:axId val="230168064"/>
        <c:scaling>
          <c:orientation val="minMax"/>
          <c:max val="100"/>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 %</a:t>
                </a:r>
              </a:p>
            </c:rich>
          </c:tx>
          <c:layout>
            <c:manualLayout>
              <c:xMode val="edge"/>
              <c:yMode val="edge"/>
              <c:x val="0.91630637126913606"/>
              <c:y val="0.899074074074077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178816"/>
        <c:crosses val="autoZero"/>
        <c:crossBetween val="midCat"/>
      </c:valAx>
      <c:valAx>
        <c:axId val="230178816"/>
        <c:scaling>
          <c:orientation val="minMax"/>
          <c:max val="100"/>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R, %</a:t>
                </a:r>
              </a:p>
            </c:rich>
          </c:tx>
          <c:layout>
            <c:manualLayout>
              <c:xMode val="edge"/>
              <c:yMode val="edge"/>
              <c:x val="0"/>
              <c:y val="0.359377004957715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168064"/>
        <c:crosses val="autoZero"/>
        <c:crossBetween val="midCat"/>
        <c:majorUnit val="2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21062992125999"/>
          <c:y val="8.3807961504812997E-2"/>
          <c:w val="0.72741499101992901"/>
          <c:h val="0.72613808690580395"/>
        </c:manualLayout>
      </c:layout>
      <c:scatterChart>
        <c:scatterStyle val="smoothMarker"/>
        <c:varyColors val="0"/>
        <c:ser>
          <c:idx val="0"/>
          <c:order val="0"/>
          <c:spPr>
            <a:ln w="22225" cap="rnd" cmpd="sng" algn="ctr">
              <a:solidFill>
                <a:prstClr val="black"/>
              </a:solidFill>
              <a:prstDash val="sysDot"/>
              <a:round/>
            </a:ln>
          </c:spPr>
          <c:marker>
            <c:symbol val="diamond"/>
            <c:size val="7"/>
            <c:spPr>
              <a:noFill/>
              <a:ln w="9525" cap="flat" cmpd="sng" algn="ctr">
                <a:solidFill>
                  <a:prstClr val="black"/>
                </a:solidFill>
                <a:prstDash val="solid"/>
                <a:round/>
              </a:ln>
            </c:spPr>
          </c:marker>
          <c:xVal>
            <c:numRef>
              <c:f>Кадмий!$A$16:$A$25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Кадмий!$B$16:$B$25</c:f>
              <c:numCache>
                <c:formatCode>General</c:formatCode>
                <c:ptCount val="10"/>
                <c:pt idx="1">
                  <c:v>13.21</c:v>
                </c:pt>
                <c:pt idx="2">
                  <c:v>13.21</c:v>
                </c:pt>
                <c:pt idx="3">
                  <c:v>13.21</c:v>
                </c:pt>
                <c:pt idx="4">
                  <c:v>13.21</c:v>
                </c:pt>
                <c:pt idx="5">
                  <c:v>13.21</c:v>
                </c:pt>
                <c:pt idx="6">
                  <c:v>13.21</c:v>
                </c:pt>
                <c:pt idx="7">
                  <c:v>13.21</c:v>
                </c:pt>
                <c:pt idx="8">
                  <c:v>13.21</c:v>
                </c:pt>
                <c:pt idx="9">
                  <c:v>13.21</c:v>
                </c:pt>
              </c:numCache>
            </c:numRef>
          </c:yVal>
          <c:smooth val="1"/>
          <c:extLst>
            <c:ext xmlns:c16="http://schemas.microsoft.com/office/drawing/2014/chart" uri="{C3380CC4-5D6E-409C-BE32-E72D297353CC}">
              <c16:uniqueId val="{00000000-6C80-417D-8A7A-5ACD012B62E2}"/>
            </c:ext>
          </c:extLst>
        </c:ser>
        <c:ser>
          <c:idx val="1"/>
          <c:order val="1"/>
          <c:spPr>
            <a:ln w="22225" cap="rnd" cmpd="sng" algn="ctr">
              <a:solidFill>
                <a:prstClr val="black"/>
              </a:solidFill>
              <a:prstDash val="sysDash"/>
              <a:round/>
            </a:ln>
          </c:spPr>
          <c:marker>
            <c:spPr>
              <a:noFill/>
              <a:ln w="9525" cap="flat" cmpd="sng" algn="ctr">
                <a:solidFill>
                  <a:prstClr val="black"/>
                </a:solidFill>
                <a:prstDash val="solid"/>
                <a:round/>
              </a:ln>
            </c:spPr>
          </c:marker>
          <c:xVal>
            <c:numRef>
              <c:f>Кадмий!$A$16:$A$25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Кадмий!$C$16:$C$25</c:f>
              <c:numCache>
                <c:formatCode>General</c:formatCode>
                <c:ptCount val="10"/>
                <c:pt idx="1">
                  <c:v>13.21</c:v>
                </c:pt>
                <c:pt idx="2">
                  <c:v>13.21</c:v>
                </c:pt>
                <c:pt idx="3">
                  <c:v>13.21</c:v>
                </c:pt>
                <c:pt idx="4">
                  <c:v>13.21</c:v>
                </c:pt>
                <c:pt idx="5">
                  <c:v>13.21</c:v>
                </c:pt>
                <c:pt idx="6">
                  <c:v>13.21</c:v>
                </c:pt>
                <c:pt idx="7">
                  <c:v>13.21</c:v>
                </c:pt>
                <c:pt idx="8">
                  <c:v>13.21</c:v>
                </c:pt>
                <c:pt idx="9">
                  <c:v>13.21</c:v>
                </c:pt>
              </c:numCache>
            </c:numRef>
          </c:yVal>
          <c:smooth val="1"/>
          <c:extLst>
            <c:ext xmlns:c16="http://schemas.microsoft.com/office/drawing/2014/chart" uri="{C3380CC4-5D6E-409C-BE32-E72D297353CC}">
              <c16:uniqueId val="{00000001-6C80-417D-8A7A-5ACD012B62E2}"/>
            </c:ext>
          </c:extLst>
        </c:ser>
        <c:ser>
          <c:idx val="2"/>
          <c:order val="2"/>
          <c:spPr>
            <a:ln w="22225" cap="rnd" cmpd="sng" algn="ctr">
              <a:solidFill>
                <a:prstClr val="black"/>
              </a:solidFill>
              <a:prstDash val="solid"/>
              <a:round/>
            </a:ln>
          </c:spPr>
          <c:marker>
            <c:symbol val="triangle"/>
            <c:size val="7"/>
            <c:spPr>
              <a:noFill/>
              <a:ln w="9525" cap="flat" cmpd="sng" algn="ctr">
                <a:solidFill>
                  <a:prstClr val="black"/>
                </a:solidFill>
                <a:prstDash val="solid"/>
                <a:round/>
              </a:ln>
            </c:spPr>
          </c:marker>
          <c:xVal>
            <c:numRef>
              <c:f>Кадмий!$A$16:$A$25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Кадмий!$D$16:$D$25</c:f>
              <c:numCache>
                <c:formatCode>General</c:formatCode>
                <c:ptCount val="10"/>
                <c:pt idx="1">
                  <c:v>13.21</c:v>
                </c:pt>
                <c:pt idx="2">
                  <c:v>13.21</c:v>
                </c:pt>
                <c:pt idx="3">
                  <c:v>13.21</c:v>
                </c:pt>
                <c:pt idx="4">
                  <c:v>13.21</c:v>
                </c:pt>
                <c:pt idx="5">
                  <c:v>13.21</c:v>
                </c:pt>
                <c:pt idx="6">
                  <c:v>13.21</c:v>
                </c:pt>
                <c:pt idx="7">
                  <c:v>13.21</c:v>
                </c:pt>
                <c:pt idx="8">
                  <c:v>13.21</c:v>
                </c:pt>
                <c:pt idx="9">
                  <c:v>13.21</c:v>
                </c:pt>
              </c:numCache>
            </c:numRef>
          </c:yVal>
          <c:smooth val="1"/>
          <c:extLst>
            <c:ext xmlns:c16="http://schemas.microsoft.com/office/drawing/2014/chart" uri="{C3380CC4-5D6E-409C-BE32-E72D297353CC}">
              <c16:uniqueId val="{00000002-6C80-417D-8A7A-5ACD012B62E2}"/>
            </c:ext>
          </c:extLst>
        </c:ser>
        <c:dLbls>
          <c:showLegendKey val="0"/>
          <c:showVal val="0"/>
          <c:showCatName val="0"/>
          <c:showSerName val="0"/>
          <c:showPercent val="0"/>
          <c:showBubbleSize val="0"/>
        </c:dLbls>
        <c:axId val="230601856"/>
        <c:axId val="230604160"/>
      </c:scatterChart>
      <c:scatterChart>
        <c:scatterStyle val="smoothMarker"/>
        <c:varyColors val="0"/>
        <c:ser>
          <c:idx val="3"/>
          <c:order val="3"/>
          <c:spPr>
            <a:ln w="19050" cap="rnd" cmpd="sng" algn="ctr">
              <a:solidFill>
                <a:schemeClr val="tx1"/>
              </a:solidFill>
              <a:prstDash val="solid"/>
              <a:round/>
            </a:ln>
          </c:spPr>
          <c:marker>
            <c:spPr>
              <a:noFill/>
              <a:ln w="9525" cap="flat" cmpd="sng" algn="ctr">
                <a:solidFill>
                  <a:prstClr val="black"/>
                </a:solidFill>
                <a:prstDash val="solid"/>
                <a:round/>
              </a:ln>
            </c:spPr>
          </c:marker>
          <c:xVal>
            <c:numRef>
              <c:f>Кадмий!$A$16:$A$25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Кадмий!$E$16:$E$25</c:f>
              <c:numCache>
                <c:formatCode>General</c:formatCode>
                <c:ptCount val="10"/>
                <c:pt idx="1">
                  <c:v>69.032259999999994</c:v>
                </c:pt>
                <c:pt idx="2">
                  <c:v>69.400920000000099</c:v>
                </c:pt>
                <c:pt idx="3">
                  <c:v>69.585250000000002</c:v>
                </c:pt>
                <c:pt idx="4">
                  <c:v>69.769589999999994</c:v>
                </c:pt>
                <c:pt idx="5">
                  <c:v>69.953919999999997</c:v>
                </c:pt>
                <c:pt idx="6">
                  <c:v>70.046080000000003</c:v>
                </c:pt>
                <c:pt idx="7">
                  <c:v>70.138249999999999</c:v>
                </c:pt>
                <c:pt idx="8">
                  <c:v>70.138249999999999</c:v>
                </c:pt>
                <c:pt idx="9">
                  <c:v>70.138249999999999</c:v>
                </c:pt>
              </c:numCache>
            </c:numRef>
          </c:yVal>
          <c:smooth val="1"/>
          <c:extLst>
            <c:ext xmlns:c16="http://schemas.microsoft.com/office/drawing/2014/chart" uri="{C3380CC4-5D6E-409C-BE32-E72D297353CC}">
              <c16:uniqueId val="{00000003-6C80-417D-8A7A-5ACD012B62E2}"/>
            </c:ext>
          </c:extLst>
        </c:ser>
        <c:ser>
          <c:idx val="4"/>
          <c:order val="4"/>
          <c:spPr>
            <a:ln w="19050" cap="rnd" cmpd="sng" algn="ctr">
              <a:solidFill>
                <a:prstClr val="black"/>
              </a:solidFill>
              <a:prstDash val="solid"/>
              <a:round/>
            </a:ln>
          </c:spPr>
          <c:marker>
            <c:spPr>
              <a:noFill/>
              <a:ln w="9525" cap="flat" cmpd="sng" algn="ctr">
                <a:solidFill>
                  <a:prstClr val="black"/>
                </a:solidFill>
                <a:prstDash val="solid"/>
                <a:round/>
              </a:ln>
            </c:spPr>
          </c:marker>
          <c:xVal>
            <c:numRef>
              <c:f>Кадмий!$A$16:$A$25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Кадмий!$F$16:$F$25</c:f>
              <c:numCache>
                <c:formatCode>General</c:formatCode>
                <c:ptCount val="10"/>
                <c:pt idx="1">
                  <c:v>35.483870000000003</c:v>
                </c:pt>
                <c:pt idx="2">
                  <c:v>37.327190000000002</c:v>
                </c:pt>
                <c:pt idx="3">
                  <c:v>37.327190000000002</c:v>
                </c:pt>
                <c:pt idx="4">
                  <c:v>38.248849999999997</c:v>
                </c:pt>
                <c:pt idx="5">
                  <c:v>38.248849999999997</c:v>
                </c:pt>
                <c:pt idx="6">
                  <c:v>39.170510000000199</c:v>
                </c:pt>
                <c:pt idx="7">
                  <c:v>39.354840000000003</c:v>
                </c:pt>
                <c:pt idx="8">
                  <c:v>39.354840000000003</c:v>
                </c:pt>
                <c:pt idx="9">
                  <c:v>39.354840000000003</c:v>
                </c:pt>
              </c:numCache>
            </c:numRef>
          </c:yVal>
          <c:smooth val="1"/>
          <c:extLst>
            <c:ext xmlns:c16="http://schemas.microsoft.com/office/drawing/2014/chart" uri="{C3380CC4-5D6E-409C-BE32-E72D297353CC}">
              <c16:uniqueId val="{00000004-6C80-417D-8A7A-5ACD012B62E2}"/>
            </c:ext>
          </c:extLst>
        </c:ser>
        <c:ser>
          <c:idx val="5"/>
          <c:order val="5"/>
          <c:spPr>
            <a:ln w="22225" cap="rnd" cmpd="sng" algn="ctr">
              <a:solidFill>
                <a:prstClr val="black"/>
              </a:solidFill>
              <a:prstDash val="sysDash"/>
              <a:round/>
            </a:ln>
          </c:spPr>
          <c:marker>
            <c:spPr>
              <a:noFill/>
              <a:ln w="9525" cap="flat" cmpd="sng" algn="ctr">
                <a:solidFill>
                  <a:prstClr val="black"/>
                </a:solidFill>
                <a:prstDash val="solid"/>
                <a:round/>
              </a:ln>
            </c:spPr>
          </c:marker>
          <c:xVal>
            <c:numRef>
              <c:f>Кадмий!$A$16:$A$25</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Кадмий!$G$16:$G$25</c:f>
              <c:numCache>
                <c:formatCode>General</c:formatCode>
                <c:ptCount val="10"/>
                <c:pt idx="1">
                  <c:v>91.705070000000006</c:v>
                </c:pt>
                <c:pt idx="2">
                  <c:v>91.889399999999995</c:v>
                </c:pt>
                <c:pt idx="3">
                  <c:v>92.165899999999993</c:v>
                </c:pt>
                <c:pt idx="4">
                  <c:v>92.350229999999996</c:v>
                </c:pt>
                <c:pt idx="5">
                  <c:v>92.534559999999999</c:v>
                </c:pt>
                <c:pt idx="6">
                  <c:v>92.534559999999999</c:v>
                </c:pt>
                <c:pt idx="7">
                  <c:v>92.626729999999995</c:v>
                </c:pt>
                <c:pt idx="8">
                  <c:v>92.626729999999995</c:v>
                </c:pt>
                <c:pt idx="9">
                  <c:v>92.626729999999995</c:v>
                </c:pt>
              </c:numCache>
            </c:numRef>
          </c:yVal>
          <c:smooth val="1"/>
          <c:extLst>
            <c:ext xmlns:c16="http://schemas.microsoft.com/office/drawing/2014/chart" uri="{C3380CC4-5D6E-409C-BE32-E72D297353CC}">
              <c16:uniqueId val="{00000005-6C80-417D-8A7A-5ACD012B62E2}"/>
            </c:ext>
          </c:extLst>
        </c:ser>
        <c:dLbls>
          <c:showLegendKey val="0"/>
          <c:showVal val="0"/>
          <c:showCatName val="0"/>
          <c:showSerName val="0"/>
          <c:showPercent val="0"/>
          <c:showBubbleSize val="0"/>
        </c:dLbls>
        <c:axId val="230620544"/>
        <c:axId val="230618624"/>
      </c:scatterChart>
      <c:valAx>
        <c:axId val="230601856"/>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А, %</a:t>
                </a:r>
                <a:endParaRPr lang="en-US" sz="1200" b="1" i="0" baseline="0">
                  <a:latin typeface="Times New Roman" panose="02020603050405020304" charset="0"/>
                  <a:cs typeface="Times New Roman" panose="02020603050405020304" charset="0"/>
                </a:endParaRPr>
              </a:p>
            </c:rich>
          </c:tx>
          <c:layout>
            <c:manualLayout>
              <c:xMode val="edge"/>
              <c:yMode val="edge"/>
              <c:x val="0.91070847422418899"/>
              <c:y val="0.90078703703703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604160"/>
        <c:crosses val="autoZero"/>
        <c:crossBetween val="midCat"/>
      </c:valAx>
      <c:valAx>
        <c:axId val="230604160"/>
        <c:scaling>
          <c:orientation val="minMax"/>
          <c:min val="0"/>
        </c:scaling>
        <c:delete val="0"/>
        <c:axPos val="l"/>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Times New Roman" panose="02020603050405020304" charset="0"/>
                  </a:defRPr>
                </a:pPr>
                <a:r>
                  <a:rPr lang="en-US" sz="1200" b="1" i="0" baseline="0">
                    <a:latin typeface="Times New Roman" panose="02020603050405020304" charset="0"/>
                    <a:cs typeface="Times New Roman" panose="02020603050405020304" charset="0"/>
                  </a:rPr>
                  <a:t>j, </a:t>
                </a:r>
                <a:r>
                  <a:rPr lang="uk-UA" sz="1200" b="1" i="0" baseline="0">
                    <a:latin typeface="Times New Roman" panose="02020603050405020304" charset="0"/>
                    <a:cs typeface="Times New Roman" panose="02020603050405020304" charset="0"/>
                  </a:rPr>
                  <a:t>дм</a:t>
                </a:r>
                <a:r>
                  <a:rPr lang="uk-UA" sz="1200" b="1" i="0" baseline="30000">
                    <a:latin typeface="Times New Roman" panose="02020603050405020304" charset="0"/>
                    <a:cs typeface="Times New Roman" panose="02020603050405020304" charset="0"/>
                  </a:rPr>
                  <a:t>3</a:t>
                </a:r>
                <a:r>
                  <a:rPr lang="uk-UA" sz="1200" b="1" i="0" baseline="0">
                    <a:latin typeface="Times New Roman" panose="02020603050405020304" charset="0"/>
                    <a:cs typeface="Times New Roman" panose="02020603050405020304" charset="0"/>
                  </a:rPr>
                  <a:t>/м</a:t>
                </a:r>
                <a:r>
                  <a:rPr lang="uk-UA" sz="1200" b="1" i="0" baseline="30000">
                    <a:latin typeface="Times New Roman" panose="02020603050405020304" charset="0"/>
                    <a:cs typeface="Times New Roman" panose="02020603050405020304" charset="0"/>
                  </a:rPr>
                  <a:t>2</a:t>
                </a:r>
                <a:r>
                  <a:rPr lang="uk-UA" sz="1200" b="1" i="0" baseline="0">
                    <a:latin typeface="Times New Roman" panose="02020603050405020304" charset="0"/>
                    <a:cs typeface="Times New Roman" panose="02020603050405020304" charset="0"/>
                  </a:rPr>
                  <a:t>∙год</a:t>
                </a:r>
                <a:endParaRPr lang="ru-RU" sz="1200" b="1" i="0" baseline="0">
                  <a:latin typeface="Times New Roman" panose="02020603050405020304" charset="0"/>
                  <a:cs typeface="Times New Roman" panose="02020603050405020304" charset="0"/>
                </a:endParaRPr>
              </a:p>
            </c:rich>
          </c:tx>
          <c:layout>
            <c:manualLayout>
              <c:xMode val="edge"/>
              <c:yMode val="edge"/>
              <c:x val="1.9414397099594E-2"/>
              <c:y val="0.278948673082533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601856"/>
        <c:crosses val="autoZero"/>
        <c:crossBetween val="midCat"/>
        <c:majorUnit val="2"/>
      </c:valAx>
      <c:valAx>
        <c:axId val="230620544"/>
        <c:scaling>
          <c:orientation val="minMax"/>
        </c:scaling>
        <c:delete val="1"/>
        <c:axPos val="b"/>
        <c:numFmt formatCode="General" sourceLinked="1"/>
        <c:majorTickMark val="out"/>
        <c:minorTickMark val="none"/>
        <c:tickLblPos val="none"/>
        <c:crossAx val="230618624"/>
        <c:crosses val="autoZero"/>
        <c:crossBetween val="midCat"/>
      </c:valAx>
      <c:valAx>
        <c:axId val="230618624"/>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R, %</a:t>
                </a:r>
                <a:endParaRPr lang="ru-RU" sz="1200" b="1" i="0" baseline="0">
                  <a:latin typeface="Times New Roman" panose="02020603050405020304" charset="0"/>
                  <a:cs typeface="Times New Roman" panose="02020603050405020304" charset="0"/>
                </a:endParaRPr>
              </a:p>
            </c:rich>
          </c:tx>
          <c:layout>
            <c:manualLayout>
              <c:xMode val="edge"/>
              <c:yMode val="edge"/>
              <c:x val="0.952051140544519"/>
              <c:y val="0.3484160834062409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620544"/>
        <c:crosses val="max"/>
        <c:crossBetween val="midCat"/>
        <c:majorUnit val="2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02725366876299"/>
          <c:y val="5.3561413348289399E-2"/>
          <c:w val="0.69375262054507403"/>
          <c:h val="0.76685361749859804"/>
        </c:manualLayout>
      </c:layout>
      <c:scatterChart>
        <c:scatterStyle val="lineMarker"/>
        <c:varyColors val="0"/>
        <c:ser>
          <c:idx val="0"/>
          <c:order val="0"/>
          <c:spPr>
            <a:ln w="22225" cap="rnd" cmpd="sng" algn="ctr">
              <a:solidFill>
                <a:prstClr val="black"/>
              </a:solidFill>
              <a:prstDash val="solid"/>
              <a:round/>
            </a:ln>
          </c:spPr>
          <c:marker>
            <c:spPr>
              <a:solidFill>
                <a:schemeClr val="tx1"/>
              </a:solid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1'!$B$2:$B$12</c:f>
              <c:numCache>
                <c:formatCode>General</c:formatCode>
                <c:ptCount val="11"/>
                <c:pt idx="0">
                  <c:v>0</c:v>
                </c:pt>
                <c:pt idx="1">
                  <c:v>6.3</c:v>
                </c:pt>
                <c:pt idx="2">
                  <c:v>7.84</c:v>
                </c:pt>
                <c:pt idx="3">
                  <c:v>8.3000000000000007</c:v>
                </c:pt>
                <c:pt idx="4">
                  <c:v>11</c:v>
                </c:pt>
                <c:pt idx="5">
                  <c:v>15</c:v>
                </c:pt>
                <c:pt idx="6">
                  <c:v>17</c:v>
                </c:pt>
                <c:pt idx="7">
                  <c:v>18</c:v>
                </c:pt>
                <c:pt idx="8">
                  <c:v>19.5</c:v>
                </c:pt>
                <c:pt idx="9">
                  <c:v>27</c:v>
                </c:pt>
                <c:pt idx="10">
                  <c:v>35</c:v>
                </c:pt>
              </c:numCache>
            </c:numRef>
          </c:yVal>
          <c:smooth val="1"/>
          <c:extLst>
            <c:ext xmlns:c16="http://schemas.microsoft.com/office/drawing/2014/chart" uri="{C3380CC4-5D6E-409C-BE32-E72D297353CC}">
              <c16:uniqueId val="{00000000-CC8D-44EA-AC12-EAB416B33387}"/>
            </c:ext>
          </c:extLst>
        </c:ser>
        <c:dLbls>
          <c:showLegendKey val="1"/>
          <c:showVal val="1"/>
          <c:showCatName val="1"/>
          <c:showSerName val="1"/>
          <c:showPercent val="1"/>
          <c:showBubbleSize val="1"/>
        </c:dLbls>
        <c:axId val="41722624"/>
        <c:axId val="41724544"/>
      </c:scatterChart>
      <c:scatterChart>
        <c:scatterStyle val="smoothMarker"/>
        <c:varyColors val="0"/>
        <c:ser>
          <c:idx val="1"/>
          <c:order val="1"/>
          <c:spPr>
            <a:ln w="22225" cap="rnd" cmpd="sng" algn="ctr">
              <a:solidFill>
                <a:prstClr val="black"/>
              </a:solidFill>
              <a:prstDash val="dash"/>
              <a:round/>
            </a:ln>
          </c:spPr>
          <c:marker>
            <c:spPr>
              <a:no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1'!$C$2:$C$12</c:f>
              <c:numCache>
                <c:formatCode>General</c:formatCode>
                <c:ptCount val="11"/>
                <c:pt idx="0">
                  <c:v>0</c:v>
                </c:pt>
                <c:pt idx="1">
                  <c:v>0.8</c:v>
                </c:pt>
                <c:pt idx="2">
                  <c:v>1.1000000000000001</c:v>
                </c:pt>
                <c:pt idx="3">
                  <c:v>1.3</c:v>
                </c:pt>
                <c:pt idx="4">
                  <c:v>1.43</c:v>
                </c:pt>
                <c:pt idx="5">
                  <c:v>1.7</c:v>
                </c:pt>
                <c:pt idx="6">
                  <c:v>1.8</c:v>
                </c:pt>
                <c:pt idx="7">
                  <c:v>2.2999999999999998</c:v>
                </c:pt>
                <c:pt idx="8">
                  <c:v>3</c:v>
                </c:pt>
                <c:pt idx="9">
                  <c:v>3.2</c:v>
                </c:pt>
                <c:pt idx="10">
                  <c:v>3.8</c:v>
                </c:pt>
              </c:numCache>
            </c:numRef>
          </c:yVal>
          <c:smooth val="1"/>
          <c:extLst>
            <c:ext xmlns:c16="http://schemas.microsoft.com/office/drawing/2014/chart" uri="{C3380CC4-5D6E-409C-BE32-E72D297353CC}">
              <c16:uniqueId val="{00000001-CC8D-44EA-AC12-EAB416B33387}"/>
            </c:ext>
          </c:extLst>
        </c:ser>
        <c:ser>
          <c:idx val="2"/>
          <c:order val="2"/>
          <c:spPr>
            <a:ln w="22225" cap="rnd" cmpd="sng" algn="ctr">
              <a:solidFill>
                <a:prstClr val="black"/>
              </a:solidFill>
              <a:prstDash val="sysDash"/>
              <a:round/>
            </a:ln>
          </c:spPr>
          <c:marker>
            <c:spPr>
              <a:solidFill>
                <a:sysClr val="windowText" lastClr="000000"/>
              </a:solid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1'!$D$2:$D$12</c:f>
              <c:numCache>
                <c:formatCode>General</c:formatCode>
                <c:ptCount val="11"/>
                <c:pt idx="0">
                  <c:v>0</c:v>
                </c:pt>
                <c:pt idx="1">
                  <c:v>1.4</c:v>
                </c:pt>
                <c:pt idx="2">
                  <c:v>2.1</c:v>
                </c:pt>
                <c:pt idx="3">
                  <c:v>2.2200000000000002</c:v>
                </c:pt>
                <c:pt idx="4">
                  <c:v>2.2999999999999998</c:v>
                </c:pt>
                <c:pt idx="5">
                  <c:v>2.5</c:v>
                </c:pt>
                <c:pt idx="6">
                  <c:v>2.8</c:v>
                </c:pt>
                <c:pt idx="7">
                  <c:v>3.7</c:v>
                </c:pt>
                <c:pt idx="8">
                  <c:v>4.4000000000000004</c:v>
                </c:pt>
                <c:pt idx="9">
                  <c:v>6.5</c:v>
                </c:pt>
                <c:pt idx="10">
                  <c:v>6.8</c:v>
                </c:pt>
              </c:numCache>
            </c:numRef>
          </c:yVal>
          <c:smooth val="1"/>
          <c:extLst>
            <c:ext xmlns:c16="http://schemas.microsoft.com/office/drawing/2014/chart" uri="{C3380CC4-5D6E-409C-BE32-E72D297353CC}">
              <c16:uniqueId val="{00000002-CC8D-44EA-AC12-EAB416B33387}"/>
            </c:ext>
          </c:extLst>
        </c:ser>
        <c:ser>
          <c:idx val="3"/>
          <c:order val="3"/>
          <c:spPr>
            <a:ln w="22225" cap="rnd" cmpd="sng" algn="ctr">
              <a:solidFill>
                <a:prstClr val="black"/>
              </a:solidFill>
              <a:prstDash val="solid"/>
              <a:round/>
            </a:ln>
          </c:spPr>
          <c:marker>
            <c:symbol val="x"/>
            <c:size val="6"/>
            <c:spPr>
              <a:no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1'!$E$2:$E$12</c:f>
              <c:numCache>
                <c:formatCode>General</c:formatCode>
                <c:ptCount val="11"/>
                <c:pt idx="0">
                  <c:v>0</c:v>
                </c:pt>
                <c:pt idx="1">
                  <c:v>11</c:v>
                </c:pt>
                <c:pt idx="2">
                  <c:v>15.2</c:v>
                </c:pt>
                <c:pt idx="3">
                  <c:v>20.5</c:v>
                </c:pt>
                <c:pt idx="4">
                  <c:v>25.4</c:v>
                </c:pt>
                <c:pt idx="5">
                  <c:v>28.6</c:v>
                </c:pt>
                <c:pt idx="6">
                  <c:v>30</c:v>
                </c:pt>
                <c:pt idx="7">
                  <c:v>36.5</c:v>
                </c:pt>
                <c:pt idx="8">
                  <c:v>40</c:v>
                </c:pt>
                <c:pt idx="9">
                  <c:v>45</c:v>
                </c:pt>
                <c:pt idx="10">
                  <c:v>51</c:v>
                </c:pt>
              </c:numCache>
            </c:numRef>
          </c:yVal>
          <c:smooth val="1"/>
          <c:extLst>
            <c:ext xmlns:c16="http://schemas.microsoft.com/office/drawing/2014/chart" uri="{C3380CC4-5D6E-409C-BE32-E72D297353CC}">
              <c16:uniqueId val="{00000003-CC8D-44EA-AC12-EAB416B33387}"/>
            </c:ext>
          </c:extLst>
        </c:ser>
        <c:dLbls>
          <c:showLegendKey val="1"/>
          <c:showVal val="1"/>
          <c:showCatName val="1"/>
          <c:showSerName val="1"/>
          <c:showPercent val="1"/>
          <c:showBubbleSize val="1"/>
        </c:dLbls>
        <c:axId val="41722624"/>
        <c:axId val="41724544"/>
      </c:scatterChart>
      <c:scatterChart>
        <c:scatterStyle val="smoothMarker"/>
        <c:varyColors val="0"/>
        <c:ser>
          <c:idx val="4"/>
          <c:order val="4"/>
          <c:spPr>
            <a:ln w="22225" cap="rnd" cmpd="sng" algn="ctr">
              <a:solidFill>
                <a:prstClr val="black"/>
              </a:solidFill>
              <a:prstDash val="solid"/>
              <a:round/>
            </a:ln>
          </c:spPr>
          <c:marker>
            <c:symbol val="star"/>
            <c:size val="6"/>
            <c:spPr>
              <a:no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1'!$F$2:$F$12</c:f>
              <c:numCache>
                <c:formatCode>General</c:formatCode>
                <c:ptCount val="11"/>
                <c:pt idx="0">
                  <c:v>0</c:v>
                </c:pt>
                <c:pt idx="1">
                  <c:v>1</c:v>
                </c:pt>
                <c:pt idx="2">
                  <c:v>1</c:v>
                </c:pt>
                <c:pt idx="3">
                  <c:v>1</c:v>
                </c:pt>
                <c:pt idx="4">
                  <c:v>1.25</c:v>
                </c:pt>
                <c:pt idx="5">
                  <c:v>1.25</c:v>
                </c:pt>
                <c:pt idx="6">
                  <c:v>1.25</c:v>
                </c:pt>
                <c:pt idx="7">
                  <c:v>1.25</c:v>
                </c:pt>
                <c:pt idx="8">
                  <c:v>1.25</c:v>
                </c:pt>
                <c:pt idx="9">
                  <c:v>1.37</c:v>
                </c:pt>
                <c:pt idx="10">
                  <c:v>1.63</c:v>
                </c:pt>
              </c:numCache>
            </c:numRef>
          </c:yVal>
          <c:smooth val="1"/>
          <c:extLst>
            <c:ext xmlns:c16="http://schemas.microsoft.com/office/drawing/2014/chart" uri="{C3380CC4-5D6E-409C-BE32-E72D297353CC}">
              <c16:uniqueId val="{00000004-CC8D-44EA-AC12-EAB416B33387}"/>
            </c:ext>
          </c:extLst>
        </c:ser>
        <c:ser>
          <c:idx val="5"/>
          <c:order val="5"/>
          <c:spPr>
            <a:ln w="22225" cap="rnd" cmpd="sng" algn="ctr">
              <a:solidFill>
                <a:schemeClr val="tx1"/>
              </a:solidFill>
              <a:prstDash val="solid"/>
              <a:round/>
            </a:ln>
          </c:spPr>
          <c:marker>
            <c:spPr>
              <a:noFill/>
              <a:ln w="9525" cap="flat" cmpd="sng" algn="ctr">
                <a:solidFill>
                  <a:prstClr val="black"/>
                </a:solidFill>
                <a:prstDash val="solid"/>
                <a:round/>
              </a:ln>
            </c:spPr>
          </c:marker>
          <c:dLbls>
            <c:delete val="1"/>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1'!$G$2:$G$12</c:f>
              <c:numCache>
                <c:formatCode>General</c:formatCode>
                <c:ptCount val="11"/>
                <c:pt idx="0">
                  <c:v>0</c:v>
                </c:pt>
                <c:pt idx="1">
                  <c:v>0.5</c:v>
                </c:pt>
                <c:pt idx="2">
                  <c:v>0.5</c:v>
                </c:pt>
                <c:pt idx="3">
                  <c:v>0.5</c:v>
                </c:pt>
                <c:pt idx="4">
                  <c:v>0.5</c:v>
                </c:pt>
                <c:pt idx="5">
                  <c:v>0.5</c:v>
                </c:pt>
                <c:pt idx="6">
                  <c:v>0.5</c:v>
                </c:pt>
                <c:pt idx="7">
                  <c:v>0.750000000000005</c:v>
                </c:pt>
                <c:pt idx="8">
                  <c:v>0.750000000000005</c:v>
                </c:pt>
                <c:pt idx="9">
                  <c:v>0.750000000000005</c:v>
                </c:pt>
                <c:pt idx="10">
                  <c:v>0.750000000000005</c:v>
                </c:pt>
              </c:numCache>
            </c:numRef>
          </c:yVal>
          <c:smooth val="1"/>
          <c:extLst>
            <c:ext xmlns:c16="http://schemas.microsoft.com/office/drawing/2014/chart" uri="{C3380CC4-5D6E-409C-BE32-E72D297353CC}">
              <c16:uniqueId val="{00000005-CC8D-44EA-AC12-EAB416B33387}"/>
            </c:ext>
          </c:extLst>
        </c:ser>
        <c:ser>
          <c:idx val="6"/>
          <c:order val="6"/>
          <c:spPr>
            <a:ln w="22225" cap="rnd" cmpd="sng" algn="ctr">
              <a:solidFill>
                <a:prstClr val="black"/>
              </a:solidFill>
              <a:prstDash val="solid"/>
              <a:round/>
            </a:ln>
          </c:spPr>
          <c:marker>
            <c:symbol val="diamond"/>
            <c:size val="6"/>
            <c:spPr>
              <a:noFill/>
              <a:ln w="9525" cap="flat" cmpd="sng" algn="ctr">
                <a:solidFill>
                  <a:prstClr val="black"/>
                </a:solidFill>
                <a:prstDash val="solid"/>
                <a:round/>
              </a:ln>
            </c:spPr>
          </c:marker>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ru-RU"/>
              </a:p>
            </c:txPr>
            <c:dLblPos val="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1'!$H$2:$H$12</c:f>
              <c:numCache>
                <c:formatCode>General</c:formatCode>
                <c:ptCount val="11"/>
              </c:numCache>
            </c:numRef>
          </c:yVal>
          <c:smooth val="1"/>
          <c:extLst>
            <c:ext xmlns:c16="http://schemas.microsoft.com/office/drawing/2014/chart" uri="{C3380CC4-5D6E-409C-BE32-E72D297353CC}">
              <c16:uniqueId val="{00000006-CC8D-44EA-AC12-EAB416B33387}"/>
            </c:ext>
          </c:extLst>
        </c:ser>
        <c:ser>
          <c:idx val="7"/>
          <c:order val="7"/>
          <c:spPr>
            <a:ln w="22225" cap="rnd" cmpd="sng" algn="ctr">
              <a:solidFill>
                <a:prstClr val="black"/>
              </a:solidFill>
              <a:prstDash val="sysDot"/>
              <a:round/>
            </a:ln>
          </c:spPr>
          <c:marker>
            <c:symbol val="triangle"/>
            <c:size val="5"/>
            <c:spPr>
              <a:noFill/>
              <a:ln w="9525" cap="flat" cmpd="sng" algn="ctr">
                <a:solidFill>
                  <a:prstClr val="black"/>
                </a:solidFill>
                <a:prstDash val="solid"/>
                <a:round/>
              </a:ln>
            </c:spPr>
          </c:marker>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ru-RU"/>
              </a:p>
            </c:txPr>
            <c:dLblPos val="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xVal>
            <c:numRef>
              <c:f>'Рис. 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1'!$I$2:$I$12</c:f>
              <c:numCache>
                <c:formatCode>General</c:formatCode>
                <c:ptCount val="11"/>
              </c:numCache>
            </c:numRef>
          </c:yVal>
          <c:smooth val="1"/>
          <c:extLst>
            <c:ext xmlns:c16="http://schemas.microsoft.com/office/drawing/2014/chart" uri="{C3380CC4-5D6E-409C-BE32-E72D297353CC}">
              <c16:uniqueId val="{00000007-CC8D-44EA-AC12-EAB416B33387}"/>
            </c:ext>
          </c:extLst>
        </c:ser>
        <c:dLbls>
          <c:showLegendKey val="1"/>
          <c:showVal val="1"/>
          <c:showCatName val="1"/>
          <c:showSerName val="1"/>
          <c:showPercent val="1"/>
          <c:showBubbleSize val="1"/>
        </c:dLbls>
        <c:axId val="41734912"/>
        <c:axId val="41736448"/>
      </c:scatterChart>
      <c:valAx>
        <c:axId val="41722624"/>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a:latin typeface="Times New Roman" panose="02020603050405020304" charset="0"/>
                  <a:cs typeface="Times New Roman" panose="02020603050405020304" charset="0"/>
                </a:endParaRPr>
              </a:p>
            </c:rich>
          </c:tx>
          <c:layout>
            <c:manualLayout>
              <c:xMode val="edge"/>
              <c:yMode val="edge"/>
              <c:x val="0.80294145248353499"/>
              <c:y val="0.9043722833035030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41724544"/>
        <c:crosses val="autoZero"/>
        <c:crossBetween val="midCat"/>
        <c:majorUnit val="0.5"/>
      </c:valAx>
      <c:valAx>
        <c:axId val="41724544"/>
        <c:scaling>
          <c:orientation val="minMax"/>
          <c:max val="55"/>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ltLang="en-US" sz="1200" b="1" i="0" baseline="0">
                    <a:latin typeface="Times New Roman" panose="02020603050405020304" charset="0"/>
                    <a:cs typeface="Times New Roman" panose="02020603050405020304" charset="0"/>
                  </a:rPr>
                  <a:t>[Cd</a:t>
                </a:r>
                <a:r>
                  <a:rPr lang="en-US" altLang="en-US" sz="1200" b="1" i="0" baseline="30000">
                    <a:latin typeface="Times New Roman" panose="02020603050405020304" charset="0"/>
                    <a:cs typeface="Times New Roman" panose="02020603050405020304" charset="0"/>
                  </a:rPr>
                  <a:t>2+</a:t>
                </a:r>
                <a:r>
                  <a:rPr lang="en-US" altLang="en-US" sz="1200" b="1" i="0" baseline="0">
                    <a:latin typeface="Times New Roman" panose="02020603050405020304" charset="0"/>
                    <a:cs typeface="Times New Roman" panose="02020603050405020304" charset="0"/>
                  </a:rPr>
                  <a:t>]</a:t>
                </a:r>
                <a:r>
                  <a:rPr lang="en-US" sz="1200" b="1" i="0" baseline="0">
                    <a:latin typeface="Times New Roman" panose="02020603050405020304" charset="0"/>
                    <a:cs typeface="Times New Roman" panose="02020603050405020304" charset="0"/>
                  </a:rPr>
                  <a:t>·10</a:t>
                </a:r>
                <a:r>
                  <a:rPr lang="en-US" sz="1200" b="1" i="0" baseline="30000">
                    <a:latin typeface="Times New Roman" panose="02020603050405020304" charset="0"/>
                    <a:cs typeface="Times New Roman" panose="02020603050405020304" charset="0"/>
                  </a:rPr>
                  <a:t>3</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en-US" sz="1200" b="1">
                  <a:latin typeface="Times New Roman" panose="02020603050405020304" charset="0"/>
                  <a:cs typeface="Times New Roman" panose="02020603050405020304" charset="0"/>
                </a:endParaRPr>
              </a:p>
            </c:rich>
          </c:tx>
          <c:layout>
            <c:manualLayout>
              <c:xMode val="edge"/>
              <c:yMode val="edge"/>
              <c:x val="2.7777777777778E-3"/>
              <c:y val="0.20772380980467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41722624"/>
        <c:crosses val="autoZero"/>
        <c:crossBetween val="midCat"/>
        <c:majorUnit val="10"/>
      </c:valAx>
      <c:valAx>
        <c:axId val="41734912"/>
        <c:scaling>
          <c:orientation val="minMax"/>
        </c:scaling>
        <c:delete val="1"/>
        <c:axPos val="b"/>
        <c:numFmt formatCode="General" sourceLinked="1"/>
        <c:majorTickMark val="out"/>
        <c:minorTickMark val="none"/>
        <c:tickLblPos val="none"/>
        <c:crossAx val="41736448"/>
        <c:crosses val="autoZero"/>
        <c:crossBetween val="midCat"/>
      </c:valAx>
      <c:valAx>
        <c:axId val="41736448"/>
        <c:scaling>
          <c:orientation val="minMax"/>
          <c:max val="1.8"/>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Ж·10, мг-екв/дм</a:t>
                </a:r>
                <a:r>
                  <a:rPr lang="ru-RU" sz="1200" b="1" i="0" baseline="30000">
                    <a:latin typeface="Times New Roman" panose="02020603050405020304" charset="0"/>
                    <a:cs typeface="Times New Roman" panose="02020603050405020304" charset="0"/>
                  </a:rPr>
                  <a:t>3</a:t>
                </a:r>
                <a:endParaRPr lang="en-US" sz="1200" b="1">
                  <a:latin typeface="Times New Roman" panose="02020603050405020304" charset="0"/>
                  <a:cs typeface="Times New Roman" panose="02020603050405020304" charset="0"/>
                </a:endParaRPr>
              </a:p>
            </c:rich>
          </c:tx>
          <c:layout>
            <c:manualLayout>
              <c:xMode val="edge"/>
              <c:yMode val="edge"/>
              <c:x val="0.95333333333333403"/>
              <c:y val="0.175159397210180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41734912"/>
        <c:crosses val="max"/>
        <c:crossBetween val="midCat"/>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8070175438596"/>
          <c:y val="4.7933884297520699E-2"/>
          <c:w val="0.73320175438596502"/>
          <c:h val="0.75790633608815405"/>
        </c:manualLayout>
      </c:layout>
      <c:scatterChart>
        <c:scatterStyle val="lineMarker"/>
        <c:varyColors val="0"/>
        <c:ser>
          <c:idx val="0"/>
          <c:order val="0"/>
          <c:spPr>
            <a:ln w="22225" cap="rnd" cmpd="sng" algn="ctr">
              <a:solidFill>
                <a:sysClr val="windowText" lastClr="000000"/>
              </a:solidFill>
              <a:prstDash val="solid"/>
              <a:round/>
            </a:ln>
          </c:spPr>
          <c:marker>
            <c:spPr>
              <a:noFill/>
              <a:ln w="9525" cap="flat" cmpd="sng" algn="ctr">
                <a:solidFill>
                  <a:sysClr val="windowText" lastClr="000000"/>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3'!$B$2:$B$12</c:f>
              <c:numCache>
                <c:formatCode>General</c:formatCode>
                <c:ptCount val="11"/>
                <c:pt idx="0">
                  <c:v>0</c:v>
                </c:pt>
                <c:pt idx="1">
                  <c:v>99.32</c:v>
                </c:pt>
                <c:pt idx="2">
                  <c:v>99.15</c:v>
                </c:pt>
                <c:pt idx="3">
                  <c:v>99.09</c:v>
                </c:pt>
                <c:pt idx="4">
                  <c:v>98.8</c:v>
                </c:pt>
                <c:pt idx="5">
                  <c:v>98.36</c:v>
                </c:pt>
                <c:pt idx="6">
                  <c:v>98.15</c:v>
                </c:pt>
                <c:pt idx="7">
                  <c:v>98.04</c:v>
                </c:pt>
                <c:pt idx="8">
                  <c:v>97.88</c:v>
                </c:pt>
                <c:pt idx="9">
                  <c:v>97.06</c:v>
                </c:pt>
                <c:pt idx="10">
                  <c:v>96.19</c:v>
                </c:pt>
              </c:numCache>
            </c:numRef>
          </c:yVal>
          <c:smooth val="1"/>
          <c:extLst>
            <c:ext xmlns:c16="http://schemas.microsoft.com/office/drawing/2014/chart" uri="{C3380CC4-5D6E-409C-BE32-E72D297353CC}">
              <c16:uniqueId val="{00000000-3939-4F64-B9C2-37A851211D9F}"/>
            </c:ext>
          </c:extLst>
        </c:ser>
        <c:ser>
          <c:idx val="1"/>
          <c:order val="1"/>
          <c:spPr>
            <a:ln w="22225" cap="rnd" cmpd="sng" algn="ctr">
              <a:solidFill>
                <a:prstClr val="black"/>
              </a:solidFill>
              <a:prstDash val="sysDash"/>
              <a:round/>
            </a:ln>
          </c:spPr>
          <c:marker>
            <c:spPr>
              <a:noFill/>
              <a:ln w="9525" cap="flat" cmpd="sng" algn="ctr">
                <a:solidFill>
                  <a:prstClr val="black"/>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3'!$C$2:$C$12</c:f>
              <c:numCache>
                <c:formatCode>General</c:formatCode>
                <c:ptCount val="11"/>
                <c:pt idx="0">
                  <c:v>0</c:v>
                </c:pt>
                <c:pt idx="1">
                  <c:v>99.92</c:v>
                </c:pt>
                <c:pt idx="2">
                  <c:v>99.88</c:v>
                </c:pt>
                <c:pt idx="3">
                  <c:v>99.86</c:v>
                </c:pt>
                <c:pt idx="4">
                  <c:v>99.85</c:v>
                </c:pt>
                <c:pt idx="5">
                  <c:v>99.82</c:v>
                </c:pt>
                <c:pt idx="6">
                  <c:v>99.81</c:v>
                </c:pt>
                <c:pt idx="7">
                  <c:v>99.76</c:v>
                </c:pt>
                <c:pt idx="8">
                  <c:v>99.68</c:v>
                </c:pt>
                <c:pt idx="9">
                  <c:v>99.67</c:v>
                </c:pt>
                <c:pt idx="10">
                  <c:v>99.6</c:v>
                </c:pt>
              </c:numCache>
            </c:numRef>
          </c:yVal>
          <c:smooth val="1"/>
          <c:extLst>
            <c:ext xmlns:c16="http://schemas.microsoft.com/office/drawing/2014/chart" uri="{C3380CC4-5D6E-409C-BE32-E72D297353CC}">
              <c16:uniqueId val="{00000001-3939-4F64-B9C2-37A851211D9F}"/>
            </c:ext>
          </c:extLst>
        </c:ser>
        <c:ser>
          <c:idx val="2"/>
          <c:order val="2"/>
          <c:spPr>
            <a:ln w="22225" cap="rnd" cmpd="sng" algn="ctr">
              <a:solidFill>
                <a:sysClr val="windowText" lastClr="000000"/>
              </a:solidFill>
              <a:prstDash val="sysDash"/>
              <a:round/>
            </a:ln>
          </c:spPr>
          <c:marker>
            <c:spPr>
              <a:noFill/>
              <a:ln w="9525" cap="flat" cmpd="sng" algn="ctr">
                <a:solidFill>
                  <a:sysClr val="windowText" lastClr="000000"/>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3'!$D$2:$D$12</c:f>
              <c:numCache>
                <c:formatCode>General</c:formatCode>
                <c:ptCount val="11"/>
                <c:pt idx="0">
                  <c:v>0</c:v>
                </c:pt>
                <c:pt idx="1">
                  <c:v>99.89</c:v>
                </c:pt>
                <c:pt idx="2">
                  <c:v>99.84</c:v>
                </c:pt>
                <c:pt idx="3">
                  <c:v>99.83</c:v>
                </c:pt>
                <c:pt idx="4">
                  <c:v>99.82</c:v>
                </c:pt>
                <c:pt idx="5">
                  <c:v>99.81</c:v>
                </c:pt>
                <c:pt idx="6">
                  <c:v>99.78</c:v>
                </c:pt>
                <c:pt idx="7">
                  <c:v>99.71</c:v>
                </c:pt>
                <c:pt idx="8">
                  <c:v>99.66</c:v>
                </c:pt>
                <c:pt idx="9">
                  <c:v>99.49</c:v>
                </c:pt>
                <c:pt idx="10">
                  <c:v>99.48</c:v>
                </c:pt>
              </c:numCache>
            </c:numRef>
          </c:yVal>
          <c:smooth val="1"/>
          <c:extLst>
            <c:ext xmlns:c16="http://schemas.microsoft.com/office/drawing/2014/chart" uri="{C3380CC4-5D6E-409C-BE32-E72D297353CC}">
              <c16:uniqueId val="{00000002-3939-4F64-B9C2-37A851211D9F}"/>
            </c:ext>
          </c:extLst>
        </c:ser>
        <c:ser>
          <c:idx val="3"/>
          <c:order val="3"/>
          <c:spPr>
            <a:ln w="22225" cap="rnd" cmpd="sng" algn="ctr">
              <a:solidFill>
                <a:sysClr val="windowText" lastClr="000000"/>
              </a:solidFill>
              <a:prstDash val="solid"/>
              <a:round/>
            </a:ln>
          </c:spPr>
          <c:marker>
            <c:spPr>
              <a:noFill/>
              <a:ln w="9525" cap="flat" cmpd="sng" algn="ctr">
                <a:solidFill>
                  <a:sysClr val="windowText" lastClr="000000"/>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3'!$E$2:$E$12</c:f>
              <c:numCache>
                <c:formatCode>General</c:formatCode>
                <c:ptCount val="11"/>
                <c:pt idx="0">
                  <c:v>0</c:v>
                </c:pt>
                <c:pt idx="1">
                  <c:v>98.84</c:v>
                </c:pt>
                <c:pt idx="2">
                  <c:v>98.4</c:v>
                </c:pt>
                <c:pt idx="3">
                  <c:v>97.84</c:v>
                </c:pt>
                <c:pt idx="4">
                  <c:v>97.33</c:v>
                </c:pt>
                <c:pt idx="5">
                  <c:v>96.98</c:v>
                </c:pt>
                <c:pt idx="6">
                  <c:v>96.84</c:v>
                </c:pt>
                <c:pt idx="7">
                  <c:v>96.16</c:v>
                </c:pt>
                <c:pt idx="8">
                  <c:v>95.78</c:v>
                </c:pt>
                <c:pt idx="9">
                  <c:v>95.26</c:v>
                </c:pt>
                <c:pt idx="10">
                  <c:v>94.63</c:v>
                </c:pt>
              </c:numCache>
            </c:numRef>
          </c:yVal>
          <c:smooth val="1"/>
          <c:extLst>
            <c:ext xmlns:c16="http://schemas.microsoft.com/office/drawing/2014/chart" uri="{C3380CC4-5D6E-409C-BE32-E72D297353CC}">
              <c16:uniqueId val="{00000003-3939-4F64-B9C2-37A851211D9F}"/>
            </c:ext>
          </c:extLst>
        </c:ser>
        <c:dLbls>
          <c:showLegendKey val="1"/>
          <c:showVal val="1"/>
          <c:showCatName val="1"/>
          <c:showSerName val="1"/>
          <c:showPercent val="1"/>
          <c:showBubbleSize val="1"/>
        </c:dLbls>
        <c:axId val="43417600"/>
        <c:axId val="43419520"/>
      </c:scatterChart>
      <c:scatterChart>
        <c:scatterStyle val="lineMarker"/>
        <c:varyColors val="0"/>
        <c:ser>
          <c:idx val="4"/>
          <c:order val="4"/>
          <c:spPr>
            <a:ln w="22225" cap="rnd" cmpd="sng" algn="ctr">
              <a:solidFill>
                <a:sysClr val="windowText" lastClr="000000"/>
              </a:solidFill>
              <a:prstDash val="dash"/>
              <a:round/>
            </a:ln>
          </c:spPr>
          <c:marker>
            <c:spPr>
              <a:ln w="9525" cap="flat" cmpd="sng" algn="ctr">
                <a:solidFill>
                  <a:sysClr val="windowText" lastClr="000000"/>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3'!$F$2:$F$12</c:f>
              <c:numCache>
                <c:formatCode>General</c:formatCode>
                <c:ptCount val="11"/>
                <c:pt idx="0">
                  <c:v>7.29</c:v>
                </c:pt>
                <c:pt idx="1">
                  <c:v>8.57</c:v>
                </c:pt>
                <c:pt idx="2">
                  <c:v>8.32</c:v>
                </c:pt>
                <c:pt idx="3">
                  <c:v>8.27</c:v>
                </c:pt>
                <c:pt idx="4">
                  <c:v>8.24</c:v>
                </c:pt>
                <c:pt idx="5">
                  <c:v>8.1999999999999993</c:v>
                </c:pt>
                <c:pt idx="6">
                  <c:v>8.1300000000000008</c:v>
                </c:pt>
                <c:pt idx="7">
                  <c:v>7.96</c:v>
                </c:pt>
                <c:pt idx="8">
                  <c:v>7.96</c:v>
                </c:pt>
                <c:pt idx="9">
                  <c:v>7.95</c:v>
                </c:pt>
                <c:pt idx="10">
                  <c:v>7.85</c:v>
                </c:pt>
              </c:numCache>
            </c:numRef>
          </c:yVal>
          <c:smooth val="1"/>
          <c:extLst>
            <c:ext xmlns:c16="http://schemas.microsoft.com/office/drawing/2014/chart" uri="{C3380CC4-5D6E-409C-BE32-E72D297353CC}">
              <c16:uniqueId val="{00000004-3939-4F64-B9C2-37A851211D9F}"/>
            </c:ext>
          </c:extLst>
        </c:ser>
        <c:ser>
          <c:idx val="5"/>
          <c:order val="5"/>
          <c:spPr>
            <a:ln w="22225" cap="rnd" cmpd="sng" algn="ctr">
              <a:solidFill>
                <a:schemeClr val="tx1"/>
              </a:solidFill>
              <a:prstDash val="solid"/>
              <a:round/>
            </a:ln>
          </c:spPr>
          <c:marker>
            <c:spPr>
              <a:noFill/>
              <a:ln w="9525" cap="flat" cmpd="sng" algn="ctr">
                <a:solidFill>
                  <a:schemeClr val="tx1"/>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3'!$G$2:$G$12</c:f>
              <c:numCache>
                <c:formatCode>General</c:formatCode>
                <c:ptCount val="11"/>
                <c:pt idx="0">
                  <c:v>7.27</c:v>
                </c:pt>
                <c:pt idx="1">
                  <c:v>2.76</c:v>
                </c:pt>
                <c:pt idx="2">
                  <c:v>2.77</c:v>
                </c:pt>
                <c:pt idx="3">
                  <c:v>2.77</c:v>
                </c:pt>
                <c:pt idx="4">
                  <c:v>2.77</c:v>
                </c:pt>
                <c:pt idx="5">
                  <c:v>2.78</c:v>
                </c:pt>
                <c:pt idx="6">
                  <c:v>2.79</c:v>
                </c:pt>
                <c:pt idx="7">
                  <c:v>2.79</c:v>
                </c:pt>
                <c:pt idx="8">
                  <c:v>2.8</c:v>
                </c:pt>
                <c:pt idx="9">
                  <c:v>2.81</c:v>
                </c:pt>
                <c:pt idx="10">
                  <c:v>2.81</c:v>
                </c:pt>
              </c:numCache>
            </c:numRef>
          </c:yVal>
          <c:smooth val="1"/>
          <c:extLst>
            <c:ext xmlns:c16="http://schemas.microsoft.com/office/drawing/2014/chart" uri="{C3380CC4-5D6E-409C-BE32-E72D297353CC}">
              <c16:uniqueId val="{00000005-3939-4F64-B9C2-37A851211D9F}"/>
            </c:ext>
          </c:extLst>
        </c:ser>
        <c:ser>
          <c:idx val="6"/>
          <c:order val="6"/>
          <c:spPr>
            <a:ln w="22225" cap="rnd" cmpd="sng" algn="ctr">
              <a:solidFill>
                <a:sysClr val="windowText" lastClr="000000"/>
              </a:solidFill>
              <a:prstDash val="solid"/>
              <a:round/>
            </a:ln>
          </c:spPr>
          <c:marker>
            <c:spPr>
              <a:noFill/>
              <a:ln w="9525" cap="flat" cmpd="sng" algn="ctr">
                <a:solidFill>
                  <a:sysClr val="windowText" lastClr="000000"/>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3'!$H$2:$H$12</c:f>
              <c:numCache>
                <c:formatCode>General</c:formatCode>
                <c:ptCount val="11"/>
                <c:pt idx="0">
                  <c:v>5.99</c:v>
                </c:pt>
                <c:pt idx="1">
                  <c:v>2.97</c:v>
                </c:pt>
                <c:pt idx="2">
                  <c:v>3.14</c:v>
                </c:pt>
                <c:pt idx="3">
                  <c:v>3.15</c:v>
                </c:pt>
                <c:pt idx="4">
                  <c:v>3.17</c:v>
                </c:pt>
                <c:pt idx="5">
                  <c:v>3.18</c:v>
                </c:pt>
                <c:pt idx="6">
                  <c:v>3.25</c:v>
                </c:pt>
                <c:pt idx="7">
                  <c:v>3.27</c:v>
                </c:pt>
                <c:pt idx="8">
                  <c:v>3.33</c:v>
                </c:pt>
                <c:pt idx="9">
                  <c:v>3.36</c:v>
                </c:pt>
                <c:pt idx="10">
                  <c:v>3.38</c:v>
                </c:pt>
              </c:numCache>
            </c:numRef>
          </c:yVal>
          <c:smooth val="1"/>
          <c:extLst>
            <c:ext xmlns:c16="http://schemas.microsoft.com/office/drawing/2014/chart" uri="{C3380CC4-5D6E-409C-BE32-E72D297353CC}">
              <c16:uniqueId val="{00000006-3939-4F64-B9C2-37A851211D9F}"/>
            </c:ext>
          </c:extLst>
        </c:ser>
        <c:ser>
          <c:idx val="7"/>
          <c:order val="7"/>
          <c:spPr>
            <a:ln w="22225" cap="rnd" cmpd="sng" algn="ctr">
              <a:solidFill>
                <a:prstClr val="black"/>
              </a:solidFill>
              <a:prstDash val="solid"/>
              <a:round/>
            </a:ln>
          </c:spPr>
          <c:marker>
            <c:symbol val="diamond"/>
            <c:size val="5"/>
            <c:spPr>
              <a:solidFill>
                <a:schemeClr val="tx1"/>
              </a:solidFill>
              <a:ln w="9525" cap="flat" cmpd="sng" algn="ctr">
                <a:solidFill>
                  <a:prstClr val="black"/>
                </a:solidFill>
                <a:prstDash val="solid"/>
                <a:round/>
              </a:ln>
            </c:spPr>
          </c:marker>
          <c:dLbls>
            <c:delete val="1"/>
          </c:dLbls>
          <c:xVal>
            <c:numRef>
              <c:f>'Рис. 3'!$A$2:$A$12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3'!$I$2:$I$12</c:f>
              <c:numCache>
                <c:formatCode>General</c:formatCode>
                <c:ptCount val="11"/>
                <c:pt idx="0">
                  <c:v>6.12</c:v>
                </c:pt>
                <c:pt idx="1">
                  <c:v>7.56</c:v>
                </c:pt>
                <c:pt idx="2">
                  <c:v>7.15</c:v>
                </c:pt>
                <c:pt idx="3">
                  <c:v>7.11</c:v>
                </c:pt>
                <c:pt idx="4">
                  <c:v>6.97</c:v>
                </c:pt>
                <c:pt idx="5">
                  <c:v>6.97</c:v>
                </c:pt>
                <c:pt idx="6">
                  <c:v>6.81</c:v>
                </c:pt>
                <c:pt idx="7">
                  <c:v>6.8</c:v>
                </c:pt>
                <c:pt idx="8">
                  <c:v>6.79</c:v>
                </c:pt>
                <c:pt idx="9">
                  <c:v>6.75</c:v>
                </c:pt>
                <c:pt idx="10">
                  <c:v>6.67</c:v>
                </c:pt>
              </c:numCache>
            </c:numRef>
          </c:yVal>
          <c:smooth val="1"/>
          <c:extLst>
            <c:ext xmlns:c16="http://schemas.microsoft.com/office/drawing/2014/chart" uri="{C3380CC4-5D6E-409C-BE32-E72D297353CC}">
              <c16:uniqueId val="{00000007-3939-4F64-B9C2-37A851211D9F}"/>
            </c:ext>
          </c:extLst>
        </c:ser>
        <c:dLbls>
          <c:showLegendKey val="1"/>
          <c:showVal val="1"/>
          <c:showCatName val="1"/>
          <c:showSerName val="1"/>
          <c:showPercent val="1"/>
          <c:showBubbleSize val="1"/>
        </c:dLbls>
        <c:axId val="43425792"/>
        <c:axId val="43427328"/>
      </c:scatterChart>
      <c:valAx>
        <c:axId val="43417600"/>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6920611305895801"/>
              <c:y val="0.9141762452107270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3419520"/>
        <c:crosses val="autoZero"/>
        <c:crossBetween val="midCat"/>
        <c:majorUnit val="0.5"/>
      </c:valAx>
      <c:valAx>
        <c:axId val="43419520"/>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А, %</a:t>
                </a:r>
                <a:endParaRPr lang="en-US" sz="1200" b="1" i="0" baseline="0">
                  <a:latin typeface="Times New Roman" panose="02020603050405020304" charset="0"/>
                  <a:cs typeface="Times New Roman" panose="02020603050405020304" charset="0"/>
                </a:endParaRPr>
              </a:p>
            </c:rich>
          </c:tx>
          <c:layout>
            <c:manualLayout>
              <c:xMode val="edge"/>
              <c:yMode val="edge"/>
              <c:x val="0"/>
              <c:y val="0.324920895304762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3417600"/>
        <c:crosses val="autoZero"/>
        <c:crossBetween val="midCat"/>
        <c:majorUnit val="20"/>
        <c:minorUnit val="8"/>
      </c:valAx>
      <c:valAx>
        <c:axId val="43425792"/>
        <c:scaling>
          <c:orientation val="minMax"/>
        </c:scaling>
        <c:delete val="1"/>
        <c:axPos val="b"/>
        <c:numFmt formatCode="General" sourceLinked="1"/>
        <c:majorTickMark val="out"/>
        <c:minorTickMark val="none"/>
        <c:tickLblPos val="none"/>
        <c:crossAx val="43427328"/>
        <c:crosses val="autoZero"/>
        <c:crossBetween val="midCat"/>
      </c:valAx>
      <c:valAx>
        <c:axId val="43427328"/>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baseline="0">
                    <a:latin typeface="Times New Roman" panose="02020603050405020304" charset="0"/>
                    <a:cs typeface="Times New Roman" panose="02020603050405020304" charset="0"/>
                  </a:rPr>
                  <a:t>рН</a:t>
                </a:r>
              </a:p>
            </c:rich>
          </c:tx>
          <c:layout>
            <c:manualLayout>
              <c:xMode val="edge"/>
              <c:yMode val="edge"/>
              <c:x val="0.951587663563912"/>
              <c:y val="0.377793063223418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3425792"/>
        <c:crosses val="max"/>
        <c:crossBetween val="midCat"/>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662698412698401"/>
          <c:y val="4.9719326383320002E-2"/>
          <c:w val="0.67527777777777798"/>
          <c:h val="0.78273188986901898"/>
        </c:manualLayout>
      </c:layout>
      <c:scatterChart>
        <c:scatterStyle val="smoothMarker"/>
        <c:varyColors val="0"/>
        <c:ser>
          <c:idx val="0"/>
          <c:order val="0"/>
          <c:spPr>
            <a:ln w="22225" cap="rnd" cmpd="sng" algn="ctr">
              <a:solidFill>
                <a:prstClr val="black"/>
              </a:solidFill>
              <a:prstDash val="solid"/>
              <a:round/>
            </a:ln>
          </c:spPr>
          <c:marker>
            <c:spPr>
              <a:solidFill>
                <a:sysClr val="windowText" lastClr="000000"/>
              </a:solid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2'!$B$2:$B$12</c:f>
              <c:numCache>
                <c:formatCode>General</c:formatCode>
                <c:ptCount val="11"/>
                <c:pt idx="0">
                  <c:v>0</c:v>
                </c:pt>
                <c:pt idx="1">
                  <c:v>5.7</c:v>
                </c:pt>
                <c:pt idx="2">
                  <c:v>5.8</c:v>
                </c:pt>
                <c:pt idx="3">
                  <c:v>8</c:v>
                </c:pt>
                <c:pt idx="4">
                  <c:v>11</c:v>
                </c:pt>
                <c:pt idx="5">
                  <c:v>12</c:v>
                </c:pt>
                <c:pt idx="6">
                  <c:v>14</c:v>
                </c:pt>
                <c:pt idx="7">
                  <c:v>15</c:v>
                </c:pt>
                <c:pt idx="8">
                  <c:v>19</c:v>
                </c:pt>
                <c:pt idx="9">
                  <c:v>25</c:v>
                </c:pt>
                <c:pt idx="10">
                  <c:v>34</c:v>
                </c:pt>
              </c:numCache>
            </c:numRef>
          </c:yVal>
          <c:smooth val="1"/>
          <c:extLst>
            <c:ext xmlns:c16="http://schemas.microsoft.com/office/drawing/2014/chart" uri="{C3380CC4-5D6E-409C-BE32-E72D297353CC}">
              <c16:uniqueId val="{00000000-2B73-4E99-993C-6ABA4D74044C}"/>
            </c:ext>
          </c:extLst>
        </c:ser>
        <c:ser>
          <c:idx val="1"/>
          <c:order val="1"/>
          <c:spPr>
            <a:ln w="22225" cap="rnd" cmpd="sng" algn="ctr">
              <a:solidFill>
                <a:prstClr val="black"/>
              </a:solidFill>
              <a:prstDash val="dash"/>
              <a:round/>
            </a:ln>
          </c:spPr>
          <c:marker>
            <c:symbol val="square"/>
            <c:size val="6"/>
            <c:spPr>
              <a:no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2'!$C$2:$C$12</c:f>
              <c:numCache>
                <c:formatCode>General</c:formatCode>
                <c:ptCount val="11"/>
                <c:pt idx="0">
                  <c:v>0</c:v>
                </c:pt>
                <c:pt idx="1">
                  <c:v>0.61000000000000099</c:v>
                </c:pt>
                <c:pt idx="2">
                  <c:v>1.1000000000000001</c:v>
                </c:pt>
                <c:pt idx="3">
                  <c:v>1.3</c:v>
                </c:pt>
                <c:pt idx="4">
                  <c:v>1.6</c:v>
                </c:pt>
                <c:pt idx="5">
                  <c:v>2.2000000000000002</c:v>
                </c:pt>
                <c:pt idx="6">
                  <c:v>2.2000000000000002</c:v>
                </c:pt>
                <c:pt idx="7">
                  <c:v>2.2999999999999998</c:v>
                </c:pt>
                <c:pt idx="8">
                  <c:v>2.5</c:v>
                </c:pt>
                <c:pt idx="9">
                  <c:v>2.7</c:v>
                </c:pt>
                <c:pt idx="10">
                  <c:v>3.4</c:v>
                </c:pt>
              </c:numCache>
            </c:numRef>
          </c:yVal>
          <c:smooth val="1"/>
          <c:extLst>
            <c:ext xmlns:c16="http://schemas.microsoft.com/office/drawing/2014/chart" uri="{C3380CC4-5D6E-409C-BE32-E72D297353CC}">
              <c16:uniqueId val="{00000001-2B73-4E99-993C-6ABA4D74044C}"/>
            </c:ext>
          </c:extLst>
        </c:ser>
        <c:ser>
          <c:idx val="2"/>
          <c:order val="2"/>
          <c:spPr>
            <a:ln w="22225" cap="rnd" cmpd="sng" algn="ctr">
              <a:solidFill>
                <a:prstClr val="black"/>
              </a:solidFill>
              <a:prstDash val="solid"/>
              <a:round/>
            </a:ln>
          </c:spPr>
          <c:marker>
            <c:spPr>
              <a:solidFill>
                <a:sysClr val="windowText" lastClr="000000"/>
              </a:solid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2'!$D$2:$D$12</c:f>
              <c:numCache>
                <c:formatCode>General</c:formatCode>
                <c:ptCount val="11"/>
                <c:pt idx="0">
                  <c:v>0</c:v>
                </c:pt>
                <c:pt idx="1">
                  <c:v>0.33000000000000301</c:v>
                </c:pt>
                <c:pt idx="2">
                  <c:v>0.41</c:v>
                </c:pt>
                <c:pt idx="3">
                  <c:v>0.95000000000000095</c:v>
                </c:pt>
                <c:pt idx="4">
                  <c:v>1.1000000000000001</c:v>
                </c:pt>
                <c:pt idx="5">
                  <c:v>1.25</c:v>
                </c:pt>
                <c:pt idx="6">
                  <c:v>1.97000000000001</c:v>
                </c:pt>
                <c:pt idx="7">
                  <c:v>2.35</c:v>
                </c:pt>
                <c:pt idx="8">
                  <c:v>2.4500000000000002</c:v>
                </c:pt>
                <c:pt idx="9">
                  <c:v>2.5</c:v>
                </c:pt>
                <c:pt idx="10">
                  <c:v>2.68</c:v>
                </c:pt>
              </c:numCache>
            </c:numRef>
          </c:yVal>
          <c:smooth val="1"/>
          <c:extLst>
            <c:ext xmlns:c16="http://schemas.microsoft.com/office/drawing/2014/chart" uri="{C3380CC4-5D6E-409C-BE32-E72D297353CC}">
              <c16:uniqueId val="{00000002-2B73-4E99-993C-6ABA4D74044C}"/>
            </c:ext>
          </c:extLst>
        </c:ser>
        <c:ser>
          <c:idx val="3"/>
          <c:order val="3"/>
          <c:spPr>
            <a:ln w="22225" cap="rnd" cmpd="sng" algn="ctr">
              <a:solidFill>
                <a:prstClr val="black"/>
              </a:solidFill>
              <a:prstDash val="sysDash"/>
              <a:round/>
            </a:ln>
          </c:spPr>
          <c:marker>
            <c:spPr>
              <a:no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2'!$E$2:$E$12</c:f>
              <c:numCache>
                <c:formatCode>General</c:formatCode>
                <c:ptCount val="11"/>
                <c:pt idx="0">
                  <c:v>0</c:v>
                </c:pt>
                <c:pt idx="1">
                  <c:v>11</c:v>
                </c:pt>
                <c:pt idx="2">
                  <c:v>13.3</c:v>
                </c:pt>
                <c:pt idx="3">
                  <c:v>14.2</c:v>
                </c:pt>
                <c:pt idx="4">
                  <c:v>16</c:v>
                </c:pt>
                <c:pt idx="5">
                  <c:v>17</c:v>
                </c:pt>
                <c:pt idx="6">
                  <c:v>18.399999999999999</c:v>
                </c:pt>
                <c:pt idx="7">
                  <c:v>22</c:v>
                </c:pt>
                <c:pt idx="8">
                  <c:v>30</c:v>
                </c:pt>
                <c:pt idx="9">
                  <c:v>35</c:v>
                </c:pt>
                <c:pt idx="10">
                  <c:v>40</c:v>
                </c:pt>
              </c:numCache>
            </c:numRef>
          </c:yVal>
          <c:smooth val="1"/>
          <c:extLst>
            <c:ext xmlns:c16="http://schemas.microsoft.com/office/drawing/2014/chart" uri="{C3380CC4-5D6E-409C-BE32-E72D297353CC}">
              <c16:uniqueId val="{00000003-2B73-4E99-993C-6ABA4D74044C}"/>
            </c:ext>
          </c:extLst>
        </c:ser>
        <c:dLbls>
          <c:showLegendKey val="1"/>
          <c:showVal val="1"/>
          <c:showCatName val="1"/>
          <c:showSerName val="1"/>
          <c:showPercent val="1"/>
          <c:showBubbleSize val="1"/>
        </c:dLbls>
        <c:axId val="45209088"/>
        <c:axId val="45211008"/>
      </c:scatterChart>
      <c:scatterChart>
        <c:scatterStyle val="smoothMarker"/>
        <c:varyColors val="0"/>
        <c:ser>
          <c:idx val="4"/>
          <c:order val="4"/>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trendline>
            <c:trendlineType val="log"/>
            <c:dispRSqr val="0"/>
            <c:dispEq val="0"/>
          </c:trendline>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2'!$F$2:$F$12</c:f>
              <c:numCache>
                <c:formatCode>General</c:formatCode>
                <c:ptCount val="11"/>
                <c:pt idx="0">
                  <c:v>0</c:v>
                </c:pt>
                <c:pt idx="1">
                  <c:v>1</c:v>
                </c:pt>
                <c:pt idx="2">
                  <c:v>1</c:v>
                </c:pt>
                <c:pt idx="3">
                  <c:v>1</c:v>
                </c:pt>
                <c:pt idx="4">
                  <c:v>1.1200000000000001</c:v>
                </c:pt>
                <c:pt idx="5">
                  <c:v>1.1200000000000001</c:v>
                </c:pt>
                <c:pt idx="6">
                  <c:v>1.17</c:v>
                </c:pt>
                <c:pt idx="7">
                  <c:v>1.25</c:v>
                </c:pt>
                <c:pt idx="8">
                  <c:v>1.25</c:v>
                </c:pt>
                <c:pt idx="9">
                  <c:v>1.37</c:v>
                </c:pt>
                <c:pt idx="10">
                  <c:v>1.5</c:v>
                </c:pt>
              </c:numCache>
            </c:numRef>
          </c:yVal>
          <c:smooth val="1"/>
          <c:extLst>
            <c:ext xmlns:c16="http://schemas.microsoft.com/office/drawing/2014/chart" uri="{C3380CC4-5D6E-409C-BE32-E72D297353CC}">
              <c16:uniqueId val="{00000004-2B73-4E99-993C-6ABA4D74044C}"/>
            </c:ext>
          </c:extLst>
        </c:ser>
        <c:ser>
          <c:idx val="5"/>
          <c:order val="5"/>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xVal>
            <c:numRef>
              <c:f>'Рис. 2'!$A$2:$A$12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2'!$G$2:$G$12</c:f>
              <c:numCache>
                <c:formatCode>General</c:formatCode>
                <c:ptCount val="11"/>
                <c:pt idx="0">
                  <c:v>0</c:v>
                </c:pt>
                <c:pt idx="1">
                  <c:v>0.750000000000005</c:v>
                </c:pt>
                <c:pt idx="2">
                  <c:v>0.750000000000005</c:v>
                </c:pt>
                <c:pt idx="3">
                  <c:v>1</c:v>
                </c:pt>
                <c:pt idx="4">
                  <c:v>1</c:v>
                </c:pt>
                <c:pt idx="5">
                  <c:v>1</c:v>
                </c:pt>
                <c:pt idx="6">
                  <c:v>1</c:v>
                </c:pt>
                <c:pt idx="7">
                  <c:v>1</c:v>
                </c:pt>
                <c:pt idx="8">
                  <c:v>1.25</c:v>
                </c:pt>
                <c:pt idx="9">
                  <c:v>1.25</c:v>
                </c:pt>
                <c:pt idx="10">
                  <c:v>1.25</c:v>
                </c:pt>
              </c:numCache>
            </c:numRef>
          </c:yVal>
          <c:smooth val="1"/>
          <c:extLst>
            <c:ext xmlns:c16="http://schemas.microsoft.com/office/drawing/2014/chart" uri="{C3380CC4-5D6E-409C-BE32-E72D297353CC}">
              <c16:uniqueId val="{00000005-2B73-4E99-993C-6ABA4D74044C}"/>
            </c:ext>
          </c:extLst>
        </c:ser>
        <c:dLbls>
          <c:showLegendKey val="1"/>
          <c:showVal val="1"/>
          <c:showCatName val="1"/>
          <c:showSerName val="1"/>
          <c:showPercent val="1"/>
          <c:showBubbleSize val="1"/>
        </c:dLbls>
        <c:axId val="45094400"/>
        <c:axId val="45095936"/>
      </c:scatterChart>
      <c:valAx>
        <c:axId val="45209088"/>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Times New Roman" panose="02020603050405020304" charset="0"/>
                    <a:ea typeface="+mn-ea"/>
                    <a:cs typeface="Times New Roman" panose="02020603050405020304" charset="0"/>
                  </a:defRPr>
                </a:pPr>
                <a:r>
                  <a:rPr lang="en-US" sz="1200" baseline="0"/>
                  <a:t>V,  </a:t>
                </a:r>
                <a:r>
                  <a:rPr lang="ru-RU" sz="1200" baseline="0"/>
                  <a:t>дм</a:t>
                </a:r>
                <a:r>
                  <a:rPr lang="ru-RU" sz="1200" baseline="30000"/>
                  <a:t>3</a:t>
                </a:r>
                <a:endParaRPr lang="en-US" sz="1200" baseline="30000"/>
              </a:p>
            </c:rich>
          </c:tx>
          <c:layout>
            <c:manualLayout>
              <c:xMode val="edge"/>
              <c:yMode val="edge"/>
              <c:x val="0.85821658333127604"/>
              <c:y val="0.912287098728044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45211008"/>
        <c:crosses val="autoZero"/>
        <c:crossBetween val="midCat"/>
        <c:majorUnit val="0.5"/>
      </c:valAx>
      <c:valAx>
        <c:axId val="45211008"/>
        <c:scaling>
          <c:orientation val="minMax"/>
        </c:scaling>
        <c:delete val="0"/>
        <c:axPos val="l"/>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Times New Roman" panose="02020603050405020304" charset="0"/>
                  </a:defRPr>
                </a:pPr>
                <a:r>
                  <a:rPr lang="en-US" altLang="en-US" sz="1200"/>
                  <a:t>[Cd</a:t>
                </a:r>
                <a:r>
                  <a:rPr lang="en-US" altLang="en-US" sz="1200" baseline="30000"/>
                  <a:t>2+</a:t>
                </a:r>
                <a:r>
                  <a:rPr lang="en-US" altLang="en-US" sz="1200"/>
                  <a:t>]</a:t>
                </a:r>
                <a:r>
                  <a:rPr lang="en-US" sz="1200"/>
                  <a:t>·10</a:t>
                </a:r>
                <a:r>
                  <a:rPr lang="en-US" sz="1200" baseline="30000"/>
                  <a:t>3</a:t>
                </a:r>
                <a:r>
                  <a:rPr lang="en-US" sz="1200"/>
                  <a:t>, </a:t>
                </a:r>
                <a:r>
                  <a:rPr lang="ru-RU" sz="1200"/>
                  <a:t>мг/дм</a:t>
                </a:r>
                <a:r>
                  <a:rPr lang="ru-RU" sz="1200" baseline="30000"/>
                  <a:t>3</a:t>
                </a:r>
                <a:endParaRPr lang="en-US" sz="1200" baseline="30000"/>
              </a:p>
            </c:rich>
          </c:tx>
          <c:layout>
            <c:manualLayout>
              <c:xMode val="edge"/>
              <c:yMode val="edge"/>
              <c:x val="5.5555555555555601E-3"/>
              <c:y val="0.190661636045493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45209088"/>
        <c:crosses val="autoZero"/>
        <c:crossBetween val="midCat"/>
      </c:valAx>
      <c:valAx>
        <c:axId val="45094400"/>
        <c:scaling>
          <c:orientation val="minMax"/>
        </c:scaling>
        <c:delete val="1"/>
        <c:axPos val="b"/>
        <c:numFmt formatCode="General" sourceLinked="1"/>
        <c:majorTickMark val="out"/>
        <c:minorTickMark val="none"/>
        <c:tickLblPos val="none"/>
        <c:crossAx val="45095936"/>
        <c:crosses val="autoZero"/>
        <c:crossBetween val="midCat"/>
      </c:valAx>
      <c:valAx>
        <c:axId val="45095936"/>
        <c:scaling>
          <c:orientation val="minMax"/>
          <c:max val="1.8"/>
          <c:min val="0"/>
        </c:scaling>
        <c:delete val="0"/>
        <c:axPos val="r"/>
        <c:title>
          <c:tx>
            <c:rich>
              <a:bodyPr rot="-5400000" spcFirstLastPara="0" vertOverflow="ellipsis" vert="horz" wrap="square" anchor="ctr" anchorCtr="1"/>
              <a:lstStyle/>
              <a:p>
                <a:pPr>
                  <a:defRPr lang="en-US" sz="1100" b="1" i="0" u="none" strike="noStrike" kern="1200" baseline="0">
                    <a:solidFill>
                      <a:schemeClr val="tx1"/>
                    </a:solidFill>
                    <a:latin typeface="Times New Roman" panose="02020603050405020304" charset="0"/>
                    <a:ea typeface="+mn-ea"/>
                    <a:cs typeface="Times New Roman" panose="02020603050405020304" charset="0"/>
                  </a:defRPr>
                </a:pPr>
                <a:r>
                  <a:rPr lang="ru-RU" sz="1200"/>
                  <a:t>Ж·10, мг-екв/д</a:t>
                </a:r>
                <a:r>
                  <a:rPr lang="ru-RU" sz="1200" baseline="0"/>
                  <a:t>м</a:t>
                </a:r>
                <a:r>
                  <a:rPr lang="ru-RU" sz="1200" baseline="30000"/>
                  <a:t>3</a:t>
                </a:r>
                <a:endParaRPr lang="en-US" sz="1200" baseline="30000"/>
              </a:p>
            </c:rich>
          </c:tx>
          <c:layout>
            <c:manualLayout>
              <c:xMode val="edge"/>
              <c:yMode val="edge"/>
              <c:x val="0.94222222222222196"/>
              <c:y val="0.125325896762905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45094400"/>
        <c:crosses val="max"/>
        <c:crossBetween val="midCat"/>
        <c:majorUnit val="0.2"/>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latin typeface="Times New Roman" panose="02020603050405020304" charset="0"/>
          <a:cs typeface="Times New Roman" panose="02020603050405020304" charset="0"/>
        </a:defRPr>
      </a:pPr>
      <a:endParaRPr lang="ru-RU"/>
    </a:p>
  </c:txPr>
  <c:externalData r:id="rId1">
    <c:autoUpdate val="0"/>
  </c:externalData>
  <c:userShapes r:id="rId2"/>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0201877307709"/>
          <c:y val="5.8765432098765398E-2"/>
          <c:w val="0.69350629476400205"/>
          <c:h val="0.78991755442334399"/>
        </c:manualLayout>
      </c:layout>
      <c:scatterChart>
        <c:scatterStyle val="lineMarker"/>
        <c:varyColors val="0"/>
        <c:ser>
          <c:idx val="0"/>
          <c:order val="0"/>
          <c:spPr>
            <a:ln w="22225" cap="rnd" cmpd="sng" algn="ctr">
              <a:solidFill>
                <a:sysClr val="windowText" lastClr="000000"/>
              </a:solidFill>
              <a:prstDash val="solid"/>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4'!$B$2:$B$12</c:f>
              <c:numCache>
                <c:formatCode>General</c:formatCode>
                <c:ptCount val="11"/>
                <c:pt idx="0">
                  <c:v>0</c:v>
                </c:pt>
                <c:pt idx="1">
                  <c:v>99.54</c:v>
                </c:pt>
                <c:pt idx="2">
                  <c:v>99.53</c:v>
                </c:pt>
                <c:pt idx="3">
                  <c:v>99.35</c:v>
                </c:pt>
                <c:pt idx="4">
                  <c:v>99.11</c:v>
                </c:pt>
                <c:pt idx="5">
                  <c:v>99.03</c:v>
                </c:pt>
                <c:pt idx="6">
                  <c:v>98.86</c:v>
                </c:pt>
                <c:pt idx="7">
                  <c:v>98.78</c:v>
                </c:pt>
                <c:pt idx="8">
                  <c:v>98.46</c:v>
                </c:pt>
                <c:pt idx="9">
                  <c:v>97.97</c:v>
                </c:pt>
                <c:pt idx="10">
                  <c:v>97.25</c:v>
                </c:pt>
              </c:numCache>
            </c:numRef>
          </c:yVal>
          <c:smooth val="1"/>
          <c:extLst>
            <c:ext xmlns:c16="http://schemas.microsoft.com/office/drawing/2014/chart" uri="{C3380CC4-5D6E-409C-BE32-E72D297353CC}">
              <c16:uniqueId val="{00000000-6A30-4843-98C0-090F93E2789B}"/>
            </c:ext>
          </c:extLst>
        </c:ser>
        <c:ser>
          <c:idx val="1"/>
          <c:order val="1"/>
          <c:spPr>
            <a:ln w="22225" cap="rnd" cmpd="sng" algn="ctr">
              <a:solidFill>
                <a:sysClr val="windowText" lastClr="000000"/>
              </a:solidFill>
              <a:prstDash val="dashDot"/>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4'!$C$2:$C$12</c:f>
              <c:numCache>
                <c:formatCode>General</c:formatCode>
                <c:ptCount val="11"/>
                <c:pt idx="0">
                  <c:v>0</c:v>
                </c:pt>
                <c:pt idx="1">
                  <c:v>99.93</c:v>
                </c:pt>
                <c:pt idx="2">
                  <c:v>99.87</c:v>
                </c:pt>
                <c:pt idx="3">
                  <c:v>99.85</c:v>
                </c:pt>
                <c:pt idx="4">
                  <c:v>99.82</c:v>
                </c:pt>
                <c:pt idx="5">
                  <c:v>99.75</c:v>
                </c:pt>
                <c:pt idx="6">
                  <c:v>99.75</c:v>
                </c:pt>
                <c:pt idx="7">
                  <c:v>99.74</c:v>
                </c:pt>
                <c:pt idx="8">
                  <c:v>99.72</c:v>
                </c:pt>
                <c:pt idx="9">
                  <c:v>99.69</c:v>
                </c:pt>
                <c:pt idx="10">
                  <c:v>99.61</c:v>
                </c:pt>
              </c:numCache>
            </c:numRef>
          </c:yVal>
          <c:smooth val="1"/>
          <c:extLst>
            <c:ext xmlns:c16="http://schemas.microsoft.com/office/drawing/2014/chart" uri="{C3380CC4-5D6E-409C-BE32-E72D297353CC}">
              <c16:uniqueId val="{00000001-6A30-4843-98C0-090F93E2789B}"/>
            </c:ext>
          </c:extLst>
        </c:ser>
        <c:ser>
          <c:idx val="2"/>
          <c:order val="2"/>
          <c:spPr>
            <a:ln w="22225" cap="rnd" cmpd="sng" algn="ctr">
              <a:solidFill>
                <a:sysClr val="windowText" lastClr="000000"/>
              </a:solidFill>
              <a:prstDash val="solid"/>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4'!$D$2:$D$12</c:f>
              <c:numCache>
                <c:formatCode>General</c:formatCode>
                <c:ptCount val="11"/>
                <c:pt idx="0">
                  <c:v>0</c:v>
                </c:pt>
                <c:pt idx="1">
                  <c:v>99.98</c:v>
                </c:pt>
                <c:pt idx="2">
                  <c:v>99.97</c:v>
                </c:pt>
                <c:pt idx="3">
                  <c:v>99.93</c:v>
                </c:pt>
                <c:pt idx="4">
                  <c:v>99.92</c:v>
                </c:pt>
                <c:pt idx="5">
                  <c:v>99.91</c:v>
                </c:pt>
                <c:pt idx="6">
                  <c:v>99.85</c:v>
                </c:pt>
                <c:pt idx="7">
                  <c:v>99.82</c:v>
                </c:pt>
                <c:pt idx="8">
                  <c:v>99.82</c:v>
                </c:pt>
                <c:pt idx="9">
                  <c:v>99.81</c:v>
                </c:pt>
                <c:pt idx="10">
                  <c:v>99.8</c:v>
                </c:pt>
              </c:numCache>
            </c:numRef>
          </c:yVal>
          <c:smooth val="1"/>
          <c:extLst>
            <c:ext xmlns:c16="http://schemas.microsoft.com/office/drawing/2014/chart" uri="{C3380CC4-5D6E-409C-BE32-E72D297353CC}">
              <c16:uniqueId val="{00000002-6A30-4843-98C0-090F93E2789B}"/>
            </c:ext>
          </c:extLst>
        </c:ser>
        <c:ser>
          <c:idx val="3"/>
          <c:order val="3"/>
          <c:spPr>
            <a:ln w="22225" cap="rnd" cmpd="sng" algn="ctr">
              <a:solidFill>
                <a:sysClr val="windowText" lastClr="000000"/>
              </a:solidFill>
              <a:prstDash val="sysDot"/>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4'!$E$2:$E$12</c:f>
              <c:numCache>
                <c:formatCode>General</c:formatCode>
                <c:ptCount val="11"/>
                <c:pt idx="0">
                  <c:v>0</c:v>
                </c:pt>
                <c:pt idx="1">
                  <c:v>99.12</c:v>
                </c:pt>
                <c:pt idx="2">
                  <c:v>98.94</c:v>
                </c:pt>
                <c:pt idx="3">
                  <c:v>98.86</c:v>
                </c:pt>
                <c:pt idx="4">
                  <c:v>98.72</c:v>
                </c:pt>
                <c:pt idx="5">
                  <c:v>98.64</c:v>
                </c:pt>
                <c:pt idx="6">
                  <c:v>98.53</c:v>
                </c:pt>
                <c:pt idx="7">
                  <c:v>98.24</c:v>
                </c:pt>
                <c:pt idx="8">
                  <c:v>97.6</c:v>
                </c:pt>
                <c:pt idx="9">
                  <c:v>97.2</c:v>
                </c:pt>
                <c:pt idx="10">
                  <c:v>96.8</c:v>
                </c:pt>
              </c:numCache>
            </c:numRef>
          </c:yVal>
          <c:smooth val="1"/>
          <c:extLst>
            <c:ext xmlns:c16="http://schemas.microsoft.com/office/drawing/2014/chart" uri="{C3380CC4-5D6E-409C-BE32-E72D297353CC}">
              <c16:uniqueId val="{00000003-6A30-4843-98C0-090F93E2789B}"/>
            </c:ext>
          </c:extLst>
        </c:ser>
        <c:dLbls>
          <c:showLegendKey val="1"/>
          <c:showVal val="1"/>
          <c:showCatName val="1"/>
          <c:showSerName val="1"/>
          <c:showPercent val="1"/>
          <c:showBubbleSize val="1"/>
        </c:dLbls>
        <c:axId val="46656896"/>
        <c:axId val="46872064"/>
      </c:scatterChart>
      <c:scatterChart>
        <c:scatterStyle val="lineMarker"/>
        <c:varyColors val="0"/>
        <c:ser>
          <c:idx val="4"/>
          <c:order val="4"/>
          <c:spPr>
            <a:ln w="22225" cap="rnd" cmpd="sng" algn="ctr">
              <a:solidFill>
                <a:sysClr val="windowText" lastClr="000000"/>
              </a:solidFill>
              <a:prstDash val="solid"/>
              <a:round/>
            </a:ln>
          </c:spPr>
          <c:marker>
            <c:symbol val="star"/>
            <c:size val="6"/>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4'!$F$2:$F$12</c:f>
              <c:numCache>
                <c:formatCode>General</c:formatCode>
                <c:ptCount val="11"/>
                <c:pt idx="0">
                  <c:v>7.28</c:v>
                </c:pt>
                <c:pt idx="1">
                  <c:v>10.050000000000001</c:v>
                </c:pt>
                <c:pt idx="2">
                  <c:v>9.8800000000000008</c:v>
                </c:pt>
                <c:pt idx="3">
                  <c:v>9.8000000000000007</c:v>
                </c:pt>
                <c:pt idx="4">
                  <c:v>9.58</c:v>
                </c:pt>
                <c:pt idx="5">
                  <c:v>9.4499999999999993</c:v>
                </c:pt>
                <c:pt idx="6">
                  <c:v>9.3699999999999992</c:v>
                </c:pt>
                <c:pt idx="7">
                  <c:v>9.23</c:v>
                </c:pt>
                <c:pt idx="8">
                  <c:v>9.14</c:v>
                </c:pt>
                <c:pt idx="9">
                  <c:v>8.9499999999999993</c:v>
                </c:pt>
                <c:pt idx="10">
                  <c:v>8.7100000000000009</c:v>
                </c:pt>
              </c:numCache>
            </c:numRef>
          </c:yVal>
          <c:smooth val="1"/>
          <c:extLst>
            <c:ext xmlns:c16="http://schemas.microsoft.com/office/drawing/2014/chart" uri="{C3380CC4-5D6E-409C-BE32-E72D297353CC}">
              <c16:uniqueId val="{00000004-6A30-4843-98C0-090F93E2789B}"/>
            </c:ext>
          </c:extLst>
        </c:ser>
        <c:ser>
          <c:idx val="5"/>
          <c:order val="5"/>
          <c:spPr>
            <a:ln w="22225" cap="rnd" cmpd="sng" algn="ctr">
              <a:solidFill>
                <a:sysClr val="windowText" lastClr="000000"/>
              </a:solidFill>
              <a:prstDash val="solid"/>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4'!$G$2:$G$12</c:f>
              <c:numCache>
                <c:formatCode>General</c:formatCode>
                <c:ptCount val="11"/>
                <c:pt idx="0">
                  <c:v>7.29</c:v>
                </c:pt>
                <c:pt idx="1">
                  <c:v>2.99</c:v>
                </c:pt>
                <c:pt idx="2">
                  <c:v>2.89</c:v>
                </c:pt>
                <c:pt idx="3">
                  <c:v>3.12</c:v>
                </c:pt>
                <c:pt idx="4">
                  <c:v>3.27</c:v>
                </c:pt>
                <c:pt idx="5">
                  <c:v>3.38</c:v>
                </c:pt>
                <c:pt idx="6">
                  <c:v>3.45</c:v>
                </c:pt>
                <c:pt idx="7">
                  <c:v>3.51</c:v>
                </c:pt>
                <c:pt idx="8">
                  <c:v>3.54</c:v>
                </c:pt>
                <c:pt idx="9">
                  <c:v>3.55</c:v>
                </c:pt>
                <c:pt idx="10">
                  <c:v>3.57</c:v>
                </c:pt>
              </c:numCache>
            </c:numRef>
          </c:yVal>
          <c:smooth val="1"/>
          <c:extLst>
            <c:ext xmlns:c16="http://schemas.microsoft.com/office/drawing/2014/chart" uri="{C3380CC4-5D6E-409C-BE32-E72D297353CC}">
              <c16:uniqueId val="{00000005-6A30-4843-98C0-090F93E2789B}"/>
            </c:ext>
          </c:extLst>
        </c:ser>
        <c:ser>
          <c:idx val="6"/>
          <c:order val="6"/>
          <c:spPr>
            <a:ln w="22225" cap="rnd" cmpd="sng" algn="ctr">
              <a:solidFill>
                <a:sysClr val="windowText" lastClr="000000"/>
              </a:solidFill>
              <a:prstDash val="dash"/>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4'!$H$2:$H$12</c:f>
              <c:numCache>
                <c:formatCode>General</c:formatCode>
                <c:ptCount val="11"/>
                <c:pt idx="0">
                  <c:v>6</c:v>
                </c:pt>
                <c:pt idx="1">
                  <c:v>10.64</c:v>
                </c:pt>
                <c:pt idx="2">
                  <c:v>9.73</c:v>
                </c:pt>
                <c:pt idx="3">
                  <c:v>9.5299999999999994</c:v>
                </c:pt>
                <c:pt idx="4">
                  <c:v>9.39</c:v>
                </c:pt>
                <c:pt idx="5">
                  <c:v>9.3000000000000007</c:v>
                </c:pt>
                <c:pt idx="6">
                  <c:v>9.2799999999999994</c:v>
                </c:pt>
                <c:pt idx="7">
                  <c:v>9.19</c:v>
                </c:pt>
                <c:pt idx="8">
                  <c:v>9.0399999999999991</c:v>
                </c:pt>
                <c:pt idx="9">
                  <c:v>8.9700000000000006</c:v>
                </c:pt>
                <c:pt idx="10">
                  <c:v>8.9499999999999993</c:v>
                </c:pt>
              </c:numCache>
            </c:numRef>
          </c:yVal>
          <c:smooth val="1"/>
          <c:extLst>
            <c:ext xmlns:c16="http://schemas.microsoft.com/office/drawing/2014/chart" uri="{C3380CC4-5D6E-409C-BE32-E72D297353CC}">
              <c16:uniqueId val="{00000006-6A30-4843-98C0-090F93E2789B}"/>
            </c:ext>
          </c:extLst>
        </c:ser>
        <c:ser>
          <c:idx val="7"/>
          <c:order val="7"/>
          <c:spPr>
            <a:ln w="22225" cap="rnd" cmpd="sng" algn="ctr">
              <a:solidFill>
                <a:sysClr val="windowText" lastClr="000000"/>
              </a:solidFill>
              <a:prstDash val="sysDash"/>
              <a:round/>
            </a:ln>
          </c:spPr>
          <c:marker>
            <c:spPr>
              <a:noFill/>
              <a:ln w="9525" cap="flat" cmpd="sng" algn="ctr">
                <a:solidFill>
                  <a:sysClr val="windowText" lastClr="000000"/>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4'!$I$2:$I$12</c:f>
              <c:numCache>
                <c:formatCode>General</c:formatCode>
                <c:ptCount val="11"/>
                <c:pt idx="0">
                  <c:v>6.44</c:v>
                </c:pt>
                <c:pt idx="1">
                  <c:v>2.89</c:v>
                </c:pt>
                <c:pt idx="2">
                  <c:v>3.11</c:v>
                </c:pt>
                <c:pt idx="3">
                  <c:v>3.22</c:v>
                </c:pt>
                <c:pt idx="4">
                  <c:v>3.24</c:v>
                </c:pt>
                <c:pt idx="5">
                  <c:v>3.28</c:v>
                </c:pt>
                <c:pt idx="6">
                  <c:v>3.3</c:v>
                </c:pt>
                <c:pt idx="7">
                  <c:v>3.36</c:v>
                </c:pt>
                <c:pt idx="8">
                  <c:v>3.41</c:v>
                </c:pt>
                <c:pt idx="9">
                  <c:v>3.43</c:v>
                </c:pt>
                <c:pt idx="10">
                  <c:v>3.45</c:v>
                </c:pt>
              </c:numCache>
            </c:numRef>
          </c:yVal>
          <c:smooth val="1"/>
          <c:extLst>
            <c:ext xmlns:c16="http://schemas.microsoft.com/office/drawing/2014/chart" uri="{C3380CC4-5D6E-409C-BE32-E72D297353CC}">
              <c16:uniqueId val="{00000007-6A30-4843-98C0-090F93E2789B}"/>
            </c:ext>
          </c:extLst>
        </c:ser>
        <c:dLbls>
          <c:showLegendKey val="1"/>
          <c:showVal val="1"/>
          <c:showCatName val="1"/>
          <c:showSerName val="1"/>
          <c:showPercent val="1"/>
          <c:showBubbleSize val="1"/>
        </c:dLbls>
        <c:axId val="46873984"/>
        <c:axId val="46896256"/>
      </c:scatterChart>
      <c:valAx>
        <c:axId val="46656896"/>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8784711286089302"/>
              <c:y val="0.911583346199371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6872064"/>
        <c:crosses val="autoZero"/>
        <c:crossBetween val="midCat"/>
        <c:majorUnit val="0.5"/>
      </c:valAx>
      <c:valAx>
        <c:axId val="46872064"/>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А, %</a:t>
                </a:r>
              </a:p>
            </c:rich>
          </c:tx>
          <c:layout>
            <c:manualLayout>
              <c:xMode val="edge"/>
              <c:yMode val="edge"/>
              <c:x val="2.7777777777778E-3"/>
              <c:y val="0.329145523476231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6656896"/>
        <c:crosses val="autoZero"/>
        <c:crossBetween val="midCat"/>
        <c:majorUnit val="20"/>
      </c:valAx>
      <c:valAx>
        <c:axId val="46873984"/>
        <c:scaling>
          <c:orientation val="minMax"/>
        </c:scaling>
        <c:delete val="1"/>
        <c:axPos val="b"/>
        <c:numFmt formatCode="General" sourceLinked="1"/>
        <c:majorTickMark val="out"/>
        <c:minorTickMark val="none"/>
        <c:tickLblPos val="none"/>
        <c:crossAx val="46896256"/>
        <c:crosses val="autoZero"/>
        <c:crossBetween val="midCat"/>
      </c:valAx>
      <c:valAx>
        <c:axId val="46896256"/>
        <c:scaling>
          <c:orientation val="minMax"/>
          <c:max val="11"/>
          <c:min val="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рН</a:t>
                </a:r>
              </a:p>
            </c:rich>
          </c:tx>
          <c:layout>
            <c:manualLayout>
              <c:xMode val="edge"/>
              <c:yMode val="edge"/>
              <c:x val="0.94499999999999995"/>
              <c:y val="0.33746709439097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6873984"/>
        <c:crosses val="max"/>
        <c:crossBetween val="midCat"/>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67628713995099"/>
          <c:y val="5.6130844588529398E-2"/>
          <c:w val="0.76304194579156004"/>
          <c:h val="0.78678830795498"/>
        </c:manualLayout>
      </c:layout>
      <c:scatterChart>
        <c:scatterStyle val="lineMarker"/>
        <c:varyColors val="0"/>
        <c:ser>
          <c:idx val="0"/>
          <c:order val="0"/>
          <c:spPr>
            <a:ln w="22225" cap="rnd" cmpd="sng" algn="ctr">
              <a:solidFill>
                <a:prstClr val="black"/>
              </a:solidFill>
              <a:prstDash val="solid"/>
              <a:round/>
            </a:ln>
          </c:spPr>
          <c:marker>
            <c:symbol val="diamond"/>
            <c:size val="7"/>
            <c:spPr>
              <a:solidFill>
                <a:schemeClr val="tx1"/>
              </a:solidFill>
              <a:ln w="9525" cap="flat" cmpd="sng" algn="ctr">
                <a:solidFill>
                  <a:prstClr val="black"/>
                </a:solidFill>
                <a:prstDash val="solid"/>
                <a:round/>
              </a:ln>
            </c:spPr>
          </c:marker>
          <c:xVal>
            <c:numRef>
              <c:f>Лист1!$A$2:$A$11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Лист1!$B$2:$B$11</c:f>
              <c:numCache>
                <c:formatCode>General</c:formatCode>
                <c:ptCount val="10"/>
                <c:pt idx="0">
                  <c:v>0.1</c:v>
                </c:pt>
                <c:pt idx="1">
                  <c:v>0</c:v>
                </c:pt>
                <c:pt idx="2">
                  <c:v>0</c:v>
                </c:pt>
                <c:pt idx="3">
                  <c:v>0</c:v>
                </c:pt>
                <c:pt idx="4">
                  <c:v>0</c:v>
                </c:pt>
                <c:pt idx="5">
                  <c:v>0</c:v>
                </c:pt>
                <c:pt idx="6">
                  <c:v>0</c:v>
                </c:pt>
                <c:pt idx="7">
                  <c:v>0</c:v>
                </c:pt>
                <c:pt idx="8">
                  <c:v>0</c:v>
                </c:pt>
                <c:pt idx="9">
                  <c:v>0</c:v>
                </c:pt>
              </c:numCache>
            </c:numRef>
          </c:yVal>
          <c:smooth val="0"/>
          <c:extLst>
            <c:ext xmlns:c16="http://schemas.microsoft.com/office/drawing/2014/chart" uri="{C3380CC4-5D6E-409C-BE32-E72D297353CC}">
              <c16:uniqueId val="{00000000-771B-4D3B-BD7B-BA7F05567559}"/>
            </c:ext>
          </c:extLst>
        </c:ser>
        <c:ser>
          <c:idx val="1"/>
          <c:order val="1"/>
          <c:spPr>
            <a:ln w="22225" cap="rnd" cmpd="sng" algn="ctr">
              <a:solidFill>
                <a:schemeClr val="tx1"/>
              </a:solidFill>
              <a:prstDash val="solid"/>
              <a:round/>
            </a:ln>
          </c:spPr>
          <c:marker>
            <c:symbol val="square"/>
            <c:size val="6"/>
            <c:spPr>
              <a:noFill/>
              <a:ln w="9525" cap="flat" cmpd="sng" algn="ctr">
                <a:solidFill>
                  <a:prstClr val="black"/>
                </a:solidFill>
                <a:prstDash val="solid"/>
                <a:round/>
              </a:ln>
            </c:spPr>
          </c:marker>
          <c:xVal>
            <c:numRef>
              <c:f>Лист1!$A$2:$A$11</c:f>
              <c:numCache>
                <c:formatCode>General</c:formatCode>
                <c:ptCount val="10"/>
                <c:pt idx="0">
                  <c:v>0</c:v>
                </c:pt>
                <c:pt idx="1">
                  <c:v>10</c:v>
                </c:pt>
                <c:pt idx="2">
                  <c:v>20</c:v>
                </c:pt>
                <c:pt idx="3">
                  <c:v>30</c:v>
                </c:pt>
                <c:pt idx="4">
                  <c:v>40</c:v>
                </c:pt>
                <c:pt idx="5">
                  <c:v>50</c:v>
                </c:pt>
                <c:pt idx="6">
                  <c:v>60</c:v>
                </c:pt>
                <c:pt idx="7">
                  <c:v>70</c:v>
                </c:pt>
                <c:pt idx="8">
                  <c:v>80</c:v>
                </c:pt>
                <c:pt idx="9">
                  <c:v>90</c:v>
                </c:pt>
              </c:numCache>
            </c:numRef>
          </c:xVal>
          <c:yVal>
            <c:numRef>
              <c:f>Лист1!$C$2:$C$11</c:f>
              <c:numCache>
                <c:formatCode>General</c:formatCode>
                <c:ptCount val="10"/>
                <c:pt idx="0">
                  <c:v>0.12</c:v>
                </c:pt>
                <c:pt idx="1">
                  <c:v>7.0000000000000007E-2</c:v>
                </c:pt>
                <c:pt idx="2">
                  <c:v>6.8000000000000005E-2</c:v>
                </c:pt>
                <c:pt idx="3">
                  <c:v>6.8000000000000005E-2</c:v>
                </c:pt>
                <c:pt idx="4">
                  <c:v>6.7000000000000004E-2</c:v>
                </c:pt>
                <c:pt idx="5">
                  <c:v>6.7000000000000004E-2</c:v>
                </c:pt>
                <c:pt idx="6">
                  <c:v>6.5000000000000002E-2</c:v>
                </c:pt>
                <c:pt idx="7">
                  <c:v>6.5000000000000002E-2</c:v>
                </c:pt>
                <c:pt idx="8">
                  <c:v>6.4000000000000098E-2</c:v>
                </c:pt>
                <c:pt idx="9">
                  <c:v>6.4000000000000098E-2</c:v>
                </c:pt>
              </c:numCache>
            </c:numRef>
          </c:yVal>
          <c:smooth val="0"/>
          <c:extLst>
            <c:ext xmlns:c16="http://schemas.microsoft.com/office/drawing/2014/chart" uri="{C3380CC4-5D6E-409C-BE32-E72D297353CC}">
              <c16:uniqueId val="{00000001-771B-4D3B-BD7B-BA7F05567559}"/>
            </c:ext>
          </c:extLst>
        </c:ser>
        <c:ser>
          <c:idx val="2"/>
          <c:order val="2"/>
          <c:spPr>
            <a:ln w="22225" cap="rnd" cmpd="sng" algn="ctr">
              <a:solidFill>
                <a:prstClr val="black"/>
              </a:solidFill>
              <a:prstDash val="dash"/>
              <a:round/>
            </a:ln>
          </c:spPr>
          <c:marker>
            <c:symbol val="triangle"/>
            <c:size val="7"/>
            <c:spPr>
              <a:noFill/>
              <a:ln w="9525" cap="flat" cmpd="sng" algn="ctr">
                <a:solidFill>
                  <a:prstClr val="black"/>
                </a:solidFill>
                <a:prstDash val="solid"/>
                <a:round/>
              </a:ln>
            </c:spPr>
          </c:marker>
          <c:xVal>
            <c:numRef>
              <c:f>Лист1!$A$3:$A$11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Лист1!$F$3:$F$11</c:f>
              <c:numCache>
                <c:formatCode>General</c:formatCode>
                <c:ptCount val="9"/>
                <c:pt idx="0">
                  <c:v>0.111</c:v>
                </c:pt>
                <c:pt idx="1">
                  <c:v>0.125</c:v>
                </c:pt>
                <c:pt idx="2">
                  <c:v>0.14299999999999999</c:v>
                </c:pt>
                <c:pt idx="3">
                  <c:v>0.16700000000000001</c:v>
                </c:pt>
                <c:pt idx="4">
                  <c:v>0.2</c:v>
                </c:pt>
                <c:pt idx="5">
                  <c:v>0.25</c:v>
                </c:pt>
                <c:pt idx="6">
                  <c:v>0.33300000000000202</c:v>
                </c:pt>
                <c:pt idx="7">
                  <c:v>0.5</c:v>
                </c:pt>
                <c:pt idx="8">
                  <c:v>0.98599999999999999</c:v>
                </c:pt>
              </c:numCache>
            </c:numRef>
          </c:yVal>
          <c:smooth val="0"/>
          <c:extLst>
            <c:ext xmlns:c16="http://schemas.microsoft.com/office/drawing/2014/chart" uri="{C3380CC4-5D6E-409C-BE32-E72D297353CC}">
              <c16:uniqueId val="{00000002-771B-4D3B-BD7B-BA7F05567559}"/>
            </c:ext>
          </c:extLst>
        </c:ser>
        <c:ser>
          <c:idx val="3"/>
          <c:order val="3"/>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Лист1!$A$3:$A$11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Лист1!$G$3:$G$11</c:f>
              <c:numCache>
                <c:formatCode>General</c:formatCode>
                <c:ptCount val="9"/>
                <c:pt idx="0">
                  <c:v>0.13300000000000001</c:v>
                </c:pt>
                <c:pt idx="1">
                  <c:v>0.15</c:v>
                </c:pt>
                <c:pt idx="2">
                  <c:v>0.17100000000000001</c:v>
                </c:pt>
                <c:pt idx="3">
                  <c:v>0.2</c:v>
                </c:pt>
                <c:pt idx="4">
                  <c:v>0.24</c:v>
                </c:pt>
                <c:pt idx="5">
                  <c:v>0.3</c:v>
                </c:pt>
                <c:pt idx="6">
                  <c:v>0.4</c:v>
                </c:pt>
                <c:pt idx="7">
                  <c:v>0.60000000000000098</c:v>
                </c:pt>
                <c:pt idx="8">
                  <c:v>0.66100000000000403</c:v>
                </c:pt>
              </c:numCache>
            </c:numRef>
          </c:yVal>
          <c:smooth val="0"/>
          <c:extLst>
            <c:ext xmlns:c16="http://schemas.microsoft.com/office/drawing/2014/chart" uri="{C3380CC4-5D6E-409C-BE32-E72D297353CC}">
              <c16:uniqueId val="{00000003-771B-4D3B-BD7B-BA7F05567559}"/>
            </c:ext>
          </c:extLst>
        </c:ser>
        <c:dLbls>
          <c:showLegendKey val="0"/>
          <c:showVal val="0"/>
          <c:showCatName val="0"/>
          <c:showSerName val="0"/>
          <c:showPercent val="0"/>
          <c:showBubbleSize val="0"/>
        </c:dLbls>
        <c:axId val="230788096"/>
        <c:axId val="231003648"/>
      </c:scatterChart>
      <c:scatterChart>
        <c:scatterStyle val="lineMarker"/>
        <c:varyColors val="0"/>
        <c:ser>
          <c:idx val="4"/>
          <c:order val="4"/>
          <c:tx>
            <c:strRef>
              <c:f>Ряд 5</c:f>
              <c:strCache>
                <c:ptCount val="1"/>
                <c:pt idx="0">
                  <c:v>Ряд 5</c:v>
                </c:pt>
              </c:strCache>
            </c:strRef>
          </c:tx>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Лист1!$A$3:$A$11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Лист1!$D$3:$D$11</c:f>
              <c:numCache>
                <c:formatCode>General</c:formatCode>
                <c:ptCount val="9"/>
                <c:pt idx="0">
                  <c:v>100</c:v>
                </c:pt>
                <c:pt idx="1">
                  <c:v>100</c:v>
                </c:pt>
                <c:pt idx="2">
                  <c:v>100</c:v>
                </c:pt>
                <c:pt idx="3">
                  <c:v>100</c:v>
                </c:pt>
                <c:pt idx="4">
                  <c:v>100</c:v>
                </c:pt>
                <c:pt idx="5">
                  <c:v>100</c:v>
                </c:pt>
                <c:pt idx="6">
                  <c:v>100</c:v>
                </c:pt>
                <c:pt idx="7">
                  <c:v>100</c:v>
                </c:pt>
                <c:pt idx="8">
                  <c:v>100</c:v>
                </c:pt>
              </c:numCache>
            </c:numRef>
          </c:yVal>
          <c:smooth val="0"/>
          <c:extLst>
            <c:ext xmlns:c16="http://schemas.microsoft.com/office/drawing/2014/chart" uri="{C3380CC4-5D6E-409C-BE32-E72D297353CC}">
              <c16:uniqueId val="{00000004-771B-4D3B-BD7B-BA7F05567559}"/>
            </c:ext>
          </c:extLst>
        </c:ser>
        <c:ser>
          <c:idx val="5"/>
          <c:order val="5"/>
          <c:tx>
            <c:strRef>
              <c:f>Ряд 6</c:f>
              <c:strCache>
                <c:ptCount val="1"/>
                <c:pt idx="0">
                  <c:v>Ряд 6</c:v>
                </c:pt>
              </c:strCache>
            </c:strRef>
          </c:tx>
          <c:spPr>
            <a:ln w="22225" cap="rnd" cmpd="sng" algn="ctr">
              <a:solidFill>
                <a:prstClr val="black"/>
              </a:solidFill>
              <a:prstDash val="sysDash"/>
              <a:round/>
            </a:ln>
          </c:spPr>
          <c:marker>
            <c:symbol val="circle"/>
            <c:size val="7"/>
            <c:spPr>
              <a:noFill/>
              <a:ln w="9525" cap="flat" cmpd="sng" algn="ctr">
                <a:solidFill>
                  <a:prstClr val="black"/>
                </a:solidFill>
                <a:prstDash val="solid"/>
                <a:round/>
              </a:ln>
            </c:spPr>
          </c:marker>
          <c:xVal>
            <c:numRef>
              <c:f>Лист1!$A$3:$A$11</c:f>
              <c:numCache>
                <c:formatCode>General</c:formatCode>
                <c:ptCount val="9"/>
                <c:pt idx="0">
                  <c:v>10</c:v>
                </c:pt>
                <c:pt idx="1">
                  <c:v>20</c:v>
                </c:pt>
                <c:pt idx="2">
                  <c:v>30</c:v>
                </c:pt>
                <c:pt idx="3">
                  <c:v>40</c:v>
                </c:pt>
                <c:pt idx="4">
                  <c:v>50</c:v>
                </c:pt>
                <c:pt idx="5">
                  <c:v>60</c:v>
                </c:pt>
                <c:pt idx="6">
                  <c:v>70</c:v>
                </c:pt>
                <c:pt idx="7">
                  <c:v>80</c:v>
                </c:pt>
                <c:pt idx="8">
                  <c:v>90</c:v>
                </c:pt>
              </c:numCache>
            </c:numRef>
          </c:xVal>
          <c:yVal>
            <c:numRef>
              <c:f>Лист1!$E$3:$E$11</c:f>
              <c:numCache>
                <c:formatCode>General</c:formatCode>
                <c:ptCount val="9"/>
                <c:pt idx="0">
                  <c:v>41.67</c:v>
                </c:pt>
                <c:pt idx="1">
                  <c:v>43.337000000000003</c:v>
                </c:pt>
                <c:pt idx="2">
                  <c:v>43.337000000000003</c:v>
                </c:pt>
                <c:pt idx="3">
                  <c:v>44.167000000000002</c:v>
                </c:pt>
                <c:pt idx="4">
                  <c:v>44.167000000000002</c:v>
                </c:pt>
                <c:pt idx="5">
                  <c:v>45.837000000000003</c:v>
                </c:pt>
                <c:pt idx="6">
                  <c:v>45.837000000000003</c:v>
                </c:pt>
                <c:pt idx="7">
                  <c:v>46.667000000000002</c:v>
                </c:pt>
                <c:pt idx="8">
                  <c:v>46.66</c:v>
                </c:pt>
              </c:numCache>
            </c:numRef>
          </c:yVal>
          <c:smooth val="0"/>
          <c:extLst>
            <c:ext xmlns:c16="http://schemas.microsoft.com/office/drawing/2014/chart" uri="{C3380CC4-5D6E-409C-BE32-E72D297353CC}">
              <c16:uniqueId val="{00000005-771B-4D3B-BD7B-BA7F05567559}"/>
            </c:ext>
          </c:extLst>
        </c:ser>
        <c:dLbls>
          <c:showLegendKey val="0"/>
          <c:showVal val="0"/>
          <c:showCatName val="0"/>
          <c:showSerName val="0"/>
          <c:showPercent val="0"/>
          <c:showBubbleSize val="0"/>
        </c:dLbls>
        <c:axId val="231081472"/>
        <c:axId val="231005568"/>
      </c:scatterChart>
      <c:valAx>
        <c:axId val="230788096"/>
        <c:scaling>
          <c:orientation val="minMax"/>
          <c:max val="90"/>
        </c:scaling>
        <c:delete val="0"/>
        <c:axPos val="b"/>
        <c:title>
          <c:tx>
            <c:rich>
              <a:bodyPr rot="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ru-RU" sz="1200">
                    <a:latin typeface="Times New Roman" panose="02020603050405020304" charset="0"/>
                    <a:cs typeface="Times New Roman" panose="02020603050405020304" charset="0"/>
                  </a:rPr>
                  <a:t>А, %</a:t>
                </a:r>
              </a:p>
            </c:rich>
          </c:tx>
          <c:layout>
            <c:manualLayout>
              <c:xMode val="edge"/>
              <c:yMode val="edge"/>
              <c:x val="0.92193867310608202"/>
              <c:y val="0.886099475796269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1003648"/>
        <c:crosses val="autoZero"/>
        <c:crossBetween val="midCat"/>
        <c:majorUnit val="10"/>
      </c:valAx>
      <c:valAx>
        <c:axId val="231003648"/>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en-US" sz="1200" b="1">
                  <a:latin typeface="Times New Roman" panose="02020603050405020304" charset="0"/>
                  <a:cs typeface="Times New Roman" panose="02020603050405020304" charset="0"/>
                </a:endParaRPr>
              </a:p>
            </c:rich>
          </c:tx>
          <c:layout>
            <c:manualLayout>
              <c:xMode val="edge"/>
              <c:yMode val="edge"/>
              <c:x val="3.4153073380572899E-3"/>
              <c:y val="0.260813145244733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788096"/>
        <c:crosses val="autoZero"/>
        <c:crossBetween val="midCat"/>
      </c:valAx>
      <c:valAx>
        <c:axId val="231081472"/>
        <c:scaling>
          <c:orientation val="minMax"/>
        </c:scaling>
        <c:delete val="1"/>
        <c:axPos val="b"/>
        <c:numFmt formatCode="General" sourceLinked="1"/>
        <c:majorTickMark val="out"/>
        <c:minorTickMark val="none"/>
        <c:tickLblPos val="none"/>
        <c:crossAx val="231005568"/>
        <c:crosses val="autoZero"/>
        <c:crossBetween val="midCat"/>
      </c:valAx>
      <c:valAx>
        <c:axId val="231005568"/>
        <c:scaling>
          <c:orientation val="minMax"/>
          <c:max val="10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R, %</a:t>
                </a:r>
                <a:endParaRPr lang="en-US" sz="1200" b="1">
                  <a:latin typeface="Times New Roman" panose="02020603050405020304" charset="0"/>
                  <a:cs typeface="Times New Roman" panose="02020603050405020304" charset="0"/>
                </a:endParaRPr>
              </a:p>
            </c:rich>
          </c:tx>
          <c:layout>
            <c:manualLayout>
              <c:xMode val="edge"/>
              <c:yMode val="edge"/>
              <c:x val="0.95825812247751196"/>
              <c:y val="0.3074745030791509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1081472"/>
        <c:crosses val="max"/>
        <c:crossBetween val="midCat"/>
        <c:majorUnit val="2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197462817147901"/>
          <c:y val="2.9008159694324E-2"/>
          <c:w val="0.75417585301838297"/>
          <c:h val="0.79365540558387804"/>
        </c:manualLayout>
      </c:layout>
      <c:scatterChart>
        <c:scatterStyle val="lineMarker"/>
        <c:varyColors val="0"/>
        <c:ser>
          <c:idx val="0"/>
          <c:order val="0"/>
          <c:spPr>
            <a:ln w="22225" cap="rnd" cmpd="sng" algn="ctr">
              <a:solidFill>
                <a:prstClr val="black"/>
              </a:solidFill>
              <a:prstDash val="solid"/>
              <a:round/>
            </a:ln>
          </c:spPr>
          <c:marker>
            <c:spPr>
              <a:solidFill>
                <a:sysClr val="windowText" lastClr="000000"/>
              </a:solidFill>
              <a:ln w="9525" cap="flat" cmpd="sng" algn="ctr">
                <a:solidFill>
                  <a:prstClr val="black"/>
                </a:solidFill>
                <a:prstDash val="solid"/>
                <a:round/>
              </a:ln>
            </c:spPr>
          </c:marker>
          <c:xVal>
            <c:numRef>
              <c:f>Лист3!$A$2:$A$12</c:f>
              <c:numCache>
                <c:formatCode>General</c:formatCode>
                <c:ptCount val="11"/>
                <c:pt idx="0">
                  <c:v>0</c:v>
                </c:pt>
                <c:pt idx="1">
                  <c:v>10</c:v>
                </c:pt>
                <c:pt idx="2">
                  <c:v>20</c:v>
                </c:pt>
                <c:pt idx="3">
                  <c:v>30</c:v>
                </c:pt>
                <c:pt idx="4">
                  <c:v>40</c:v>
                </c:pt>
                <c:pt idx="5">
                  <c:v>50</c:v>
                </c:pt>
                <c:pt idx="6">
                  <c:v>60</c:v>
                </c:pt>
                <c:pt idx="7">
                  <c:v>70</c:v>
                </c:pt>
                <c:pt idx="8">
                  <c:v>80</c:v>
                </c:pt>
                <c:pt idx="9">
                  <c:v>90</c:v>
                </c:pt>
                <c:pt idx="10">
                  <c:v>95</c:v>
                </c:pt>
              </c:numCache>
            </c:numRef>
          </c:xVal>
          <c:yVal>
            <c:numRef>
              <c:f>Лист3!$B$2:$B$12</c:f>
              <c:numCache>
                <c:formatCode>General</c:formatCode>
                <c:ptCount val="11"/>
                <c:pt idx="1">
                  <c:v>0</c:v>
                </c:pt>
                <c:pt idx="2">
                  <c:v>0</c:v>
                </c:pt>
                <c:pt idx="3">
                  <c:v>0</c:v>
                </c:pt>
                <c:pt idx="4">
                  <c:v>0</c:v>
                </c:pt>
                <c:pt idx="5">
                  <c:v>0</c:v>
                </c:pt>
                <c:pt idx="6">
                  <c:v>0</c:v>
                </c:pt>
                <c:pt idx="7">
                  <c:v>0</c:v>
                </c:pt>
                <c:pt idx="8">
                  <c:v>0</c:v>
                </c:pt>
                <c:pt idx="9">
                  <c:v>0</c:v>
                </c:pt>
                <c:pt idx="10">
                  <c:v>0</c:v>
                </c:pt>
              </c:numCache>
            </c:numRef>
          </c:yVal>
          <c:smooth val="0"/>
          <c:extLst>
            <c:ext xmlns:c16="http://schemas.microsoft.com/office/drawing/2014/chart" uri="{C3380CC4-5D6E-409C-BE32-E72D297353CC}">
              <c16:uniqueId val="{00000000-9EF3-4D5F-B2B7-3AC8F9EF1D4C}"/>
            </c:ext>
          </c:extLst>
        </c:ser>
        <c:ser>
          <c:idx val="1"/>
          <c:order val="1"/>
          <c:spPr>
            <a:ln w="22225" cap="rnd" cmpd="sng" algn="ctr">
              <a:solidFill>
                <a:prstClr val="black"/>
              </a:solidFill>
              <a:prstDash val="sysDash"/>
              <a:round/>
            </a:ln>
          </c:spPr>
          <c:marker>
            <c:symbol val="square"/>
            <c:size val="7"/>
            <c:spPr>
              <a:noFill/>
              <a:ln w="9525" cap="flat" cmpd="sng" algn="ctr">
                <a:solidFill>
                  <a:prstClr val="black"/>
                </a:solidFill>
                <a:prstDash val="solid"/>
                <a:round/>
              </a:ln>
            </c:spPr>
          </c:marker>
          <c:xVal>
            <c:numRef>
              <c:f>Лист3!$A$2:$A$12</c:f>
              <c:numCache>
                <c:formatCode>General</c:formatCode>
                <c:ptCount val="11"/>
                <c:pt idx="0">
                  <c:v>0</c:v>
                </c:pt>
                <c:pt idx="1">
                  <c:v>10</c:v>
                </c:pt>
                <c:pt idx="2">
                  <c:v>20</c:v>
                </c:pt>
                <c:pt idx="3">
                  <c:v>30</c:v>
                </c:pt>
                <c:pt idx="4">
                  <c:v>40</c:v>
                </c:pt>
                <c:pt idx="5">
                  <c:v>50</c:v>
                </c:pt>
                <c:pt idx="6">
                  <c:v>60</c:v>
                </c:pt>
                <c:pt idx="7">
                  <c:v>70</c:v>
                </c:pt>
                <c:pt idx="8">
                  <c:v>80</c:v>
                </c:pt>
                <c:pt idx="9">
                  <c:v>90</c:v>
                </c:pt>
                <c:pt idx="10">
                  <c:v>95</c:v>
                </c:pt>
              </c:numCache>
            </c:numRef>
          </c:xVal>
          <c:yVal>
            <c:numRef>
              <c:f>Лист3!$C$2:$C$12</c:f>
              <c:numCache>
                <c:formatCode>General</c:formatCode>
                <c:ptCount val="11"/>
                <c:pt idx="1">
                  <c:v>0</c:v>
                </c:pt>
                <c:pt idx="2">
                  <c:v>0</c:v>
                </c:pt>
                <c:pt idx="3">
                  <c:v>0</c:v>
                </c:pt>
                <c:pt idx="4">
                  <c:v>0</c:v>
                </c:pt>
                <c:pt idx="5">
                  <c:v>0</c:v>
                </c:pt>
                <c:pt idx="6">
                  <c:v>0</c:v>
                </c:pt>
                <c:pt idx="7">
                  <c:v>0</c:v>
                </c:pt>
                <c:pt idx="8">
                  <c:v>0</c:v>
                </c:pt>
                <c:pt idx="9">
                  <c:v>0</c:v>
                </c:pt>
                <c:pt idx="10">
                  <c:v>0</c:v>
                </c:pt>
              </c:numCache>
            </c:numRef>
          </c:yVal>
          <c:smooth val="0"/>
          <c:extLst>
            <c:ext xmlns:c16="http://schemas.microsoft.com/office/drawing/2014/chart" uri="{C3380CC4-5D6E-409C-BE32-E72D297353CC}">
              <c16:uniqueId val="{00000001-9EF3-4D5F-B2B7-3AC8F9EF1D4C}"/>
            </c:ext>
          </c:extLst>
        </c:ser>
        <c:ser>
          <c:idx val="4"/>
          <c:order val="4"/>
          <c:tx>
            <c:strRef>
              <c:f>ряд 5</c:f>
              <c:strCache>
                <c:ptCount val="1"/>
                <c:pt idx="0">
                  <c:v>ряд 5</c:v>
                </c:pt>
              </c:strCache>
            </c:strRef>
          </c:tx>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Лист3!$A$3:$A$12</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Лист3!$F$3:$F$12</c:f>
              <c:numCache>
                <c:formatCode>General</c:formatCode>
                <c:ptCount val="10"/>
                <c:pt idx="0">
                  <c:v>1.1100000000000001</c:v>
                </c:pt>
                <c:pt idx="1">
                  <c:v>1.25</c:v>
                </c:pt>
                <c:pt idx="2">
                  <c:v>1.43</c:v>
                </c:pt>
                <c:pt idx="3">
                  <c:v>1.67</c:v>
                </c:pt>
                <c:pt idx="4">
                  <c:v>2</c:v>
                </c:pt>
                <c:pt idx="5">
                  <c:v>2.5</c:v>
                </c:pt>
                <c:pt idx="6">
                  <c:v>3.33</c:v>
                </c:pt>
                <c:pt idx="7">
                  <c:v>5</c:v>
                </c:pt>
                <c:pt idx="8">
                  <c:v>10</c:v>
                </c:pt>
                <c:pt idx="9">
                  <c:v>20</c:v>
                </c:pt>
              </c:numCache>
            </c:numRef>
          </c:yVal>
          <c:smooth val="0"/>
          <c:extLst>
            <c:ext xmlns:c16="http://schemas.microsoft.com/office/drawing/2014/chart" uri="{C3380CC4-5D6E-409C-BE32-E72D297353CC}">
              <c16:uniqueId val="{00000002-9EF3-4D5F-B2B7-3AC8F9EF1D4C}"/>
            </c:ext>
          </c:extLst>
        </c:ser>
        <c:ser>
          <c:idx val="5"/>
          <c:order val="5"/>
          <c:tx>
            <c:strRef>
              <c:f>ряд 6</c:f>
              <c:strCache>
                <c:ptCount val="1"/>
                <c:pt idx="0">
                  <c:v>ряд 6</c:v>
                </c:pt>
              </c:strCache>
            </c:strRef>
          </c:tx>
          <c:spPr>
            <a:ln w="22225" cap="rnd" cmpd="sng" algn="ctr">
              <a:solidFill>
                <a:prstClr val="black"/>
              </a:solidFill>
              <a:prstDash val="dash"/>
              <a:round/>
            </a:ln>
          </c:spPr>
          <c:marker>
            <c:spPr>
              <a:noFill/>
              <a:ln w="9525" cap="flat" cmpd="sng" algn="ctr">
                <a:solidFill>
                  <a:prstClr val="black"/>
                </a:solidFill>
                <a:prstDash val="solid"/>
                <a:round/>
              </a:ln>
            </c:spPr>
          </c:marker>
          <c:xVal>
            <c:numRef>
              <c:f>Лист3!$A$3:$A$12</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Лист3!$G$3:$G$12</c:f>
              <c:numCache>
                <c:formatCode>General</c:formatCode>
                <c:ptCount val="10"/>
                <c:pt idx="0">
                  <c:v>1.1100000000000001</c:v>
                </c:pt>
                <c:pt idx="1">
                  <c:v>1.25</c:v>
                </c:pt>
                <c:pt idx="2">
                  <c:v>1.43</c:v>
                </c:pt>
                <c:pt idx="3">
                  <c:v>1.67</c:v>
                </c:pt>
                <c:pt idx="4">
                  <c:v>2</c:v>
                </c:pt>
                <c:pt idx="5">
                  <c:v>2.5</c:v>
                </c:pt>
                <c:pt idx="6">
                  <c:v>3.33</c:v>
                </c:pt>
                <c:pt idx="7">
                  <c:v>5</c:v>
                </c:pt>
                <c:pt idx="8">
                  <c:v>10</c:v>
                </c:pt>
                <c:pt idx="9">
                  <c:v>20</c:v>
                </c:pt>
              </c:numCache>
            </c:numRef>
          </c:yVal>
          <c:smooth val="0"/>
          <c:extLst>
            <c:ext xmlns:c16="http://schemas.microsoft.com/office/drawing/2014/chart" uri="{C3380CC4-5D6E-409C-BE32-E72D297353CC}">
              <c16:uniqueId val="{00000003-9EF3-4D5F-B2B7-3AC8F9EF1D4C}"/>
            </c:ext>
          </c:extLst>
        </c:ser>
        <c:dLbls>
          <c:showLegendKey val="0"/>
          <c:showVal val="0"/>
          <c:showCatName val="0"/>
          <c:showSerName val="0"/>
          <c:showPercent val="0"/>
          <c:showBubbleSize val="0"/>
        </c:dLbls>
        <c:axId val="231179392"/>
        <c:axId val="231181696"/>
      </c:scatterChart>
      <c:scatterChart>
        <c:scatterStyle val="lineMarker"/>
        <c:varyColors val="0"/>
        <c:ser>
          <c:idx val="2"/>
          <c:order val="2"/>
          <c:spPr>
            <a:ln w="22225" cap="rnd" cmpd="sng" algn="ctr">
              <a:solidFill>
                <a:prstClr val="black"/>
              </a:solidFill>
              <a:prstDash val="dash"/>
              <a:round/>
            </a:ln>
          </c:spPr>
          <c:marker>
            <c:spPr>
              <a:noFill/>
              <a:ln w="9525" cap="flat" cmpd="sng" algn="ctr">
                <a:solidFill>
                  <a:prstClr val="black"/>
                </a:solidFill>
                <a:prstDash val="solid"/>
                <a:round/>
              </a:ln>
            </c:spPr>
          </c:marker>
          <c:xVal>
            <c:numRef>
              <c:f>Лист3!$A$3:$A$12</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Лист3!$D$3:$D$12</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0"/>
          <c:extLst>
            <c:ext xmlns:c16="http://schemas.microsoft.com/office/drawing/2014/chart" uri="{C3380CC4-5D6E-409C-BE32-E72D297353CC}">
              <c16:uniqueId val="{00000004-9EF3-4D5F-B2B7-3AC8F9EF1D4C}"/>
            </c:ext>
          </c:extLst>
        </c:ser>
        <c:ser>
          <c:idx val="3"/>
          <c:order val="3"/>
          <c:spPr>
            <a:ln w="22225" cap="rnd" cmpd="sng" algn="ctr">
              <a:solidFill>
                <a:prstClr val="black"/>
              </a:solidFill>
              <a:prstDash val="solid"/>
              <a:round/>
            </a:ln>
          </c:spPr>
          <c:marker>
            <c:symbol val="x"/>
            <c:size val="7"/>
            <c:spPr>
              <a:noFill/>
              <a:ln w="9525" cap="flat" cmpd="sng" algn="ctr">
                <a:solidFill>
                  <a:prstClr val="black"/>
                </a:solidFill>
                <a:prstDash val="solid"/>
                <a:round/>
              </a:ln>
            </c:spPr>
          </c:marker>
          <c:xVal>
            <c:numRef>
              <c:f>Лист3!$A$3:$A$12</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Лист3!$E$3:$E$12</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0"/>
          <c:extLst>
            <c:ext xmlns:c16="http://schemas.microsoft.com/office/drawing/2014/chart" uri="{C3380CC4-5D6E-409C-BE32-E72D297353CC}">
              <c16:uniqueId val="{00000005-9EF3-4D5F-B2B7-3AC8F9EF1D4C}"/>
            </c:ext>
          </c:extLst>
        </c:ser>
        <c:dLbls>
          <c:showLegendKey val="0"/>
          <c:showVal val="0"/>
          <c:showCatName val="0"/>
          <c:showSerName val="0"/>
          <c:showPercent val="0"/>
          <c:showBubbleSize val="0"/>
        </c:dLbls>
        <c:axId val="231210368"/>
        <c:axId val="231208448"/>
      </c:scatterChart>
      <c:valAx>
        <c:axId val="231179392"/>
        <c:scaling>
          <c:orientation val="minMax"/>
        </c:scaling>
        <c:delete val="0"/>
        <c:axPos val="b"/>
        <c:title>
          <c:tx>
            <c:rich>
              <a:bodyPr rot="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А, %</a:t>
                </a:r>
                <a:endParaRPr lang="en-US" sz="1200">
                  <a:latin typeface="Times New Roman" panose="02020603050405020304" charset="0"/>
                  <a:cs typeface="Times New Roman" panose="02020603050405020304" charset="0"/>
                </a:endParaRPr>
              </a:p>
            </c:rich>
          </c:tx>
          <c:layout>
            <c:manualLayout>
              <c:xMode val="edge"/>
              <c:yMode val="edge"/>
              <c:x val="0.92350756079604401"/>
              <c:y val="0.89294166191337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1181696"/>
        <c:crosses val="autoZero"/>
        <c:crossBetween val="midCat"/>
        <c:majorUnit val="10"/>
      </c:valAx>
      <c:valAx>
        <c:axId val="231181696"/>
        <c:scaling>
          <c:orientation val="minMax"/>
        </c:scaling>
        <c:delete val="0"/>
        <c:axPos val="l"/>
        <c:title>
          <c:tx>
            <c:rich>
              <a:bodyPr rot="-540000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a:t>
                </a:r>
                <a:r>
                  <a:rPr lang="uk-UA" sz="1200" b="1" i="0" u="none" strike="noStrike" baseline="0">
                    <a:latin typeface="Times New Roman" panose="02020603050405020304" charset="0"/>
                    <a:cs typeface="Times New Roman" panose="02020603050405020304" charset="0"/>
                  </a:rPr>
                  <a:t>∙10</a:t>
                </a:r>
                <a:r>
                  <a:rPr lang="uk-UA" sz="1200" b="1" i="0" u="none" strike="noStrike" baseline="30000">
                    <a:latin typeface="Times New Roman" panose="02020603050405020304" charset="0"/>
                    <a:cs typeface="Times New Roman" panose="02020603050405020304" charset="0"/>
                  </a:rPr>
                  <a:t>8</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1.2083250558003101E-2"/>
              <c:y val="0.23797868763398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1179392"/>
        <c:crosses val="autoZero"/>
        <c:crossBetween val="midCat"/>
      </c:valAx>
      <c:valAx>
        <c:axId val="231210368"/>
        <c:scaling>
          <c:orientation val="minMax"/>
        </c:scaling>
        <c:delete val="1"/>
        <c:axPos val="b"/>
        <c:numFmt formatCode="General" sourceLinked="1"/>
        <c:majorTickMark val="out"/>
        <c:minorTickMark val="none"/>
        <c:tickLblPos val="none"/>
        <c:crossAx val="231208448"/>
        <c:crosses val="autoZero"/>
        <c:crossBetween val="midCat"/>
      </c:valAx>
      <c:valAx>
        <c:axId val="231208448"/>
        <c:scaling>
          <c:orientation val="minMax"/>
          <c:max val="100"/>
          <c:min val="60"/>
        </c:scaling>
        <c:delete val="0"/>
        <c:axPos val="r"/>
        <c:title>
          <c:tx>
            <c:rich>
              <a:bodyPr rot="-540000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R, %</a:t>
                </a:r>
              </a:p>
            </c:rich>
          </c:tx>
          <c:layout>
            <c:manualLayout>
              <c:xMode val="edge"/>
              <c:yMode val="edge"/>
              <c:x val="0.95736480110548905"/>
              <c:y val="0.32086304588219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1210368"/>
        <c:crosses val="max"/>
        <c:crossBetween val="midCat"/>
        <c:majorUnit val="1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170027140207"/>
          <c:y val="5.1400554097404502E-2"/>
          <c:w val="0.77684081719514997"/>
          <c:h val="0.79349342897974096"/>
        </c:manualLayout>
      </c:layout>
      <c:scatterChart>
        <c:scatterStyle val="smoothMarker"/>
        <c:varyColors val="0"/>
        <c:ser>
          <c:idx val="0"/>
          <c:order val="0"/>
          <c:spPr>
            <a:ln w="25400" cap="rnd" cmpd="sng" algn="ctr">
              <a:solidFill>
                <a:sysClr val="windowText" lastClr="000000"/>
              </a:solidFill>
              <a:prstDash val="solid"/>
              <a:round/>
            </a:ln>
          </c:spPr>
          <c:marker>
            <c:spPr>
              <a:solidFill>
                <a:sysClr val="windowText" lastClr="000000"/>
              </a:solidFill>
              <a:ln w="9525" cap="flat" cmpd="sng" algn="ctr">
                <a:solidFill>
                  <a:sysClr val="windowText" lastClr="000000"/>
                </a:solidFill>
                <a:prstDash val="solid"/>
                <a:round/>
              </a:ln>
            </c:spPr>
          </c:marker>
          <c:xVal>
            <c:numRef>
              <c:f>Лист6!$A$2:$A$11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Лист6!$B$2:$B$11</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1"/>
          <c:extLst>
            <c:ext xmlns:c16="http://schemas.microsoft.com/office/drawing/2014/chart" uri="{C3380CC4-5D6E-409C-BE32-E72D297353CC}">
              <c16:uniqueId val="{00000000-FD36-4012-886C-B0FC763C0E3C}"/>
            </c:ext>
          </c:extLst>
        </c:ser>
        <c:ser>
          <c:idx val="2"/>
          <c:order val="1"/>
          <c:spPr>
            <a:ln w="25400" cap="rnd" cmpd="sng" algn="ctr">
              <a:solidFill>
                <a:sysClr val="windowText" lastClr="000000"/>
              </a:solidFill>
              <a:prstDash val="solid"/>
              <a:round/>
            </a:ln>
          </c:spPr>
          <c:marker>
            <c:spPr>
              <a:noFill/>
              <a:ln w="9525" cap="flat" cmpd="sng" algn="ctr">
                <a:solidFill>
                  <a:sysClr val="windowText" lastClr="000000"/>
                </a:solidFill>
                <a:prstDash val="solid"/>
                <a:round/>
              </a:ln>
            </c:spPr>
          </c:marker>
          <c:xVal>
            <c:numRef>
              <c:f>Лист6!$A$2:$A$11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Лист6!$D$2:$D$11</c:f>
              <c:numCache>
                <c:formatCode>General</c:formatCode>
                <c:ptCount val="10"/>
                <c:pt idx="0">
                  <c:v>0</c:v>
                </c:pt>
                <c:pt idx="1">
                  <c:v>0</c:v>
                </c:pt>
                <c:pt idx="2">
                  <c:v>1.1200000000000001</c:v>
                </c:pt>
                <c:pt idx="3">
                  <c:v>1.2</c:v>
                </c:pt>
                <c:pt idx="4">
                  <c:v>1.9</c:v>
                </c:pt>
                <c:pt idx="5">
                  <c:v>1.9</c:v>
                </c:pt>
                <c:pt idx="6">
                  <c:v>2.14</c:v>
                </c:pt>
                <c:pt idx="7">
                  <c:v>2.14</c:v>
                </c:pt>
                <c:pt idx="8">
                  <c:v>2.38</c:v>
                </c:pt>
                <c:pt idx="9">
                  <c:v>2.38</c:v>
                </c:pt>
              </c:numCache>
            </c:numRef>
          </c:yVal>
          <c:smooth val="1"/>
          <c:extLst>
            <c:ext xmlns:c16="http://schemas.microsoft.com/office/drawing/2014/chart" uri="{C3380CC4-5D6E-409C-BE32-E72D297353CC}">
              <c16:uniqueId val="{00000001-FD36-4012-886C-B0FC763C0E3C}"/>
            </c:ext>
          </c:extLst>
        </c:ser>
        <c:ser>
          <c:idx val="3"/>
          <c:order val="2"/>
          <c:spPr>
            <a:ln w="25400" cap="rnd" cmpd="sng" algn="ctr">
              <a:solidFill>
                <a:sysClr val="windowText" lastClr="000000"/>
              </a:solidFill>
              <a:prstDash val="sysDash"/>
              <a:round/>
            </a:ln>
          </c:spPr>
          <c:marker>
            <c:spPr>
              <a:ln w="9525" cap="flat" cmpd="sng" algn="ctr">
                <a:solidFill>
                  <a:sysClr val="windowText" lastClr="000000"/>
                </a:solidFill>
                <a:prstDash val="solid"/>
                <a:round/>
              </a:ln>
            </c:spPr>
          </c:marker>
          <c:xVal>
            <c:numRef>
              <c:f>Лист6!$A$2:$A$11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Лист6!$E$2:$E$11</c:f>
              <c:numCache>
                <c:formatCode>General</c:formatCode>
                <c:ptCount val="10"/>
                <c:pt idx="0">
                  <c:v>0</c:v>
                </c:pt>
                <c:pt idx="1">
                  <c:v>0</c:v>
                </c:pt>
                <c:pt idx="2">
                  <c:v>0.71000000000000096</c:v>
                </c:pt>
                <c:pt idx="3">
                  <c:v>0.95000000000000095</c:v>
                </c:pt>
                <c:pt idx="4">
                  <c:v>1.1900000000000099</c:v>
                </c:pt>
                <c:pt idx="5">
                  <c:v>1.42</c:v>
                </c:pt>
                <c:pt idx="6">
                  <c:v>1.67</c:v>
                </c:pt>
                <c:pt idx="7">
                  <c:v>1.9</c:v>
                </c:pt>
                <c:pt idx="8">
                  <c:v>2.14</c:v>
                </c:pt>
                <c:pt idx="9">
                  <c:v>2.38</c:v>
                </c:pt>
              </c:numCache>
            </c:numRef>
          </c:yVal>
          <c:smooth val="1"/>
          <c:extLst>
            <c:ext xmlns:c16="http://schemas.microsoft.com/office/drawing/2014/chart" uri="{C3380CC4-5D6E-409C-BE32-E72D297353CC}">
              <c16:uniqueId val="{00000002-FD36-4012-886C-B0FC763C0E3C}"/>
            </c:ext>
          </c:extLst>
        </c:ser>
        <c:ser>
          <c:idx val="1"/>
          <c:order val="3"/>
          <c:tx>
            <c:strRef>
              <c:f>2</c:f>
              <c:strCache>
                <c:ptCount val="1"/>
                <c:pt idx="0">
                  <c:v>2</c:v>
                </c:pt>
              </c:strCache>
            </c:strRef>
          </c:tx>
          <c:spPr>
            <a:ln w="25400" cap="rnd" cmpd="sng" algn="ctr">
              <a:solidFill>
                <a:sysClr val="windowText" lastClr="000000"/>
              </a:solidFill>
              <a:prstDash val="sysDash"/>
              <a:round/>
            </a:ln>
          </c:spPr>
          <c:marker>
            <c:spPr>
              <a:noFill/>
              <a:ln w="9525" cap="flat" cmpd="sng" algn="ctr">
                <a:solidFill>
                  <a:sysClr val="windowText" lastClr="000000"/>
                </a:solidFill>
                <a:prstDash val="solid"/>
                <a:round/>
              </a:ln>
            </c:spPr>
          </c:marker>
          <c:xVal>
            <c:numRef>
              <c:f>Лист6!$A$2:$A$11</c:f>
              <c:numCache>
                <c:formatCode>General</c:formatCode>
                <c:ptCount val="10"/>
                <c:pt idx="0">
                  <c:v>10</c:v>
                </c:pt>
                <c:pt idx="1">
                  <c:v>20</c:v>
                </c:pt>
                <c:pt idx="2">
                  <c:v>30</c:v>
                </c:pt>
                <c:pt idx="3">
                  <c:v>40</c:v>
                </c:pt>
                <c:pt idx="4">
                  <c:v>50</c:v>
                </c:pt>
                <c:pt idx="5">
                  <c:v>60</c:v>
                </c:pt>
                <c:pt idx="6">
                  <c:v>70</c:v>
                </c:pt>
                <c:pt idx="7">
                  <c:v>80</c:v>
                </c:pt>
                <c:pt idx="8">
                  <c:v>90</c:v>
                </c:pt>
                <c:pt idx="9">
                  <c:v>95</c:v>
                </c:pt>
              </c:numCache>
            </c:numRef>
          </c:xVal>
          <c:yVal>
            <c:numRef>
              <c:f>Лист6!$C$2:$C$11</c:f>
              <c:numCache>
                <c:formatCode>General</c:formatCode>
                <c:ptCount val="10"/>
                <c:pt idx="0">
                  <c:v>100</c:v>
                </c:pt>
                <c:pt idx="1">
                  <c:v>100</c:v>
                </c:pt>
                <c:pt idx="2">
                  <c:v>100</c:v>
                </c:pt>
                <c:pt idx="3">
                  <c:v>100</c:v>
                </c:pt>
                <c:pt idx="4">
                  <c:v>100</c:v>
                </c:pt>
                <c:pt idx="5">
                  <c:v>100</c:v>
                </c:pt>
                <c:pt idx="6">
                  <c:v>100</c:v>
                </c:pt>
                <c:pt idx="7">
                  <c:v>100</c:v>
                </c:pt>
                <c:pt idx="8">
                  <c:v>100</c:v>
                </c:pt>
                <c:pt idx="9">
                  <c:v>100</c:v>
                </c:pt>
              </c:numCache>
            </c:numRef>
          </c:yVal>
          <c:smooth val="1"/>
          <c:extLst>
            <c:ext xmlns:c16="http://schemas.microsoft.com/office/drawing/2014/chart" uri="{C3380CC4-5D6E-409C-BE32-E72D297353CC}">
              <c16:uniqueId val="{00000003-FD36-4012-886C-B0FC763C0E3C}"/>
            </c:ext>
          </c:extLst>
        </c:ser>
        <c:dLbls>
          <c:showLegendKey val="0"/>
          <c:showVal val="0"/>
          <c:showCatName val="0"/>
          <c:showSerName val="0"/>
          <c:showPercent val="0"/>
          <c:showBubbleSize val="0"/>
        </c:dLbls>
        <c:axId val="230060416"/>
        <c:axId val="230062720"/>
      </c:scatterChart>
      <c:valAx>
        <c:axId val="230060416"/>
        <c:scaling>
          <c:orientation val="minMax"/>
          <c:max val="100"/>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 %</a:t>
                </a:r>
              </a:p>
            </c:rich>
          </c:tx>
          <c:layout>
            <c:manualLayout>
              <c:xMode val="edge"/>
              <c:yMode val="edge"/>
              <c:x val="0.92507874015748104"/>
              <c:y val="0.866366277169090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062720"/>
        <c:crosses val="autoZero"/>
        <c:crossBetween val="midCat"/>
        <c:majorUnit val="10"/>
      </c:valAx>
      <c:valAx>
        <c:axId val="230062720"/>
        <c:scaling>
          <c:orientation val="minMax"/>
          <c:max val="100"/>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R, %</a:t>
                </a:r>
              </a:p>
            </c:rich>
          </c:tx>
          <c:layout>
            <c:manualLayout>
              <c:xMode val="edge"/>
              <c:yMode val="edge"/>
              <c:x val="6.3823740195781097E-3"/>
              <c:y val="0.3408584864391949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230060416"/>
        <c:crosses val="autoZero"/>
        <c:crossBetween val="midCat"/>
        <c:majorUnit val="20"/>
      </c:valAx>
      <c:spPr>
        <a:ln>
          <a:noFill/>
        </a:ln>
      </c:spPr>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630087575686699"/>
          <c:y val="5.6030183727034097E-2"/>
          <c:w val="0.73688875029235201"/>
          <c:h val="0.77701427565456804"/>
        </c:manualLayout>
      </c:layout>
      <c:scatterChart>
        <c:scatterStyle val="smoothMarker"/>
        <c:varyColors val="0"/>
        <c:ser>
          <c:idx val="0"/>
          <c:order val="0"/>
          <c:spPr>
            <a:ln w="22225" cap="rnd" cmpd="sng" algn="ctr">
              <a:solidFill>
                <a:prstClr val="black"/>
              </a:solidFill>
              <a:prstDash val="sysDash"/>
              <a:round/>
            </a:ln>
          </c:spPr>
          <c:marker>
            <c:spPr>
              <a:solidFill>
                <a:schemeClr val="tx1"/>
              </a:solidFill>
              <a:ln w="9525" cap="flat" cmpd="sng" algn="ctr">
                <a:solidFill>
                  <a:prstClr val="black"/>
                </a:solidFill>
                <a:prstDash val="solid"/>
                <a:round/>
              </a:ln>
            </c:spPr>
          </c:marker>
          <c:dLbls>
            <c:delete val="1"/>
          </c:dLbls>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Лист1!$B$2:$B$12</c:f>
              <c:numCache>
                <c:formatCode>General</c:formatCode>
                <c:ptCount val="11"/>
                <c:pt idx="0">
                  <c:v>0</c:v>
                </c:pt>
                <c:pt idx="1">
                  <c:v>3.4</c:v>
                </c:pt>
                <c:pt idx="2">
                  <c:v>5.7</c:v>
                </c:pt>
                <c:pt idx="3">
                  <c:v>6.6</c:v>
                </c:pt>
                <c:pt idx="4">
                  <c:v>8.9</c:v>
                </c:pt>
                <c:pt idx="5">
                  <c:v>13</c:v>
                </c:pt>
                <c:pt idx="6">
                  <c:v>15.8</c:v>
                </c:pt>
                <c:pt idx="7">
                  <c:v>24.8</c:v>
                </c:pt>
                <c:pt idx="8">
                  <c:v>30.1</c:v>
                </c:pt>
                <c:pt idx="9">
                  <c:v>44.2</c:v>
                </c:pt>
                <c:pt idx="10">
                  <c:v>48.1</c:v>
                </c:pt>
              </c:numCache>
            </c:numRef>
          </c:yVal>
          <c:smooth val="1"/>
          <c:extLst>
            <c:ext xmlns:c16="http://schemas.microsoft.com/office/drawing/2014/chart" uri="{C3380CC4-5D6E-409C-BE32-E72D297353CC}">
              <c16:uniqueId val="{00000000-548E-4A75-9196-B2218817C17F}"/>
            </c:ext>
          </c:extLst>
        </c:ser>
        <c:ser>
          <c:idx val="1"/>
          <c:order val="1"/>
          <c:spPr>
            <a:ln w="22225" cap="rnd" cmpd="sng" algn="ctr">
              <a:solidFill>
                <a:schemeClr val="tx1"/>
              </a:solidFill>
              <a:prstDash val="solid"/>
              <a:round/>
            </a:ln>
          </c:spPr>
          <c:marker>
            <c:symbol val="square"/>
            <c:size val="6"/>
            <c:spPr>
              <a:noFill/>
              <a:ln w="9525" cap="flat" cmpd="sng" algn="ctr">
                <a:solidFill>
                  <a:schemeClr val="tx1"/>
                </a:solidFill>
                <a:prstDash val="solid"/>
                <a:round/>
              </a:ln>
            </c:spPr>
          </c:marker>
          <c:dLbls>
            <c:delete val="1"/>
          </c:dLbls>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Лист1!$C$2:$C$12</c:f>
              <c:numCache>
                <c:formatCode>General</c:formatCode>
                <c:ptCount val="11"/>
                <c:pt idx="0">
                  <c:v>0</c:v>
                </c:pt>
                <c:pt idx="1">
                  <c:v>3.5</c:v>
                </c:pt>
                <c:pt idx="2">
                  <c:v>6</c:v>
                </c:pt>
                <c:pt idx="3">
                  <c:v>6.8</c:v>
                </c:pt>
                <c:pt idx="4">
                  <c:v>7.5</c:v>
                </c:pt>
                <c:pt idx="5">
                  <c:v>15</c:v>
                </c:pt>
                <c:pt idx="6">
                  <c:v>16.5</c:v>
                </c:pt>
                <c:pt idx="7">
                  <c:v>25</c:v>
                </c:pt>
                <c:pt idx="8">
                  <c:v>40.5</c:v>
                </c:pt>
                <c:pt idx="9">
                  <c:v>42.5</c:v>
                </c:pt>
                <c:pt idx="10">
                  <c:v>46.1</c:v>
                </c:pt>
              </c:numCache>
            </c:numRef>
          </c:yVal>
          <c:smooth val="1"/>
          <c:extLst>
            <c:ext xmlns:c16="http://schemas.microsoft.com/office/drawing/2014/chart" uri="{C3380CC4-5D6E-409C-BE32-E72D297353CC}">
              <c16:uniqueId val="{00000001-548E-4A75-9196-B2218817C17F}"/>
            </c:ext>
          </c:extLst>
        </c:ser>
        <c:ser>
          <c:idx val="2"/>
          <c:order val="2"/>
          <c:spPr>
            <a:ln w="22225" cap="rnd" cmpd="sng" algn="ctr">
              <a:solidFill>
                <a:prstClr val="black"/>
              </a:solidFill>
              <a:prstDash val="lgDashDot"/>
              <a:round/>
            </a:ln>
          </c:spPr>
          <c:marker>
            <c:spPr>
              <a:noFill/>
              <a:ln w="9525" cap="flat" cmpd="sng" algn="ctr">
                <a:solidFill>
                  <a:prstClr val="black"/>
                </a:solidFill>
                <a:prstDash val="solid"/>
                <a:round/>
              </a:ln>
            </c:spPr>
          </c:marker>
          <c:dLbls>
            <c:delete val="1"/>
          </c:dLbls>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Лист1!$D$2:$D$12</c:f>
              <c:numCache>
                <c:formatCode>General</c:formatCode>
                <c:ptCount val="11"/>
                <c:pt idx="0">
                  <c:v>0</c:v>
                </c:pt>
                <c:pt idx="1">
                  <c:v>1.3</c:v>
                </c:pt>
                <c:pt idx="2">
                  <c:v>1.5</c:v>
                </c:pt>
                <c:pt idx="3">
                  <c:v>1.5</c:v>
                </c:pt>
                <c:pt idx="4">
                  <c:v>2.5</c:v>
                </c:pt>
                <c:pt idx="5">
                  <c:v>4.5</c:v>
                </c:pt>
                <c:pt idx="6">
                  <c:v>4.9000000000000004</c:v>
                </c:pt>
                <c:pt idx="7">
                  <c:v>4.9000000000000004</c:v>
                </c:pt>
                <c:pt idx="8">
                  <c:v>7.1</c:v>
                </c:pt>
                <c:pt idx="9">
                  <c:v>7.5</c:v>
                </c:pt>
                <c:pt idx="10">
                  <c:v>8.6999999999999993</c:v>
                </c:pt>
              </c:numCache>
            </c:numRef>
          </c:yVal>
          <c:smooth val="1"/>
          <c:extLst>
            <c:ext xmlns:c16="http://schemas.microsoft.com/office/drawing/2014/chart" uri="{C3380CC4-5D6E-409C-BE32-E72D297353CC}">
              <c16:uniqueId val="{00000002-548E-4A75-9196-B2218817C17F}"/>
            </c:ext>
          </c:extLst>
        </c:ser>
        <c:ser>
          <c:idx val="3"/>
          <c:order val="3"/>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Лист1!$E$2:$E$12</c:f>
              <c:numCache>
                <c:formatCode>General</c:formatCode>
                <c:ptCount val="11"/>
                <c:pt idx="0">
                  <c:v>0</c:v>
                </c:pt>
                <c:pt idx="1">
                  <c:v>1.6</c:v>
                </c:pt>
                <c:pt idx="2">
                  <c:v>1.6</c:v>
                </c:pt>
                <c:pt idx="3">
                  <c:v>1.9</c:v>
                </c:pt>
                <c:pt idx="4">
                  <c:v>3.5</c:v>
                </c:pt>
                <c:pt idx="5">
                  <c:v>5.5</c:v>
                </c:pt>
                <c:pt idx="6">
                  <c:v>5.5</c:v>
                </c:pt>
                <c:pt idx="7">
                  <c:v>5.9</c:v>
                </c:pt>
                <c:pt idx="8">
                  <c:v>7.6</c:v>
                </c:pt>
                <c:pt idx="9">
                  <c:v>7.7</c:v>
                </c:pt>
                <c:pt idx="10">
                  <c:v>9.3000000000000007</c:v>
                </c:pt>
              </c:numCache>
            </c:numRef>
          </c:yVal>
          <c:smooth val="1"/>
          <c:extLst>
            <c:ext xmlns:c16="http://schemas.microsoft.com/office/drawing/2014/chart" uri="{C3380CC4-5D6E-409C-BE32-E72D297353CC}">
              <c16:uniqueId val="{00000003-548E-4A75-9196-B2218817C17F}"/>
            </c:ext>
          </c:extLst>
        </c:ser>
        <c:dLbls>
          <c:showLegendKey val="1"/>
          <c:showVal val="1"/>
          <c:showCatName val="1"/>
          <c:showSerName val="1"/>
          <c:showPercent val="1"/>
          <c:showBubbleSize val="1"/>
        </c:dLbls>
        <c:axId val="36853248"/>
        <c:axId val="36855168"/>
      </c:scatterChart>
      <c:scatterChart>
        <c:scatterStyle val="smoothMarker"/>
        <c:varyColors val="0"/>
        <c:ser>
          <c:idx val="4"/>
          <c:order val="4"/>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Лист1!$F$2:$F$12</c:f>
              <c:numCache>
                <c:formatCode>General</c:formatCode>
                <c:ptCount val="11"/>
                <c:pt idx="0">
                  <c:v>0</c:v>
                </c:pt>
                <c:pt idx="1">
                  <c:v>2.5</c:v>
                </c:pt>
                <c:pt idx="2">
                  <c:v>2.5</c:v>
                </c:pt>
                <c:pt idx="3">
                  <c:v>3.8</c:v>
                </c:pt>
                <c:pt idx="4">
                  <c:v>5</c:v>
                </c:pt>
                <c:pt idx="5">
                  <c:v>5</c:v>
                </c:pt>
                <c:pt idx="6">
                  <c:v>5</c:v>
                </c:pt>
                <c:pt idx="7">
                  <c:v>5</c:v>
                </c:pt>
                <c:pt idx="8">
                  <c:v>5</c:v>
                </c:pt>
                <c:pt idx="9">
                  <c:v>5</c:v>
                </c:pt>
                <c:pt idx="10">
                  <c:v>7.5</c:v>
                </c:pt>
              </c:numCache>
            </c:numRef>
          </c:yVal>
          <c:smooth val="1"/>
          <c:extLst>
            <c:ext xmlns:c16="http://schemas.microsoft.com/office/drawing/2014/chart" uri="{C3380CC4-5D6E-409C-BE32-E72D297353CC}">
              <c16:uniqueId val="{00000004-548E-4A75-9196-B2218817C17F}"/>
            </c:ext>
          </c:extLst>
        </c:ser>
        <c:ser>
          <c:idx val="5"/>
          <c:order val="5"/>
          <c:spPr>
            <a:ln w="22225" cap="rnd" cmpd="sng" algn="ctr">
              <a:solidFill>
                <a:prstClr val="black"/>
              </a:solidFill>
              <a:prstDash val="solid"/>
              <a:round/>
            </a:ln>
          </c:spPr>
          <c:marker>
            <c:symbol val="circle"/>
            <c:size val="6"/>
            <c:spPr>
              <a:noFill/>
              <a:ln w="9525" cap="flat" cmpd="sng" algn="ctr">
                <a:solidFill>
                  <a:prstClr val="black"/>
                </a:solidFill>
                <a:prstDash val="solid"/>
                <a:round/>
              </a:ln>
            </c:spPr>
          </c:marker>
          <c:dLbls>
            <c:delete val="1"/>
          </c:dLbls>
          <c:xVal>
            <c:numRef>
              <c:f>Лист1!$A$2:$A$12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Лист1!$G$2:$G$12</c:f>
              <c:numCache>
                <c:formatCode>General</c:formatCode>
                <c:ptCount val="11"/>
                <c:pt idx="0">
                  <c:v>0</c:v>
                </c:pt>
                <c:pt idx="1">
                  <c:v>5</c:v>
                </c:pt>
                <c:pt idx="2">
                  <c:v>5</c:v>
                </c:pt>
                <c:pt idx="3">
                  <c:v>5</c:v>
                </c:pt>
                <c:pt idx="4">
                  <c:v>5</c:v>
                </c:pt>
                <c:pt idx="5">
                  <c:v>7.5</c:v>
                </c:pt>
                <c:pt idx="6">
                  <c:v>7.5</c:v>
                </c:pt>
                <c:pt idx="7">
                  <c:v>8</c:v>
                </c:pt>
                <c:pt idx="8">
                  <c:v>8</c:v>
                </c:pt>
                <c:pt idx="9">
                  <c:v>8</c:v>
                </c:pt>
                <c:pt idx="10">
                  <c:v>8</c:v>
                </c:pt>
              </c:numCache>
            </c:numRef>
          </c:yVal>
          <c:smooth val="1"/>
          <c:extLst>
            <c:ext xmlns:c16="http://schemas.microsoft.com/office/drawing/2014/chart" uri="{C3380CC4-5D6E-409C-BE32-E72D297353CC}">
              <c16:uniqueId val="{00000005-548E-4A75-9196-B2218817C17F}"/>
            </c:ext>
          </c:extLst>
        </c:ser>
        <c:dLbls>
          <c:showLegendKey val="1"/>
          <c:showVal val="1"/>
          <c:showCatName val="1"/>
          <c:showSerName val="1"/>
          <c:showPercent val="1"/>
          <c:showBubbleSize val="1"/>
        </c:dLbls>
        <c:axId val="36865536"/>
        <c:axId val="36867072"/>
      </c:scatterChart>
      <c:valAx>
        <c:axId val="36853248"/>
        <c:scaling>
          <c:orientation val="minMax"/>
          <c:max val="5"/>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9230259088900998"/>
              <c:y val="0.905044491389796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36855168"/>
        <c:crosses val="autoZero"/>
        <c:crossBetween val="midCat"/>
      </c:valAx>
      <c:valAx>
        <c:axId val="36855168"/>
        <c:scaling>
          <c:orientation val="minMax"/>
          <c:max val="5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altLang="en-US" sz="1200" b="1" i="0" baseline="0">
                    <a:latin typeface="Times New Roman" panose="02020603050405020304" charset="0"/>
                    <a:cs typeface="Times New Roman" panose="02020603050405020304" charset="0"/>
                  </a:rPr>
                  <a:t>[Zn</a:t>
                </a:r>
                <a:r>
                  <a:rPr lang="en-US" altLang="en-US" sz="1200" b="1" i="0" baseline="30000">
                    <a:latin typeface="Times New Roman" panose="02020603050405020304" charset="0"/>
                    <a:cs typeface="Times New Roman" panose="02020603050405020304" charset="0"/>
                  </a:rPr>
                  <a:t>2+</a:t>
                </a:r>
                <a:r>
                  <a:rPr lang="en-US" altLang="en-US" sz="1200" b="1" i="0" baseline="0">
                    <a:latin typeface="Times New Roman" panose="02020603050405020304" charset="0"/>
                    <a:cs typeface="Times New Roman" panose="02020603050405020304" charset="0"/>
                  </a:rPr>
                  <a:t>]</a:t>
                </a:r>
                <a:r>
                  <a:rPr lang="en-US" sz="1200" b="1" i="0" baseline="0">
                    <a:latin typeface="Times New Roman" panose="02020603050405020304" charset="0"/>
                    <a:cs typeface="Times New Roman" panose="02020603050405020304" charset="0"/>
                  </a:rPr>
                  <a:t>·10</a:t>
                </a:r>
                <a:r>
                  <a:rPr lang="uk-UA" sz="1200" b="1" i="0" baseline="30000">
                    <a:latin typeface="Times New Roman" panose="02020603050405020304" charset="0"/>
                    <a:cs typeface="Times New Roman" panose="02020603050405020304" charset="0"/>
                  </a:rPr>
                  <a:t>2</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5.5555555555555601E-3"/>
              <c:y val="0.22769867308253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36853248"/>
        <c:crosses val="autoZero"/>
        <c:crossBetween val="midCat"/>
      </c:valAx>
      <c:valAx>
        <c:axId val="36865536"/>
        <c:scaling>
          <c:orientation val="minMax"/>
        </c:scaling>
        <c:delete val="1"/>
        <c:axPos val="b"/>
        <c:numFmt formatCode="General" sourceLinked="1"/>
        <c:majorTickMark val="out"/>
        <c:minorTickMark val="none"/>
        <c:tickLblPos val="none"/>
        <c:crossAx val="36867072"/>
        <c:crosses val="autoZero"/>
        <c:crossBetween val="midCat"/>
      </c:valAx>
      <c:valAx>
        <c:axId val="36867072"/>
        <c:scaling>
          <c:orientation val="minMax"/>
          <c:max val="8"/>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Ж·10</a:t>
                </a:r>
                <a:r>
                  <a:rPr lang="ru-RU" sz="1200" b="1" i="0" baseline="30000">
                    <a:latin typeface="Times New Roman" panose="02020603050405020304" charset="0"/>
                    <a:cs typeface="Times New Roman" panose="02020603050405020304" charset="0"/>
                  </a:rPr>
                  <a:t>2</a:t>
                </a:r>
                <a:r>
                  <a:rPr lang="ru-RU" sz="1200" b="1" i="0" baseline="0">
                    <a:latin typeface="Times New Roman" panose="02020603050405020304" charset="0"/>
                    <a:cs typeface="Times New Roman" panose="02020603050405020304" charset="0"/>
                  </a:rPr>
                  <a:t>, мг-екв/дм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94249879227053202"/>
              <c:y val="0.15920107547532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ru-RU"/>
          </a:p>
        </c:txPr>
        <c:crossAx val="36865536"/>
        <c:crosses val="max"/>
        <c:crossBetween val="midCat"/>
        <c:majorUnit val="1"/>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379629629629599"/>
          <c:y val="5.2536231884058003E-2"/>
          <c:w val="0.73384259259259299"/>
          <c:h val="0.78478260869565197"/>
        </c:manualLayout>
      </c:layout>
      <c:scatterChart>
        <c:scatterStyle val="lineMarker"/>
        <c:varyColors val="0"/>
        <c:ser>
          <c:idx val="0"/>
          <c:order val="0"/>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4'!$B$2:$B$12</c:f>
              <c:numCache>
                <c:formatCode>General</c:formatCode>
                <c:ptCount val="11"/>
                <c:pt idx="0">
                  <c:v>0</c:v>
                </c:pt>
                <c:pt idx="1">
                  <c:v>97.18</c:v>
                </c:pt>
                <c:pt idx="2">
                  <c:v>94.75</c:v>
                </c:pt>
                <c:pt idx="3">
                  <c:v>94.51</c:v>
                </c:pt>
                <c:pt idx="4">
                  <c:v>94.51</c:v>
                </c:pt>
                <c:pt idx="5">
                  <c:v>92.66</c:v>
                </c:pt>
                <c:pt idx="6">
                  <c:v>90.96</c:v>
                </c:pt>
                <c:pt idx="7">
                  <c:v>90.88</c:v>
                </c:pt>
                <c:pt idx="8">
                  <c:v>89.18</c:v>
                </c:pt>
                <c:pt idx="9">
                  <c:v>87.25</c:v>
                </c:pt>
                <c:pt idx="10">
                  <c:v>77.400000000000006</c:v>
                </c:pt>
              </c:numCache>
            </c:numRef>
          </c:yVal>
          <c:smooth val="1"/>
          <c:extLst>
            <c:ext xmlns:c16="http://schemas.microsoft.com/office/drawing/2014/chart" uri="{C3380CC4-5D6E-409C-BE32-E72D297353CC}">
              <c16:uniqueId val="{00000000-C085-4824-8C98-803F6FE63D02}"/>
            </c:ext>
          </c:extLst>
        </c:ser>
        <c:ser>
          <c:idx val="1"/>
          <c:order val="1"/>
          <c:spPr>
            <a:ln w="22225" cap="rnd" cmpd="sng" algn="ctr">
              <a:solidFill>
                <a:prstClr val="black"/>
              </a:solidFill>
              <a:prstDash val="dash"/>
              <a:round/>
            </a:ln>
          </c:spPr>
          <c:marker>
            <c:symbol val="square"/>
            <c:size val="6"/>
            <c:spPr>
              <a:no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4'!$C$2:$C$12</c:f>
              <c:numCache>
                <c:formatCode>General</c:formatCode>
                <c:ptCount val="11"/>
                <c:pt idx="0">
                  <c:v>0</c:v>
                </c:pt>
                <c:pt idx="1">
                  <c:v>96.77</c:v>
                </c:pt>
                <c:pt idx="2">
                  <c:v>94.75</c:v>
                </c:pt>
                <c:pt idx="3">
                  <c:v>94.59</c:v>
                </c:pt>
                <c:pt idx="4">
                  <c:v>93.14</c:v>
                </c:pt>
                <c:pt idx="5">
                  <c:v>92.57</c:v>
                </c:pt>
                <c:pt idx="6">
                  <c:v>90.79</c:v>
                </c:pt>
                <c:pt idx="7">
                  <c:v>89.91</c:v>
                </c:pt>
                <c:pt idx="8">
                  <c:v>88.86</c:v>
                </c:pt>
                <c:pt idx="9">
                  <c:v>85.63</c:v>
                </c:pt>
                <c:pt idx="10">
                  <c:v>79.819999999999993</c:v>
                </c:pt>
              </c:numCache>
            </c:numRef>
          </c:yVal>
          <c:smooth val="1"/>
          <c:extLst>
            <c:ext xmlns:c16="http://schemas.microsoft.com/office/drawing/2014/chart" uri="{C3380CC4-5D6E-409C-BE32-E72D297353CC}">
              <c16:uniqueId val="{00000001-C085-4824-8C98-803F6FE63D02}"/>
            </c:ext>
          </c:extLst>
        </c:ser>
        <c:ser>
          <c:idx val="2"/>
          <c:order val="2"/>
          <c:spPr>
            <a:ln w="22225" cap="rnd" cmpd="sng" algn="ctr">
              <a:solidFill>
                <a:prstClr val="black"/>
              </a:solidFill>
              <a:prstDash val="lgDashDot"/>
              <a:round/>
            </a:ln>
          </c:spPr>
          <c:marker>
            <c:spPr>
              <a:no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4'!$D$2:$D$12</c:f>
              <c:numCache>
                <c:formatCode>General</c:formatCode>
                <c:ptCount val="11"/>
                <c:pt idx="0">
                  <c:v>0</c:v>
                </c:pt>
                <c:pt idx="1">
                  <c:v>99.1</c:v>
                </c:pt>
                <c:pt idx="2">
                  <c:v>99.1</c:v>
                </c:pt>
                <c:pt idx="3">
                  <c:v>98.12</c:v>
                </c:pt>
                <c:pt idx="4">
                  <c:v>97.94</c:v>
                </c:pt>
                <c:pt idx="5">
                  <c:v>97.31</c:v>
                </c:pt>
                <c:pt idx="6">
                  <c:v>96.87</c:v>
                </c:pt>
                <c:pt idx="7">
                  <c:v>95.97</c:v>
                </c:pt>
                <c:pt idx="8">
                  <c:v>95.7</c:v>
                </c:pt>
                <c:pt idx="9">
                  <c:v>94.81</c:v>
                </c:pt>
                <c:pt idx="10">
                  <c:v>89.08</c:v>
                </c:pt>
              </c:numCache>
            </c:numRef>
          </c:yVal>
          <c:smooth val="1"/>
          <c:extLst>
            <c:ext xmlns:c16="http://schemas.microsoft.com/office/drawing/2014/chart" uri="{C3380CC4-5D6E-409C-BE32-E72D297353CC}">
              <c16:uniqueId val="{00000002-C085-4824-8C98-803F6FE63D02}"/>
            </c:ext>
          </c:extLst>
        </c:ser>
        <c:ser>
          <c:idx val="3"/>
          <c:order val="3"/>
          <c:spPr>
            <a:ln w="22225" cap="rnd" cmpd="sng" algn="ctr">
              <a:solidFill>
                <a:prstClr val="black"/>
              </a:solidFill>
              <a:prstDash val="solid"/>
              <a:round/>
            </a:ln>
          </c:spPr>
          <c:marker>
            <c:symbol val="x"/>
            <c:size val="7"/>
            <c:spPr>
              <a:no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4'!$E$2:$E$12</c:f>
              <c:numCache>
                <c:formatCode>General</c:formatCode>
                <c:ptCount val="11"/>
                <c:pt idx="0">
                  <c:v>0</c:v>
                </c:pt>
                <c:pt idx="1">
                  <c:v>98.84</c:v>
                </c:pt>
                <c:pt idx="2">
                  <c:v>98.84</c:v>
                </c:pt>
                <c:pt idx="3">
                  <c:v>98.03</c:v>
                </c:pt>
                <c:pt idx="4">
                  <c:v>97.76</c:v>
                </c:pt>
                <c:pt idx="5">
                  <c:v>97.22</c:v>
                </c:pt>
                <c:pt idx="6">
                  <c:v>96.59</c:v>
                </c:pt>
                <c:pt idx="7">
                  <c:v>95.79</c:v>
                </c:pt>
                <c:pt idx="8">
                  <c:v>95.43</c:v>
                </c:pt>
                <c:pt idx="9">
                  <c:v>94.45</c:v>
                </c:pt>
                <c:pt idx="10">
                  <c:v>88.89</c:v>
                </c:pt>
              </c:numCache>
            </c:numRef>
          </c:yVal>
          <c:smooth val="1"/>
          <c:extLst>
            <c:ext xmlns:c16="http://schemas.microsoft.com/office/drawing/2014/chart" uri="{C3380CC4-5D6E-409C-BE32-E72D297353CC}">
              <c16:uniqueId val="{00000003-C085-4824-8C98-803F6FE63D02}"/>
            </c:ext>
          </c:extLst>
        </c:ser>
        <c:dLbls>
          <c:showLegendKey val="1"/>
          <c:showVal val="1"/>
          <c:showCatName val="1"/>
          <c:showSerName val="1"/>
          <c:showPercent val="1"/>
          <c:showBubbleSize val="1"/>
        </c:dLbls>
        <c:axId val="39478400"/>
        <c:axId val="39480320"/>
      </c:scatterChart>
      <c:scatterChart>
        <c:scatterStyle val="lineMarker"/>
        <c:varyColors val="0"/>
        <c:ser>
          <c:idx val="4"/>
          <c:order val="4"/>
          <c:spPr>
            <a:ln w="22225" cap="rnd" cmpd="sng" algn="ctr">
              <a:solidFill>
                <a:prstClr val="black"/>
              </a:solidFill>
              <a:prstDash val="sysDot"/>
              <a:round/>
            </a:ln>
          </c:spPr>
          <c:marker>
            <c:spPr>
              <a:no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4'!$F$2:$F$12</c:f>
              <c:numCache>
                <c:formatCode>General</c:formatCode>
                <c:ptCount val="11"/>
                <c:pt idx="0">
                  <c:v>6.72</c:v>
                </c:pt>
                <c:pt idx="1">
                  <c:v>9.39</c:v>
                </c:pt>
                <c:pt idx="2">
                  <c:v>9.36</c:v>
                </c:pt>
                <c:pt idx="3">
                  <c:v>9.36</c:v>
                </c:pt>
                <c:pt idx="4">
                  <c:v>9.3500000000000103</c:v>
                </c:pt>
                <c:pt idx="5">
                  <c:v>9.32</c:v>
                </c:pt>
                <c:pt idx="6">
                  <c:v>9.24</c:v>
                </c:pt>
                <c:pt idx="7">
                  <c:v>9.23</c:v>
                </c:pt>
                <c:pt idx="8">
                  <c:v>9.1999999999999993</c:v>
                </c:pt>
                <c:pt idx="9">
                  <c:v>9.1300000000000008</c:v>
                </c:pt>
                <c:pt idx="10">
                  <c:v>8.94</c:v>
                </c:pt>
              </c:numCache>
            </c:numRef>
          </c:yVal>
          <c:smooth val="1"/>
          <c:extLst>
            <c:ext xmlns:c16="http://schemas.microsoft.com/office/drawing/2014/chart" uri="{C3380CC4-5D6E-409C-BE32-E72D297353CC}">
              <c16:uniqueId val="{00000004-C085-4824-8C98-803F6FE63D02}"/>
            </c:ext>
          </c:extLst>
        </c:ser>
        <c:ser>
          <c:idx val="5"/>
          <c:order val="5"/>
          <c:spPr>
            <a:ln w="22225" cap="rnd" cmpd="sng" algn="ctr">
              <a:solidFill>
                <a:schemeClr val="tx1"/>
              </a:solidFill>
              <a:prstDash val="solid"/>
              <a:round/>
            </a:ln>
          </c:spPr>
          <c:marker>
            <c:symbol val="circle"/>
            <c:size val="6"/>
            <c:spPr>
              <a:noFill/>
              <a:ln w="9525" cap="flat" cmpd="sng" algn="ctr">
                <a:solidFill>
                  <a:schemeClr val="tx1"/>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4'!$G$2:$G$12</c:f>
              <c:numCache>
                <c:formatCode>General</c:formatCode>
                <c:ptCount val="11"/>
                <c:pt idx="0">
                  <c:v>6.15</c:v>
                </c:pt>
                <c:pt idx="1">
                  <c:v>9.5399999999999991</c:v>
                </c:pt>
                <c:pt idx="2">
                  <c:v>9.4499999999999993</c:v>
                </c:pt>
                <c:pt idx="3">
                  <c:v>9.43</c:v>
                </c:pt>
                <c:pt idx="4">
                  <c:v>9.41</c:v>
                </c:pt>
                <c:pt idx="5">
                  <c:v>9.3800000000000008</c:v>
                </c:pt>
                <c:pt idx="6">
                  <c:v>9.36</c:v>
                </c:pt>
                <c:pt idx="7">
                  <c:v>9.33</c:v>
                </c:pt>
                <c:pt idx="8">
                  <c:v>9.2799999999999994</c:v>
                </c:pt>
                <c:pt idx="9">
                  <c:v>9.25</c:v>
                </c:pt>
                <c:pt idx="10">
                  <c:v>9.2200000000000006</c:v>
                </c:pt>
              </c:numCache>
            </c:numRef>
          </c:yVal>
          <c:smooth val="1"/>
          <c:extLst>
            <c:ext xmlns:c16="http://schemas.microsoft.com/office/drawing/2014/chart" uri="{C3380CC4-5D6E-409C-BE32-E72D297353CC}">
              <c16:uniqueId val="{00000005-C085-4824-8C98-803F6FE63D02}"/>
            </c:ext>
          </c:extLst>
        </c:ser>
        <c:ser>
          <c:idx val="6"/>
          <c:order val="6"/>
          <c:spPr>
            <a:ln w="22225" cap="rnd" cmpd="sng" algn="ctr">
              <a:solidFill>
                <a:prstClr val="black"/>
              </a:solidFill>
              <a:prstDash val="solid"/>
              <a:round/>
            </a:ln>
          </c:spPr>
          <c:marker>
            <c:spPr>
              <a:no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4'!$H$2:$H$12</c:f>
              <c:numCache>
                <c:formatCode>General</c:formatCode>
                <c:ptCount val="11"/>
                <c:pt idx="0">
                  <c:v>6.95</c:v>
                </c:pt>
                <c:pt idx="1">
                  <c:v>2.85</c:v>
                </c:pt>
                <c:pt idx="2">
                  <c:v>2.89</c:v>
                </c:pt>
                <c:pt idx="3">
                  <c:v>2.91</c:v>
                </c:pt>
                <c:pt idx="4">
                  <c:v>2.98</c:v>
                </c:pt>
                <c:pt idx="5">
                  <c:v>3.05</c:v>
                </c:pt>
                <c:pt idx="6">
                  <c:v>3.08</c:v>
                </c:pt>
                <c:pt idx="7">
                  <c:v>3.11</c:v>
                </c:pt>
                <c:pt idx="8">
                  <c:v>3.15</c:v>
                </c:pt>
                <c:pt idx="9">
                  <c:v>3.18</c:v>
                </c:pt>
                <c:pt idx="10">
                  <c:v>3.22</c:v>
                </c:pt>
              </c:numCache>
            </c:numRef>
          </c:yVal>
          <c:smooth val="1"/>
          <c:extLst>
            <c:ext xmlns:c16="http://schemas.microsoft.com/office/drawing/2014/chart" uri="{C3380CC4-5D6E-409C-BE32-E72D297353CC}">
              <c16:uniqueId val="{00000006-C085-4824-8C98-803F6FE63D02}"/>
            </c:ext>
          </c:extLst>
        </c:ser>
        <c:ser>
          <c:idx val="7"/>
          <c:order val="7"/>
          <c:spPr>
            <a:ln w="22225" cap="rnd" cmpd="sng" algn="ctr">
              <a:solidFill>
                <a:prstClr val="black"/>
              </a:solidFill>
              <a:prstDash val="lgDashDot"/>
              <a:round/>
            </a:ln>
          </c:spPr>
          <c:marker>
            <c:symbol val="diamond"/>
            <c:size val="6"/>
            <c:spPr>
              <a:solidFill>
                <a:sysClr val="windowText" lastClr="000000"/>
              </a:solidFill>
              <a:ln w="9525" cap="flat" cmpd="sng" algn="ctr">
                <a:solidFill>
                  <a:prstClr val="black"/>
                </a:solidFill>
                <a:prstDash val="solid"/>
                <a:round/>
              </a:ln>
            </c:spPr>
          </c:marker>
          <c:dLbls>
            <c:delete val="1"/>
          </c:dLbls>
          <c:xVal>
            <c:numRef>
              <c:f>'Рис. 4'!$A$2:$A$12</c:f>
              <c:numCache>
                <c:formatCode>General</c:formatCode>
                <c:ptCount val="11"/>
                <c:pt idx="0">
                  <c:v>0</c:v>
                </c:pt>
                <c:pt idx="1">
                  <c:v>0.5</c:v>
                </c:pt>
                <c:pt idx="2">
                  <c:v>1</c:v>
                </c:pt>
                <c:pt idx="3">
                  <c:v>1.5</c:v>
                </c:pt>
                <c:pt idx="4">
                  <c:v>2</c:v>
                </c:pt>
                <c:pt idx="5">
                  <c:v>2.5</c:v>
                </c:pt>
                <c:pt idx="6">
                  <c:v>3</c:v>
                </c:pt>
                <c:pt idx="7">
                  <c:v>3.5</c:v>
                </c:pt>
                <c:pt idx="8">
                  <c:v>4</c:v>
                </c:pt>
                <c:pt idx="9">
                  <c:v>4.5</c:v>
                </c:pt>
                <c:pt idx="10">
                  <c:v>5</c:v>
                </c:pt>
              </c:numCache>
            </c:numRef>
          </c:xVal>
          <c:yVal>
            <c:numRef>
              <c:f>'Рис. 4'!$I$2:$I$12</c:f>
              <c:numCache>
                <c:formatCode>General</c:formatCode>
                <c:ptCount val="11"/>
                <c:pt idx="0">
                  <c:v>5.95</c:v>
                </c:pt>
                <c:pt idx="1">
                  <c:v>3.86</c:v>
                </c:pt>
                <c:pt idx="2">
                  <c:v>4.08</c:v>
                </c:pt>
                <c:pt idx="3">
                  <c:v>4.0999999999999996</c:v>
                </c:pt>
                <c:pt idx="4">
                  <c:v>4.12</c:v>
                </c:pt>
                <c:pt idx="5">
                  <c:v>4.1500000000000004</c:v>
                </c:pt>
                <c:pt idx="6">
                  <c:v>4.18</c:v>
                </c:pt>
                <c:pt idx="7">
                  <c:v>4.22</c:v>
                </c:pt>
                <c:pt idx="8">
                  <c:v>4.25</c:v>
                </c:pt>
                <c:pt idx="9">
                  <c:v>4.2699999999999996</c:v>
                </c:pt>
                <c:pt idx="10">
                  <c:v>4.3</c:v>
                </c:pt>
              </c:numCache>
            </c:numRef>
          </c:yVal>
          <c:smooth val="1"/>
          <c:extLst>
            <c:ext xmlns:c16="http://schemas.microsoft.com/office/drawing/2014/chart" uri="{C3380CC4-5D6E-409C-BE32-E72D297353CC}">
              <c16:uniqueId val="{00000007-C085-4824-8C98-803F6FE63D02}"/>
            </c:ext>
          </c:extLst>
        </c:ser>
        <c:dLbls>
          <c:showLegendKey val="1"/>
          <c:showVal val="1"/>
          <c:showCatName val="1"/>
          <c:showSerName val="1"/>
          <c:showPercent val="1"/>
          <c:showBubbleSize val="1"/>
        </c:dLbls>
        <c:axId val="39486592"/>
        <c:axId val="39488128"/>
      </c:scatterChart>
      <c:valAx>
        <c:axId val="39478400"/>
        <c:scaling>
          <c:orientation val="minMax"/>
          <c:max val="5"/>
          <c:min val="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en-US" sz="1200" b="1" i="0" baseline="0">
                  <a:latin typeface="Times New Roman" panose="02020603050405020304" charset="0"/>
                  <a:cs typeface="Times New Roman" panose="02020603050405020304" charset="0"/>
                </a:endParaRPr>
              </a:p>
            </c:rich>
          </c:tx>
          <c:layout>
            <c:manualLayout>
              <c:xMode val="edge"/>
              <c:yMode val="edge"/>
              <c:x val="0.88784711286089302"/>
              <c:y val="0.91258417976563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9480320"/>
        <c:crosses val="autoZero"/>
        <c:crossBetween val="midCat"/>
      </c:valAx>
      <c:valAx>
        <c:axId val="39480320"/>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А, %</a:t>
                </a:r>
              </a:p>
            </c:rich>
          </c:tx>
          <c:layout>
            <c:manualLayout>
              <c:xMode val="edge"/>
              <c:yMode val="edge"/>
              <c:x val="2.7777777777777801E-3"/>
              <c:y val="0.343960425021221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9478400"/>
        <c:crosses val="autoZero"/>
        <c:crossBetween val="midCat"/>
        <c:majorUnit val="20"/>
      </c:valAx>
      <c:valAx>
        <c:axId val="39486592"/>
        <c:scaling>
          <c:orientation val="minMax"/>
        </c:scaling>
        <c:delete val="1"/>
        <c:axPos val="b"/>
        <c:numFmt formatCode="General" sourceLinked="1"/>
        <c:majorTickMark val="out"/>
        <c:minorTickMark val="none"/>
        <c:tickLblPos val="none"/>
        <c:crossAx val="39488128"/>
        <c:crosses val="autoZero"/>
        <c:crossBetween val="midCat"/>
      </c:valAx>
      <c:valAx>
        <c:axId val="39488128"/>
        <c:scaling>
          <c:orientation val="minMax"/>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рН</a:t>
                </a:r>
              </a:p>
            </c:rich>
          </c:tx>
          <c:layout>
            <c:manualLayout>
              <c:xMode val="edge"/>
              <c:yMode val="edge"/>
              <c:x val="0.93944444444444497"/>
              <c:y val="0.367096821230681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39486592"/>
        <c:crosses val="max"/>
        <c:crossBetween val="midCat"/>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a:pPr>
      <a:endParaRPr lang="ru-RU"/>
    </a:p>
  </c:txPr>
  <c:externalData r:id="rId1">
    <c:autoUpdate val="0"/>
  </c:externalData>
  <c:userShapes r:id="rId2"/>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956007112014199"/>
          <c:y val="6.2394003634161199E-2"/>
          <c:w val="0.72207761126633396"/>
          <c:h val="0.79382432799348401"/>
        </c:manualLayout>
      </c:layout>
      <c:scatterChart>
        <c:scatterStyle val="lineMarker"/>
        <c:varyColors val="0"/>
        <c:ser>
          <c:idx val="0"/>
          <c:order val="0"/>
          <c:spPr>
            <a:ln w="19050" cap="rnd" cmpd="sng" algn="ctr">
              <a:solidFill>
                <a:schemeClr val="tx1"/>
              </a:solidFill>
              <a:prstDash val="solid"/>
              <a:round/>
            </a:ln>
          </c:spPr>
          <c:marker>
            <c:symbol val="diamond"/>
            <c:size val="7"/>
            <c:spPr>
              <a:solidFill>
                <a:schemeClr val="tx1"/>
              </a:solidFill>
              <a:ln w="9525" cap="flat" cmpd="sng" algn="ctr">
                <a:solidFill>
                  <a:prstClr val="black"/>
                </a:solidFill>
                <a:prstDash val="solid"/>
                <a:round/>
              </a:ln>
            </c:spPr>
          </c:marker>
          <c:dLbls>
            <c:delete val="1"/>
          </c:dLbls>
          <c:xVal>
            <c:numRef>
              <c:f>'3.31'!$A$2:$A$12</c:f>
              <c:numCache>
                <c:formatCode>General</c:formatCode>
                <c:ptCount val="11"/>
                <c:pt idx="0">
                  <c:v>0</c:v>
                </c:pt>
                <c:pt idx="1">
                  <c:v>0.2</c:v>
                </c:pt>
                <c:pt idx="2">
                  <c:v>0.4</c:v>
                </c:pt>
                <c:pt idx="3">
                  <c:v>0.60000000000000098</c:v>
                </c:pt>
                <c:pt idx="4">
                  <c:v>0.8</c:v>
                </c:pt>
                <c:pt idx="5">
                  <c:v>1</c:v>
                </c:pt>
                <c:pt idx="6">
                  <c:v>1.2</c:v>
                </c:pt>
                <c:pt idx="7">
                  <c:v>1.4</c:v>
                </c:pt>
                <c:pt idx="8">
                  <c:v>1.6</c:v>
                </c:pt>
                <c:pt idx="9">
                  <c:v>1.8</c:v>
                </c:pt>
                <c:pt idx="10">
                  <c:v>2</c:v>
                </c:pt>
              </c:numCache>
            </c:numRef>
          </c:xVal>
          <c:yVal>
            <c:numRef>
              <c:f>'3.31'!$B$2:$B$12</c:f>
              <c:numCache>
                <c:formatCode>General</c:formatCode>
                <c:ptCount val="11"/>
                <c:pt idx="0">
                  <c:v>135.19999999999999</c:v>
                </c:pt>
                <c:pt idx="1">
                  <c:v>0</c:v>
                </c:pt>
                <c:pt idx="2">
                  <c:v>0</c:v>
                </c:pt>
                <c:pt idx="3">
                  <c:v>0</c:v>
                </c:pt>
                <c:pt idx="4">
                  <c:v>0</c:v>
                </c:pt>
                <c:pt idx="5">
                  <c:v>0</c:v>
                </c:pt>
                <c:pt idx="6">
                  <c:v>0</c:v>
                </c:pt>
                <c:pt idx="7">
                  <c:v>0</c:v>
                </c:pt>
                <c:pt idx="8">
                  <c:v>0</c:v>
                </c:pt>
                <c:pt idx="9">
                  <c:v>0</c:v>
                </c:pt>
                <c:pt idx="10">
                  <c:v>0</c:v>
                </c:pt>
              </c:numCache>
            </c:numRef>
          </c:yVal>
          <c:smooth val="1"/>
          <c:extLst>
            <c:ext xmlns:c16="http://schemas.microsoft.com/office/drawing/2014/chart" uri="{C3380CC4-5D6E-409C-BE32-E72D297353CC}">
              <c16:uniqueId val="{00000000-B108-4B06-B8C0-9C28AE03AD0A}"/>
            </c:ext>
          </c:extLst>
        </c:ser>
        <c:dLbls>
          <c:showLegendKey val="1"/>
          <c:showVal val="1"/>
          <c:showCatName val="1"/>
          <c:showSerName val="1"/>
          <c:showPercent val="1"/>
          <c:showBubbleSize val="1"/>
        </c:dLbls>
        <c:axId val="41136896"/>
        <c:axId val="41138816"/>
      </c:scatterChart>
      <c:scatterChart>
        <c:scatterStyle val="lineMarker"/>
        <c:varyColors val="0"/>
        <c:ser>
          <c:idx val="1"/>
          <c:order val="1"/>
          <c:spPr>
            <a:ln w="22225" cap="rnd" cmpd="sng" algn="ctr">
              <a:solidFill>
                <a:prstClr val="black"/>
              </a:solidFill>
              <a:prstDash val="solid"/>
              <a:round/>
            </a:ln>
          </c:spPr>
          <c:marker>
            <c:symbol val="square"/>
            <c:size val="5"/>
            <c:spPr>
              <a:solidFill>
                <a:sysClr val="windowText" lastClr="000000"/>
              </a:solidFill>
              <a:ln w="9525" cap="flat" cmpd="sng" algn="ctr">
                <a:solidFill>
                  <a:prstClr val="black"/>
                </a:solidFill>
                <a:prstDash val="solid"/>
                <a:round/>
              </a:ln>
            </c:spPr>
          </c:marker>
          <c:dLbls>
            <c:delete val="1"/>
          </c:dLbls>
          <c:xVal>
            <c:numRef>
              <c:f>'3.31'!$A$2:$A$12</c:f>
              <c:numCache>
                <c:formatCode>General</c:formatCode>
                <c:ptCount val="11"/>
                <c:pt idx="0">
                  <c:v>0</c:v>
                </c:pt>
                <c:pt idx="1">
                  <c:v>0.2</c:v>
                </c:pt>
                <c:pt idx="2">
                  <c:v>0.4</c:v>
                </c:pt>
                <c:pt idx="3">
                  <c:v>0.60000000000000098</c:v>
                </c:pt>
                <c:pt idx="4">
                  <c:v>0.8</c:v>
                </c:pt>
                <c:pt idx="5">
                  <c:v>1</c:v>
                </c:pt>
                <c:pt idx="6">
                  <c:v>1.2</c:v>
                </c:pt>
                <c:pt idx="7">
                  <c:v>1.4</c:v>
                </c:pt>
                <c:pt idx="8">
                  <c:v>1.6</c:v>
                </c:pt>
                <c:pt idx="9">
                  <c:v>1.8</c:v>
                </c:pt>
                <c:pt idx="10">
                  <c:v>2</c:v>
                </c:pt>
              </c:numCache>
            </c:numRef>
          </c:xVal>
          <c:yVal>
            <c:numRef>
              <c:f>'3.31'!$C$2:$C$12</c:f>
              <c:numCache>
                <c:formatCode>General</c:formatCode>
                <c:ptCount val="11"/>
                <c:pt idx="0">
                  <c:v>0</c:v>
                </c:pt>
                <c:pt idx="1">
                  <c:v>100</c:v>
                </c:pt>
                <c:pt idx="2">
                  <c:v>100</c:v>
                </c:pt>
                <c:pt idx="3">
                  <c:v>100</c:v>
                </c:pt>
                <c:pt idx="4">
                  <c:v>100</c:v>
                </c:pt>
                <c:pt idx="5">
                  <c:v>100</c:v>
                </c:pt>
                <c:pt idx="6">
                  <c:v>100</c:v>
                </c:pt>
                <c:pt idx="7">
                  <c:v>100</c:v>
                </c:pt>
                <c:pt idx="8">
                  <c:v>100</c:v>
                </c:pt>
                <c:pt idx="9">
                  <c:v>100</c:v>
                </c:pt>
                <c:pt idx="10">
                  <c:v>100</c:v>
                </c:pt>
              </c:numCache>
            </c:numRef>
          </c:yVal>
          <c:smooth val="1"/>
          <c:extLst>
            <c:ext xmlns:c16="http://schemas.microsoft.com/office/drawing/2014/chart" uri="{C3380CC4-5D6E-409C-BE32-E72D297353CC}">
              <c16:uniqueId val="{00000001-B108-4B06-B8C0-9C28AE03AD0A}"/>
            </c:ext>
          </c:extLst>
        </c:ser>
        <c:dLbls>
          <c:showLegendKey val="1"/>
          <c:showVal val="1"/>
          <c:showCatName val="1"/>
          <c:showSerName val="1"/>
          <c:showPercent val="1"/>
          <c:showBubbleSize val="1"/>
        </c:dLbls>
        <c:axId val="41145088"/>
        <c:axId val="41146624"/>
      </c:scatterChart>
      <c:valAx>
        <c:axId val="41136896"/>
        <c:scaling>
          <c:orientation val="minMax"/>
          <c:max val="2"/>
          <c:min val="0"/>
        </c:scaling>
        <c:delete val="0"/>
        <c:axPos val="b"/>
        <c:title>
          <c:tx>
            <c:rich>
              <a:bodyPr rot="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mn-cs"/>
                  </a:defRPr>
                </a:pPr>
                <a:r>
                  <a:rPr lang="en-US"/>
                  <a:t>V, </a:t>
                </a:r>
                <a:r>
                  <a:rPr lang="ru-RU"/>
                  <a:t>дм</a:t>
                </a:r>
                <a:r>
                  <a:rPr lang="ru-RU" baseline="30000"/>
                  <a:t>3</a:t>
                </a:r>
              </a:p>
            </c:rich>
          </c:tx>
          <c:layout>
            <c:manualLayout>
              <c:xMode val="edge"/>
              <c:yMode val="edge"/>
              <c:x val="0.903306479753615"/>
              <c:y val="0.898267264005792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1138816"/>
        <c:crosses val="autoZero"/>
        <c:crossBetween val="midCat"/>
        <c:majorUnit val="0.2"/>
      </c:valAx>
      <c:valAx>
        <c:axId val="41138816"/>
        <c:scaling>
          <c:orientation val="minMax"/>
        </c:scaling>
        <c:delete val="0"/>
        <c:axPos val="l"/>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mn-cs"/>
                  </a:defRPr>
                </a:pPr>
                <a:r>
                  <a:rPr lang="en-US" altLang="en-US"/>
                  <a:t>[Zn</a:t>
                </a:r>
                <a:r>
                  <a:rPr lang="en-US" altLang="en-US" baseline="30000"/>
                  <a:t>2+</a:t>
                </a:r>
                <a:r>
                  <a:rPr lang="en-US" altLang="en-US"/>
                  <a:t>]</a:t>
                </a:r>
                <a:r>
                  <a:rPr lang="en-US"/>
                  <a:t>, </a:t>
                </a:r>
                <a:r>
                  <a:rPr lang="uk-UA"/>
                  <a:t>мкг/дм</a:t>
                </a:r>
                <a:r>
                  <a:rPr lang="uk-UA" baseline="30000"/>
                  <a:t>3</a:t>
                </a:r>
                <a:endParaRPr lang="ru-RU" baseline="30000"/>
              </a:p>
            </c:rich>
          </c:tx>
          <c:layout>
            <c:manualLayout>
              <c:xMode val="edge"/>
              <c:yMode val="edge"/>
              <c:x val="4.2389210019267796E-3"/>
              <c:y val="0.243286833240334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1136896"/>
        <c:crosses val="autoZero"/>
        <c:crossBetween val="midCat"/>
      </c:valAx>
      <c:valAx>
        <c:axId val="41145088"/>
        <c:scaling>
          <c:orientation val="minMax"/>
        </c:scaling>
        <c:delete val="1"/>
        <c:axPos val="b"/>
        <c:numFmt formatCode="General" sourceLinked="1"/>
        <c:majorTickMark val="out"/>
        <c:minorTickMark val="none"/>
        <c:tickLblPos val="none"/>
        <c:crossAx val="41146624"/>
        <c:crosses val="autoZero"/>
        <c:crossBetween val="midCat"/>
      </c:valAx>
      <c:valAx>
        <c:axId val="41146624"/>
        <c:scaling>
          <c:orientation val="minMax"/>
          <c:max val="100"/>
          <c:min val="0"/>
        </c:scaling>
        <c:delete val="0"/>
        <c:axPos val="r"/>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mn-cs"/>
                  </a:defRPr>
                </a:pPr>
                <a:r>
                  <a:rPr lang="ru-RU"/>
                  <a:t>А, %</a:t>
                </a:r>
              </a:p>
            </c:rich>
          </c:tx>
          <c:layout>
            <c:manualLayout>
              <c:xMode val="edge"/>
              <c:yMode val="edge"/>
              <c:x val="0.95659288253708197"/>
              <c:y val="0.359136131605596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41145088"/>
        <c:crosses val="max"/>
        <c:crossBetween val="midCat"/>
        <c:majorUnit val="20"/>
      </c:valAx>
      <c:spPr>
        <a:solidFill>
          <a:srgbClr val="FFFFFF"/>
        </a:solidFill>
      </c:spPr>
    </c:plotArea>
    <c:plotVisOnly val="1"/>
    <c:dispBlanksAs val="gap"/>
    <c:showDLblsOverMax val="0"/>
  </c:chart>
  <c:spPr>
    <a:solidFill>
      <a:srgbClr val="FFFFFF"/>
    </a:solidFill>
    <a:ln w="9525" cap="flat" cmpd="sng" algn="ctr">
      <a:noFill/>
      <a:prstDash val="solid"/>
      <a:round/>
    </a:ln>
  </c:spPr>
  <c:txPr>
    <a:bodyPr/>
    <a:lstStyle/>
    <a:p>
      <a:pPr>
        <a:defRPr lang="en-US" sz="1200" baseline="0">
          <a:latin typeface="Times New Roman" panose="02020603050405020304"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4348287859366399"/>
          <c:y val="3.7096801346801399E-2"/>
          <c:w val="0.67075918635171194"/>
          <c:h val="0.78169356288041802"/>
        </c:manualLayout>
      </c:layout>
      <c:scatterChart>
        <c:scatterStyle val="smoothMarker"/>
        <c:varyColors val="0"/>
        <c:ser>
          <c:idx val="0"/>
          <c:order val="0"/>
          <c:tx>
            <c:strRef>
              <c:f>1</c:f>
              <c:strCache>
                <c:ptCount val="1"/>
                <c:pt idx="0">
                  <c:v>1</c:v>
                </c:pt>
              </c:strCache>
            </c:strRef>
          </c:tx>
          <c:spPr>
            <a:ln w="22225" cap="rnd" cmpd="sng" algn="ctr">
              <a:solidFill>
                <a:schemeClr val="tx1"/>
              </a:solidFill>
              <a:prstDash val="solid"/>
              <a:round/>
            </a:ln>
          </c:spPr>
          <c:marker>
            <c:spPr>
              <a:solidFill>
                <a:sysClr val="windowText" lastClr="000000"/>
              </a:solidFill>
              <a:ln w="9525" cap="flat" cmpd="sng" algn="ctr">
                <a:solidFill>
                  <a:schemeClr val="tx1"/>
                </a:solidFill>
                <a:prstDash val="solid"/>
                <a:round/>
              </a:ln>
            </c:spPr>
          </c:marker>
          <c:xVal>
            <c:numRef>
              <c:f>Лист3!$A$54:$A$59</c:f>
              <c:numCache>
                <c:formatCode>General</c:formatCode>
                <c:ptCount val="6"/>
                <c:pt idx="0">
                  <c:v>5</c:v>
                </c:pt>
                <c:pt idx="1">
                  <c:v>10</c:v>
                </c:pt>
                <c:pt idx="2">
                  <c:v>30</c:v>
                </c:pt>
                <c:pt idx="3">
                  <c:v>50</c:v>
                </c:pt>
                <c:pt idx="4">
                  <c:v>100</c:v>
                </c:pt>
                <c:pt idx="5">
                  <c:v>200</c:v>
                </c:pt>
              </c:numCache>
            </c:numRef>
          </c:xVal>
          <c:yVal>
            <c:numRef>
              <c:f>Лист3!$B$54:$B$59</c:f>
              <c:numCache>
                <c:formatCode>General</c:formatCode>
                <c:ptCount val="6"/>
                <c:pt idx="0">
                  <c:v>7.1</c:v>
                </c:pt>
                <c:pt idx="1">
                  <c:v>14.9</c:v>
                </c:pt>
                <c:pt idx="2">
                  <c:v>46.4</c:v>
                </c:pt>
                <c:pt idx="3">
                  <c:v>77.84</c:v>
                </c:pt>
                <c:pt idx="4">
                  <c:v>156.28</c:v>
                </c:pt>
                <c:pt idx="5">
                  <c:v>313.5</c:v>
                </c:pt>
              </c:numCache>
            </c:numRef>
          </c:yVal>
          <c:smooth val="1"/>
          <c:extLst>
            <c:ext xmlns:c16="http://schemas.microsoft.com/office/drawing/2014/chart" uri="{C3380CC4-5D6E-409C-BE32-E72D297353CC}">
              <c16:uniqueId val="{00000000-0145-4169-B32E-452CFE3E47EB}"/>
            </c:ext>
          </c:extLst>
        </c:ser>
        <c:dLbls>
          <c:showLegendKey val="0"/>
          <c:showVal val="0"/>
          <c:showCatName val="0"/>
          <c:showSerName val="0"/>
          <c:showPercent val="0"/>
          <c:showBubbleSize val="0"/>
        </c:dLbls>
        <c:axId val="240432640"/>
        <c:axId val="240447488"/>
      </c:scatterChart>
      <c:scatterChart>
        <c:scatterStyle val="smoothMarker"/>
        <c:varyColors val="0"/>
        <c:ser>
          <c:idx val="1"/>
          <c:order val="1"/>
          <c:tx>
            <c:strRef>
              <c:f>2</c:f>
              <c:strCache>
                <c:ptCount val="1"/>
                <c:pt idx="0">
                  <c:v>2</c:v>
                </c:pt>
              </c:strCache>
            </c:strRef>
          </c:tx>
          <c:spPr>
            <a:ln w="22225" cap="rnd" cmpd="sng" algn="ctr">
              <a:solidFill>
                <a:prstClr val="black"/>
              </a:solidFill>
              <a:prstDash val="solid"/>
              <a:round/>
            </a:ln>
          </c:spPr>
          <c:marker>
            <c:symbol val="square"/>
            <c:size val="6"/>
            <c:spPr>
              <a:solidFill>
                <a:sysClr val="windowText" lastClr="000000"/>
              </a:solidFill>
              <a:ln w="9525" cap="flat" cmpd="sng" algn="ctr">
                <a:solidFill>
                  <a:prstClr val="black"/>
                </a:solidFill>
                <a:prstDash val="solid"/>
                <a:round/>
              </a:ln>
            </c:spPr>
          </c:marker>
          <c:dPt>
            <c:idx val="3"/>
            <c:marker>
              <c:symbol val="square"/>
              <c:size val="5"/>
            </c:marker>
            <c:bubble3D val="0"/>
            <c:extLst>
              <c:ext xmlns:c16="http://schemas.microsoft.com/office/drawing/2014/chart" uri="{C3380CC4-5D6E-409C-BE32-E72D297353CC}">
                <c16:uniqueId val="{00000001-0145-4169-B32E-452CFE3E47EB}"/>
              </c:ext>
            </c:extLst>
          </c:dPt>
          <c:xVal>
            <c:numRef>
              <c:f>Лист3!$A$54:$A$59</c:f>
              <c:numCache>
                <c:formatCode>General</c:formatCode>
                <c:ptCount val="6"/>
                <c:pt idx="0">
                  <c:v>5</c:v>
                </c:pt>
                <c:pt idx="1">
                  <c:v>10</c:v>
                </c:pt>
                <c:pt idx="2">
                  <c:v>30</c:v>
                </c:pt>
                <c:pt idx="3">
                  <c:v>50</c:v>
                </c:pt>
                <c:pt idx="4">
                  <c:v>100</c:v>
                </c:pt>
                <c:pt idx="5">
                  <c:v>200</c:v>
                </c:pt>
              </c:numCache>
            </c:numRef>
          </c:xVal>
          <c:yVal>
            <c:numRef>
              <c:f>Лист3!$C$54:$C$59</c:f>
              <c:numCache>
                <c:formatCode>General</c:formatCode>
                <c:ptCount val="6"/>
                <c:pt idx="0">
                  <c:v>90</c:v>
                </c:pt>
                <c:pt idx="1">
                  <c:v>94.6</c:v>
                </c:pt>
                <c:pt idx="2">
                  <c:v>98.2</c:v>
                </c:pt>
                <c:pt idx="3">
                  <c:v>98.9</c:v>
                </c:pt>
                <c:pt idx="4">
                  <c:v>99.3</c:v>
                </c:pt>
                <c:pt idx="5">
                  <c:v>99.6</c:v>
                </c:pt>
              </c:numCache>
            </c:numRef>
          </c:yVal>
          <c:smooth val="1"/>
          <c:extLst>
            <c:ext xmlns:c16="http://schemas.microsoft.com/office/drawing/2014/chart" uri="{C3380CC4-5D6E-409C-BE32-E72D297353CC}">
              <c16:uniqueId val="{00000002-0145-4169-B32E-452CFE3E47EB}"/>
            </c:ext>
          </c:extLst>
        </c:ser>
        <c:ser>
          <c:idx val="2"/>
          <c:order val="2"/>
          <c:tx>
            <c:strRef>
              <c:f>3</c:f>
              <c:strCache>
                <c:ptCount val="1"/>
                <c:pt idx="0">
                  <c:v>3</c:v>
                </c:pt>
              </c:strCache>
            </c:strRef>
          </c:tx>
          <c:spPr>
            <a:ln w="22225" cap="rnd" cmpd="sng" algn="ctr">
              <a:solidFill>
                <a:prstClr val="black"/>
              </a:solidFill>
              <a:prstDash val="solid"/>
              <a:round/>
            </a:ln>
          </c:spPr>
          <c:marker>
            <c:symbol val="triangle"/>
            <c:size val="7"/>
            <c:spPr>
              <a:noFill/>
              <a:ln w="9525" cap="flat" cmpd="sng" algn="ctr">
                <a:solidFill>
                  <a:prstClr val="black"/>
                </a:solidFill>
                <a:prstDash val="solid"/>
                <a:round/>
              </a:ln>
            </c:spPr>
          </c:marker>
          <c:xVal>
            <c:numRef>
              <c:f>Лист3!$A$54:$A$59</c:f>
              <c:numCache>
                <c:formatCode>General</c:formatCode>
                <c:ptCount val="6"/>
                <c:pt idx="0">
                  <c:v>5</c:v>
                </c:pt>
                <c:pt idx="1">
                  <c:v>10</c:v>
                </c:pt>
                <c:pt idx="2">
                  <c:v>30</c:v>
                </c:pt>
                <c:pt idx="3">
                  <c:v>50</c:v>
                </c:pt>
                <c:pt idx="4">
                  <c:v>100</c:v>
                </c:pt>
                <c:pt idx="5">
                  <c:v>200</c:v>
                </c:pt>
              </c:numCache>
            </c:numRef>
          </c:xVal>
          <c:yVal>
            <c:numRef>
              <c:f>Лист3!$D$54:$D$59</c:f>
              <c:numCache>
                <c:formatCode>General</c:formatCode>
                <c:ptCount val="6"/>
                <c:pt idx="0">
                  <c:v>54.2</c:v>
                </c:pt>
                <c:pt idx="1">
                  <c:v>69.8</c:v>
                </c:pt>
                <c:pt idx="2">
                  <c:v>52.9</c:v>
                </c:pt>
                <c:pt idx="3">
                  <c:v>46.1</c:v>
                </c:pt>
                <c:pt idx="4">
                  <c:v>47.8</c:v>
                </c:pt>
                <c:pt idx="5">
                  <c:v>49.7</c:v>
                </c:pt>
              </c:numCache>
            </c:numRef>
          </c:yVal>
          <c:smooth val="1"/>
          <c:extLst>
            <c:ext xmlns:c16="http://schemas.microsoft.com/office/drawing/2014/chart" uri="{C3380CC4-5D6E-409C-BE32-E72D297353CC}">
              <c16:uniqueId val="{00000003-0145-4169-B32E-452CFE3E47EB}"/>
            </c:ext>
          </c:extLst>
        </c:ser>
        <c:dLbls>
          <c:showLegendKey val="0"/>
          <c:showVal val="0"/>
          <c:showCatName val="0"/>
          <c:showSerName val="0"/>
          <c:showPercent val="0"/>
          <c:showBubbleSize val="0"/>
        </c:dLbls>
        <c:axId val="240525312"/>
        <c:axId val="240449408"/>
      </c:scatterChart>
      <c:valAx>
        <c:axId val="240432640"/>
        <c:scaling>
          <c:orientation val="minMax"/>
          <c:max val="200"/>
        </c:scaling>
        <c:delete val="0"/>
        <c:axPos val="b"/>
        <c:title>
          <c:tx>
            <c:rich>
              <a:bodyPr rot="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Cu</a:t>
                </a:r>
                <a:r>
                  <a:rPr lang="en-US" sz="1200" b="1" i="0" baseline="30000">
                    <a:latin typeface="Times New Roman" panose="02020603050405020304" charset="0"/>
                    <a:cs typeface="Times New Roman" panose="02020603050405020304" charset="0"/>
                  </a:rPr>
                  <a:t>2+</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0.84069096014161104"/>
              <c:y val="0.85622643097643103"/>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0447488"/>
        <c:crosses val="autoZero"/>
        <c:crossBetween val="midCat"/>
      </c:valAx>
      <c:valAx>
        <c:axId val="240447488"/>
        <c:scaling>
          <c:orientation val="minMax"/>
        </c:scaling>
        <c:delete val="0"/>
        <c:axPos val="l"/>
        <c:title>
          <c:tx>
            <c:rich>
              <a:bodyPr rot="-540000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ru-RU" sz="1200" b="1">
                    <a:latin typeface="Times New Roman" panose="02020603050405020304" charset="0"/>
                    <a:cs typeface="Times New Roman" panose="02020603050405020304" charset="0"/>
                  </a:rPr>
                  <a:t>ОЄ, мг-екв/дм</a:t>
                </a:r>
                <a:r>
                  <a:rPr lang="ru-RU" sz="1200" b="1" baseline="30000">
                    <a:latin typeface="Times New Roman" panose="02020603050405020304" charset="0"/>
                    <a:cs typeface="Times New Roman" panose="02020603050405020304" charset="0"/>
                  </a:rPr>
                  <a:t>3</a:t>
                </a:r>
              </a:p>
            </c:rich>
          </c:tx>
          <c:layout>
            <c:manualLayout>
              <c:xMode val="edge"/>
              <c:yMode val="edge"/>
              <c:x val="1.49145891647265E-2"/>
              <c:y val="0.197805976430976"/>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432640"/>
        <c:crosses val="autoZero"/>
        <c:crossBetween val="midCat"/>
      </c:valAx>
      <c:valAx>
        <c:axId val="240525312"/>
        <c:scaling>
          <c:orientation val="minMax"/>
        </c:scaling>
        <c:delete val="1"/>
        <c:axPos val="b"/>
        <c:numFmt formatCode="General" sourceLinked="1"/>
        <c:majorTickMark val="out"/>
        <c:minorTickMark val="none"/>
        <c:tickLblPos val="none"/>
        <c:crossAx val="240449408"/>
        <c:crosses val="autoZero"/>
        <c:crossBetween val="midCat"/>
      </c:valAx>
      <c:valAx>
        <c:axId val="240449408"/>
        <c:scaling>
          <c:orientation val="minMax"/>
          <c:max val="10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a:latin typeface="Times New Roman" panose="02020603050405020304" charset="0"/>
                    <a:cs typeface="Times New Roman" panose="02020603050405020304" charset="0"/>
                  </a:rPr>
                  <a:t>A,</a:t>
                </a:r>
                <a:r>
                  <a:rPr lang="uk-UA" sz="1200">
                    <a:latin typeface="Times New Roman" panose="02020603050405020304" charset="0"/>
                    <a:cs typeface="Times New Roman" panose="02020603050405020304" charset="0"/>
                  </a:rPr>
                  <a:t> </a:t>
                </a:r>
                <a:r>
                  <a:rPr lang="en-US" sz="1200">
                    <a:latin typeface="Times New Roman" panose="02020603050405020304" charset="0"/>
                    <a:cs typeface="Times New Roman" panose="02020603050405020304" charset="0"/>
                  </a:rPr>
                  <a:t> Z,</a:t>
                </a:r>
                <a:r>
                  <a:rPr lang="en-US" sz="1200" baseline="0">
                    <a:latin typeface="Times New Roman" panose="02020603050405020304" charset="0"/>
                    <a:cs typeface="Times New Roman" panose="02020603050405020304" charset="0"/>
                  </a:rPr>
                  <a:t> %</a:t>
                </a:r>
                <a:endParaRPr lang="ru-RU" sz="1200">
                  <a:latin typeface="Times New Roman" panose="02020603050405020304" charset="0"/>
                  <a:cs typeface="Times New Roman" panose="02020603050405020304" charset="0"/>
                </a:endParaRPr>
              </a:p>
            </c:rich>
          </c:tx>
          <c:layout>
            <c:manualLayout>
              <c:xMode val="edge"/>
              <c:yMode val="edge"/>
              <c:x val="0.89333403092055397"/>
              <c:y val="0.265799242424242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525312"/>
        <c:crosses val="max"/>
        <c:crossBetween val="midCat"/>
        <c:majorUnit val="20"/>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48937126960763"/>
          <c:y val="5.4586176727908997E-2"/>
          <c:w val="0.65043985126860004"/>
          <c:h val="0.76646719160105004"/>
        </c:manualLayout>
      </c:layout>
      <c:scatterChart>
        <c:scatterStyle val="smoothMarker"/>
        <c:varyColors val="0"/>
        <c:ser>
          <c:idx val="0"/>
          <c:order val="0"/>
          <c:tx>
            <c:strRef>
              <c:f>1</c:f>
              <c:strCache>
                <c:ptCount val="1"/>
                <c:pt idx="0">
                  <c:v>1</c:v>
                </c:pt>
              </c:strCache>
            </c:strRef>
          </c:tx>
          <c:spPr>
            <a:ln w="22225" cap="rnd" cmpd="sng" algn="ctr">
              <a:solidFill>
                <a:prstClr val="black"/>
              </a:solidFill>
              <a:prstDash val="solid"/>
              <a:round/>
            </a:ln>
          </c:spPr>
          <c:marker>
            <c:spPr>
              <a:solidFill>
                <a:sysClr val="windowText" lastClr="000000"/>
              </a:solidFill>
            </c:spPr>
          </c:marker>
          <c:xVal>
            <c:numRef>
              <c:f>Лист3!$A$62:$A$65</c:f>
              <c:numCache>
                <c:formatCode>General</c:formatCode>
                <c:ptCount val="4"/>
                <c:pt idx="0">
                  <c:v>0.5</c:v>
                </c:pt>
                <c:pt idx="1">
                  <c:v>1</c:v>
                </c:pt>
                <c:pt idx="2">
                  <c:v>1.5</c:v>
                </c:pt>
                <c:pt idx="3">
                  <c:v>2</c:v>
                </c:pt>
              </c:numCache>
            </c:numRef>
          </c:xVal>
          <c:yVal>
            <c:numRef>
              <c:f>Лист3!$B$62:$B$65</c:f>
              <c:numCache>
                <c:formatCode>General</c:formatCode>
                <c:ptCount val="4"/>
                <c:pt idx="0">
                  <c:v>49.9</c:v>
                </c:pt>
                <c:pt idx="1">
                  <c:v>63.9</c:v>
                </c:pt>
                <c:pt idx="2">
                  <c:v>108</c:v>
                </c:pt>
                <c:pt idx="3">
                  <c:v>123.9</c:v>
                </c:pt>
              </c:numCache>
            </c:numRef>
          </c:yVal>
          <c:smooth val="1"/>
          <c:extLst>
            <c:ext xmlns:c16="http://schemas.microsoft.com/office/drawing/2014/chart" uri="{C3380CC4-5D6E-409C-BE32-E72D297353CC}">
              <c16:uniqueId val="{00000000-399E-43E3-90CE-13BD3CA010A8}"/>
            </c:ext>
          </c:extLst>
        </c:ser>
        <c:ser>
          <c:idx val="1"/>
          <c:order val="1"/>
          <c:tx>
            <c:strRef>
              <c:f>2</c:f>
              <c:strCache>
                <c:ptCount val="1"/>
                <c:pt idx="0">
                  <c:v>2</c:v>
                </c:pt>
              </c:strCache>
            </c:strRef>
          </c:tx>
          <c:spPr>
            <a:ln w="22225" cap="rnd" cmpd="sng" algn="ctr">
              <a:solidFill>
                <a:prstClr val="black"/>
              </a:solidFill>
              <a:prstDash val="dash"/>
              <a:round/>
            </a:ln>
          </c:spPr>
          <c:marker>
            <c:symbol val="square"/>
            <c:size val="5"/>
            <c:spPr>
              <a:solidFill>
                <a:sysClr val="windowText" lastClr="000000"/>
              </a:solidFill>
              <a:ln w="9525" cap="flat" cmpd="sng" algn="ctr">
                <a:solidFill>
                  <a:prstClr val="black"/>
                </a:solidFill>
                <a:prstDash val="solid"/>
                <a:round/>
              </a:ln>
            </c:spPr>
          </c:marker>
          <c:xVal>
            <c:numRef>
              <c:f>Лист3!$A$62:$A$65</c:f>
              <c:numCache>
                <c:formatCode>General</c:formatCode>
                <c:ptCount val="4"/>
                <c:pt idx="0">
                  <c:v>0.5</c:v>
                </c:pt>
                <c:pt idx="1">
                  <c:v>1</c:v>
                </c:pt>
                <c:pt idx="2">
                  <c:v>1.5</c:v>
                </c:pt>
                <c:pt idx="3">
                  <c:v>2</c:v>
                </c:pt>
              </c:numCache>
            </c:numRef>
          </c:xVal>
          <c:yVal>
            <c:numRef>
              <c:f>Лист3!$C$62:$C$65</c:f>
              <c:numCache>
                <c:formatCode>General</c:formatCode>
                <c:ptCount val="4"/>
                <c:pt idx="0">
                  <c:v>76.8</c:v>
                </c:pt>
                <c:pt idx="1">
                  <c:v>134.1</c:v>
                </c:pt>
                <c:pt idx="2">
                  <c:v>214.1</c:v>
                </c:pt>
                <c:pt idx="3">
                  <c:v>290.10000000000002</c:v>
                </c:pt>
              </c:numCache>
            </c:numRef>
          </c:yVal>
          <c:smooth val="1"/>
          <c:extLst>
            <c:ext xmlns:c16="http://schemas.microsoft.com/office/drawing/2014/chart" uri="{C3380CC4-5D6E-409C-BE32-E72D297353CC}">
              <c16:uniqueId val="{00000001-399E-43E3-90CE-13BD3CA010A8}"/>
            </c:ext>
          </c:extLst>
        </c:ser>
        <c:dLbls>
          <c:showLegendKey val="0"/>
          <c:showVal val="0"/>
          <c:showCatName val="0"/>
          <c:showSerName val="0"/>
          <c:showPercent val="0"/>
          <c:showBubbleSize val="0"/>
        </c:dLbls>
        <c:axId val="240549248"/>
        <c:axId val="240568192"/>
      </c:scatterChart>
      <c:scatterChart>
        <c:scatterStyle val="smoothMarker"/>
        <c:varyColors val="0"/>
        <c:ser>
          <c:idx val="2"/>
          <c:order val="2"/>
          <c:tx>
            <c:strRef>
              <c:f>3</c:f>
              <c:strCache>
                <c:ptCount val="1"/>
                <c:pt idx="0">
                  <c:v>3</c:v>
                </c:pt>
              </c:strCache>
            </c:strRef>
          </c:tx>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Лист3!$A$62:$A$65</c:f>
              <c:numCache>
                <c:formatCode>General</c:formatCode>
                <c:ptCount val="4"/>
                <c:pt idx="0">
                  <c:v>0.5</c:v>
                </c:pt>
                <c:pt idx="1">
                  <c:v>1</c:v>
                </c:pt>
                <c:pt idx="2">
                  <c:v>1.5</c:v>
                </c:pt>
                <c:pt idx="3">
                  <c:v>2</c:v>
                </c:pt>
              </c:numCache>
            </c:numRef>
          </c:xVal>
          <c:yVal>
            <c:numRef>
              <c:f>Лист3!$D$62:$D$65</c:f>
              <c:numCache>
                <c:formatCode>General</c:formatCode>
                <c:ptCount val="4"/>
                <c:pt idx="0">
                  <c:v>99.9</c:v>
                </c:pt>
                <c:pt idx="1">
                  <c:v>72</c:v>
                </c:pt>
                <c:pt idx="2">
                  <c:v>64</c:v>
                </c:pt>
                <c:pt idx="3">
                  <c:v>62</c:v>
                </c:pt>
              </c:numCache>
            </c:numRef>
          </c:yVal>
          <c:smooth val="1"/>
          <c:extLst>
            <c:ext xmlns:c16="http://schemas.microsoft.com/office/drawing/2014/chart" uri="{C3380CC4-5D6E-409C-BE32-E72D297353CC}">
              <c16:uniqueId val="{00000002-399E-43E3-90CE-13BD3CA010A8}"/>
            </c:ext>
          </c:extLst>
        </c:ser>
        <c:ser>
          <c:idx val="3"/>
          <c:order val="3"/>
          <c:tx>
            <c:strRef>
              <c:f>4</c:f>
              <c:strCache>
                <c:ptCount val="1"/>
                <c:pt idx="0">
                  <c:v>4</c:v>
                </c:pt>
              </c:strCache>
            </c:strRef>
          </c:tx>
          <c:spPr>
            <a:ln w="22225" cap="rnd" cmpd="sng" algn="ctr">
              <a:solidFill>
                <a:prstClr val="black"/>
              </a:solidFill>
              <a:prstDash val="sysDash"/>
              <a:round/>
            </a:ln>
          </c:spPr>
          <c:marker>
            <c:spPr>
              <a:noFill/>
              <a:ln w="9525" cap="flat" cmpd="sng" algn="ctr">
                <a:solidFill>
                  <a:prstClr val="black"/>
                </a:solidFill>
                <a:prstDash val="solid"/>
                <a:round/>
              </a:ln>
            </c:spPr>
          </c:marker>
          <c:xVal>
            <c:numRef>
              <c:f>Лист3!$A$62:$A$65</c:f>
              <c:numCache>
                <c:formatCode>General</c:formatCode>
                <c:ptCount val="4"/>
                <c:pt idx="0">
                  <c:v>0.5</c:v>
                </c:pt>
                <c:pt idx="1">
                  <c:v>1</c:v>
                </c:pt>
                <c:pt idx="2">
                  <c:v>1.5</c:v>
                </c:pt>
                <c:pt idx="3">
                  <c:v>2</c:v>
                </c:pt>
              </c:numCache>
            </c:numRef>
          </c:xVal>
          <c:yVal>
            <c:numRef>
              <c:f>Лист3!$E$62:$E$65</c:f>
              <c:numCache>
                <c:formatCode>General</c:formatCode>
                <c:ptCount val="4"/>
                <c:pt idx="0">
                  <c:v>77</c:v>
                </c:pt>
                <c:pt idx="1">
                  <c:v>72.5</c:v>
                </c:pt>
                <c:pt idx="2">
                  <c:v>71.5</c:v>
                </c:pt>
                <c:pt idx="3">
                  <c:v>67</c:v>
                </c:pt>
              </c:numCache>
            </c:numRef>
          </c:yVal>
          <c:smooth val="1"/>
          <c:extLst>
            <c:ext xmlns:c16="http://schemas.microsoft.com/office/drawing/2014/chart" uri="{C3380CC4-5D6E-409C-BE32-E72D297353CC}">
              <c16:uniqueId val="{00000003-399E-43E3-90CE-13BD3CA010A8}"/>
            </c:ext>
          </c:extLst>
        </c:ser>
        <c:ser>
          <c:idx val="4"/>
          <c:order val="4"/>
          <c:tx>
            <c:strRef>
              <c:f>5</c:f>
              <c:strCache>
                <c:ptCount val="1"/>
                <c:pt idx="0">
                  <c:v>5</c:v>
                </c:pt>
              </c:strCache>
            </c:strRef>
          </c:tx>
          <c:spPr>
            <a:ln w="22225" cap="rnd" cmpd="sng" algn="ctr">
              <a:solidFill>
                <a:prstClr val="black"/>
              </a:solidFill>
              <a:prstDash val="solid"/>
              <a:round/>
            </a:ln>
          </c:spPr>
          <c:marker>
            <c:symbol val="star"/>
            <c:size val="7"/>
            <c:spPr>
              <a:noFill/>
              <a:ln w="9525" cap="flat" cmpd="sng" algn="ctr">
                <a:solidFill>
                  <a:prstClr val="black"/>
                </a:solidFill>
                <a:prstDash val="solid"/>
                <a:round/>
              </a:ln>
            </c:spPr>
          </c:marker>
          <c:xVal>
            <c:numRef>
              <c:f>Лист3!$A$62:$A$65</c:f>
              <c:numCache>
                <c:formatCode>General</c:formatCode>
                <c:ptCount val="4"/>
                <c:pt idx="0">
                  <c:v>0.5</c:v>
                </c:pt>
                <c:pt idx="1">
                  <c:v>1</c:v>
                </c:pt>
                <c:pt idx="2">
                  <c:v>1.5</c:v>
                </c:pt>
                <c:pt idx="3">
                  <c:v>2</c:v>
                </c:pt>
              </c:numCache>
            </c:numRef>
          </c:xVal>
          <c:yVal>
            <c:numRef>
              <c:f>Лист3!$F$62:$F$65</c:f>
              <c:numCache>
                <c:formatCode>General</c:formatCode>
                <c:ptCount val="4"/>
                <c:pt idx="0">
                  <c:v>68.8</c:v>
                </c:pt>
                <c:pt idx="1">
                  <c:v>44</c:v>
                </c:pt>
                <c:pt idx="2">
                  <c:v>40.700000000000003</c:v>
                </c:pt>
                <c:pt idx="3">
                  <c:v>40.299999999999997</c:v>
                </c:pt>
              </c:numCache>
            </c:numRef>
          </c:yVal>
          <c:smooth val="1"/>
          <c:extLst>
            <c:ext xmlns:c16="http://schemas.microsoft.com/office/drawing/2014/chart" uri="{C3380CC4-5D6E-409C-BE32-E72D297353CC}">
              <c16:uniqueId val="{00000004-399E-43E3-90CE-13BD3CA010A8}"/>
            </c:ext>
          </c:extLst>
        </c:ser>
        <c:ser>
          <c:idx val="5"/>
          <c:order val="5"/>
          <c:tx>
            <c:strRef>
              <c:f>6</c:f>
              <c:strCache>
                <c:ptCount val="1"/>
                <c:pt idx="0">
                  <c:v>6</c:v>
                </c:pt>
              </c:strCache>
            </c:strRef>
          </c:tx>
          <c:spPr>
            <a:ln w="22225" cap="rnd" cmpd="sng" algn="ctr">
              <a:solidFill>
                <a:prstClr val="black"/>
              </a:solidFill>
              <a:prstDash val="solid"/>
              <a:round/>
            </a:ln>
          </c:spPr>
          <c:marker>
            <c:spPr>
              <a:noFill/>
              <a:ln w="9525" cap="flat" cmpd="sng" algn="ctr">
                <a:solidFill>
                  <a:prstClr val="black"/>
                </a:solidFill>
                <a:prstDash val="solid"/>
                <a:round/>
              </a:ln>
            </c:spPr>
          </c:marker>
          <c:xVal>
            <c:numRef>
              <c:f>Лист3!$A$62:$A$65</c:f>
              <c:numCache>
                <c:formatCode>General</c:formatCode>
                <c:ptCount val="4"/>
                <c:pt idx="0">
                  <c:v>0.5</c:v>
                </c:pt>
                <c:pt idx="1">
                  <c:v>1</c:v>
                </c:pt>
                <c:pt idx="2">
                  <c:v>1.5</c:v>
                </c:pt>
                <c:pt idx="3">
                  <c:v>2</c:v>
                </c:pt>
              </c:numCache>
            </c:numRef>
          </c:xVal>
          <c:yVal>
            <c:numRef>
              <c:f>Лист3!$G$62:$G$65</c:f>
              <c:numCache>
                <c:formatCode>General</c:formatCode>
                <c:ptCount val="4"/>
                <c:pt idx="0">
                  <c:v>98.7</c:v>
                </c:pt>
                <c:pt idx="1">
                  <c:v>85.9</c:v>
                </c:pt>
                <c:pt idx="2">
                  <c:v>76.8</c:v>
                </c:pt>
                <c:pt idx="3">
                  <c:v>62.1</c:v>
                </c:pt>
              </c:numCache>
            </c:numRef>
          </c:yVal>
          <c:smooth val="1"/>
          <c:extLst>
            <c:ext xmlns:c16="http://schemas.microsoft.com/office/drawing/2014/chart" uri="{C3380CC4-5D6E-409C-BE32-E72D297353CC}">
              <c16:uniqueId val="{00000005-399E-43E3-90CE-13BD3CA010A8}"/>
            </c:ext>
          </c:extLst>
        </c:ser>
        <c:dLbls>
          <c:showLegendKey val="0"/>
          <c:showVal val="0"/>
          <c:showCatName val="0"/>
          <c:showSerName val="0"/>
          <c:showPercent val="0"/>
          <c:showBubbleSize val="0"/>
        </c:dLbls>
        <c:axId val="240576384"/>
        <c:axId val="240574464"/>
      </c:scatterChart>
      <c:valAx>
        <c:axId val="240549248"/>
        <c:scaling>
          <c:orientation val="minMax"/>
          <c:max val="2"/>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p-y,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0.85173871414893498"/>
              <c:y val="0.81739364932324599"/>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0568192"/>
        <c:crosses val="autoZero"/>
        <c:crossBetween val="midCat"/>
        <c:majorUnit val="0.5"/>
      </c:valAx>
      <c:valAx>
        <c:axId val="240568192"/>
        <c:scaling>
          <c:orientation val="minMax"/>
          <c:max val="3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ОЄ, мг-екв/дм</a:t>
                </a:r>
                <a:r>
                  <a:rPr lang="ru-RU" sz="1200" b="1" i="0"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7.2334243156084799E-3"/>
              <c:y val="0.144100458030981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549248"/>
        <c:crosses val="autoZero"/>
        <c:crossBetween val="midCat"/>
      </c:valAx>
      <c:valAx>
        <c:axId val="240576384"/>
        <c:scaling>
          <c:orientation val="minMax"/>
        </c:scaling>
        <c:delete val="1"/>
        <c:axPos val="b"/>
        <c:numFmt formatCode="General" sourceLinked="1"/>
        <c:majorTickMark val="out"/>
        <c:minorTickMark val="none"/>
        <c:tickLblPos val="none"/>
        <c:crossAx val="240574464"/>
        <c:crosses val="autoZero"/>
        <c:crossBetween val="midCat"/>
      </c:valAx>
      <c:valAx>
        <c:axId val="240574464"/>
        <c:scaling>
          <c:orientation val="minMax"/>
          <c:max val="100"/>
        </c:scaling>
        <c:delete val="0"/>
        <c:axPos val="r"/>
        <c:title>
          <c:tx>
            <c:rich>
              <a:bodyPr rot="-5400000" spcFirstLastPara="0" vertOverflow="ellipsis" vert="horz" wrap="square" anchor="ctr" anchorCtr="1"/>
              <a:lstStyle/>
              <a:p>
                <a:pPr>
                  <a:defRPr lang="en-US" sz="1200" b="1" i="0" u="none" strike="noStrike" kern="1200" baseline="0">
                    <a:solidFill>
                      <a:schemeClr val="tx1"/>
                    </a:solidFill>
                    <a:latin typeface="Times New Roman" panose="02020603050405020304" charset="0"/>
                    <a:ea typeface="+mn-ea"/>
                    <a:cs typeface="Times New Roman" panose="02020603050405020304" charset="0"/>
                  </a:defRPr>
                </a:pPr>
                <a:r>
                  <a:rPr lang="en-US" sz="1200">
                    <a:latin typeface="Times New Roman" panose="02020603050405020304" charset="0"/>
                    <a:cs typeface="Times New Roman" panose="02020603050405020304" charset="0"/>
                  </a:rPr>
                  <a:t>A, </a:t>
                </a:r>
                <a:r>
                  <a:rPr lang="uk-UA" sz="1200">
                    <a:latin typeface="Times New Roman" panose="02020603050405020304" charset="0"/>
                    <a:cs typeface="Times New Roman" panose="02020603050405020304" charset="0"/>
                  </a:rPr>
                  <a:t> </a:t>
                </a:r>
                <a:r>
                  <a:rPr lang="en-US" sz="1200">
                    <a:latin typeface="Times New Roman" panose="02020603050405020304" charset="0"/>
                    <a:cs typeface="Times New Roman" panose="02020603050405020304" charset="0"/>
                  </a:rPr>
                  <a:t>Z, % </a:t>
                </a:r>
              </a:p>
            </c:rich>
          </c:tx>
          <c:layout>
            <c:manualLayout>
              <c:xMode val="edge"/>
              <c:yMode val="edge"/>
              <c:x val="0.88578952131890998"/>
              <c:y val="0.27397663527353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576384"/>
        <c:crosses val="max"/>
        <c:crossBetween val="midCat"/>
        <c:majorUnit val="20"/>
      </c:valAx>
      <c:spPr>
        <a:solidFill>
          <a:schemeClr val="bg1"/>
        </a:solidFill>
        <a:ln w="0">
          <a:solidFill>
            <a:schemeClr val="bg1"/>
          </a:solidFill>
        </a:ln>
      </c:spPr>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9016185476816"/>
          <c:y val="3.65079365079366E-2"/>
          <c:w val="0.74036570428696402"/>
          <c:h val="0.73646589048163902"/>
        </c:manualLayout>
      </c:layout>
      <c:scatterChart>
        <c:scatterStyle val="smoothMarker"/>
        <c:varyColors val="0"/>
        <c:ser>
          <c:idx val="0"/>
          <c:order val="0"/>
          <c:tx>
            <c:strRef>
              <c:f>1</c:f>
              <c:strCache>
                <c:ptCount val="1"/>
                <c:pt idx="0">
                  <c:v>1</c:v>
                </c:pt>
              </c:strCache>
            </c:strRef>
          </c:tx>
          <c:spPr>
            <a:ln w="22225" cap="rnd" cmpd="sng" algn="ctr">
              <a:solidFill>
                <a:schemeClr val="tx1"/>
              </a:solidFill>
              <a:prstDash val="solid"/>
              <a:round/>
            </a:ln>
          </c:spPr>
          <c:marker>
            <c:symbol val="diamond"/>
            <c:size val="7"/>
            <c:spPr>
              <a:solidFill>
                <a:schemeClr val="tx1"/>
              </a:solidFill>
              <a:ln w="9525" cap="flat" cmpd="sng" algn="ctr">
                <a:solidFill>
                  <a:schemeClr val="tx1"/>
                </a:solidFill>
                <a:prstDash val="dash"/>
                <a:round/>
              </a:ln>
            </c:spPr>
          </c:marker>
          <c:xVal>
            <c:numRef>
              <c:f>Лист3!$A$95:$A$118</c:f>
              <c:numCache>
                <c:formatCode>General</c:formatCode>
                <c:ptCount val="24"/>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numCache>
            </c:numRef>
          </c:xVal>
          <c:yVal>
            <c:numRef>
              <c:f>Лист3!$B$95:$B$118</c:f>
              <c:numCache>
                <c:formatCode>General</c:formatCode>
                <c:ptCount val="24"/>
                <c:pt idx="0">
                  <c:v>0</c:v>
                </c:pt>
                <c:pt idx="1">
                  <c:v>0.08</c:v>
                </c:pt>
                <c:pt idx="2">
                  <c:v>0.08</c:v>
                </c:pt>
                <c:pt idx="3">
                  <c:v>0.12</c:v>
                </c:pt>
                <c:pt idx="4">
                  <c:v>0.12</c:v>
                </c:pt>
                <c:pt idx="5">
                  <c:v>0.12</c:v>
                </c:pt>
                <c:pt idx="6">
                  <c:v>0.12</c:v>
                </c:pt>
                <c:pt idx="7">
                  <c:v>0.12</c:v>
                </c:pt>
                <c:pt idx="8">
                  <c:v>0.12</c:v>
                </c:pt>
                <c:pt idx="9">
                  <c:v>0.12</c:v>
                </c:pt>
                <c:pt idx="10">
                  <c:v>0.12</c:v>
                </c:pt>
                <c:pt idx="11">
                  <c:v>0.12</c:v>
                </c:pt>
                <c:pt idx="12">
                  <c:v>0.12</c:v>
                </c:pt>
                <c:pt idx="13">
                  <c:v>0.12</c:v>
                </c:pt>
                <c:pt idx="14">
                  <c:v>0.12</c:v>
                </c:pt>
                <c:pt idx="15">
                  <c:v>0.12</c:v>
                </c:pt>
                <c:pt idx="16">
                  <c:v>0.4</c:v>
                </c:pt>
                <c:pt idx="17">
                  <c:v>0.56000000000000005</c:v>
                </c:pt>
                <c:pt idx="18">
                  <c:v>1</c:v>
                </c:pt>
                <c:pt idx="19">
                  <c:v>1.6800000000000099</c:v>
                </c:pt>
                <c:pt idx="20">
                  <c:v>2.68</c:v>
                </c:pt>
                <c:pt idx="21">
                  <c:v>3.95</c:v>
                </c:pt>
                <c:pt idx="22">
                  <c:v>4.8</c:v>
                </c:pt>
              </c:numCache>
            </c:numRef>
          </c:yVal>
          <c:smooth val="1"/>
          <c:extLst>
            <c:ext xmlns:c16="http://schemas.microsoft.com/office/drawing/2014/chart" uri="{C3380CC4-5D6E-409C-BE32-E72D297353CC}">
              <c16:uniqueId val="{00000000-9170-44FF-A686-9806DDF348D0}"/>
            </c:ext>
          </c:extLst>
        </c:ser>
        <c:ser>
          <c:idx val="1"/>
          <c:order val="1"/>
          <c:tx>
            <c:strRef>
              <c:f>2</c:f>
              <c:strCache>
                <c:ptCount val="1"/>
                <c:pt idx="0">
                  <c:v>2</c:v>
                </c:pt>
              </c:strCache>
            </c:strRef>
          </c:tx>
          <c:spPr>
            <a:ln w="22225" cap="rnd" cmpd="sng" algn="ctr">
              <a:solidFill>
                <a:schemeClr val="tx1"/>
              </a:solidFill>
              <a:prstDash val="solid"/>
              <a:round/>
            </a:ln>
          </c:spPr>
          <c:marker>
            <c:spPr>
              <a:solidFill>
                <a:schemeClr val="tx1"/>
              </a:solidFill>
              <a:ln w="9525" cap="flat" cmpd="sng" algn="ctr">
                <a:solidFill>
                  <a:schemeClr val="tx1"/>
                </a:solidFill>
                <a:prstDash val="solid"/>
                <a:round/>
              </a:ln>
            </c:spPr>
          </c:marker>
          <c:xVal>
            <c:numRef>
              <c:f>Лист3!$A$95:$A$118</c:f>
              <c:numCache>
                <c:formatCode>General</c:formatCode>
                <c:ptCount val="24"/>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numCache>
            </c:numRef>
          </c:xVal>
          <c:yVal>
            <c:numRef>
              <c:f>Лист3!$C$95:$C$118</c:f>
              <c:numCache>
                <c:formatCode>General</c:formatCode>
                <c:ptCount val="24"/>
                <c:pt idx="0">
                  <c:v>0</c:v>
                </c:pt>
                <c:pt idx="1">
                  <c:v>4.8</c:v>
                </c:pt>
                <c:pt idx="2">
                  <c:v>4.75</c:v>
                </c:pt>
                <c:pt idx="3">
                  <c:v>4.6399999999999997</c:v>
                </c:pt>
                <c:pt idx="4">
                  <c:v>4.7</c:v>
                </c:pt>
                <c:pt idx="5">
                  <c:v>4.72</c:v>
                </c:pt>
                <c:pt idx="6">
                  <c:v>4.75</c:v>
                </c:pt>
                <c:pt idx="7" formatCode="0.00">
                  <c:v>4.82</c:v>
                </c:pt>
                <c:pt idx="8">
                  <c:v>4.8499999999999996</c:v>
                </c:pt>
                <c:pt idx="9">
                  <c:v>4.91</c:v>
                </c:pt>
                <c:pt idx="10">
                  <c:v>4.92</c:v>
                </c:pt>
                <c:pt idx="11">
                  <c:v>4.93</c:v>
                </c:pt>
                <c:pt idx="12">
                  <c:v>4.9000000000000004</c:v>
                </c:pt>
                <c:pt idx="13">
                  <c:v>4.8899999999999997</c:v>
                </c:pt>
                <c:pt idx="14">
                  <c:v>4.87</c:v>
                </c:pt>
                <c:pt idx="15">
                  <c:v>4.91</c:v>
                </c:pt>
                <c:pt idx="16">
                  <c:v>4.92</c:v>
                </c:pt>
                <c:pt idx="17">
                  <c:v>4.88</c:v>
                </c:pt>
                <c:pt idx="18">
                  <c:v>4.87</c:v>
                </c:pt>
                <c:pt idx="19">
                  <c:v>4.8499999999999996</c:v>
                </c:pt>
                <c:pt idx="20">
                  <c:v>4.84</c:v>
                </c:pt>
                <c:pt idx="21">
                  <c:v>4.8899999999999997</c:v>
                </c:pt>
                <c:pt idx="22">
                  <c:v>4.9000000000000004</c:v>
                </c:pt>
              </c:numCache>
            </c:numRef>
          </c:yVal>
          <c:smooth val="1"/>
          <c:extLst>
            <c:ext xmlns:c16="http://schemas.microsoft.com/office/drawing/2014/chart" uri="{C3380CC4-5D6E-409C-BE32-E72D297353CC}">
              <c16:uniqueId val="{00000001-9170-44FF-A686-9806DDF348D0}"/>
            </c:ext>
          </c:extLst>
        </c:ser>
        <c:dLbls>
          <c:showLegendKey val="0"/>
          <c:showVal val="0"/>
          <c:showCatName val="0"/>
          <c:showSerName val="0"/>
          <c:showPercent val="0"/>
          <c:showBubbleSize val="0"/>
        </c:dLbls>
        <c:axId val="240710784"/>
        <c:axId val="240713088"/>
      </c:scatterChart>
      <c:scatterChart>
        <c:scatterStyle val="smoothMarker"/>
        <c:varyColors val="0"/>
        <c:ser>
          <c:idx val="2"/>
          <c:order val="2"/>
          <c:tx>
            <c:strRef>
              <c:f>3</c:f>
              <c:strCache>
                <c:ptCount val="1"/>
                <c:pt idx="0">
                  <c:v>3</c:v>
                </c:pt>
              </c:strCache>
            </c:strRef>
          </c:tx>
          <c:spPr>
            <a:ln w="22225" cap="rnd" cmpd="sng" algn="ctr">
              <a:solidFill>
                <a:schemeClr val="tx1"/>
              </a:solidFill>
              <a:prstDash val="solid"/>
              <a:round/>
            </a:ln>
          </c:spPr>
          <c:marker>
            <c:symbol val="triangle"/>
            <c:size val="6"/>
            <c:spPr>
              <a:solidFill>
                <a:schemeClr val="bg2"/>
              </a:solidFill>
              <a:ln w="9525" cap="flat" cmpd="sng" algn="ctr">
                <a:solidFill>
                  <a:schemeClr val="tx1"/>
                </a:solidFill>
                <a:prstDash val="solid"/>
                <a:round/>
              </a:ln>
            </c:spPr>
          </c:marker>
          <c:xVal>
            <c:numRef>
              <c:f>Лист3!$A$95:$A$118</c:f>
              <c:numCache>
                <c:formatCode>General</c:formatCode>
                <c:ptCount val="24"/>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numCache>
            </c:numRef>
          </c:xVal>
          <c:yVal>
            <c:numRef>
              <c:f>Лист3!$D$95:$D$118</c:f>
              <c:numCache>
                <c:formatCode>General</c:formatCode>
                <c:ptCount val="2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0.15</c:v>
                </c:pt>
                <c:pt idx="16">
                  <c:v>0.35</c:v>
                </c:pt>
                <c:pt idx="17">
                  <c:v>0.44</c:v>
                </c:pt>
                <c:pt idx="18">
                  <c:v>1</c:v>
                </c:pt>
                <c:pt idx="19">
                  <c:v>1.5</c:v>
                </c:pt>
                <c:pt idx="20">
                  <c:v>1.7</c:v>
                </c:pt>
                <c:pt idx="21">
                  <c:v>1.8</c:v>
                </c:pt>
                <c:pt idx="22">
                  <c:v>1.8</c:v>
                </c:pt>
              </c:numCache>
            </c:numRef>
          </c:yVal>
          <c:smooth val="1"/>
          <c:extLst>
            <c:ext xmlns:c16="http://schemas.microsoft.com/office/drawing/2014/chart" uri="{C3380CC4-5D6E-409C-BE32-E72D297353CC}">
              <c16:uniqueId val="{00000002-9170-44FF-A686-9806DDF348D0}"/>
            </c:ext>
          </c:extLst>
        </c:ser>
        <c:dLbls>
          <c:showLegendKey val="0"/>
          <c:showVal val="0"/>
          <c:showCatName val="0"/>
          <c:showSerName val="0"/>
          <c:showPercent val="0"/>
          <c:showBubbleSize val="0"/>
        </c:dLbls>
        <c:axId val="240731648"/>
        <c:axId val="240733184"/>
      </c:scatterChart>
      <c:valAx>
        <c:axId val="240710784"/>
        <c:scaling>
          <c:orientation val="minMax"/>
          <c:max val="11"/>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p-y,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82905314960629894"/>
              <c:y val="0.90156717589788404"/>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0713088"/>
        <c:crosses val="autoZero"/>
        <c:crossBetween val="midCat"/>
        <c:majorUnit val="1"/>
      </c:valAx>
      <c:valAx>
        <c:axId val="240713088"/>
        <c:scaling>
          <c:orientation val="minMax"/>
          <c:max val="5"/>
          <c:min val="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Ж,  Л,  мг-екв/дм</a:t>
                </a:r>
                <a:r>
                  <a:rPr lang="ru-RU" sz="1200" b="1" i="0"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5.5555555555555599E-4"/>
              <c:y val="0.108425421181327"/>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710784"/>
        <c:crosses val="autoZero"/>
        <c:crossBetween val="midCat"/>
        <c:majorUnit val="1"/>
      </c:valAx>
      <c:valAx>
        <c:axId val="240731648"/>
        <c:scaling>
          <c:orientation val="minMax"/>
        </c:scaling>
        <c:delete val="1"/>
        <c:axPos val="b"/>
        <c:numFmt formatCode="General" sourceLinked="1"/>
        <c:majorTickMark val="out"/>
        <c:minorTickMark val="none"/>
        <c:tickLblPos val="none"/>
        <c:crossAx val="240733184"/>
        <c:crosses val="autoZero"/>
        <c:crossBetween val="midCat"/>
      </c:valAx>
      <c:valAx>
        <c:axId val="240733184"/>
        <c:scaling>
          <c:orientation val="minMax"/>
          <c:min val="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С (С</a:t>
                </a:r>
                <a:r>
                  <a:rPr lang="en-US" sz="1200" b="1" i="0" baseline="0">
                    <a:latin typeface="Times New Roman" panose="02020603050405020304" charset="0"/>
                    <a:cs typeface="Times New Roman" panose="02020603050405020304" charset="0"/>
                  </a:rPr>
                  <a:t>u</a:t>
                </a:r>
                <a:r>
                  <a:rPr lang="ru-RU" sz="1200" b="1" i="0" baseline="0">
                    <a:latin typeface="Times New Roman" panose="02020603050405020304" charset="0"/>
                    <a:cs typeface="Times New Roman" panose="02020603050405020304" charset="0"/>
                  </a:rPr>
                  <a:t>)</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ru-RU" sz="1200" b="1">
                  <a:latin typeface="Times New Roman" panose="02020603050405020304" charset="0"/>
                  <a:cs typeface="Times New Roman" panose="02020603050405020304" charset="0"/>
                </a:endParaRPr>
              </a:p>
            </c:rich>
          </c:tx>
          <c:layout>
            <c:manualLayout>
              <c:xMode val="edge"/>
              <c:yMode val="edge"/>
              <c:x val="0.93830096237970295"/>
              <c:y val="0.14378760347264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731648"/>
        <c:crosses val="max"/>
        <c:crossBetween val="midCat"/>
        <c:majorUnit val="0.5"/>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768166752878501"/>
          <c:y val="8.6532471378820905E-2"/>
          <c:w val="0.73520847611650797"/>
          <c:h val="0.72835074604001404"/>
        </c:manualLayout>
      </c:layout>
      <c:scatterChart>
        <c:scatterStyle val="lineMarker"/>
        <c:varyColors val="0"/>
        <c:ser>
          <c:idx val="0"/>
          <c:order val="0"/>
          <c:tx>
            <c:strRef>
              <c:f>1</c:f>
              <c:strCache>
                <c:ptCount val="1"/>
                <c:pt idx="0">
                  <c:v>1</c:v>
                </c:pt>
              </c:strCache>
            </c:strRef>
          </c:tx>
          <c:spPr>
            <a:ln w="22225" cap="rnd" cmpd="sng" algn="ctr">
              <a:solidFill>
                <a:schemeClr val="tx1"/>
              </a:solidFill>
              <a:prstDash val="solid"/>
              <a:round/>
            </a:ln>
          </c:spPr>
          <c:marker>
            <c:spPr>
              <a:solidFill>
                <a:sysClr val="windowText" lastClr="000000"/>
              </a:solidFill>
            </c:spPr>
          </c:marker>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Лист3!$B$82:$B$92</c:f>
              <c:numCache>
                <c:formatCode>General</c:formatCode>
                <c:ptCount val="11"/>
                <c:pt idx="0">
                  <c:v>0</c:v>
                </c:pt>
                <c:pt idx="1">
                  <c:v>100</c:v>
                </c:pt>
                <c:pt idx="2">
                  <c:v>100</c:v>
                </c:pt>
                <c:pt idx="3">
                  <c:v>100</c:v>
                </c:pt>
                <c:pt idx="4">
                  <c:v>99.9</c:v>
                </c:pt>
                <c:pt idx="5">
                  <c:v>99.8</c:v>
                </c:pt>
                <c:pt idx="6">
                  <c:v>99.7</c:v>
                </c:pt>
                <c:pt idx="7">
                  <c:v>98.5</c:v>
                </c:pt>
                <c:pt idx="8">
                  <c:v>92.8</c:v>
                </c:pt>
                <c:pt idx="9">
                  <c:v>90</c:v>
                </c:pt>
                <c:pt idx="10">
                  <c:v>80</c:v>
                </c:pt>
              </c:numCache>
            </c:numRef>
          </c:yVal>
          <c:smooth val="0"/>
          <c:extLst>
            <c:ext xmlns:c16="http://schemas.microsoft.com/office/drawing/2014/chart" uri="{C3380CC4-5D6E-409C-BE32-E72D297353CC}">
              <c16:uniqueId val="{00000000-6480-4E18-9CFC-20A0C6F33C09}"/>
            </c:ext>
          </c:extLst>
        </c:ser>
        <c:ser>
          <c:idx val="1"/>
          <c:order val="1"/>
          <c:tx>
            <c:strRef>
              <c:f>2</c:f>
              <c:strCache>
                <c:ptCount val="1"/>
                <c:pt idx="0">
                  <c:v>2</c:v>
                </c:pt>
              </c:strCache>
            </c:strRef>
          </c:tx>
          <c:spPr>
            <a:ln w="22225" cap="rnd" cmpd="sng" algn="ctr">
              <a:solidFill>
                <a:schemeClr val="tx1"/>
              </a:solidFill>
              <a:prstDash val="solid"/>
              <a:round/>
            </a:ln>
          </c:spPr>
          <c:marker>
            <c:spPr>
              <a:solidFill>
                <a:schemeClr val="tx1"/>
              </a:solidFill>
            </c:spPr>
          </c:marker>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Лист3!$C$82:$C$92</c:f>
              <c:numCache>
                <c:formatCode>General</c:formatCode>
                <c:ptCount val="11"/>
                <c:pt idx="0">
                  <c:v>0</c:v>
                </c:pt>
                <c:pt idx="1">
                  <c:v>100</c:v>
                </c:pt>
                <c:pt idx="2">
                  <c:v>100</c:v>
                </c:pt>
                <c:pt idx="3">
                  <c:v>100</c:v>
                </c:pt>
                <c:pt idx="4">
                  <c:v>100</c:v>
                </c:pt>
                <c:pt idx="5">
                  <c:v>100</c:v>
                </c:pt>
                <c:pt idx="6">
                  <c:v>95</c:v>
                </c:pt>
                <c:pt idx="7">
                  <c:v>92</c:v>
                </c:pt>
                <c:pt idx="8">
                  <c:v>75</c:v>
                </c:pt>
                <c:pt idx="9">
                  <c:v>40</c:v>
                </c:pt>
                <c:pt idx="10">
                  <c:v>25</c:v>
                </c:pt>
              </c:numCache>
            </c:numRef>
          </c:yVal>
          <c:smooth val="0"/>
          <c:extLst>
            <c:ext xmlns:c16="http://schemas.microsoft.com/office/drawing/2014/chart" uri="{C3380CC4-5D6E-409C-BE32-E72D297353CC}">
              <c16:uniqueId val="{00000001-6480-4E18-9CFC-20A0C6F33C09}"/>
            </c:ext>
          </c:extLst>
        </c:ser>
        <c:ser>
          <c:idx val="2"/>
          <c:order val="2"/>
          <c:tx>
            <c:strRef>
              <c:f>3</c:f>
              <c:strCache>
                <c:ptCount val="1"/>
                <c:pt idx="0">
                  <c:v>3</c:v>
                </c:pt>
              </c:strCache>
            </c:strRef>
          </c:tx>
          <c:spPr>
            <a:ln w="22225" cap="rnd" cmpd="sng" algn="ctr">
              <a:solidFill>
                <a:schemeClr val="tx1"/>
              </a:solidFill>
              <a:prstDash val="solid"/>
              <a:round/>
            </a:ln>
          </c:spPr>
          <c:marker>
            <c:symbol val="triangle"/>
            <c:size val="6"/>
            <c:spPr>
              <a:solidFill>
                <a:schemeClr val="tx1"/>
              </a:solidFill>
            </c:spPr>
          </c:marker>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Лист3!$D$82:$D$92</c:f>
              <c:numCache>
                <c:formatCode>General</c:formatCode>
                <c:ptCount val="11"/>
                <c:pt idx="0">
                  <c:v>0</c:v>
                </c:pt>
                <c:pt idx="1">
                  <c:v>100</c:v>
                </c:pt>
                <c:pt idx="2">
                  <c:v>100</c:v>
                </c:pt>
                <c:pt idx="3">
                  <c:v>100</c:v>
                </c:pt>
                <c:pt idx="4">
                  <c:v>100</c:v>
                </c:pt>
                <c:pt idx="5">
                  <c:v>100</c:v>
                </c:pt>
                <c:pt idx="6">
                  <c:v>100</c:v>
                </c:pt>
                <c:pt idx="7">
                  <c:v>100</c:v>
                </c:pt>
                <c:pt idx="8">
                  <c:v>76</c:v>
                </c:pt>
                <c:pt idx="9">
                  <c:v>66</c:v>
                </c:pt>
                <c:pt idx="10">
                  <c:v>62</c:v>
                </c:pt>
              </c:numCache>
            </c:numRef>
          </c:yVal>
          <c:smooth val="0"/>
          <c:extLst>
            <c:ext xmlns:c16="http://schemas.microsoft.com/office/drawing/2014/chart" uri="{C3380CC4-5D6E-409C-BE32-E72D297353CC}">
              <c16:uniqueId val="{00000002-6480-4E18-9CFC-20A0C6F33C09}"/>
            </c:ext>
          </c:extLst>
        </c:ser>
        <c:ser>
          <c:idx val="3"/>
          <c:order val="3"/>
          <c:tx>
            <c:strRef>
              <c:f>4</c:f>
              <c:strCache>
                <c:ptCount val="1"/>
                <c:pt idx="0">
                  <c:v>4</c:v>
                </c:pt>
              </c:strCache>
            </c:strRef>
          </c:tx>
          <c:spPr>
            <a:ln w="22225" cap="rnd" cmpd="sng" algn="ctr">
              <a:solidFill>
                <a:schemeClr val="tx1"/>
              </a:solidFill>
              <a:prstDash val="dash"/>
              <a:round/>
            </a:ln>
          </c:spPr>
          <c:marker>
            <c:symbol val="circle"/>
            <c:size val="7"/>
            <c:spPr>
              <a:solidFill>
                <a:schemeClr val="tx1"/>
              </a:solidFill>
            </c:spPr>
          </c:marker>
          <c:dPt>
            <c:idx val="9"/>
            <c:bubble3D val="0"/>
            <c:spPr>
              <a:ln w="22225" cap="rnd" cmpd="sng" algn="ctr">
                <a:solidFill>
                  <a:schemeClr val="tx1"/>
                </a:solidFill>
                <a:prstDash val="lgDash"/>
                <a:round/>
              </a:ln>
            </c:spPr>
            <c:extLst>
              <c:ext xmlns:c16="http://schemas.microsoft.com/office/drawing/2014/chart" uri="{C3380CC4-5D6E-409C-BE32-E72D297353CC}">
                <c16:uniqueId val="{00000004-6480-4E18-9CFC-20A0C6F33C09}"/>
              </c:ext>
            </c:extLst>
          </c:dPt>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Лист3!$E$82:$E$92</c:f>
              <c:numCache>
                <c:formatCode>General</c:formatCode>
                <c:ptCount val="11"/>
                <c:pt idx="0">
                  <c:v>0</c:v>
                </c:pt>
                <c:pt idx="1">
                  <c:v>98.3</c:v>
                </c:pt>
                <c:pt idx="2">
                  <c:v>96.7</c:v>
                </c:pt>
                <c:pt idx="3">
                  <c:v>96.5</c:v>
                </c:pt>
                <c:pt idx="4">
                  <c:v>96.3</c:v>
                </c:pt>
                <c:pt idx="5">
                  <c:v>95.8</c:v>
                </c:pt>
                <c:pt idx="6">
                  <c:v>95</c:v>
                </c:pt>
                <c:pt idx="7">
                  <c:v>94.2</c:v>
                </c:pt>
                <c:pt idx="8">
                  <c:v>88.3</c:v>
                </c:pt>
                <c:pt idx="9">
                  <c:v>65</c:v>
                </c:pt>
                <c:pt idx="10">
                  <c:v>23.3</c:v>
                </c:pt>
              </c:numCache>
            </c:numRef>
          </c:yVal>
          <c:smooth val="0"/>
          <c:extLst>
            <c:ext xmlns:c16="http://schemas.microsoft.com/office/drawing/2014/chart" uri="{C3380CC4-5D6E-409C-BE32-E72D297353CC}">
              <c16:uniqueId val="{00000005-6480-4E18-9CFC-20A0C6F33C09}"/>
            </c:ext>
          </c:extLst>
        </c:ser>
        <c:ser>
          <c:idx val="4"/>
          <c:order val="4"/>
          <c:tx>
            <c:strRef>
              <c:f>5</c:f>
              <c:strCache>
                <c:ptCount val="1"/>
                <c:pt idx="0">
                  <c:v>5</c:v>
                </c:pt>
              </c:strCache>
            </c:strRef>
          </c:tx>
          <c:spPr>
            <a:ln w="22225" cap="rnd" cmpd="sng" algn="ctr">
              <a:solidFill>
                <a:schemeClr val="tx1"/>
              </a:solidFill>
              <a:prstDash val="solid"/>
              <a:round/>
            </a:ln>
          </c:spPr>
          <c:marker>
            <c:symbol val="square"/>
            <c:size val="6"/>
            <c:spPr>
              <a:noFill/>
              <a:ln w="6350" cap="flat" cmpd="sng" algn="ctr">
                <a:solidFill>
                  <a:schemeClr val="tx1"/>
                </a:solidFill>
                <a:prstDash val="solid"/>
                <a:round/>
              </a:ln>
            </c:spPr>
          </c:marker>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Лист3!$F$82:$F$92</c:f>
              <c:numCache>
                <c:formatCode>General</c:formatCode>
                <c:ptCount val="11"/>
                <c:pt idx="0">
                  <c:v>0</c:v>
                </c:pt>
                <c:pt idx="1">
                  <c:v>98.5</c:v>
                </c:pt>
                <c:pt idx="2">
                  <c:v>97.7</c:v>
                </c:pt>
                <c:pt idx="3">
                  <c:v>97.7</c:v>
                </c:pt>
                <c:pt idx="4">
                  <c:v>97.7</c:v>
                </c:pt>
                <c:pt idx="5">
                  <c:v>97.7</c:v>
                </c:pt>
                <c:pt idx="6">
                  <c:v>97.7</c:v>
                </c:pt>
                <c:pt idx="7">
                  <c:v>97.7</c:v>
                </c:pt>
                <c:pt idx="8">
                  <c:v>92.3</c:v>
                </c:pt>
                <c:pt idx="9">
                  <c:v>80.8</c:v>
                </c:pt>
                <c:pt idx="10">
                  <c:v>48.5</c:v>
                </c:pt>
              </c:numCache>
            </c:numRef>
          </c:yVal>
          <c:smooth val="0"/>
          <c:extLst>
            <c:ext xmlns:c16="http://schemas.microsoft.com/office/drawing/2014/chart" uri="{C3380CC4-5D6E-409C-BE32-E72D297353CC}">
              <c16:uniqueId val="{00000006-6480-4E18-9CFC-20A0C6F33C09}"/>
            </c:ext>
          </c:extLst>
        </c:ser>
        <c:dLbls>
          <c:showLegendKey val="0"/>
          <c:showVal val="0"/>
          <c:showCatName val="0"/>
          <c:showSerName val="0"/>
          <c:showPercent val="0"/>
          <c:showBubbleSize val="0"/>
        </c:dLbls>
        <c:axId val="240638976"/>
        <c:axId val="240662016"/>
      </c:scatterChart>
      <c:scatterChart>
        <c:scatterStyle val="lineMarker"/>
        <c:varyColors val="0"/>
        <c:ser>
          <c:idx val="5"/>
          <c:order val="5"/>
          <c:tx>
            <c:strRef>
              <c:f>6</c:f>
              <c:strCache>
                <c:ptCount val="1"/>
                <c:pt idx="0">
                  <c:v>6</c:v>
                </c:pt>
              </c:strCache>
            </c:strRef>
          </c:tx>
          <c:spPr>
            <a:ln w="22225" cap="rnd" cmpd="sng" algn="ctr">
              <a:solidFill>
                <a:sysClr val="windowText" lastClr="000000"/>
              </a:solidFill>
              <a:prstDash val="solid"/>
              <a:round/>
            </a:ln>
          </c:spPr>
          <c:marker>
            <c:spPr>
              <a:noFill/>
              <a:ln w="9525" cap="flat" cmpd="sng" algn="ctr">
                <a:solidFill>
                  <a:schemeClr val="tx1"/>
                </a:solidFill>
                <a:prstDash val="solid"/>
                <a:round/>
              </a:ln>
            </c:spPr>
          </c:marker>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Лист3!$G$82:$G$92</c:f>
              <c:numCache>
                <c:formatCode>General</c:formatCode>
                <c:ptCount val="11"/>
                <c:pt idx="0">
                  <c:v>0</c:v>
                </c:pt>
                <c:pt idx="1">
                  <c:v>2.79</c:v>
                </c:pt>
                <c:pt idx="2">
                  <c:v>2.84</c:v>
                </c:pt>
                <c:pt idx="3">
                  <c:v>2.91</c:v>
                </c:pt>
                <c:pt idx="4">
                  <c:v>3.05</c:v>
                </c:pt>
                <c:pt idx="5">
                  <c:v>3.55</c:v>
                </c:pt>
                <c:pt idx="6">
                  <c:v>5.85</c:v>
                </c:pt>
                <c:pt idx="7">
                  <c:v>6.74</c:v>
                </c:pt>
                <c:pt idx="8">
                  <c:v>7.81</c:v>
                </c:pt>
                <c:pt idx="9">
                  <c:v>7.86</c:v>
                </c:pt>
                <c:pt idx="10">
                  <c:v>7.87</c:v>
                </c:pt>
              </c:numCache>
            </c:numRef>
          </c:yVal>
          <c:smooth val="0"/>
          <c:extLst>
            <c:ext xmlns:c16="http://schemas.microsoft.com/office/drawing/2014/chart" uri="{C3380CC4-5D6E-409C-BE32-E72D297353CC}">
              <c16:uniqueId val="{00000007-6480-4E18-9CFC-20A0C6F33C09}"/>
            </c:ext>
          </c:extLst>
        </c:ser>
        <c:ser>
          <c:idx val="6"/>
          <c:order val="6"/>
          <c:tx>
            <c:strRef>
              <c:f>7</c:f>
              <c:strCache>
                <c:ptCount val="1"/>
                <c:pt idx="0">
                  <c:v>7</c:v>
                </c:pt>
              </c:strCache>
            </c:strRef>
          </c:tx>
          <c:spPr>
            <a:ln w="22225" cap="rnd" cmpd="sng" algn="ctr">
              <a:solidFill>
                <a:schemeClr val="tx1"/>
              </a:solidFill>
              <a:prstDash val="solid"/>
              <a:round/>
            </a:ln>
          </c:spPr>
          <c:marker>
            <c:spPr>
              <a:noFill/>
              <a:ln w="9525" cap="flat" cmpd="sng" algn="ctr">
                <a:solidFill>
                  <a:schemeClr val="tx1"/>
                </a:solidFill>
                <a:prstDash val="solid"/>
                <a:round/>
              </a:ln>
            </c:spPr>
          </c:marker>
          <c:xVal>
            <c:numRef>
              <c:f>Лист3!$A$82:$A$92</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Лист3!$H$82:$H$92</c:f>
              <c:numCache>
                <c:formatCode>General</c:formatCode>
                <c:ptCount val="11"/>
                <c:pt idx="0">
                  <c:v>0</c:v>
                </c:pt>
                <c:pt idx="1">
                  <c:v>8.5399999999999991</c:v>
                </c:pt>
                <c:pt idx="2">
                  <c:v>8.34</c:v>
                </c:pt>
                <c:pt idx="3">
                  <c:v>8.27</c:v>
                </c:pt>
                <c:pt idx="4">
                  <c:v>8.2899999999999991</c:v>
                </c:pt>
                <c:pt idx="5">
                  <c:v>8.16</c:v>
                </c:pt>
                <c:pt idx="6">
                  <c:v>8.02</c:v>
                </c:pt>
                <c:pt idx="7">
                  <c:v>8.01</c:v>
                </c:pt>
                <c:pt idx="8">
                  <c:v>7.92</c:v>
                </c:pt>
                <c:pt idx="9">
                  <c:v>7.9</c:v>
                </c:pt>
                <c:pt idx="10">
                  <c:v>7.87</c:v>
                </c:pt>
              </c:numCache>
            </c:numRef>
          </c:yVal>
          <c:smooth val="0"/>
          <c:extLst>
            <c:ext xmlns:c16="http://schemas.microsoft.com/office/drawing/2014/chart" uri="{C3380CC4-5D6E-409C-BE32-E72D297353CC}">
              <c16:uniqueId val="{00000008-6480-4E18-9CFC-20A0C6F33C09}"/>
            </c:ext>
          </c:extLst>
        </c:ser>
        <c:dLbls>
          <c:showLegendKey val="0"/>
          <c:showVal val="0"/>
          <c:showCatName val="0"/>
          <c:showSerName val="0"/>
          <c:showPercent val="0"/>
          <c:showBubbleSize val="0"/>
        </c:dLbls>
        <c:axId val="240663936"/>
        <c:axId val="240669824"/>
      </c:scatterChart>
      <c:valAx>
        <c:axId val="240638976"/>
        <c:scaling>
          <c:orientation val="minMax"/>
          <c:max val="10"/>
        </c:scaling>
        <c:delete val="0"/>
        <c:axPos val="b"/>
        <c:title>
          <c:tx>
            <c:rich>
              <a:bodyPr rot="0" spcFirstLastPara="0" vertOverflow="ellipsis" vert="horz" wrap="square" anchor="ctr" anchorCtr="1"/>
              <a:lstStyle/>
              <a:p>
                <a:pPr>
                  <a:defRPr lang="en-US" sz="12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V p-y,  </a:t>
                </a:r>
                <a:r>
                  <a:rPr lang="ru-RU" sz="1200" b="1" i="0" baseline="0">
                    <a:latin typeface="Times New Roman" panose="02020603050405020304" charset="0"/>
                    <a:cs typeface="Times New Roman" panose="02020603050405020304" charset="0"/>
                  </a:rPr>
                  <a:t>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85229936586393895"/>
              <c:y val="0.91067618493213598"/>
            </c:manualLayout>
          </c:layout>
          <c:overlay val="0"/>
        </c:title>
        <c:numFmt formatCode="General" sourceLinked="1"/>
        <c:majorTickMark val="out"/>
        <c:minorTickMark val="none"/>
        <c:tickLblPos val="nextTo"/>
        <c:txPr>
          <a:bodyPr rot="0" spcFirstLastPara="0" vertOverflow="ellipsis" vert="horz" wrap="square" anchor="ctr" anchorCtr="1"/>
          <a:lstStyle/>
          <a:p>
            <a:pPr>
              <a:defRPr lang="en-US" sz="1200" b="0" i="0" u="none" strike="noStrike" kern="1200" baseline="0">
                <a:solidFill>
                  <a:srgbClr val="000000"/>
                </a:solidFill>
                <a:latin typeface="Times New Roman" panose="02020603050405020304" charset="0"/>
                <a:ea typeface="Calibri"/>
                <a:cs typeface="Calibri"/>
              </a:defRPr>
            </a:pPr>
            <a:endParaRPr lang="ru-RU"/>
          </a:p>
        </c:txPr>
        <c:crossAx val="240662016"/>
        <c:crosses val="autoZero"/>
        <c:crossBetween val="midCat"/>
        <c:majorUnit val="1"/>
      </c:valAx>
      <c:valAx>
        <c:axId val="240662016"/>
        <c:scaling>
          <c:orientation val="minMax"/>
          <c:max val="100"/>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A, %</a:t>
                </a:r>
                <a:endParaRPr lang="ru-RU" sz="1200" b="1">
                  <a:latin typeface="Times New Roman" panose="02020603050405020304" charset="0"/>
                  <a:cs typeface="Times New Roman" panose="02020603050405020304" charset="0"/>
                </a:endParaRPr>
              </a:p>
            </c:rich>
          </c:tx>
          <c:layout>
            <c:manualLayout>
              <c:xMode val="edge"/>
              <c:yMode val="edge"/>
              <c:x val="5.5559786167928404E-4"/>
              <c:y val="0.3330731223067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638976"/>
        <c:crosses val="autoZero"/>
        <c:crossBetween val="midCat"/>
        <c:majorUnit val="20"/>
        <c:minorUnit val="1"/>
      </c:valAx>
      <c:valAx>
        <c:axId val="240663936"/>
        <c:scaling>
          <c:orientation val="minMax"/>
        </c:scaling>
        <c:delete val="1"/>
        <c:axPos val="b"/>
        <c:numFmt formatCode="General" sourceLinked="1"/>
        <c:majorTickMark val="out"/>
        <c:minorTickMark val="none"/>
        <c:tickLblPos val="none"/>
        <c:crossAx val="240669824"/>
        <c:crosses val="autoZero"/>
        <c:crossBetween val="midCat"/>
      </c:valAx>
      <c:valAx>
        <c:axId val="240669824"/>
        <c:scaling>
          <c:orientation val="minMax"/>
          <c:max val="1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a:latin typeface="Times New Roman" panose="02020603050405020304" charset="0"/>
                    <a:cs typeface="Times New Roman" panose="02020603050405020304" charset="0"/>
                  </a:rPr>
                  <a:t>pH</a:t>
                </a:r>
                <a:endParaRPr lang="ru-RU" sz="1200" b="1">
                  <a:latin typeface="Times New Roman" panose="02020603050405020304" charset="0"/>
                  <a:cs typeface="Times New Roman" panose="02020603050405020304" charset="0"/>
                </a:endParaRPr>
              </a:p>
            </c:rich>
          </c:tx>
          <c:layout>
            <c:manualLayout>
              <c:xMode val="edge"/>
              <c:yMode val="edge"/>
              <c:x val="0.91625993831063102"/>
              <c:y val="0.36390616542581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663936"/>
        <c:crosses val="max"/>
        <c:crossBetween val="midCat"/>
        <c:majorUnit val="2"/>
      </c:valAx>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052884547421"/>
          <c:y val="6.9919263894294606E-2"/>
          <c:w val="0.66159680474723304"/>
          <c:h val="0.79158203989933296"/>
        </c:manualLayout>
      </c:layout>
      <c:scatterChart>
        <c:scatterStyle val="lineMarker"/>
        <c:varyColors val="0"/>
        <c:ser>
          <c:idx val="1"/>
          <c:order val="1"/>
          <c:spPr>
            <a:ln w="22225" cap="rnd" cmpd="sng" algn="ctr">
              <a:solidFill>
                <a:schemeClr val="tx1"/>
              </a:solidFill>
              <a:prstDash val="dash"/>
              <a:round/>
            </a:ln>
          </c:spPr>
          <c:marker>
            <c:symbol val="triangle"/>
            <c:size val="7"/>
            <c:spPr>
              <a:solidFill>
                <a:schemeClr val="tx1"/>
              </a:solidFill>
              <a:ln w="9525" cap="flat" cmpd="sng" algn="ctr">
                <a:solidFill>
                  <a:prstClr val="black"/>
                </a:solidFill>
                <a:prstDash val="solid"/>
                <a:round/>
              </a:ln>
            </c:spPr>
          </c:marker>
          <c:xVal>
            <c:numRef>
              <c:f>Лист3!$A$227:$A$236</c:f>
              <c:numCache>
                <c:formatCode>General</c:formatCode>
                <c:ptCount val="10"/>
                <c:pt idx="0">
                  <c:v>100</c:v>
                </c:pt>
                <c:pt idx="1">
                  <c:v>200</c:v>
                </c:pt>
                <c:pt idx="2">
                  <c:v>300</c:v>
                </c:pt>
                <c:pt idx="3">
                  <c:v>400</c:v>
                </c:pt>
                <c:pt idx="4">
                  <c:v>500</c:v>
                </c:pt>
                <c:pt idx="5">
                  <c:v>600</c:v>
                </c:pt>
                <c:pt idx="6">
                  <c:v>700</c:v>
                </c:pt>
                <c:pt idx="7">
                  <c:v>800</c:v>
                </c:pt>
                <c:pt idx="8">
                  <c:v>900</c:v>
                </c:pt>
                <c:pt idx="9">
                  <c:v>1000</c:v>
                </c:pt>
              </c:numCache>
            </c:numRef>
          </c:xVal>
          <c:yVal>
            <c:numRef>
              <c:f>Лист3!$C$227:$C$236</c:f>
              <c:numCache>
                <c:formatCode>General</c:formatCode>
                <c:ptCount val="10"/>
                <c:pt idx="0">
                  <c:v>0.626000000000004</c:v>
                </c:pt>
                <c:pt idx="1">
                  <c:v>1.256</c:v>
                </c:pt>
                <c:pt idx="2">
                  <c:v>1.8759999999999899</c:v>
                </c:pt>
                <c:pt idx="3">
                  <c:v>2.5150000000000001</c:v>
                </c:pt>
                <c:pt idx="4">
                  <c:v>3.1269999999999998</c:v>
                </c:pt>
                <c:pt idx="5">
                  <c:v>3.7229999999999999</c:v>
                </c:pt>
                <c:pt idx="6">
                  <c:v>4.3899999999999997</c:v>
                </c:pt>
                <c:pt idx="7">
                  <c:v>4.97</c:v>
                </c:pt>
                <c:pt idx="8">
                  <c:v>5.62</c:v>
                </c:pt>
                <c:pt idx="9">
                  <c:v>6.25</c:v>
                </c:pt>
              </c:numCache>
            </c:numRef>
          </c:yVal>
          <c:smooth val="0"/>
          <c:extLst>
            <c:ext xmlns:c16="http://schemas.microsoft.com/office/drawing/2014/chart" uri="{C3380CC4-5D6E-409C-BE32-E72D297353CC}">
              <c16:uniqueId val="{00000000-6F1A-4FAF-93EF-C510CF3F3C35}"/>
            </c:ext>
          </c:extLst>
        </c:ser>
        <c:dLbls>
          <c:showLegendKey val="0"/>
          <c:showVal val="0"/>
          <c:showCatName val="0"/>
          <c:showSerName val="0"/>
          <c:showPercent val="0"/>
          <c:showBubbleSize val="0"/>
        </c:dLbls>
        <c:axId val="240829568"/>
        <c:axId val="240831872"/>
      </c:scatterChart>
      <c:scatterChart>
        <c:scatterStyle val="lineMarker"/>
        <c:varyColors val="0"/>
        <c:ser>
          <c:idx val="0"/>
          <c:order val="0"/>
          <c:spPr>
            <a:ln w="22225" cap="rnd" cmpd="sng" algn="ctr">
              <a:solidFill>
                <a:prstClr val="black"/>
              </a:solidFill>
              <a:prstDash val="solid"/>
              <a:round/>
            </a:ln>
          </c:spPr>
          <c:marker>
            <c:spPr>
              <a:solidFill>
                <a:sysClr val="windowText" lastClr="000000"/>
              </a:solidFill>
              <a:ln w="9525" cap="flat" cmpd="sng" algn="ctr">
                <a:solidFill>
                  <a:prstClr val="black"/>
                </a:solidFill>
                <a:prstDash val="solid"/>
                <a:round/>
              </a:ln>
            </c:spPr>
          </c:marker>
          <c:xVal>
            <c:numRef>
              <c:f>Лист3!$A$227:$A$236</c:f>
              <c:numCache>
                <c:formatCode>General</c:formatCode>
                <c:ptCount val="10"/>
                <c:pt idx="0">
                  <c:v>100</c:v>
                </c:pt>
                <c:pt idx="1">
                  <c:v>200</c:v>
                </c:pt>
                <c:pt idx="2">
                  <c:v>300</c:v>
                </c:pt>
                <c:pt idx="3">
                  <c:v>400</c:v>
                </c:pt>
                <c:pt idx="4">
                  <c:v>500</c:v>
                </c:pt>
                <c:pt idx="5">
                  <c:v>600</c:v>
                </c:pt>
                <c:pt idx="6">
                  <c:v>700</c:v>
                </c:pt>
                <c:pt idx="7">
                  <c:v>800</c:v>
                </c:pt>
                <c:pt idx="8">
                  <c:v>900</c:v>
                </c:pt>
                <c:pt idx="9">
                  <c:v>1000</c:v>
                </c:pt>
              </c:numCache>
            </c:numRef>
          </c:xVal>
          <c:yVal>
            <c:numRef>
              <c:f>Лист3!$B$227:$B$236</c:f>
              <c:numCache>
                <c:formatCode>General</c:formatCode>
                <c:ptCount val="10"/>
                <c:pt idx="0">
                  <c:v>99.46</c:v>
                </c:pt>
                <c:pt idx="1">
                  <c:v>99.73</c:v>
                </c:pt>
                <c:pt idx="2">
                  <c:v>99.33</c:v>
                </c:pt>
                <c:pt idx="3">
                  <c:v>99.87</c:v>
                </c:pt>
                <c:pt idx="4">
                  <c:v>99.35</c:v>
                </c:pt>
                <c:pt idx="5">
                  <c:v>98.57</c:v>
                </c:pt>
                <c:pt idx="6">
                  <c:v>99.52</c:v>
                </c:pt>
                <c:pt idx="7">
                  <c:v>98.68</c:v>
                </c:pt>
                <c:pt idx="8">
                  <c:v>99.31</c:v>
                </c:pt>
                <c:pt idx="9">
                  <c:v>99.32</c:v>
                </c:pt>
              </c:numCache>
            </c:numRef>
          </c:yVal>
          <c:smooth val="0"/>
          <c:extLst>
            <c:ext xmlns:c16="http://schemas.microsoft.com/office/drawing/2014/chart" uri="{C3380CC4-5D6E-409C-BE32-E72D297353CC}">
              <c16:uniqueId val="{00000001-6F1A-4FAF-93EF-C510CF3F3C35}"/>
            </c:ext>
          </c:extLst>
        </c:ser>
        <c:ser>
          <c:idx val="2"/>
          <c:order val="2"/>
          <c:spPr>
            <a:ln w="22225" cap="rnd" cmpd="sng" algn="ctr">
              <a:solidFill>
                <a:prstClr val="black"/>
              </a:solidFill>
              <a:prstDash val="solid"/>
              <a:round/>
            </a:ln>
          </c:spPr>
          <c:marker>
            <c:symbol val="square"/>
            <c:size val="7"/>
            <c:spPr>
              <a:noFill/>
              <a:ln w="9525" cap="flat" cmpd="sng" algn="ctr">
                <a:solidFill>
                  <a:prstClr val="black"/>
                </a:solidFill>
                <a:prstDash val="solid"/>
                <a:round/>
              </a:ln>
            </c:spPr>
          </c:marker>
          <c:xVal>
            <c:numRef>
              <c:f>Лист3!$A$227:$A$236</c:f>
              <c:numCache>
                <c:formatCode>General</c:formatCode>
                <c:ptCount val="10"/>
                <c:pt idx="0">
                  <c:v>100</c:v>
                </c:pt>
                <c:pt idx="1">
                  <c:v>200</c:v>
                </c:pt>
                <c:pt idx="2">
                  <c:v>300</c:v>
                </c:pt>
                <c:pt idx="3">
                  <c:v>400</c:v>
                </c:pt>
                <c:pt idx="4">
                  <c:v>500</c:v>
                </c:pt>
                <c:pt idx="5">
                  <c:v>600</c:v>
                </c:pt>
                <c:pt idx="6">
                  <c:v>700</c:v>
                </c:pt>
                <c:pt idx="7">
                  <c:v>800</c:v>
                </c:pt>
                <c:pt idx="8">
                  <c:v>900</c:v>
                </c:pt>
                <c:pt idx="9">
                  <c:v>1000</c:v>
                </c:pt>
              </c:numCache>
            </c:numRef>
          </c:xVal>
          <c:yVal>
            <c:numRef>
              <c:f>Лист3!$D$227:$D$236</c:f>
              <c:numCache>
                <c:formatCode>General</c:formatCode>
                <c:ptCount val="10"/>
                <c:pt idx="0">
                  <c:v>91.5</c:v>
                </c:pt>
                <c:pt idx="1">
                  <c:v>99.3</c:v>
                </c:pt>
                <c:pt idx="2">
                  <c:v>100</c:v>
                </c:pt>
                <c:pt idx="3">
                  <c:v>100</c:v>
                </c:pt>
                <c:pt idx="4">
                  <c:v>100</c:v>
                </c:pt>
                <c:pt idx="5">
                  <c:v>100</c:v>
                </c:pt>
                <c:pt idx="6">
                  <c:v>90.26</c:v>
                </c:pt>
                <c:pt idx="7">
                  <c:v>88.26</c:v>
                </c:pt>
                <c:pt idx="8">
                  <c:v>72.02</c:v>
                </c:pt>
                <c:pt idx="9">
                  <c:v>67.459999999999994</c:v>
                </c:pt>
              </c:numCache>
            </c:numRef>
          </c:yVal>
          <c:smooth val="0"/>
          <c:extLst>
            <c:ext xmlns:c16="http://schemas.microsoft.com/office/drawing/2014/chart" uri="{C3380CC4-5D6E-409C-BE32-E72D297353CC}">
              <c16:uniqueId val="{00000002-6F1A-4FAF-93EF-C510CF3F3C35}"/>
            </c:ext>
          </c:extLst>
        </c:ser>
        <c:dLbls>
          <c:showLegendKey val="0"/>
          <c:showVal val="0"/>
          <c:showCatName val="0"/>
          <c:showSerName val="0"/>
          <c:showPercent val="0"/>
          <c:showBubbleSize val="0"/>
        </c:dLbls>
        <c:axId val="240938368"/>
        <c:axId val="240936448"/>
      </c:scatterChart>
      <c:valAx>
        <c:axId val="240829568"/>
        <c:scaling>
          <c:orientation val="minMax"/>
          <c:max val="1000"/>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Cu</a:t>
                </a:r>
                <a:r>
                  <a:rPr lang="en-US" sz="1200" b="1" i="0" baseline="30000">
                    <a:latin typeface="Times New Roman" panose="02020603050405020304" charset="0"/>
                    <a:cs typeface="Times New Roman" panose="02020603050405020304" charset="0"/>
                  </a:rPr>
                  <a:t>2+</a:t>
                </a:r>
                <a:r>
                  <a:rPr lang="en-US" sz="1200" b="1" i="0" baseline="0">
                    <a:latin typeface="Times New Roman" panose="02020603050405020304" charset="0"/>
                    <a:cs typeface="Times New Roman" panose="02020603050405020304" charset="0"/>
                  </a:rPr>
                  <a:t>, </a:t>
                </a:r>
                <a:r>
                  <a:rPr lang="ru-RU" sz="1200" b="1" i="0" baseline="0">
                    <a:latin typeface="Times New Roman" panose="02020603050405020304" charset="0"/>
                    <a:cs typeface="Times New Roman" panose="02020603050405020304" charset="0"/>
                  </a:rPr>
                  <a:t>мг/дм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0.83215051215943203"/>
              <c:y val="0.9032008036032540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831872"/>
        <c:crosses val="autoZero"/>
        <c:crossBetween val="midCat"/>
        <c:majorUnit val="100"/>
      </c:valAx>
      <c:valAx>
        <c:axId val="240831872"/>
        <c:scaling>
          <c:orientation val="minMax"/>
        </c:scaling>
        <c:delete val="0"/>
        <c:axPos val="l"/>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ru-RU" sz="1200" b="1" i="0" baseline="0">
                    <a:latin typeface="Times New Roman" panose="02020603050405020304" charset="0"/>
                    <a:cs typeface="Times New Roman" panose="02020603050405020304" charset="0"/>
                  </a:rPr>
                  <a:t>ОЕ, г-екв/дм</a:t>
                </a:r>
                <a:r>
                  <a:rPr lang="ru-RU" sz="1200" b="1" i="0" baseline="30000">
                    <a:latin typeface="Times New Roman" panose="02020603050405020304" charset="0"/>
                    <a:cs typeface="Times New Roman" panose="02020603050405020304" charset="0"/>
                  </a:rPr>
                  <a:t>3</a:t>
                </a:r>
                <a:endParaRPr lang="ru-RU" sz="1200" b="1" i="0" baseline="0">
                  <a:latin typeface="Times New Roman" panose="02020603050405020304" charset="0"/>
                  <a:cs typeface="Times New Roman" panose="02020603050405020304" charset="0"/>
                </a:endParaRPr>
              </a:p>
            </c:rich>
          </c:tx>
          <c:layout>
            <c:manualLayout>
              <c:xMode val="edge"/>
              <c:yMode val="edge"/>
              <c:x val="2.1917786592465401E-2"/>
              <c:y val="0.232675545186481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829568"/>
        <c:crosses val="autoZero"/>
        <c:crossBetween val="midCat"/>
        <c:majorUnit val="1"/>
      </c:valAx>
      <c:valAx>
        <c:axId val="240938368"/>
        <c:scaling>
          <c:orientation val="minMax"/>
        </c:scaling>
        <c:delete val="1"/>
        <c:axPos val="b"/>
        <c:numFmt formatCode="General" sourceLinked="1"/>
        <c:majorTickMark val="out"/>
        <c:minorTickMark val="none"/>
        <c:tickLblPos val="none"/>
        <c:crossAx val="240936448"/>
        <c:crosses val="autoZero"/>
        <c:crossBetween val="midCat"/>
      </c:valAx>
      <c:valAx>
        <c:axId val="240936448"/>
        <c:scaling>
          <c:orientation val="minMax"/>
          <c:max val="100"/>
          <c:min val="60"/>
        </c:scaling>
        <c:delete val="0"/>
        <c:axPos val="r"/>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1" i="0" baseline="0">
                    <a:latin typeface="Times New Roman" panose="02020603050405020304" charset="0"/>
                    <a:cs typeface="Times New Roman" panose="02020603050405020304" charset="0"/>
                  </a:rPr>
                  <a:t>A, </a:t>
                </a:r>
                <a:r>
                  <a:rPr lang="uk-UA" sz="1200" b="1" i="0" baseline="0">
                    <a:latin typeface="Times New Roman" panose="02020603050405020304" charset="0"/>
                    <a:cs typeface="Times New Roman" panose="02020603050405020304" charset="0"/>
                  </a:rPr>
                  <a:t> </a:t>
                </a:r>
                <a:r>
                  <a:rPr lang="en-US" sz="1200" b="1" i="0" baseline="0">
                    <a:latin typeface="Times New Roman" panose="02020603050405020304" charset="0"/>
                    <a:cs typeface="Times New Roman" panose="02020603050405020304" charset="0"/>
                  </a:rPr>
                  <a:t>Z, %</a:t>
                </a:r>
                <a:endParaRPr lang="ru-RU" sz="1200" b="1" i="0" baseline="0">
                  <a:latin typeface="Times New Roman" panose="02020603050405020304" charset="0"/>
                  <a:cs typeface="Times New Roman" panose="02020603050405020304" charset="0"/>
                </a:endParaRPr>
              </a:p>
            </c:rich>
          </c:tx>
          <c:layout>
            <c:manualLayout>
              <c:xMode val="edge"/>
              <c:yMode val="edge"/>
              <c:x val="0.87548311398238599"/>
              <c:y val="0.275830064968115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mn-cs"/>
              </a:defRPr>
            </a:pPr>
            <a:endParaRPr lang="ru-RU"/>
          </a:p>
        </c:txPr>
        <c:crossAx val="240938368"/>
        <c:crosses val="max"/>
        <c:crossBetween val="midCat"/>
        <c:majorUnit val="10"/>
      </c:valAx>
      <c:spPr>
        <a:noFill/>
      </c:spPr>
    </c:plotArea>
    <c:plotVisOnly val="1"/>
    <c:dispBlanksAs val="gap"/>
    <c:showDLblsOverMax val="0"/>
  </c:chart>
  <c:spPr>
    <a:ln w="9525" cap="flat" cmpd="sng" algn="ctr">
      <a:noFill/>
      <a:prstDash val="solid"/>
      <a:round/>
    </a:ln>
  </c:spPr>
  <c:txPr>
    <a:bodyPr/>
    <a:lstStyle/>
    <a:p>
      <a:pPr>
        <a:defRPr lang="en-US"/>
      </a:pPr>
      <a:endParaRPr lang="ru-RU"/>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_rels/drawing23.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0.73411</cdr:x>
      <cdr:y>0.21382</cdr:y>
    </cdr:from>
    <cdr:to>
      <cdr:x>0.77578</cdr:x>
      <cdr:y>0.29021</cdr:y>
    </cdr:to>
    <cdr:sp macro="" textlink="">
      <cdr:nvSpPr>
        <cdr:cNvPr id="2" name="Rectangle 1"/>
        <cdr:cNvSpPr/>
      </cdr:nvSpPr>
      <cdr:spPr>
        <a:xfrm xmlns:a="http://schemas.openxmlformats.org/drawingml/2006/main">
          <a:off x="3789765" y="492873"/>
          <a:ext cx="215117" cy="17608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dr:relSizeAnchor xmlns:cdr="http://schemas.openxmlformats.org/drawingml/2006/chartDrawing">
    <cdr:from>
      <cdr:x>0.65429</cdr:x>
      <cdr:y>0.6331</cdr:y>
    </cdr:from>
    <cdr:to>
      <cdr:x>0.69179</cdr:x>
      <cdr:y>0.71644</cdr:y>
    </cdr:to>
    <cdr:sp macro="" textlink="">
      <cdr:nvSpPr>
        <cdr:cNvPr id="3" name="Rectangle 2"/>
        <cdr:cNvSpPr/>
      </cdr:nvSpPr>
      <cdr:spPr>
        <a:xfrm xmlns:a="http://schemas.openxmlformats.org/drawingml/2006/main">
          <a:off x="3377700" y="1459322"/>
          <a:ext cx="193590" cy="19210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0.3007</cdr:x>
      <cdr:y>0.21413</cdr:y>
    </cdr:from>
    <cdr:to>
      <cdr:x>0.71589</cdr:x>
      <cdr:y>0.63406</cdr:y>
    </cdr:to>
    <cdr:grpSp>
      <cdr:nvGrpSpPr>
        <cdr:cNvPr id="4" name="Group 3"/>
        <cdr:cNvGrpSpPr/>
      </cdr:nvGrpSpPr>
      <cdr:grpSpPr>
        <a:xfrm xmlns:a="http://schemas.openxmlformats.org/drawingml/2006/main">
          <a:off x="1552188" y="493580"/>
          <a:ext cx="2143175" cy="967960"/>
          <a:chOff x="1459149" y="563006"/>
          <a:chExt cx="1998426" cy="1121283"/>
        </a:xfrm>
      </cdr:grpSpPr>
      <cdr:sp macro="" textlink="">
        <cdr:nvSpPr>
          <cdr:cNvPr id="5" name="Straight Connector 4"/>
          <cdr:cNvSpPr/>
        </cdr:nvSpPr>
        <cdr:spPr>
          <a:xfrm xmlns:a="http://schemas.openxmlformats.org/drawingml/2006/main">
            <a:off x="1459149" y="1040859"/>
            <a:ext cx="116732" cy="22373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6" name="Straight Connector 5"/>
          <cdr:cNvSpPr/>
        </cdr:nvSpPr>
        <cdr:spPr>
          <a:xfrm xmlns:a="http://schemas.openxmlformats.org/drawingml/2006/main" flipH="1">
            <a:off x="3276615" y="762007"/>
            <a:ext cx="180960" cy="24827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7" name="Straight Connector 6"/>
          <cdr:cNvSpPr/>
        </cdr:nvSpPr>
        <cdr:spPr>
          <a:xfrm xmlns:a="http://schemas.openxmlformats.org/drawingml/2006/main" flipH="1">
            <a:off x="3281109" y="1480810"/>
            <a:ext cx="76170" cy="20347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8" name="Straight Connector 7"/>
          <cdr:cNvSpPr/>
        </cdr:nvSpPr>
        <cdr:spPr>
          <a:xfrm xmlns:a="http://schemas.openxmlformats.org/drawingml/2006/main" flipV="1">
            <a:off x="2450544" y="563006"/>
            <a:ext cx="38130" cy="27132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grpSp>
  </cdr:relSizeAnchor>
  <cdr:relSizeAnchor xmlns:cdr="http://schemas.openxmlformats.org/drawingml/2006/chartDrawing">
    <cdr:from>
      <cdr:x>0.55293</cdr:x>
      <cdr:y>0.12153</cdr:y>
    </cdr:from>
    <cdr:to>
      <cdr:x>0.58626</cdr:x>
      <cdr:y>0.20833</cdr:y>
    </cdr:to>
    <cdr:sp macro="" textlink="">
      <cdr:nvSpPr>
        <cdr:cNvPr id="9" name="Rectangle 8"/>
        <cdr:cNvSpPr/>
      </cdr:nvSpPr>
      <cdr:spPr>
        <a:xfrm xmlns:a="http://schemas.openxmlformats.org/drawingml/2006/main">
          <a:off x="2527975" y="339169"/>
          <a:ext cx="152385" cy="24224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0.30234</cdr:x>
      <cdr:y>0.32138</cdr:y>
    </cdr:from>
    <cdr:to>
      <cdr:x>0.33567</cdr:x>
      <cdr:y>0.40818</cdr:y>
    </cdr:to>
    <cdr:sp macro="" textlink="">
      <cdr:nvSpPr>
        <cdr:cNvPr id="10" name="Rectangle 9"/>
        <cdr:cNvSpPr/>
      </cdr:nvSpPr>
      <cdr:spPr>
        <a:xfrm xmlns:a="http://schemas.openxmlformats.org/drawingml/2006/main">
          <a:off x="1560806" y="740807"/>
          <a:ext cx="172063" cy="20007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4</a:t>
          </a:r>
        </a:p>
      </cdr:txBody>
    </cdr:sp>
  </cdr:relSizeAnchor>
</c:userShapes>
</file>

<file path=word/drawings/drawing10.xml><?xml version="1.0" encoding="utf-8"?>
<c:userShapes xmlns:c="http://schemas.openxmlformats.org/drawingml/2006/chart">
  <cdr:relSizeAnchor xmlns:cdr="http://schemas.openxmlformats.org/drawingml/2006/chartDrawing">
    <cdr:from>
      <cdr:x>0.32798</cdr:x>
      <cdr:y>0.51466</cdr:y>
    </cdr:from>
    <cdr:to>
      <cdr:x>0.37753</cdr:x>
      <cdr:y>0.62195</cdr:y>
    </cdr:to>
    <cdr:sp macro="" textlink="">
      <cdr:nvSpPr>
        <cdr:cNvPr id="2" name="Rectangle 1"/>
        <cdr:cNvSpPr/>
      </cdr:nvSpPr>
      <cdr:spPr>
        <a:xfrm xmlns:a="http://schemas.openxmlformats.org/drawingml/2006/main">
          <a:off x="1696344" y="1205915"/>
          <a:ext cx="256281" cy="25141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0.65849</cdr:x>
      <cdr:y>0.56148</cdr:y>
    </cdr:from>
    <cdr:to>
      <cdr:x>0.69811</cdr:x>
      <cdr:y>0.6344</cdr:y>
    </cdr:to>
    <cdr:sp macro="" textlink="">
      <cdr:nvSpPr>
        <cdr:cNvPr id="3" name="Rectangle 2"/>
        <cdr:cNvSpPr/>
      </cdr:nvSpPr>
      <cdr:spPr>
        <a:xfrm xmlns:a="http://schemas.openxmlformats.org/drawingml/2006/main">
          <a:off x="3405760" y="1315633"/>
          <a:ext cx="204917" cy="17086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7</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0.77574</cdr:x>
      <cdr:y>0.52854</cdr:y>
    </cdr:from>
    <cdr:to>
      <cdr:x>0.81537</cdr:x>
      <cdr:y>0.60146</cdr:y>
    </cdr:to>
    <cdr:sp macro="" textlink="">
      <cdr:nvSpPr>
        <cdr:cNvPr id="4" name="Rectangle 3"/>
        <cdr:cNvSpPr/>
      </cdr:nvSpPr>
      <cdr:spPr>
        <a:xfrm xmlns:a="http://schemas.openxmlformats.org/drawingml/2006/main">
          <a:off x="4012187" y="1238438"/>
          <a:ext cx="204969" cy="170863"/>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0.53252</cdr:x>
      <cdr:y>0.21765</cdr:y>
    </cdr:from>
    <cdr:to>
      <cdr:x>0.57215</cdr:x>
      <cdr:y>0.29057</cdr:y>
    </cdr:to>
    <cdr:sp macro="" textlink="">
      <cdr:nvSpPr>
        <cdr:cNvPr id="5" name="Rectangle 4"/>
        <cdr:cNvSpPr/>
      </cdr:nvSpPr>
      <cdr:spPr>
        <a:xfrm xmlns:a="http://schemas.openxmlformats.org/drawingml/2006/main">
          <a:off x="2754253" y="509987"/>
          <a:ext cx="204969" cy="17086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0.52955</cdr:x>
      <cdr:y>0.64897</cdr:y>
    </cdr:from>
    <cdr:to>
      <cdr:x>0.56722</cdr:x>
      <cdr:y>0.75203</cdr:y>
    </cdr:to>
    <cdr:sp macro="" textlink="">
      <cdr:nvSpPr>
        <cdr:cNvPr id="6" name="Rectangle 5"/>
        <cdr:cNvSpPr/>
      </cdr:nvSpPr>
      <cdr:spPr>
        <a:xfrm xmlns:a="http://schemas.openxmlformats.org/drawingml/2006/main">
          <a:off x="2738886" y="1520623"/>
          <a:ext cx="194814" cy="241501"/>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0.71896</cdr:x>
      <cdr:y>0.54065</cdr:y>
    </cdr:from>
    <cdr:to>
      <cdr:x>0.75858</cdr:x>
      <cdr:y>0.61357</cdr:y>
    </cdr:to>
    <cdr:sp macro="" textlink="">
      <cdr:nvSpPr>
        <cdr:cNvPr id="7" name="Rectangle 6"/>
        <cdr:cNvSpPr/>
      </cdr:nvSpPr>
      <cdr:spPr>
        <a:xfrm xmlns:a="http://schemas.openxmlformats.org/drawingml/2006/main">
          <a:off x="3718498" y="1266825"/>
          <a:ext cx="204918" cy="17086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0.6058</cdr:x>
      <cdr:y>0.62635</cdr:y>
    </cdr:from>
    <cdr:to>
      <cdr:x>0.64542</cdr:x>
      <cdr:y>0.69927</cdr:y>
    </cdr:to>
    <cdr:sp macro="" textlink="">
      <cdr:nvSpPr>
        <cdr:cNvPr id="8" name="Rectangle 7"/>
        <cdr:cNvSpPr/>
      </cdr:nvSpPr>
      <cdr:spPr>
        <a:xfrm xmlns:a="http://schemas.openxmlformats.org/drawingml/2006/main">
          <a:off x="3133218" y="1467633"/>
          <a:ext cx="204918" cy="170863"/>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0.73664</cdr:x>
      <cdr:y>0.22379</cdr:y>
    </cdr:from>
    <cdr:to>
      <cdr:x>0.77672</cdr:x>
      <cdr:y>0.30334</cdr:y>
    </cdr:to>
    <cdr:sp macro="" textlink="">
      <cdr:nvSpPr>
        <cdr:cNvPr id="2" name="Rectangle 1"/>
        <cdr:cNvSpPr/>
      </cdr:nvSpPr>
      <cdr:spPr>
        <a:xfrm xmlns:a="http://schemas.openxmlformats.org/drawingml/2006/main">
          <a:off x="3676650" y="547845"/>
          <a:ext cx="200043" cy="194738"/>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0.33588</cdr:x>
      <cdr:y>0.26096</cdr:y>
    </cdr:from>
    <cdr:to>
      <cdr:x>0.37595</cdr:x>
      <cdr:y>0.3405</cdr:y>
    </cdr:to>
    <cdr:sp macro="" textlink="">
      <cdr:nvSpPr>
        <cdr:cNvPr id="3" name="Rectangle 2"/>
        <cdr:cNvSpPr/>
      </cdr:nvSpPr>
      <cdr:spPr>
        <a:xfrm xmlns:a="http://schemas.openxmlformats.org/drawingml/2006/main">
          <a:off x="1676413" y="638821"/>
          <a:ext cx="199993" cy="19471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8</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0.50191</cdr:x>
      <cdr:y>0.13636</cdr:y>
    </cdr:from>
    <cdr:to>
      <cdr:x>0.54198</cdr:x>
      <cdr:y>0.21591</cdr:y>
    </cdr:to>
    <cdr:sp macro="" textlink="">
      <cdr:nvSpPr>
        <cdr:cNvPr id="4" name="Rectangle 3"/>
        <cdr:cNvSpPr/>
      </cdr:nvSpPr>
      <cdr:spPr>
        <a:xfrm xmlns:a="http://schemas.openxmlformats.org/drawingml/2006/main">
          <a:off x="2505075" y="342900"/>
          <a:ext cx="200025" cy="20002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7</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0.38359</cdr:x>
      <cdr:y>0.10985</cdr:y>
    </cdr:from>
    <cdr:to>
      <cdr:x>0.42366</cdr:x>
      <cdr:y>0.18939</cdr:y>
    </cdr:to>
    <cdr:sp macro="" textlink="">
      <cdr:nvSpPr>
        <cdr:cNvPr id="5" name="Rectangle 4"/>
        <cdr:cNvSpPr/>
      </cdr:nvSpPr>
      <cdr:spPr>
        <a:xfrm xmlns:a="http://schemas.openxmlformats.org/drawingml/2006/main">
          <a:off x="1914525" y="276225"/>
          <a:ext cx="200025" cy="20002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0.38168</cdr:x>
      <cdr:y>0.58261</cdr:y>
    </cdr:from>
    <cdr:to>
      <cdr:x>0.42176</cdr:x>
      <cdr:y>0.66215</cdr:y>
    </cdr:to>
    <cdr:sp macro="" textlink="">
      <cdr:nvSpPr>
        <cdr:cNvPr id="6" name="Rectangle 5"/>
        <cdr:cNvSpPr/>
      </cdr:nvSpPr>
      <cdr:spPr>
        <a:xfrm xmlns:a="http://schemas.openxmlformats.org/drawingml/2006/main">
          <a:off x="1904983" y="1426238"/>
          <a:ext cx="200044" cy="19471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0.62786</cdr:x>
      <cdr:y>0.19697</cdr:y>
    </cdr:from>
    <cdr:to>
      <cdr:x>0.66794</cdr:x>
      <cdr:y>0.27652</cdr:y>
    </cdr:to>
    <cdr:sp macro="" textlink="">
      <cdr:nvSpPr>
        <cdr:cNvPr id="7" name="Rectangle 6"/>
        <cdr:cNvSpPr/>
      </cdr:nvSpPr>
      <cdr:spPr>
        <a:xfrm xmlns:a="http://schemas.openxmlformats.org/drawingml/2006/main">
          <a:off x="3133725" y="495300"/>
          <a:ext cx="200025" cy="20002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0.56679</cdr:x>
      <cdr:y>0.15551</cdr:y>
    </cdr:from>
    <cdr:to>
      <cdr:x>0.60687</cdr:x>
      <cdr:y>0.23505</cdr:y>
    </cdr:to>
    <cdr:sp macro="" textlink="">
      <cdr:nvSpPr>
        <cdr:cNvPr id="8" name="Rectangle 7"/>
        <cdr:cNvSpPr/>
      </cdr:nvSpPr>
      <cdr:spPr>
        <a:xfrm xmlns:a="http://schemas.openxmlformats.org/drawingml/2006/main">
          <a:off x="2828912" y="380693"/>
          <a:ext cx="200043" cy="19471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0.8187</cdr:x>
      <cdr:y>0.20455</cdr:y>
    </cdr:from>
    <cdr:to>
      <cdr:x>0.85878</cdr:x>
      <cdr:y>0.28409</cdr:y>
    </cdr:to>
    <cdr:sp macro="" textlink="">
      <cdr:nvSpPr>
        <cdr:cNvPr id="9" name="Rectangle 8"/>
        <cdr:cNvSpPr/>
      </cdr:nvSpPr>
      <cdr:spPr>
        <a:xfrm xmlns:a="http://schemas.openxmlformats.org/drawingml/2006/main">
          <a:off x="4086204" y="500738"/>
          <a:ext cx="200043" cy="19471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2.xml><?xml version="1.0" encoding="utf-8"?>
<c:userShapes xmlns:c="http://schemas.openxmlformats.org/drawingml/2006/chart">
  <cdr:relSizeAnchor xmlns:cdr="http://schemas.openxmlformats.org/drawingml/2006/chartDrawing">
    <cdr:from>
      <cdr:x>0.55929</cdr:x>
      <cdr:y>0.47122</cdr:y>
    </cdr:from>
    <cdr:to>
      <cdr:x>0.59289</cdr:x>
      <cdr:y>0.56466</cdr:y>
    </cdr:to>
    <cdr:sp macro="" textlink="">
      <cdr:nvSpPr>
        <cdr:cNvPr id="2" name="Rectangle 1"/>
        <cdr:cNvSpPr/>
      </cdr:nvSpPr>
      <cdr:spPr>
        <a:xfrm xmlns:a="http://schemas.openxmlformats.org/drawingml/2006/main">
          <a:off x="2695565" y="1041299"/>
          <a:ext cx="161935" cy="206476"/>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0.68775</cdr:x>
      <cdr:y>0.38534</cdr:y>
    </cdr:from>
    <cdr:to>
      <cdr:x>0.72134</cdr:x>
      <cdr:y>0.45842</cdr:y>
    </cdr:to>
    <cdr:sp macro="" textlink="">
      <cdr:nvSpPr>
        <cdr:cNvPr id="3" name="Rectangle 2"/>
        <cdr:cNvSpPr/>
      </cdr:nvSpPr>
      <cdr:spPr>
        <a:xfrm xmlns:a="http://schemas.openxmlformats.org/drawingml/2006/main">
          <a:off x="3314712" y="851535"/>
          <a:ext cx="161892" cy="16149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0.46838</cdr:x>
      <cdr:y>0.46353</cdr:y>
    </cdr:from>
    <cdr:to>
      <cdr:x>0.50197</cdr:x>
      <cdr:y>0.53661</cdr:y>
    </cdr:to>
    <cdr:sp macro="" textlink="">
      <cdr:nvSpPr>
        <cdr:cNvPr id="4" name="Rectangle 3"/>
        <cdr:cNvSpPr/>
      </cdr:nvSpPr>
      <cdr:spPr>
        <a:xfrm xmlns:a="http://schemas.openxmlformats.org/drawingml/2006/main">
          <a:off x="2257444" y="1024306"/>
          <a:ext cx="161892" cy="16149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0.40711</cdr:x>
      <cdr:y>0.53462</cdr:y>
    </cdr:from>
    <cdr:to>
      <cdr:x>0.44071</cdr:x>
      <cdr:y>0.60769</cdr:y>
    </cdr:to>
    <cdr:sp macro="" textlink="">
      <cdr:nvSpPr>
        <cdr:cNvPr id="5" name="Rectangle 4"/>
        <cdr:cNvSpPr/>
      </cdr:nvSpPr>
      <cdr:spPr>
        <a:xfrm xmlns:a="http://schemas.openxmlformats.org/drawingml/2006/main">
          <a:off x="1962150" y="1323975"/>
          <a:ext cx="161925" cy="18097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3.xml><?xml version="1.0" encoding="utf-8"?>
<c:userShapes xmlns:c="http://schemas.openxmlformats.org/drawingml/2006/chart">
  <cdr:relSizeAnchor xmlns:cdr="http://schemas.openxmlformats.org/drawingml/2006/chartDrawing">
    <cdr:from>
      <cdr:x>0.66443</cdr:x>
      <cdr:y>0.11014</cdr:y>
    </cdr:from>
    <cdr:to>
      <cdr:x>0.69776</cdr:x>
      <cdr:y>0.19504</cdr:y>
    </cdr:to>
    <cdr:sp macro="" textlink="">
      <cdr:nvSpPr>
        <cdr:cNvPr id="2" name="Straight Connector 1"/>
        <cdr:cNvSpPr/>
      </cdr:nvSpPr>
      <cdr:spPr>
        <a:xfrm xmlns:a="http://schemas.openxmlformats.org/drawingml/2006/main">
          <a:off x="3645338" y="265648"/>
          <a:ext cx="182862" cy="204779"/>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0.69928</cdr:x>
      <cdr:y>0.17778</cdr:y>
    </cdr:from>
    <cdr:to>
      <cdr:x>0.77428</cdr:x>
      <cdr:y>0.28469</cdr:y>
    </cdr:to>
    <cdr:sp macro="" textlink="">
      <cdr:nvSpPr>
        <cdr:cNvPr id="3" name="Rectangle 2"/>
        <cdr:cNvSpPr/>
      </cdr:nvSpPr>
      <cdr:spPr>
        <a:xfrm xmlns:a="http://schemas.openxmlformats.org/drawingml/2006/main">
          <a:off x="3836518" y="428815"/>
          <a:ext cx="411480" cy="25786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ru-RU"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0.41769</cdr:x>
      <cdr:y>0.39183</cdr:y>
    </cdr:from>
    <cdr:to>
      <cdr:x>0.44269</cdr:x>
      <cdr:y>0.47359</cdr:y>
    </cdr:to>
    <cdr:sp macro="" textlink="">
      <cdr:nvSpPr>
        <cdr:cNvPr id="4" name="Straight Connector 3"/>
        <cdr:cNvSpPr/>
      </cdr:nvSpPr>
      <cdr:spPr>
        <a:xfrm xmlns:a="http://schemas.openxmlformats.org/drawingml/2006/main" flipV="1">
          <a:off x="2291611" y="945084"/>
          <a:ext cx="137160" cy="19720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0.45944</cdr:x>
      <cdr:y>0.32661</cdr:y>
    </cdr:from>
    <cdr:to>
      <cdr:x>0.52257</cdr:x>
      <cdr:y>0.41367</cdr:y>
    </cdr:to>
    <cdr:sp macro="" textlink="">
      <cdr:nvSpPr>
        <cdr:cNvPr id="5" name="Rectangle 4"/>
        <cdr:cNvSpPr/>
      </cdr:nvSpPr>
      <cdr:spPr>
        <a:xfrm xmlns:a="http://schemas.openxmlformats.org/drawingml/2006/main">
          <a:off x="2520690" y="864854"/>
          <a:ext cx="346335" cy="230521"/>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ru-RU"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0.73574</cdr:x>
      <cdr:y>0.55639</cdr:y>
    </cdr:from>
    <cdr:to>
      <cdr:x>0.76282</cdr:x>
      <cdr:y>0.66016</cdr:y>
    </cdr:to>
    <cdr:sp macro="" textlink="">
      <cdr:nvSpPr>
        <cdr:cNvPr id="6" name="Straight Connector 5"/>
        <cdr:cNvSpPr/>
      </cdr:nvSpPr>
      <cdr:spPr>
        <a:xfrm xmlns:a="http://schemas.openxmlformats.org/drawingml/2006/main" flipH="1">
          <a:off x="4036585" y="1342008"/>
          <a:ext cx="148572" cy="250293"/>
        </a:xfrm>
        <a:prstGeom xmlns:a="http://schemas.openxmlformats.org/drawingml/2006/main" prst="line">
          <a:avLst/>
        </a:prstGeom>
        <a:ln xmlns:a="http://schemas.openxmlformats.org/drawingml/2006/main" w="12700"/>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0.67326</cdr:x>
      <cdr:y>0.61199</cdr:y>
    </cdr:from>
    <cdr:to>
      <cdr:x>0.72743</cdr:x>
      <cdr:y>0.70961</cdr:y>
    </cdr:to>
    <cdr:sp macro="" textlink="">
      <cdr:nvSpPr>
        <cdr:cNvPr id="7" name="Rectangle 6"/>
        <cdr:cNvSpPr/>
      </cdr:nvSpPr>
      <cdr:spPr>
        <a:xfrm xmlns:a="http://schemas.openxmlformats.org/drawingml/2006/main">
          <a:off x="3693771" y="1476113"/>
          <a:ext cx="297198" cy="23545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ru-RU" sz="1100">
              <a:latin typeface="Times New Roman" panose="02020603050405020304" charset="0"/>
              <a:cs typeface="Times New Roman" panose="02020603050405020304" charset="0"/>
            </a:rPr>
            <a:t>2</a:t>
          </a:r>
        </a:p>
      </cdr:txBody>
    </cdr:sp>
  </cdr:relSizeAnchor>
</c:userShapes>
</file>

<file path=word/drawings/drawing14.xml><?xml version="1.0" encoding="utf-8"?>
<c:userShapes xmlns:c="http://schemas.openxmlformats.org/drawingml/2006/chart">
  <cdr:relSizeAnchor xmlns:cdr="http://schemas.openxmlformats.org/drawingml/2006/chartDrawing">
    <cdr:from>
      <cdr:x>0.78125</cdr:x>
      <cdr:y>0.60944</cdr:y>
    </cdr:from>
    <cdr:to>
      <cdr:x>0.82917</cdr:x>
      <cdr:y>0.70815</cdr:y>
    </cdr:to>
    <cdr:sp macro="" textlink="">
      <cdr:nvSpPr>
        <cdr:cNvPr id="2" name="Rectangle 1"/>
        <cdr:cNvSpPr/>
      </cdr:nvSpPr>
      <cdr:spPr>
        <a:xfrm xmlns:a="http://schemas.openxmlformats.org/drawingml/2006/main">
          <a:off x="3571875" y="1352550"/>
          <a:ext cx="219075" cy="21907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0.38958</cdr:x>
      <cdr:y>0.24893</cdr:y>
    </cdr:from>
    <cdr:to>
      <cdr:x>0.4375</cdr:x>
      <cdr:y>0.34764</cdr:y>
    </cdr:to>
    <cdr:sp macro="" textlink="">
      <cdr:nvSpPr>
        <cdr:cNvPr id="3" name="Rectangle 2"/>
        <cdr:cNvSpPr/>
      </cdr:nvSpPr>
      <cdr:spPr>
        <a:xfrm xmlns:a="http://schemas.openxmlformats.org/drawingml/2006/main">
          <a:off x="1781175" y="552450"/>
          <a:ext cx="219075" cy="21907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0.6375</cdr:x>
      <cdr:y>0.29614</cdr:y>
    </cdr:from>
    <cdr:to>
      <cdr:x>0.68542</cdr:x>
      <cdr:y>0.39485</cdr:y>
    </cdr:to>
    <cdr:sp macro="" textlink="">
      <cdr:nvSpPr>
        <cdr:cNvPr id="4" name="Rectangle 3"/>
        <cdr:cNvSpPr/>
      </cdr:nvSpPr>
      <cdr:spPr>
        <a:xfrm xmlns:a="http://schemas.openxmlformats.org/drawingml/2006/main">
          <a:off x="2914650" y="657225"/>
          <a:ext cx="219075" cy="21907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0.38462</cdr:x>
      <cdr:y>0.12308</cdr:y>
    </cdr:from>
    <cdr:to>
      <cdr:x>0.43117</cdr:x>
      <cdr:y>0.21154</cdr:y>
    </cdr:to>
    <cdr:sp macro="" textlink="">
      <cdr:nvSpPr>
        <cdr:cNvPr id="2" name="Rectangle 1"/>
        <cdr:cNvSpPr/>
      </cdr:nvSpPr>
      <cdr:spPr>
        <a:xfrm xmlns:a="http://schemas.openxmlformats.org/drawingml/2006/main">
          <a:off x="1809750" y="304800"/>
          <a:ext cx="219075" cy="21907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0.7465</cdr:x>
      <cdr:y>0.18676</cdr:y>
    </cdr:from>
    <cdr:to>
      <cdr:x>0.79305</cdr:x>
      <cdr:y>0.27523</cdr:y>
    </cdr:to>
    <cdr:sp macro="" textlink="">
      <cdr:nvSpPr>
        <cdr:cNvPr id="3" name="Rectangle 2"/>
        <cdr:cNvSpPr/>
      </cdr:nvSpPr>
      <cdr:spPr>
        <a:xfrm xmlns:a="http://schemas.openxmlformats.org/drawingml/2006/main">
          <a:off x="3356100" y="378904"/>
          <a:ext cx="209280" cy="17949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0.59409</cdr:x>
      <cdr:y>0.49695</cdr:y>
    </cdr:from>
    <cdr:to>
      <cdr:x>0.64065</cdr:x>
      <cdr:y>0.58541</cdr:y>
    </cdr:to>
    <cdr:sp macro="" textlink="">
      <cdr:nvSpPr>
        <cdr:cNvPr id="4" name="Rectangle 3"/>
        <cdr:cNvSpPr/>
      </cdr:nvSpPr>
      <cdr:spPr>
        <a:xfrm xmlns:a="http://schemas.openxmlformats.org/drawingml/2006/main">
          <a:off x="2670924" y="1008221"/>
          <a:ext cx="209325" cy="17947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0.53182</cdr:x>
      <cdr:y>0.16448</cdr:y>
    </cdr:from>
    <cdr:to>
      <cdr:x>0.57838</cdr:x>
      <cdr:y>0.25294</cdr:y>
    </cdr:to>
    <cdr:sp macro="" textlink="">
      <cdr:nvSpPr>
        <cdr:cNvPr id="5" name="Rectangle 4"/>
        <cdr:cNvSpPr/>
      </cdr:nvSpPr>
      <cdr:spPr>
        <a:xfrm xmlns:a="http://schemas.openxmlformats.org/drawingml/2006/main">
          <a:off x="2390948" y="333698"/>
          <a:ext cx="209324" cy="17947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6.xml><?xml version="1.0" encoding="utf-8"?>
<c:userShapes xmlns:c="http://schemas.openxmlformats.org/drawingml/2006/chart">
  <cdr:relSizeAnchor xmlns:cdr="http://schemas.openxmlformats.org/drawingml/2006/chartDrawing">
    <cdr:from>
      <cdr:x>0.55027</cdr:x>
      <cdr:y>0.69858</cdr:y>
    </cdr:from>
    <cdr:to>
      <cdr:x>0.57954</cdr:x>
      <cdr:y>0.77305</cdr:y>
    </cdr:to>
    <cdr:sp macro="" textlink="">
      <cdr:nvSpPr>
        <cdr:cNvPr id="2" name="Rectangle 1"/>
        <cdr:cNvSpPr/>
      </cdr:nvSpPr>
      <cdr:spPr>
        <a:xfrm xmlns:a="http://schemas.openxmlformats.org/drawingml/2006/main">
          <a:off x="3094271" y="1916345"/>
          <a:ext cx="164591" cy="204286"/>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0.71802</cdr:x>
      <cdr:y>0.20493</cdr:y>
    </cdr:from>
    <cdr:to>
      <cdr:x>0.74729</cdr:x>
      <cdr:y>0.2794</cdr:y>
    </cdr:to>
    <cdr:sp macro="" textlink="">
      <cdr:nvSpPr>
        <cdr:cNvPr id="3" name="Rectangle 2"/>
        <cdr:cNvSpPr/>
      </cdr:nvSpPr>
      <cdr:spPr>
        <a:xfrm xmlns:a="http://schemas.openxmlformats.org/drawingml/2006/main">
          <a:off x="4037577" y="562170"/>
          <a:ext cx="164591" cy="20428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0.75935</cdr:x>
      <cdr:y>0.55319</cdr:y>
    </cdr:from>
    <cdr:to>
      <cdr:x>0.78862</cdr:x>
      <cdr:y>0.62766</cdr:y>
    </cdr:to>
    <cdr:sp macro="" textlink="">
      <cdr:nvSpPr>
        <cdr:cNvPr id="4" name="Rectangle 3"/>
        <cdr:cNvSpPr/>
      </cdr:nvSpPr>
      <cdr:spPr>
        <a:xfrm xmlns:a="http://schemas.openxmlformats.org/drawingml/2006/main">
          <a:off x="4542817" y="1517514"/>
          <a:ext cx="175097" cy="204281"/>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0.79024</cdr:x>
      <cdr:y>0.43972</cdr:y>
    </cdr:from>
    <cdr:to>
      <cdr:x>0.81951</cdr:x>
      <cdr:y>0.51418</cdr:y>
    </cdr:to>
    <cdr:sp macro="" textlink="">
      <cdr:nvSpPr>
        <cdr:cNvPr id="5" name="Rectangle 4"/>
        <cdr:cNvSpPr/>
      </cdr:nvSpPr>
      <cdr:spPr>
        <a:xfrm xmlns:a="http://schemas.openxmlformats.org/drawingml/2006/main">
          <a:off x="4727643" y="1206230"/>
          <a:ext cx="175097" cy="204281"/>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0.68455</cdr:x>
      <cdr:y>0.65957</cdr:y>
    </cdr:from>
    <cdr:to>
      <cdr:x>0.71382</cdr:x>
      <cdr:y>0.73404</cdr:y>
    </cdr:to>
    <cdr:sp macro="" textlink="">
      <cdr:nvSpPr>
        <cdr:cNvPr id="6" name="Rectangle 5"/>
        <cdr:cNvSpPr/>
      </cdr:nvSpPr>
      <cdr:spPr>
        <a:xfrm xmlns:a="http://schemas.openxmlformats.org/drawingml/2006/main">
          <a:off x="4095345" y="1809344"/>
          <a:ext cx="175097" cy="204281"/>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0.62114</cdr:x>
      <cdr:y>0.65957</cdr:y>
    </cdr:from>
    <cdr:to>
      <cdr:x>0.65041</cdr:x>
      <cdr:y>0.73404</cdr:y>
    </cdr:to>
    <cdr:sp macro="" textlink="">
      <cdr:nvSpPr>
        <cdr:cNvPr id="7" name="Rectangle 6"/>
        <cdr:cNvSpPr/>
      </cdr:nvSpPr>
      <cdr:spPr>
        <a:xfrm xmlns:a="http://schemas.openxmlformats.org/drawingml/2006/main">
          <a:off x="3715967" y="1809345"/>
          <a:ext cx="175097" cy="204281"/>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7.xml><?xml version="1.0" encoding="utf-8"?>
<c:userShapes xmlns:c="http://schemas.openxmlformats.org/drawingml/2006/chart">
  <cdr:relSizeAnchor xmlns:cdr="http://schemas.openxmlformats.org/drawingml/2006/chartDrawing">
    <cdr:from>
      <cdr:x>0.6483</cdr:x>
      <cdr:y>0.65397</cdr:y>
    </cdr:from>
    <cdr:to>
      <cdr:x>0.68609</cdr:x>
      <cdr:y>0.73928</cdr:y>
    </cdr:to>
    <cdr:sp macro="" textlink="">
      <cdr:nvSpPr>
        <cdr:cNvPr id="2" name="Rectangle 1"/>
        <cdr:cNvSpPr/>
      </cdr:nvSpPr>
      <cdr:spPr>
        <a:xfrm xmlns:a="http://schemas.openxmlformats.org/drawingml/2006/main">
          <a:off x="3285131" y="1600918"/>
          <a:ext cx="191494" cy="208831"/>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0.51922</cdr:x>
      <cdr:y>0.30343</cdr:y>
    </cdr:from>
    <cdr:to>
      <cdr:x>0.55488</cdr:x>
      <cdr:y>0.3701</cdr:y>
    </cdr:to>
    <cdr:sp macro="" textlink="">
      <cdr:nvSpPr>
        <cdr:cNvPr id="3" name="Rectangle 2"/>
        <cdr:cNvSpPr/>
      </cdr:nvSpPr>
      <cdr:spPr>
        <a:xfrm xmlns:a="http://schemas.openxmlformats.org/drawingml/2006/main">
          <a:off x="2631050" y="742788"/>
          <a:ext cx="180700" cy="16320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0.7182</cdr:x>
      <cdr:y>0.3109</cdr:y>
    </cdr:from>
    <cdr:to>
      <cdr:x>0.75385</cdr:x>
      <cdr:y>0.37756</cdr:y>
    </cdr:to>
    <cdr:sp macro="" textlink="">
      <cdr:nvSpPr>
        <cdr:cNvPr id="4" name="Rectangle 3"/>
        <cdr:cNvSpPr/>
      </cdr:nvSpPr>
      <cdr:spPr>
        <a:xfrm xmlns:a="http://schemas.openxmlformats.org/drawingml/2006/main">
          <a:off x="3639312" y="761088"/>
          <a:ext cx="180649" cy="16318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0.81374</cdr:x>
      <cdr:y>0.50087</cdr:y>
    </cdr:from>
    <cdr:to>
      <cdr:x>0.8494</cdr:x>
      <cdr:y>0.56754</cdr:y>
    </cdr:to>
    <cdr:sp macro="" textlink="">
      <cdr:nvSpPr>
        <cdr:cNvPr id="5" name="Rectangle 4"/>
        <cdr:cNvSpPr/>
      </cdr:nvSpPr>
      <cdr:spPr>
        <a:xfrm xmlns:a="http://schemas.openxmlformats.org/drawingml/2006/main">
          <a:off x="4123445" y="1226127"/>
          <a:ext cx="180700" cy="1632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userShapes>
</file>

<file path=word/drawings/drawing18.xml><?xml version="1.0" encoding="utf-8"?>
<c:userShapes xmlns:c="http://schemas.openxmlformats.org/drawingml/2006/chart">
  <cdr:relSizeAnchor xmlns:cdr="http://schemas.openxmlformats.org/drawingml/2006/chartDrawing">
    <cdr:from>
      <cdr:x>0.64638</cdr:x>
      <cdr:y>0.67021</cdr:y>
    </cdr:from>
    <cdr:to>
      <cdr:x>0.68421</cdr:x>
      <cdr:y>0.75532</cdr:y>
    </cdr:to>
    <cdr:sp macro="" textlink="">
      <cdr:nvSpPr>
        <cdr:cNvPr id="2" name="Rectangle 1"/>
        <cdr:cNvSpPr/>
      </cdr:nvSpPr>
      <cdr:spPr>
        <a:xfrm xmlns:a="http://schemas.openxmlformats.org/drawingml/2006/main">
          <a:off x="3822971" y="1838527"/>
          <a:ext cx="223736" cy="23346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0.43586</cdr:x>
      <cdr:y>0.10284</cdr:y>
    </cdr:from>
    <cdr:to>
      <cdr:x>0.47368</cdr:x>
      <cdr:y>0.18794</cdr:y>
    </cdr:to>
    <cdr:sp macro="" textlink="">
      <cdr:nvSpPr>
        <cdr:cNvPr id="3" name="Rectangle 2"/>
        <cdr:cNvSpPr/>
      </cdr:nvSpPr>
      <cdr:spPr>
        <a:xfrm xmlns:a="http://schemas.openxmlformats.org/drawingml/2006/main">
          <a:off x="2577830" y="282101"/>
          <a:ext cx="223736" cy="23346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0.52961</cdr:x>
      <cdr:y>0.50355</cdr:y>
    </cdr:from>
    <cdr:to>
      <cdr:x>0.56743</cdr:x>
      <cdr:y>0.58865</cdr:y>
    </cdr:to>
    <cdr:sp macro="" textlink="">
      <cdr:nvSpPr>
        <cdr:cNvPr id="4" name="Rectangle 3"/>
        <cdr:cNvSpPr/>
      </cdr:nvSpPr>
      <cdr:spPr>
        <a:xfrm xmlns:a="http://schemas.openxmlformats.org/drawingml/2006/main">
          <a:off x="3132306" y="1381328"/>
          <a:ext cx="223736" cy="233464"/>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19.xml><?xml version="1.0" encoding="utf-8"?>
<c:userShapes xmlns:c="http://schemas.openxmlformats.org/drawingml/2006/chart">
  <cdr:relSizeAnchor xmlns:cdr="http://schemas.openxmlformats.org/drawingml/2006/chartDrawing">
    <cdr:from>
      <cdr:x>0.78878</cdr:x>
      <cdr:y>0.42189</cdr:y>
    </cdr:from>
    <cdr:to>
      <cdr:x>0.83177</cdr:x>
      <cdr:y>0.5085</cdr:y>
    </cdr:to>
    <cdr:sp macro="" textlink="">
      <cdr:nvSpPr>
        <cdr:cNvPr id="2" name="Rectangle 1"/>
        <cdr:cNvSpPr/>
      </cdr:nvSpPr>
      <cdr:spPr>
        <a:xfrm xmlns:a="http://schemas.openxmlformats.org/drawingml/2006/main">
          <a:off x="4019533" y="911287"/>
          <a:ext cx="219072" cy="18707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0.5028</cdr:x>
      <cdr:y>0.58268</cdr:y>
    </cdr:from>
    <cdr:to>
      <cdr:x>0.54579</cdr:x>
      <cdr:y>0.66929</cdr:y>
    </cdr:to>
    <cdr:sp macro="" textlink="">
      <cdr:nvSpPr>
        <cdr:cNvPr id="3" name="Rectangle 2"/>
        <cdr:cNvSpPr/>
      </cdr:nvSpPr>
      <cdr:spPr>
        <a:xfrm xmlns:a="http://schemas.openxmlformats.org/drawingml/2006/main">
          <a:off x="2562225" y="1409700"/>
          <a:ext cx="219075" cy="20955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0.33271</cdr:x>
      <cdr:y>0.50394</cdr:y>
    </cdr:from>
    <cdr:to>
      <cdr:x>0.3757</cdr:x>
      <cdr:y>0.59055</cdr:y>
    </cdr:to>
    <cdr:sp macro="" textlink="">
      <cdr:nvSpPr>
        <cdr:cNvPr id="4" name="Rectangle 3"/>
        <cdr:cNvSpPr/>
      </cdr:nvSpPr>
      <cdr:spPr>
        <a:xfrm xmlns:a="http://schemas.openxmlformats.org/drawingml/2006/main">
          <a:off x="1695450" y="1219200"/>
          <a:ext cx="219075" cy="20955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0.72336</cdr:x>
      <cdr:y>0.73906</cdr:y>
    </cdr:from>
    <cdr:to>
      <cdr:x>0.76635</cdr:x>
      <cdr:y>0.82567</cdr:y>
    </cdr:to>
    <cdr:sp macro="" textlink="">
      <cdr:nvSpPr>
        <cdr:cNvPr id="5" name="Rectangle 4"/>
        <cdr:cNvSpPr/>
      </cdr:nvSpPr>
      <cdr:spPr>
        <a:xfrm xmlns:a="http://schemas.openxmlformats.org/drawingml/2006/main">
          <a:off x="3686170" y="1596366"/>
          <a:ext cx="219071" cy="18707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0.70841</cdr:x>
      <cdr:y>0.46016</cdr:y>
    </cdr:from>
    <cdr:to>
      <cdr:x>0.7514</cdr:x>
      <cdr:y>0.54677</cdr:y>
    </cdr:to>
    <cdr:sp macro="" textlink="">
      <cdr:nvSpPr>
        <cdr:cNvPr id="6" name="Rectangle 5"/>
        <cdr:cNvSpPr/>
      </cdr:nvSpPr>
      <cdr:spPr>
        <a:xfrm xmlns:a="http://schemas.openxmlformats.org/drawingml/2006/main">
          <a:off x="3609982" y="993946"/>
          <a:ext cx="219071" cy="18707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0.71776</cdr:x>
      <cdr:y>0.08677</cdr:y>
    </cdr:from>
    <cdr:to>
      <cdr:x>0.76075</cdr:x>
      <cdr:y>0.17338</cdr:y>
    </cdr:to>
    <cdr:sp macro="" textlink="">
      <cdr:nvSpPr>
        <cdr:cNvPr id="7" name="Rectangle 6"/>
        <cdr:cNvSpPr/>
      </cdr:nvSpPr>
      <cdr:spPr>
        <a:xfrm xmlns:a="http://schemas.openxmlformats.org/drawingml/2006/main">
          <a:off x="3657620" y="187428"/>
          <a:ext cx="219071" cy="18707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0.31312</cdr:x>
      <cdr:y>0.55807</cdr:y>
    </cdr:from>
    <cdr:to>
      <cdr:x>0.35687</cdr:x>
      <cdr:y>0.64488</cdr:y>
    </cdr:to>
    <cdr:sp macro="" textlink="">
      <cdr:nvSpPr>
        <cdr:cNvPr id="2" name="Rectangle 1"/>
        <cdr:cNvSpPr/>
      </cdr:nvSpPr>
      <cdr:spPr>
        <a:xfrm xmlns:a="http://schemas.openxmlformats.org/drawingml/2006/main">
          <a:off x="1431572" y="1530891"/>
          <a:ext cx="200025" cy="23813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0.49959</cdr:x>
      <cdr:y>0.3394</cdr:y>
    </cdr:from>
    <cdr:to>
      <cdr:x>0.54437</cdr:x>
      <cdr:y>0.43822</cdr:y>
    </cdr:to>
    <cdr:sp macro="" textlink="">
      <cdr:nvSpPr>
        <cdr:cNvPr id="3" name="Rectangle 2"/>
        <cdr:cNvSpPr/>
      </cdr:nvSpPr>
      <cdr:spPr>
        <a:xfrm xmlns:a="http://schemas.openxmlformats.org/drawingml/2006/main">
          <a:off x="2788537" y="781978"/>
          <a:ext cx="249938" cy="22767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dr:relSizeAnchor xmlns:cdr="http://schemas.openxmlformats.org/drawingml/2006/chartDrawing">
    <cdr:from>
      <cdr:x>0.32793</cdr:x>
      <cdr:y>0.13246</cdr:y>
    </cdr:from>
    <cdr:to>
      <cdr:x>0.3821</cdr:x>
      <cdr:y>0.21232</cdr:y>
    </cdr:to>
    <cdr:sp macro="" textlink="">
      <cdr:nvSpPr>
        <cdr:cNvPr id="4" name="Rectangle 3"/>
        <cdr:cNvSpPr/>
      </cdr:nvSpPr>
      <cdr:spPr>
        <a:xfrm xmlns:a="http://schemas.openxmlformats.org/drawingml/2006/main">
          <a:off x="1499275" y="363372"/>
          <a:ext cx="247665" cy="21907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0.28517</cdr:x>
      <cdr:y>0.03984</cdr:y>
    </cdr:from>
    <cdr:to>
      <cdr:x>0.60073</cdr:x>
      <cdr:y>0.50898</cdr:y>
    </cdr:to>
    <cdr:grpSp>
      <cdr:nvGrpSpPr>
        <cdr:cNvPr id="5" name="Group 4"/>
        <cdr:cNvGrpSpPr/>
      </cdr:nvGrpSpPr>
      <cdr:grpSpPr>
        <a:xfrm xmlns:a="http://schemas.openxmlformats.org/drawingml/2006/main">
          <a:off x="1591719" y="91783"/>
          <a:ext cx="1761345" cy="1080795"/>
          <a:chOff x="1684791" y="165370"/>
          <a:chExt cx="1875533" cy="1200246"/>
        </a:xfrm>
      </cdr:grpSpPr>
      <cdr:sp macro="" textlink="">
        <cdr:nvSpPr>
          <cdr:cNvPr id="6" name="Straight Connector 5"/>
          <cdr:cNvSpPr/>
        </cdr:nvSpPr>
        <cdr:spPr>
          <a:xfrm xmlns:a="http://schemas.openxmlformats.org/drawingml/2006/main">
            <a:off x="1690942" y="1179085"/>
            <a:ext cx="123806" cy="18653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7" name="Straight Connector 6"/>
          <cdr:cNvSpPr/>
        </cdr:nvSpPr>
        <cdr:spPr>
          <a:xfrm xmlns:a="http://schemas.openxmlformats.org/drawingml/2006/main" flipV="1">
            <a:off x="2543498" y="968662"/>
            <a:ext cx="321681" cy="13420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8" name="Straight Connector 7"/>
          <cdr:cNvSpPr/>
        </cdr:nvSpPr>
        <cdr:spPr>
          <a:xfrm xmlns:a="http://schemas.openxmlformats.org/drawingml/2006/main">
            <a:off x="1684791" y="168217"/>
            <a:ext cx="199456" cy="20374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9" name="Straight Connector 8"/>
          <cdr:cNvSpPr/>
        </cdr:nvSpPr>
        <cdr:spPr>
          <a:xfrm xmlns:a="http://schemas.openxmlformats.org/drawingml/2006/main" flipH="1">
            <a:off x="3404682" y="165370"/>
            <a:ext cx="155642" cy="24319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grpSp>
  </cdr:relSizeAnchor>
  <cdr:relSizeAnchor xmlns:cdr="http://schemas.openxmlformats.org/drawingml/2006/chartDrawing">
    <cdr:from>
      <cdr:x>0.52412</cdr:x>
      <cdr:y>0.1219</cdr:y>
    </cdr:from>
    <cdr:to>
      <cdr:x>0.57167</cdr:x>
      <cdr:y>0.25218</cdr:y>
    </cdr:to>
    <cdr:sp macro="" textlink="">
      <cdr:nvSpPr>
        <cdr:cNvPr id="10" name="Rectangle 9"/>
        <cdr:cNvSpPr/>
      </cdr:nvSpPr>
      <cdr:spPr>
        <a:xfrm xmlns:a="http://schemas.openxmlformats.org/drawingml/2006/main">
          <a:off x="2925453" y="280858"/>
          <a:ext cx="265421" cy="30016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4</a:t>
          </a:r>
        </a:p>
      </cdr:txBody>
    </cdr:sp>
  </cdr:relSizeAnchor>
</c:userShapes>
</file>

<file path=word/drawings/drawing20.xml><?xml version="1.0" encoding="utf-8"?>
<c:userShapes xmlns:c="http://schemas.openxmlformats.org/drawingml/2006/chart">
  <cdr:relSizeAnchor xmlns:cdr="http://schemas.openxmlformats.org/drawingml/2006/chartDrawing">
    <cdr:from>
      <cdr:x>0.48392</cdr:x>
      <cdr:y>0.18535</cdr:y>
    </cdr:from>
    <cdr:to>
      <cdr:x>0.52973</cdr:x>
      <cdr:y>0.27838</cdr:y>
    </cdr:to>
    <cdr:sp macro="" textlink="">
      <cdr:nvSpPr>
        <cdr:cNvPr id="2" name="Rectangle 1"/>
        <cdr:cNvSpPr/>
      </cdr:nvSpPr>
      <cdr:spPr>
        <a:xfrm xmlns:a="http://schemas.openxmlformats.org/drawingml/2006/main">
          <a:off x="2285652" y="413113"/>
          <a:ext cx="216369" cy="2073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cdr:x>
      <cdr:y>0.37209</cdr:y>
    </cdr:from>
    <cdr:to>
      <cdr:x>0.54582</cdr:x>
      <cdr:y>0.46512</cdr:y>
    </cdr:to>
    <cdr:sp macro="" textlink="">
      <cdr:nvSpPr>
        <cdr:cNvPr id="3" name="Rectangle 2"/>
        <cdr:cNvSpPr/>
      </cdr:nvSpPr>
      <cdr:spPr>
        <a:xfrm xmlns:a="http://schemas.openxmlformats.org/drawingml/2006/main">
          <a:off x="2390775" y="914400"/>
          <a:ext cx="219075" cy="22860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8</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0.39032</cdr:x>
      <cdr:y>0.6621</cdr:y>
    </cdr:from>
    <cdr:to>
      <cdr:x>0.43614</cdr:x>
      <cdr:y>0.75512</cdr:y>
    </cdr:to>
    <cdr:sp macro="" textlink="">
      <cdr:nvSpPr>
        <cdr:cNvPr id="4" name="Rectangle 3"/>
        <cdr:cNvSpPr/>
      </cdr:nvSpPr>
      <cdr:spPr>
        <a:xfrm xmlns:a="http://schemas.openxmlformats.org/drawingml/2006/main">
          <a:off x="1843544" y="1475717"/>
          <a:ext cx="216417" cy="20732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7</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0.24684</cdr:x>
      <cdr:y>0.18226</cdr:y>
    </cdr:from>
    <cdr:to>
      <cdr:x>0.29265</cdr:x>
      <cdr:y>0.27529</cdr:y>
    </cdr:to>
    <cdr:sp macro="" textlink="">
      <cdr:nvSpPr>
        <cdr:cNvPr id="5" name="Rectangle 4"/>
        <cdr:cNvSpPr/>
      </cdr:nvSpPr>
      <cdr:spPr>
        <a:xfrm xmlns:a="http://schemas.openxmlformats.org/drawingml/2006/main">
          <a:off x="1165891" y="406241"/>
          <a:ext cx="216370" cy="20735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0.39243</cdr:x>
      <cdr:y>0.18575</cdr:y>
    </cdr:from>
    <cdr:to>
      <cdr:x>0.43825</cdr:x>
      <cdr:y>0.27877</cdr:y>
    </cdr:to>
    <cdr:sp macro="" textlink="">
      <cdr:nvSpPr>
        <cdr:cNvPr id="6" name="Rectangle 5"/>
        <cdr:cNvSpPr/>
      </cdr:nvSpPr>
      <cdr:spPr>
        <a:xfrm xmlns:a="http://schemas.openxmlformats.org/drawingml/2006/main">
          <a:off x="1853525" y="414012"/>
          <a:ext cx="216417" cy="20732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0.69888</cdr:x>
      <cdr:y>0.21476</cdr:y>
    </cdr:from>
    <cdr:to>
      <cdr:x>0.7447</cdr:x>
      <cdr:y>0.30779</cdr:y>
    </cdr:to>
    <cdr:sp macro="" textlink="">
      <cdr:nvSpPr>
        <cdr:cNvPr id="7" name="Rectangle 6"/>
        <cdr:cNvSpPr/>
      </cdr:nvSpPr>
      <cdr:spPr>
        <a:xfrm xmlns:a="http://schemas.openxmlformats.org/drawingml/2006/main">
          <a:off x="3300967" y="478677"/>
          <a:ext cx="216417" cy="20735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0.62727</cdr:x>
      <cdr:y>0.2098</cdr:y>
    </cdr:from>
    <cdr:to>
      <cdr:x>0.67309</cdr:x>
      <cdr:y>0.30282</cdr:y>
    </cdr:to>
    <cdr:sp macro="" textlink="">
      <cdr:nvSpPr>
        <cdr:cNvPr id="8" name="Rectangle 7"/>
        <cdr:cNvSpPr/>
      </cdr:nvSpPr>
      <cdr:spPr>
        <a:xfrm xmlns:a="http://schemas.openxmlformats.org/drawingml/2006/main">
          <a:off x="2962723" y="467609"/>
          <a:ext cx="216417" cy="20732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0.55767</cdr:x>
      <cdr:y>0.20433</cdr:y>
    </cdr:from>
    <cdr:to>
      <cdr:x>0.60348</cdr:x>
      <cdr:y>0.29735</cdr:y>
    </cdr:to>
    <cdr:sp macro="" textlink="">
      <cdr:nvSpPr>
        <cdr:cNvPr id="9" name="Rectangle 8"/>
        <cdr:cNvSpPr/>
      </cdr:nvSpPr>
      <cdr:spPr>
        <a:xfrm xmlns:a="http://schemas.openxmlformats.org/drawingml/2006/main">
          <a:off x="2634003" y="455431"/>
          <a:ext cx="216370" cy="207328"/>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21.xml><?xml version="1.0" encoding="utf-8"?>
<c:userShapes xmlns:c="http://schemas.openxmlformats.org/drawingml/2006/chart">
  <cdr:relSizeAnchor xmlns:cdr="http://schemas.openxmlformats.org/drawingml/2006/chartDrawing">
    <cdr:from>
      <cdr:x>0.6</cdr:x>
      <cdr:y>0.19444</cdr:y>
    </cdr:from>
    <cdr:to>
      <cdr:x>0.65</cdr:x>
      <cdr:y>0.28472</cdr:y>
    </cdr:to>
    <cdr:sp macro="" textlink="">
      <cdr:nvSpPr>
        <cdr:cNvPr id="2" name="Rectangle 1"/>
        <cdr:cNvSpPr/>
      </cdr:nvSpPr>
      <cdr:spPr>
        <a:xfrm xmlns:a="http://schemas.openxmlformats.org/drawingml/2006/main">
          <a:off x="2743200" y="533400"/>
          <a:ext cx="228600" cy="2476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0.4861</cdr:x>
      <cdr:y>0.64945</cdr:y>
    </cdr:from>
    <cdr:to>
      <cdr:x>0.53193</cdr:x>
      <cdr:y>0.73973</cdr:y>
    </cdr:to>
    <cdr:sp macro="" textlink="">
      <cdr:nvSpPr>
        <cdr:cNvPr id="3" name="Rectangle 2"/>
        <cdr:cNvSpPr/>
      </cdr:nvSpPr>
      <cdr:spPr>
        <a:xfrm xmlns:a="http://schemas.openxmlformats.org/drawingml/2006/main">
          <a:off x="2761539" y="1781578"/>
          <a:ext cx="260358" cy="247656"/>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0.29167</cdr:x>
      <cdr:y>0.18403</cdr:y>
    </cdr:from>
    <cdr:to>
      <cdr:x>0.34792</cdr:x>
      <cdr:y>0.28819</cdr:y>
    </cdr:to>
    <cdr:sp macro="" textlink="">
      <cdr:nvSpPr>
        <cdr:cNvPr id="4" name="Rectangle 3"/>
        <cdr:cNvSpPr/>
      </cdr:nvSpPr>
      <cdr:spPr>
        <a:xfrm xmlns:a="http://schemas.openxmlformats.org/drawingml/2006/main">
          <a:off x="1333500" y="504825"/>
          <a:ext cx="257175" cy="2857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5</a:t>
          </a:r>
        </a:p>
      </cdr:txBody>
    </cdr:sp>
  </cdr:relSizeAnchor>
  <cdr:relSizeAnchor xmlns:cdr="http://schemas.openxmlformats.org/drawingml/2006/chartDrawing">
    <cdr:from>
      <cdr:x>0.175</cdr:x>
      <cdr:y>0.19792</cdr:y>
    </cdr:from>
    <cdr:to>
      <cdr:x>0.24167</cdr:x>
      <cdr:y>0.3125</cdr:y>
    </cdr:to>
    <cdr:sp macro="" textlink="">
      <cdr:nvSpPr>
        <cdr:cNvPr id="5" name="Rectangle 4"/>
        <cdr:cNvSpPr/>
      </cdr:nvSpPr>
      <cdr:spPr>
        <a:xfrm xmlns:a="http://schemas.openxmlformats.org/drawingml/2006/main">
          <a:off x="800100" y="542925"/>
          <a:ext cx="304800" cy="31432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6</a:t>
          </a:r>
        </a:p>
      </cdr:txBody>
    </cdr:sp>
  </cdr:relSizeAnchor>
  <cdr:relSizeAnchor xmlns:cdr="http://schemas.openxmlformats.org/drawingml/2006/chartDrawing">
    <cdr:from>
      <cdr:x>0.22708</cdr:x>
      <cdr:y>0.08326</cdr:y>
    </cdr:from>
    <cdr:to>
      <cdr:x>0.65015</cdr:x>
      <cdr:y>0.81745</cdr:y>
    </cdr:to>
    <cdr:grpSp>
      <cdr:nvGrpSpPr>
        <cdr:cNvPr id="6" name="Group 5"/>
        <cdr:cNvGrpSpPr/>
      </cdr:nvGrpSpPr>
      <cdr:grpSpPr>
        <a:xfrm xmlns:a="http://schemas.openxmlformats.org/drawingml/2006/main">
          <a:off x="1245852" y="228399"/>
          <a:ext cx="2321131" cy="2014030"/>
          <a:chOff x="1290031" y="228410"/>
          <a:chExt cx="2403418" cy="2014015"/>
        </a:xfrm>
      </cdr:grpSpPr>
      <cdr:sp macro="" textlink="">
        <cdr:nvSpPr>
          <cdr:cNvPr id="7" name="Straight Connector 6"/>
          <cdr:cNvSpPr/>
        </cdr:nvSpPr>
        <cdr:spPr>
          <a:xfrm xmlns:a="http://schemas.openxmlformats.org/drawingml/2006/main" flipH="1">
            <a:off x="3586931" y="228410"/>
            <a:ext cx="106518" cy="35241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8" name="Straight Connector 7"/>
          <cdr:cNvSpPr/>
        </cdr:nvSpPr>
        <cdr:spPr>
          <a:xfrm xmlns:a="http://schemas.openxmlformats.org/drawingml/2006/main">
            <a:off x="2563238" y="1657359"/>
            <a:ext cx="142024" cy="21907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9" name="Straight Connector 8"/>
          <cdr:cNvSpPr/>
        </cdr:nvSpPr>
        <cdr:spPr>
          <a:xfrm xmlns:a="http://schemas.openxmlformats.org/drawingml/2006/main" flipH="1">
            <a:off x="2000150" y="238137"/>
            <a:ext cx="153897" cy="361938"/>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10" name="Straight Connector 9"/>
          <cdr:cNvSpPr/>
        </cdr:nvSpPr>
        <cdr:spPr>
          <a:xfrm xmlns:a="http://schemas.openxmlformats.org/drawingml/2006/main" flipH="1">
            <a:off x="1290031" y="257175"/>
            <a:ext cx="130207" cy="371484"/>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11" name="Straight Connector 10"/>
          <cdr:cNvSpPr/>
        </cdr:nvSpPr>
        <cdr:spPr>
          <a:xfrm xmlns:a="http://schemas.openxmlformats.org/drawingml/2006/main" flipH="1">
            <a:off x="2616740" y="340466"/>
            <a:ext cx="97682" cy="301559"/>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hade val="95000"/>
                <a:satMod val="105000"/>
              </a:sysClr>
            </a:solidFill>
            <a:prstDash val="solid"/>
          </a:ln>
          <a:effectLst xmlns:a="http://schemas.openxmlformats.org/drawingml/2006/mai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en-US"/>
          </a:p>
        </cdr:txBody>
      </cdr:sp>
      <cdr:sp macro="" textlink="">
        <cdr:nvSpPr>
          <cdr:cNvPr id="12" name="Straight Connector 11"/>
          <cdr:cNvSpPr/>
        </cdr:nvSpPr>
        <cdr:spPr>
          <a:xfrm xmlns:a="http://schemas.openxmlformats.org/drawingml/2006/main" flipH="1">
            <a:off x="1717902" y="1994171"/>
            <a:ext cx="159535" cy="248254"/>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hade val="95000"/>
                <a:satMod val="105000"/>
              </a:sysClr>
            </a:solidFill>
            <a:prstDash val="solid"/>
          </a:ln>
          <a:effectLst xmlns:a="http://schemas.openxmlformats.org/drawingml/2006/mai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horz" wrap="none" lIns="45720" tIns="45720" rIns="45720" bIns="45720" anchor="t" anchorCtr="0">
            <a:normAutofit/>
          </a:bodyPr>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en-US"/>
          </a:p>
        </cdr:txBody>
      </cdr:sp>
      <cdr:sp macro="" textlink="">
        <cdr:nvSpPr>
          <cdr:cNvPr id="13" name="Rectangle 12"/>
          <cdr:cNvSpPr/>
        </cdr:nvSpPr>
        <cdr:spPr>
          <a:xfrm xmlns:a="http://schemas.openxmlformats.org/drawingml/2006/main">
            <a:off x="2305455" y="554476"/>
            <a:ext cx="378749" cy="31431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grpSp>
  </cdr:relSizeAnchor>
  <cdr:relSizeAnchor xmlns:cdr="http://schemas.openxmlformats.org/drawingml/2006/chartDrawing">
    <cdr:from>
      <cdr:x>0.33733</cdr:x>
      <cdr:y>0.67376</cdr:y>
    </cdr:from>
    <cdr:to>
      <cdr:x>0.404</cdr:x>
      <cdr:y>0.78834</cdr:y>
    </cdr:to>
    <cdr:sp macro="" textlink="">
      <cdr:nvSpPr>
        <cdr:cNvPr id="14" name="Rectangle 13"/>
        <cdr:cNvSpPr/>
      </cdr:nvSpPr>
      <cdr:spPr>
        <a:xfrm xmlns:a="http://schemas.openxmlformats.org/drawingml/2006/main">
          <a:off x="1916349" y="1848255"/>
          <a:ext cx="378749" cy="31431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userShapes>
</file>

<file path=word/drawings/drawing22.xml><?xml version="1.0" encoding="utf-8"?>
<c:userShapes xmlns:c="http://schemas.openxmlformats.org/drawingml/2006/chart">
  <cdr:relSizeAnchor xmlns:cdr="http://schemas.openxmlformats.org/drawingml/2006/chartDrawing">
    <cdr:from>
      <cdr:x>0.5095</cdr:x>
      <cdr:y>0.17376</cdr:y>
    </cdr:from>
    <cdr:to>
      <cdr:x>0.5544</cdr:x>
      <cdr:y>0.25177</cdr:y>
    </cdr:to>
    <cdr:sp macro="" textlink="">
      <cdr:nvSpPr>
        <cdr:cNvPr id="2" name="Rectangle 1"/>
        <cdr:cNvSpPr/>
      </cdr:nvSpPr>
      <cdr:spPr>
        <a:xfrm xmlns:a="http://schemas.openxmlformats.org/drawingml/2006/main">
          <a:off x="2869660" y="476654"/>
          <a:ext cx="252919" cy="21400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0.40415</cdr:x>
      <cdr:y>0.58865</cdr:y>
    </cdr:from>
    <cdr:to>
      <cdr:x>0.44905</cdr:x>
      <cdr:y>0.66667</cdr:y>
    </cdr:to>
    <cdr:sp macro="" textlink="">
      <cdr:nvSpPr>
        <cdr:cNvPr id="3" name="Rectangle 2"/>
        <cdr:cNvSpPr/>
      </cdr:nvSpPr>
      <cdr:spPr>
        <a:xfrm xmlns:a="http://schemas.openxmlformats.org/drawingml/2006/main">
          <a:off x="2276272" y="1614791"/>
          <a:ext cx="252919"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5</a:t>
          </a:r>
        </a:p>
      </cdr:txBody>
    </cdr:sp>
  </cdr:relSizeAnchor>
  <cdr:relSizeAnchor xmlns:cdr="http://schemas.openxmlformats.org/drawingml/2006/chartDrawing">
    <cdr:from>
      <cdr:x>0.32988</cdr:x>
      <cdr:y>0.1773</cdr:y>
    </cdr:from>
    <cdr:to>
      <cdr:x>0.37478</cdr:x>
      <cdr:y>0.25532</cdr:y>
    </cdr:to>
    <cdr:sp macro="" textlink="">
      <cdr:nvSpPr>
        <cdr:cNvPr id="4" name="Rectangle 3"/>
        <cdr:cNvSpPr/>
      </cdr:nvSpPr>
      <cdr:spPr>
        <a:xfrm xmlns:a="http://schemas.openxmlformats.org/drawingml/2006/main">
          <a:off x="1857983" y="486383"/>
          <a:ext cx="252919"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6</a:t>
          </a:r>
        </a:p>
      </cdr:txBody>
    </cdr:sp>
  </cdr:relSizeAnchor>
  <cdr:relSizeAnchor xmlns:cdr="http://schemas.openxmlformats.org/drawingml/2006/chartDrawing">
    <cdr:from>
      <cdr:x>0.57513</cdr:x>
      <cdr:y>0.36525</cdr:y>
    </cdr:from>
    <cdr:to>
      <cdr:x>0.62003</cdr:x>
      <cdr:y>0.44326</cdr:y>
    </cdr:to>
    <cdr:sp macro="" textlink="">
      <cdr:nvSpPr>
        <cdr:cNvPr id="5" name="Rectangle 4"/>
        <cdr:cNvSpPr/>
      </cdr:nvSpPr>
      <cdr:spPr>
        <a:xfrm xmlns:a="http://schemas.openxmlformats.org/drawingml/2006/main">
          <a:off x="3239311" y="1001950"/>
          <a:ext cx="252919"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0.70121</cdr:x>
      <cdr:y>0.17021</cdr:y>
    </cdr:from>
    <cdr:to>
      <cdr:x>0.74611</cdr:x>
      <cdr:y>0.24823</cdr:y>
    </cdr:to>
    <cdr:sp macro="" textlink="">
      <cdr:nvSpPr>
        <cdr:cNvPr id="6" name="Rectangle 5"/>
        <cdr:cNvSpPr/>
      </cdr:nvSpPr>
      <cdr:spPr>
        <a:xfrm xmlns:a="http://schemas.openxmlformats.org/drawingml/2006/main">
          <a:off x="3949430" y="466928"/>
          <a:ext cx="252919"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0.58895</cdr:x>
      <cdr:y>0.16667</cdr:y>
    </cdr:from>
    <cdr:to>
      <cdr:x>0.63385</cdr:x>
      <cdr:y>0.24468</cdr:y>
    </cdr:to>
    <cdr:sp macro="" textlink="">
      <cdr:nvSpPr>
        <cdr:cNvPr id="7" name="Rectangle 6"/>
        <cdr:cNvSpPr/>
      </cdr:nvSpPr>
      <cdr:spPr>
        <a:xfrm xmlns:a="http://schemas.openxmlformats.org/drawingml/2006/main">
          <a:off x="3317132" y="457200"/>
          <a:ext cx="252919"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2</a:t>
          </a:r>
        </a:p>
      </cdr:txBody>
    </cdr:sp>
  </cdr:relSizeAnchor>
</c:userShapes>
</file>

<file path=word/drawings/drawing23.xml><?xml version="1.0" encoding="utf-8"?>
<c:userShapes xmlns:c="http://schemas.openxmlformats.org/drawingml/2006/chart">
  <cdr:relSizeAnchor xmlns:cdr="http://schemas.openxmlformats.org/drawingml/2006/chartDrawing">
    <cdr:from>
      <cdr:x>0.38334</cdr:x>
      <cdr:y>0.71707</cdr:y>
    </cdr:from>
    <cdr:to>
      <cdr:x>0.44792</cdr:x>
      <cdr:y>0.75924</cdr:y>
    </cdr:to>
    <cdr:sp macro="" textlink="">
      <cdr:nvSpPr>
        <cdr:cNvPr id="2" name="Straight Connector 1"/>
        <cdr:cNvSpPr/>
      </cdr:nvSpPr>
      <cdr:spPr>
        <a:xfrm xmlns:a="http://schemas.openxmlformats.org/drawingml/2006/main">
          <a:off x="1752629" y="1781190"/>
          <a:ext cx="295245" cy="10476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0.45001</cdr:x>
      <cdr:y>0.71084</cdr:y>
    </cdr:from>
    <cdr:to>
      <cdr:x>0.50209</cdr:x>
      <cdr:y>0.78376</cdr:y>
    </cdr:to>
    <cdr:sp macro="" textlink="">
      <cdr:nvSpPr>
        <cdr:cNvPr id="3" name="Rectangle 2"/>
        <cdr:cNvSpPr/>
      </cdr:nvSpPr>
      <cdr:spPr>
        <a:xfrm xmlns:a="http://schemas.openxmlformats.org/drawingml/2006/main">
          <a:off x="2057430" y="1765738"/>
          <a:ext cx="238110" cy="18113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0.46041</cdr:x>
      <cdr:y>0.45822</cdr:y>
    </cdr:from>
    <cdr:to>
      <cdr:x>0.48958</cdr:x>
      <cdr:y>0.54849</cdr:y>
    </cdr:to>
    <cdr:pic>
      <cdr:nvPicPr>
        <cdr:cNvPr id="4" name="Picture 3"/>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04995" y="1138223"/>
          <a:ext cx="133365" cy="224231"/>
        </a:xfrm>
        <a:prstGeom xmlns:a="http://schemas.openxmlformats.org/drawingml/2006/main" prst="rect">
          <a:avLst/>
        </a:prstGeom>
      </cdr:spPr>
    </cdr:pic>
  </cdr:relSizeAnchor>
  <cdr:relSizeAnchor xmlns:cdr="http://schemas.openxmlformats.org/drawingml/2006/chartDrawing">
    <cdr:from>
      <cdr:x>0.49792</cdr:x>
      <cdr:y>0.47485</cdr:y>
    </cdr:from>
    <cdr:to>
      <cdr:x>0.55833</cdr:x>
      <cdr:y>0.5585</cdr:y>
    </cdr:to>
    <cdr:sp macro="" textlink="">
      <cdr:nvSpPr>
        <cdr:cNvPr id="5" name="Rectangle 4"/>
        <cdr:cNvSpPr/>
      </cdr:nvSpPr>
      <cdr:spPr>
        <a:xfrm xmlns:a="http://schemas.openxmlformats.org/drawingml/2006/main">
          <a:off x="2276490" y="1179534"/>
          <a:ext cx="276195" cy="207787"/>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0.63333</cdr:x>
      <cdr:y>0.66827</cdr:y>
    </cdr:from>
    <cdr:to>
      <cdr:x>0.675</cdr:x>
      <cdr:y>0.75816</cdr:y>
    </cdr:to>
    <cdr:sp macro="" textlink="">
      <cdr:nvSpPr>
        <cdr:cNvPr id="6" name="Rectangle 5"/>
        <cdr:cNvSpPr/>
      </cdr:nvSpPr>
      <cdr:spPr>
        <a:xfrm xmlns:a="http://schemas.openxmlformats.org/drawingml/2006/main">
          <a:off x="2895600" y="1659987"/>
          <a:ext cx="190515" cy="22328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0.725</cdr:x>
      <cdr:y>0.63394</cdr:y>
    </cdr:from>
    <cdr:to>
      <cdr:x>0.76667</cdr:x>
      <cdr:y>0.72383</cdr:y>
    </cdr:to>
    <cdr:sp macro="" textlink="">
      <cdr:nvSpPr>
        <cdr:cNvPr id="7" name="Rectangle 6"/>
        <cdr:cNvSpPr/>
      </cdr:nvSpPr>
      <cdr:spPr>
        <a:xfrm xmlns:a="http://schemas.openxmlformats.org/drawingml/2006/main">
          <a:off x="3314700" y="1574707"/>
          <a:ext cx="190515" cy="223287"/>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0.28333</cdr:x>
      <cdr:y>0.25396</cdr:y>
    </cdr:from>
    <cdr:to>
      <cdr:x>0.325</cdr:x>
      <cdr:y>0.34385</cdr:y>
    </cdr:to>
    <cdr:sp macro="" textlink="">
      <cdr:nvSpPr>
        <cdr:cNvPr id="8" name="Rectangle 7"/>
        <cdr:cNvSpPr/>
      </cdr:nvSpPr>
      <cdr:spPr>
        <a:xfrm xmlns:a="http://schemas.openxmlformats.org/drawingml/2006/main">
          <a:off x="1295400" y="630846"/>
          <a:ext cx="190515" cy="223287"/>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0.39792</cdr:x>
      <cdr:y>0.52853</cdr:y>
    </cdr:from>
    <cdr:to>
      <cdr:x>0.43958</cdr:x>
      <cdr:y>0.61842</cdr:y>
    </cdr:to>
    <cdr:sp macro="" textlink="">
      <cdr:nvSpPr>
        <cdr:cNvPr id="9" name="Rectangle 8"/>
        <cdr:cNvSpPr/>
      </cdr:nvSpPr>
      <cdr:spPr>
        <a:xfrm xmlns:a="http://schemas.openxmlformats.org/drawingml/2006/main">
          <a:off x="1819290" y="1312875"/>
          <a:ext cx="190470" cy="223287"/>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userShapes>
</file>

<file path=word/drawings/drawing24.xml><?xml version="1.0" encoding="utf-8"?>
<c:userShapes xmlns:c="http://schemas.openxmlformats.org/drawingml/2006/chart">
  <cdr:relSizeAnchor xmlns:cdr="http://schemas.openxmlformats.org/drawingml/2006/chartDrawing">
    <cdr:from>
      <cdr:x>0.575</cdr:x>
      <cdr:y>0.60764</cdr:y>
    </cdr:from>
    <cdr:to>
      <cdr:x>0.6125</cdr:x>
      <cdr:y>0.68403</cdr:y>
    </cdr:to>
    <cdr:sp macro="" textlink="">
      <cdr:nvSpPr>
        <cdr:cNvPr id="2" name="Straight Connector 1"/>
        <cdr:cNvSpPr/>
      </cdr:nvSpPr>
      <cdr:spPr>
        <a:xfrm xmlns:a="http://schemas.openxmlformats.org/drawingml/2006/main" flipH="1">
          <a:off x="2628900" y="1666875"/>
          <a:ext cx="171450" cy="2095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0.525</cdr:x>
      <cdr:y>0.65625</cdr:y>
    </cdr:from>
    <cdr:to>
      <cdr:x>0.57292</cdr:x>
      <cdr:y>0.75694</cdr:y>
    </cdr:to>
    <cdr:sp macro="" textlink="">
      <cdr:nvSpPr>
        <cdr:cNvPr id="3" name="Rectangle 2"/>
        <cdr:cNvSpPr/>
      </cdr:nvSpPr>
      <cdr:spPr>
        <a:xfrm xmlns:a="http://schemas.openxmlformats.org/drawingml/2006/main">
          <a:off x="2400300" y="1800225"/>
          <a:ext cx="219075" cy="27622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6</a:t>
          </a:r>
        </a:p>
      </cdr:txBody>
    </cdr:sp>
  </cdr:relSizeAnchor>
  <cdr:relSizeAnchor xmlns:cdr="http://schemas.openxmlformats.org/drawingml/2006/chartDrawing">
    <cdr:from>
      <cdr:x>0.30625</cdr:x>
      <cdr:y>0.21181</cdr:y>
    </cdr:from>
    <cdr:to>
      <cdr:x>0.32708</cdr:x>
      <cdr:y>0.28472</cdr:y>
    </cdr:to>
    <cdr:sp macro="" textlink="">
      <cdr:nvSpPr>
        <cdr:cNvPr id="4" name="Straight Connector 3"/>
        <cdr:cNvSpPr/>
      </cdr:nvSpPr>
      <cdr:spPr>
        <a:xfrm xmlns:a="http://schemas.openxmlformats.org/drawingml/2006/main">
          <a:off x="1400175" y="581025"/>
          <a:ext cx="95250" cy="2000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0.325</cdr:x>
      <cdr:y>0.25694</cdr:y>
    </cdr:from>
    <cdr:to>
      <cdr:x>0.3625</cdr:x>
      <cdr:y>0.33681</cdr:y>
    </cdr:to>
    <cdr:sp macro="" textlink="">
      <cdr:nvSpPr>
        <cdr:cNvPr id="5" name="Rectangle 4"/>
        <cdr:cNvSpPr/>
      </cdr:nvSpPr>
      <cdr:spPr>
        <a:xfrm xmlns:a="http://schemas.openxmlformats.org/drawingml/2006/main">
          <a:off x="1485901" y="704850"/>
          <a:ext cx="171450" cy="21907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8</a:t>
          </a:r>
        </a:p>
      </cdr:txBody>
    </cdr:sp>
  </cdr:relSizeAnchor>
  <cdr:relSizeAnchor xmlns:cdr="http://schemas.openxmlformats.org/drawingml/2006/chartDrawing">
    <cdr:from>
      <cdr:x>0.36667</cdr:x>
      <cdr:y>0.10069</cdr:y>
    </cdr:from>
    <cdr:to>
      <cdr:x>0.38542</cdr:x>
      <cdr:y>0.15625</cdr:y>
    </cdr:to>
    <cdr:sp macro="" textlink="">
      <cdr:nvSpPr>
        <cdr:cNvPr id="6" name="Straight Connector 5"/>
        <cdr:cNvSpPr/>
      </cdr:nvSpPr>
      <cdr:spPr>
        <a:xfrm xmlns:a="http://schemas.openxmlformats.org/drawingml/2006/main">
          <a:off x="1676400" y="276225"/>
          <a:ext cx="85725" cy="1524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0.39583</cdr:x>
      <cdr:y>0.11111</cdr:y>
    </cdr:from>
    <cdr:to>
      <cdr:x>0.43352</cdr:x>
      <cdr:y>0.19923</cdr:y>
    </cdr:to>
    <cdr:sp macro="" textlink="">
      <cdr:nvSpPr>
        <cdr:cNvPr id="7" name="Rectangle 6"/>
        <cdr:cNvSpPr/>
      </cdr:nvSpPr>
      <cdr:spPr>
        <a:xfrm xmlns:a="http://schemas.openxmlformats.org/drawingml/2006/main">
          <a:off x="2069884" y="276222"/>
          <a:ext cx="197066" cy="219078"/>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5</a:t>
          </a:r>
        </a:p>
      </cdr:txBody>
    </cdr:sp>
  </cdr:relSizeAnchor>
  <cdr:relSizeAnchor xmlns:cdr="http://schemas.openxmlformats.org/drawingml/2006/chartDrawing">
    <cdr:from>
      <cdr:x>0.59167</cdr:x>
      <cdr:y>0.05903</cdr:y>
    </cdr:from>
    <cdr:to>
      <cdr:x>0.62083</cdr:x>
      <cdr:y>0.16667</cdr:y>
    </cdr:to>
    <cdr:sp macro="" textlink="">
      <cdr:nvSpPr>
        <cdr:cNvPr id="8" name="Straight Connector 7"/>
        <cdr:cNvSpPr/>
      </cdr:nvSpPr>
      <cdr:spPr>
        <a:xfrm xmlns:a="http://schemas.openxmlformats.org/drawingml/2006/main" flipH="1">
          <a:off x="2705100" y="161925"/>
          <a:ext cx="133350" cy="2952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0.54167</cdr:x>
      <cdr:y>0.12847</cdr:y>
    </cdr:from>
    <cdr:to>
      <cdr:x>0.58333</cdr:x>
      <cdr:y>0.20486</cdr:y>
    </cdr:to>
    <cdr:sp macro="" textlink="">
      <cdr:nvSpPr>
        <cdr:cNvPr id="9" name="Rectangle 8"/>
        <cdr:cNvSpPr/>
      </cdr:nvSpPr>
      <cdr:spPr>
        <a:xfrm xmlns:a="http://schemas.openxmlformats.org/drawingml/2006/main">
          <a:off x="2476500" y="352425"/>
          <a:ext cx="190500" cy="2095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0.68125</cdr:x>
      <cdr:y>0.02778</cdr:y>
    </cdr:from>
    <cdr:to>
      <cdr:x>0.70625</cdr:x>
      <cdr:y>0.16667</cdr:y>
    </cdr:to>
    <cdr:sp macro="" textlink="">
      <cdr:nvSpPr>
        <cdr:cNvPr id="10" name="Straight Connector 9"/>
        <cdr:cNvSpPr/>
      </cdr:nvSpPr>
      <cdr:spPr>
        <a:xfrm xmlns:a="http://schemas.openxmlformats.org/drawingml/2006/main" flipH="1">
          <a:off x="3114675" y="76200"/>
          <a:ext cx="114300" cy="3810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0.63125</cdr:x>
      <cdr:y>0.13889</cdr:y>
    </cdr:from>
    <cdr:to>
      <cdr:x>0.675</cdr:x>
      <cdr:y>0.21528</cdr:y>
    </cdr:to>
    <cdr:sp macro="" textlink="">
      <cdr:nvSpPr>
        <cdr:cNvPr id="11" name="Rectangle 10"/>
        <cdr:cNvSpPr/>
      </cdr:nvSpPr>
      <cdr:spPr>
        <a:xfrm xmlns:a="http://schemas.openxmlformats.org/drawingml/2006/main">
          <a:off x="2886075" y="381000"/>
          <a:ext cx="200025" cy="2095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0.74792</cdr:x>
      <cdr:y>0.04861</cdr:y>
    </cdr:from>
    <cdr:to>
      <cdr:x>0.77708</cdr:x>
      <cdr:y>0.15972</cdr:y>
    </cdr:to>
    <cdr:sp macro="" textlink="">
      <cdr:nvSpPr>
        <cdr:cNvPr id="12" name="Straight Connector 11"/>
        <cdr:cNvSpPr/>
      </cdr:nvSpPr>
      <cdr:spPr>
        <a:xfrm xmlns:a="http://schemas.openxmlformats.org/drawingml/2006/main" flipH="1">
          <a:off x="3419475" y="133351"/>
          <a:ext cx="133350" cy="3048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0.69583</cdr:x>
      <cdr:y>0.13194</cdr:y>
    </cdr:from>
    <cdr:to>
      <cdr:x>0.74583</cdr:x>
      <cdr:y>0.21181</cdr:y>
    </cdr:to>
    <cdr:sp macro="" textlink="">
      <cdr:nvSpPr>
        <cdr:cNvPr id="13" name="Rectangle 12"/>
        <cdr:cNvSpPr/>
      </cdr:nvSpPr>
      <cdr:spPr>
        <a:xfrm xmlns:a="http://schemas.openxmlformats.org/drawingml/2006/main">
          <a:off x="3181350" y="361950"/>
          <a:ext cx="228600" cy="21907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dr:relSizeAnchor xmlns:cdr="http://schemas.openxmlformats.org/drawingml/2006/chartDrawing">
    <cdr:from>
      <cdr:x>0.80833</cdr:x>
      <cdr:y>0.03125</cdr:y>
    </cdr:from>
    <cdr:to>
      <cdr:x>0.84792</cdr:x>
      <cdr:y>0.17708</cdr:y>
    </cdr:to>
    <cdr:sp macro="" textlink="">
      <cdr:nvSpPr>
        <cdr:cNvPr id="14" name="Straight Connector 13"/>
        <cdr:cNvSpPr/>
      </cdr:nvSpPr>
      <cdr:spPr>
        <a:xfrm xmlns:a="http://schemas.openxmlformats.org/drawingml/2006/main" flipH="1">
          <a:off x="3695699" y="85726"/>
          <a:ext cx="180975" cy="4000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0.7625</cdr:x>
      <cdr:y>0.13889</cdr:y>
    </cdr:from>
    <cdr:to>
      <cdr:x>0.80833</cdr:x>
      <cdr:y>0.21528</cdr:y>
    </cdr:to>
    <cdr:sp macro="" textlink="">
      <cdr:nvSpPr>
        <cdr:cNvPr id="15" name="Rectangle 14"/>
        <cdr:cNvSpPr/>
      </cdr:nvSpPr>
      <cdr:spPr>
        <a:xfrm xmlns:a="http://schemas.openxmlformats.org/drawingml/2006/main">
          <a:off x="3486150" y="381000"/>
          <a:ext cx="209550" cy="2095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0.30237</cdr:x>
      <cdr:y>0.49042</cdr:y>
    </cdr:from>
    <cdr:to>
      <cdr:x>0.34062</cdr:x>
      <cdr:y>0.56705</cdr:y>
    </cdr:to>
    <cdr:sp macro="" textlink="">
      <cdr:nvSpPr>
        <cdr:cNvPr id="16" name="Straight Connector 15"/>
        <cdr:cNvSpPr/>
      </cdr:nvSpPr>
      <cdr:spPr>
        <a:xfrm xmlns:a="http://schemas.openxmlformats.org/drawingml/2006/main" flipV="1">
          <a:off x="1581161" y="1219200"/>
          <a:ext cx="200014" cy="19050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userShapes>
</file>

<file path=word/drawings/drawing25.xml><?xml version="1.0" encoding="utf-8"?>
<c:userShapes xmlns:c="http://schemas.openxmlformats.org/drawingml/2006/chart">
  <cdr:relSizeAnchor xmlns:cdr="http://schemas.openxmlformats.org/drawingml/2006/chartDrawing">
    <cdr:from>
      <cdr:x>0.67318</cdr:x>
      <cdr:y>0.55104</cdr:y>
    </cdr:from>
    <cdr:to>
      <cdr:x>0.68776</cdr:x>
      <cdr:y>0.63438</cdr:y>
    </cdr:to>
    <cdr:sp macro="" textlink="">
      <cdr:nvSpPr>
        <cdr:cNvPr id="2" name="Straight Connector 1"/>
        <cdr:cNvSpPr/>
      </cdr:nvSpPr>
      <cdr:spPr>
        <a:xfrm xmlns:a="http://schemas.openxmlformats.org/drawingml/2006/main" flipH="1">
          <a:off x="3212441" y="1309264"/>
          <a:ext cx="69576" cy="19801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0.61121</cdr:x>
      <cdr:y>0.61461</cdr:y>
    </cdr:from>
    <cdr:to>
      <cdr:x>0.67371</cdr:x>
      <cdr:y>0.7153</cdr:y>
    </cdr:to>
    <cdr:sp macro="" textlink="">
      <cdr:nvSpPr>
        <cdr:cNvPr id="3" name="Rectangle 2"/>
        <cdr:cNvSpPr/>
      </cdr:nvSpPr>
      <cdr:spPr>
        <a:xfrm xmlns:a="http://schemas.openxmlformats.org/drawingml/2006/main">
          <a:off x="2916690" y="1460325"/>
          <a:ext cx="298252" cy="23923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1</a:t>
          </a:r>
        </a:p>
      </cdr:txBody>
    </cdr:sp>
  </cdr:relSizeAnchor>
  <cdr:relSizeAnchor xmlns:cdr="http://schemas.openxmlformats.org/drawingml/2006/chartDrawing">
    <cdr:from>
      <cdr:x>0.55496</cdr:x>
      <cdr:y>0.20404</cdr:y>
    </cdr:from>
    <cdr:to>
      <cdr:x>0.60704</cdr:x>
      <cdr:y>0.2839</cdr:y>
    </cdr:to>
    <cdr:sp macro="" textlink="">
      <cdr:nvSpPr>
        <cdr:cNvPr id="4" name="Rectangle 3"/>
        <cdr:cNvSpPr/>
      </cdr:nvSpPr>
      <cdr:spPr>
        <a:xfrm xmlns:a="http://schemas.openxmlformats.org/drawingml/2006/main">
          <a:off x="2648264" y="484797"/>
          <a:ext cx="248527" cy="189748"/>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6</a:t>
          </a:r>
        </a:p>
      </cdr:txBody>
    </cdr:sp>
  </cdr:relSizeAnchor>
  <cdr:relSizeAnchor xmlns:cdr="http://schemas.openxmlformats.org/drawingml/2006/chartDrawing">
    <cdr:from>
      <cdr:x>0.35</cdr:x>
      <cdr:y>0.45486</cdr:y>
    </cdr:from>
    <cdr:to>
      <cdr:x>0.38125</cdr:x>
      <cdr:y>0.51736</cdr:y>
    </cdr:to>
    <cdr:sp macro="" textlink="">
      <cdr:nvSpPr>
        <cdr:cNvPr id="5" name="Rectangle 4"/>
        <cdr:cNvSpPr/>
      </cdr:nvSpPr>
      <cdr:spPr>
        <a:xfrm xmlns:a="http://schemas.openxmlformats.org/drawingml/2006/main">
          <a:off x="1600200" y="1247775"/>
          <a:ext cx="142875" cy="1714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4</a:t>
          </a:r>
        </a:p>
      </cdr:txBody>
    </cdr:sp>
  </cdr:relSizeAnchor>
  <cdr:relSizeAnchor xmlns:cdr="http://schemas.openxmlformats.org/drawingml/2006/chartDrawing">
    <cdr:from>
      <cdr:x>0.35842</cdr:x>
      <cdr:y>0.71105</cdr:y>
    </cdr:from>
    <cdr:to>
      <cdr:x>0.41675</cdr:x>
      <cdr:y>0.79438</cdr:y>
    </cdr:to>
    <cdr:sp macro="" textlink="">
      <cdr:nvSpPr>
        <cdr:cNvPr id="6" name="Rectangle 5"/>
        <cdr:cNvSpPr/>
      </cdr:nvSpPr>
      <cdr:spPr>
        <a:xfrm xmlns:a="http://schemas.openxmlformats.org/drawingml/2006/main">
          <a:off x="1710408" y="1689453"/>
          <a:ext cx="278352" cy="19799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dr:relSizeAnchor xmlns:cdr="http://schemas.openxmlformats.org/drawingml/2006/chartDrawing">
    <cdr:from>
      <cdr:x>0.50434</cdr:x>
      <cdr:y>0.7041</cdr:y>
    </cdr:from>
    <cdr:to>
      <cdr:x>0.55226</cdr:x>
      <cdr:y>0.77355</cdr:y>
    </cdr:to>
    <cdr:sp macro="" textlink="">
      <cdr:nvSpPr>
        <cdr:cNvPr id="7" name="Rectangle 6"/>
        <cdr:cNvSpPr/>
      </cdr:nvSpPr>
      <cdr:spPr>
        <a:xfrm xmlns:a="http://schemas.openxmlformats.org/drawingml/2006/main">
          <a:off x="2406713" y="1672939"/>
          <a:ext cx="228676" cy="16501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3</a:t>
          </a:r>
        </a:p>
      </cdr:txBody>
    </cdr:sp>
  </cdr:relSizeAnchor>
</c:userShapes>
</file>

<file path=word/drawings/drawing26.xml><?xml version="1.0" encoding="utf-8"?>
<c:userShapes xmlns:c="http://schemas.openxmlformats.org/drawingml/2006/chart">
  <cdr:relSizeAnchor xmlns:cdr="http://schemas.openxmlformats.org/drawingml/2006/chartDrawing">
    <cdr:from>
      <cdr:x>0.54792</cdr:x>
      <cdr:y>0.66697</cdr:y>
    </cdr:from>
    <cdr:to>
      <cdr:x>0.59584</cdr:x>
      <cdr:y>0.74684</cdr:y>
    </cdr:to>
    <cdr:sp macro="" textlink="">
      <cdr:nvSpPr>
        <cdr:cNvPr id="2" name="Rectangle 1"/>
        <cdr:cNvSpPr/>
      </cdr:nvSpPr>
      <cdr:spPr>
        <a:xfrm xmlns:a="http://schemas.openxmlformats.org/drawingml/2006/main">
          <a:off x="2859978" y="1608741"/>
          <a:ext cx="250128" cy="19264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8</a:t>
          </a:r>
        </a:p>
      </cdr:txBody>
    </cdr:sp>
  </cdr:relSizeAnchor>
  <cdr:relSizeAnchor xmlns:cdr="http://schemas.openxmlformats.org/drawingml/2006/chartDrawing">
    <cdr:from>
      <cdr:x>0.32578</cdr:x>
      <cdr:y>0.6342</cdr:y>
    </cdr:from>
    <cdr:to>
      <cdr:x>0.33411</cdr:x>
      <cdr:y>0.71058</cdr:y>
    </cdr:to>
    <cdr:sp macro="" textlink="">
      <cdr:nvSpPr>
        <cdr:cNvPr id="3" name="Straight Connector 2"/>
        <cdr:cNvSpPr/>
      </cdr:nvSpPr>
      <cdr:spPr>
        <a:xfrm xmlns:a="http://schemas.openxmlformats.org/drawingml/2006/main" flipH="1">
          <a:off x="1700451" y="1529686"/>
          <a:ext cx="43480" cy="184228"/>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0.27342</cdr:x>
      <cdr:y>0.67695</cdr:y>
    </cdr:from>
    <cdr:to>
      <cdr:x>0.32342</cdr:x>
      <cdr:y>0.75333</cdr:y>
    </cdr:to>
    <cdr:sp macro="" textlink="">
      <cdr:nvSpPr>
        <cdr:cNvPr id="4" name="Rectangle 3"/>
        <cdr:cNvSpPr/>
      </cdr:nvSpPr>
      <cdr:spPr>
        <a:xfrm xmlns:a="http://schemas.openxmlformats.org/drawingml/2006/main">
          <a:off x="1427180" y="1632811"/>
          <a:ext cx="260985" cy="184228"/>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050">
              <a:latin typeface="Times New Roman" panose="02020603050405020304" charset="0"/>
              <a:cs typeface="Times New Roman" panose="02020603050405020304" charset="0"/>
            </a:rPr>
            <a:t>6</a:t>
          </a:r>
        </a:p>
      </cdr:txBody>
    </cdr:sp>
  </cdr:relSizeAnchor>
  <cdr:relSizeAnchor xmlns:cdr="http://schemas.openxmlformats.org/drawingml/2006/chartDrawing">
    <cdr:from>
      <cdr:x>0.4013</cdr:x>
      <cdr:y>0.17969</cdr:y>
    </cdr:from>
    <cdr:to>
      <cdr:x>0.42518</cdr:x>
      <cdr:y>0.26853</cdr:y>
    </cdr:to>
    <cdr:sp macro="" textlink="">
      <cdr:nvSpPr>
        <cdr:cNvPr id="5" name="Straight Connector 4"/>
        <cdr:cNvSpPr/>
      </cdr:nvSpPr>
      <cdr:spPr>
        <a:xfrm xmlns:a="http://schemas.openxmlformats.org/drawingml/2006/main">
          <a:off x="2094643" y="433403"/>
          <a:ext cx="124681" cy="214298"/>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0.42603</cdr:x>
      <cdr:y>0.22413</cdr:y>
    </cdr:from>
    <cdr:to>
      <cdr:x>0.49062</cdr:x>
      <cdr:y>0.3195</cdr:y>
    </cdr:to>
    <cdr:sp macro="" textlink="">
      <cdr:nvSpPr>
        <cdr:cNvPr id="6" name="Rectangle 5"/>
        <cdr:cNvSpPr/>
      </cdr:nvSpPr>
      <cdr:spPr>
        <a:xfrm xmlns:a="http://schemas.openxmlformats.org/drawingml/2006/main">
          <a:off x="2223753" y="540592"/>
          <a:ext cx="337140" cy="23003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7</a:t>
          </a:r>
        </a:p>
      </cdr:txBody>
    </cdr:sp>
  </cdr:relSizeAnchor>
  <cdr:relSizeAnchor xmlns:cdr="http://schemas.openxmlformats.org/drawingml/2006/chartDrawing">
    <cdr:from>
      <cdr:x>0.31901</cdr:x>
      <cdr:y>0.1408</cdr:y>
    </cdr:from>
    <cdr:to>
      <cdr:x>0.33776</cdr:x>
      <cdr:y>0.23108</cdr:y>
    </cdr:to>
    <cdr:sp macro="" textlink="">
      <cdr:nvSpPr>
        <cdr:cNvPr id="7" name="Straight Connector 6"/>
        <cdr:cNvSpPr/>
      </cdr:nvSpPr>
      <cdr:spPr>
        <a:xfrm xmlns:a="http://schemas.openxmlformats.org/drawingml/2006/main" flipH="1">
          <a:off x="1665111" y="339600"/>
          <a:ext cx="97870" cy="21775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0.28125</cdr:x>
      <cdr:y>0.21528</cdr:y>
    </cdr:from>
    <cdr:to>
      <cdr:x>0.3375</cdr:x>
      <cdr:y>0.29861</cdr:y>
    </cdr:to>
    <cdr:sp macro="" textlink="">
      <cdr:nvSpPr>
        <cdr:cNvPr id="8" name="Rectangle 7"/>
        <cdr:cNvSpPr/>
      </cdr:nvSpPr>
      <cdr:spPr>
        <a:xfrm xmlns:a="http://schemas.openxmlformats.org/drawingml/2006/main">
          <a:off x="1285875" y="590550"/>
          <a:ext cx="257175" cy="22860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5</a:t>
          </a:r>
        </a:p>
      </cdr:txBody>
    </cdr:sp>
  </cdr:relSizeAnchor>
  <cdr:relSizeAnchor xmlns:cdr="http://schemas.openxmlformats.org/drawingml/2006/chartDrawing">
    <cdr:from>
      <cdr:x>0.73958</cdr:x>
      <cdr:y>0.07639</cdr:y>
    </cdr:from>
    <cdr:to>
      <cdr:x>0.77292</cdr:x>
      <cdr:y>0.25</cdr:y>
    </cdr:to>
    <cdr:sp macro="" textlink="">
      <cdr:nvSpPr>
        <cdr:cNvPr id="9" name="Straight Connector 8"/>
        <cdr:cNvSpPr/>
      </cdr:nvSpPr>
      <cdr:spPr>
        <a:xfrm xmlns:a="http://schemas.openxmlformats.org/drawingml/2006/main" flipH="1">
          <a:off x="3381375" y="209550"/>
          <a:ext cx="152400" cy="47625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0.70625</cdr:x>
      <cdr:y>0.24653</cdr:y>
    </cdr:from>
    <cdr:to>
      <cdr:x>0.75417</cdr:x>
      <cdr:y>0.33681</cdr:y>
    </cdr:to>
    <cdr:sp macro="" textlink="">
      <cdr:nvSpPr>
        <cdr:cNvPr id="10" name="Rectangle 9"/>
        <cdr:cNvSpPr/>
      </cdr:nvSpPr>
      <cdr:spPr>
        <a:xfrm xmlns:a="http://schemas.openxmlformats.org/drawingml/2006/main">
          <a:off x="3228975" y="676276"/>
          <a:ext cx="219075" cy="2476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0.82421</cdr:x>
      <cdr:y>0.05973</cdr:y>
    </cdr:from>
    <cdr:to>
      <cdr:x>0.84296</cdr:x>
      <cdr:y>0.13612</cdr:y>
    </cdr:to>
    <cdr:sp macro="" textlink="">
      <cdr:nvSpPr>
        <cdr:cNvPr id="11" name="Straight Connector 10"/>
        <cdr:cNvSpPr/>
      </cdr:nvSpPr>
      <cdr:spPr>
        <a:xfrm xmlns:a="http://schemas.openxmlformats.org/drawingml/2006/main" flipH="1">
          <a:off x="4302108" y="144066"/>
          <a:ext cx="97869" cy="184253"/>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0.77917</cdr:x>
      <cdr:y>0.09422</cdr:y>
    </cdr:from>
    <cdr:to>
      <cdr:x>0.82083</cdr:x>
      <cdr:y>0.17408</cdr:y>
    </cdr:to>
    <cdr:sp macro="" textlink="">
      <cdr:nvSpPr>
        <cdr:cNvPr id="12" name="Rectangle 11"/>
        <cdr:cNvSpPr/>
      </cdr:nvSpPr>
      <cdr:spPr>
        <a:xfrm xmlns:a="http://schemas.openxmlformats.org/drawingml/2006/main">
          <a:off x="3562365" y="242304"/>
          <a:ext cx="190470" cy="20538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0.67083</cdr:x>
      <cdr:y>0.05208</cdr:y>
    </cdr:from>
    <cdr:to>
      <cdr:x>0.70625</cdr:x>
      <cdr:y>0.125</cdr:y>
    </cdr:to>
    <cdr:sp macro="" textlink="">
      <cdr:nvSpPr>
        <cdr:cNvPr id="13" name="Straight Connector 12"/>
        <cdr:cNvSpPr/>
      </cdr:nvSpPr>
      <cdr:spPr>
        <a:xfrm xmlns:a="http://schemas.openxmlformats.org/drawingml/2006/main" flipH="1">
          <a:off x="3067049" y="142874"/>
          <a:ext cx="161925" cy="20002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0.625</cdr:x>
      <cdr:y>0.07292</cdr:y>
    </cdr:from>
    <cdr:to>
      <cdr:x>0.66458</cdr:x>
      <cdr:y>0.15625</cdr:y>
    </cdr:to>
    <cdr:sp macro="" textlink="">
      <cdr:nvSpPr>
        <cdr:cNvPr id="14" name="Rectangle 13"/>
        <cdr:cNvSpPr/>
      </cdr:nvSpPr>
      <cdr:spPr>
        <a:xfrm xmlns:a="http://schemas.openxmlformats.org/drawingml/2006/main">
          <a:off x="2857499" y="200025"/>
          <a:ext cx="180975" cy="22860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dr:relSizeAnchor xmlns:cdr="http://schemas.openxmlformats.org/drawingml/2006/chartDrawing">
    <cdr:from>
      <cdr:x>0.59167</cdr:x>
      <cdr:y>0.0625</cdr:y>
    </cdr:from>
    <cdr:to>
      <cdr:x>0.62292</cdr:x>
      <cdr:y>0.12847</cdr:y>
    </cdr:to>
    <cdr:sp macro="" textlink="">
      <cdr:nvSpPr>
        <cdr:cNvPr id="15" name="Straight Connector 14"/>
        <cdr:cNvSpPr/>
      </cdr:nvSpPr>
      <cdr:spPr>
        <a:xfrm xmlns:a="http://schemas.openxmlformats.org/drawingml/2006/main" flipH="1">
          <a:off x="2705100" y="171450"/>
          <a:ext cx="142875" cy="180975"/>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0.54375</cdr:x>
      <cdr:y>0.07639</cdr:y>
    </cdr:from>
    <cdr:to>
      <cdr:x>0.59792</cdr:x>
      <cdr:y>0.17407</cdr:y>
    </cdr:to>
    <cdr:sp macro="" textlink="">
      <cdr:nvSpPr>
        <cdr:cNvPr id="16" name="Rectangle 15"/>
        <cdr:cNvSpPr/>
      </cdr:nvSpPr>
      <cdr:spPr>
        <a:xfrm xmlns:a="http://schemas.openxmlformats.org/drawingml/2006/main">
          <a:off x="2486025" y="196455"/>
          <a:ext cx="247650" cy="25121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userShapes>
</file>

<file path=word/drawings/drawing27.xml><?xml version="1.0" encoding="utf-8"?>
<c:userShapes xmlns:c="http://schemas.openxmlformats.org/drawingml/2006/chart">
  <cdr:relSizeAnchor xmlns:cdr="http://schemas.openxmlformats.org/drawingml/2006/chartDrawing">
    <cdr:from>
      <cdr:x>0.6331</cdr:x>
      <cdr:y>0.69619</cdr:y>
    </cdr:from>
    <cdr:to>
      <cdr:x>0.6708</cdr:x>
      <cdr:y>0.7759</cdr:y>
    </cdr:to>
    <cdr:sp macro="" textlink="">
      <cdr:nvSpPr>
        <cdr:cNvPr id="2" name="Rectangle 1"/>
        <cdr:cNvSpPr/>
      </cdr:nvSpPr>
      <cdr:spPr>
        <a:xfrm xmlns:a="http://schemas.openxmlformats.org/drawingml/2006/main">
          <a:off x="3509919" y="1869994"/>
          <a:ext cx="209009" cy="21410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0.46721</cdr:x>
      <cdr:y>0.36594</cdr:y>
    </cdr:from>
    <cdr:to>
      <cdr:x>0.50492</cdr:x>
      <cdr:y>0.44565</cdr:y>
    </cdr:to>
    <cdr:sp macro="" textlink="">
      <cdr:nvSpPr>
        <cdr:cNvPr id="3" name="Rectangle 2"/>
        <cdr:cNvSpPr/>
      </cdr:nvSpPr>
      <cdr:spPr>
        <a:xfrm xmlns:a="http://schemas.openxmlformats.org/drawingml/2006/main">
          <a:off x="2772384" y="982494"/>
          <a:ext cx="223737"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0.54098</cdr:x>
      <cdr:y>0.11594</cdr:y>
    </cdr:from>
    <cdr:to>
      <cdr:x>0.57869</cdr:x>
      <cdr:y>0.19565</cdr:y>
    </cdr:to>
    <cdr:sp macro="" textlink="">
      <cdr:nvSpPr>
        <cdr:cNvPr id="4" name="Rectangle 3"/>
        <cdr:cNvSpPr/>
      </cdr:nvSpPr>
      <cdr:spPr>
        <a:xfrm xmlns:a="http://schemas.openxmlformats.org/drawingml/2006/main">
          <a:off x="3210128" y="311285"/>
          <a:ext cx="223737"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0.54106</cdr:x>
      <cdr:y>0.55874</cdr:y>
    </cdr:from>
    <cdr:to>
      <cdr:x>0.57877</cdr:x>
      <cdr:y>0.63845</cdr:y>
    </cdr:to>
    <cdr:sp macro="" textlink="">
      <cdr:nvSpPr>
        <cdr:cNvPr id="5" name="Rectangle 4"/>
        <cdr:cNvSpPr/>
      </cdr:nvSpPr>
      <cdr:spPr>
        <a:xfrm xmlns:a="http://schemas.openxmlformats.org/drawingml/2006/main">
          <a:off x="2999626" y="1500801"/>
          <a:ext cx="209064" cy="214105"/>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0.79672</cdr:x>
      <cdr:y>0.5942</cdr:y>
    </cdr:from>
    <cdr:to>
      <cdr:x>0.83443</cdr:x>
      <cdr:y>0.67391</cdr:y>
    </cdr:to>
    <cdr:sp macro="" textlink="">
      <cdr:nvSpPr>
        <cdr:cNvPr id="6" name="Rectangle 5"/>
        <cdr:cNvSpPr/>
      </cdr:nvSpPr>
      <cdr:spPr>
        <a:xfrm xmlns:a="http://schemas.openxmlformats.org/drawingml/2006/main">
          <a:off x="4727643" y="1595336"/>
          <a:ext cx="223737"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0.71639</cdr:x>
      <cdr:y>0.69565</cdr:y>
    </cdr:from>
    <cdr:to>
      <cdr:x>0.7541</cdr:x>
      <cdr:y>0.77536</cdr:y>
    </cdr:to>
    <cdr:sp macro="" textlink="">
      <cdr:nvSpPr>
        <cdr:cNvPr id="7" name="Rectangle 6"/>
        <cdr:cNvSpPr/>
      </cdr:nvSpPr>
      <cdr:spPr>
        <a:xfrm xmlns:a="http://schemas.openxmlformats.org/drawingml/2006/main">
          <a:off x="4250987" y="1867710"/>
          <a:ext cx="223737" cy="21400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28.xml><?xml version="1.0" encoding="utf-8"?>
<c:userShapes xmlns:c="http://schemas.openxmlformats.org/drawingml/2006/chart">
  <cdr:relSizeAnchor xmlns:cdr="http://schemas.openxmlformats.org/drawingml/2006/chartDrawing">
    <cdr:from>
      <cdr:x>0.67148</cdr:x>
      <cdr:y>0.70718</cdr:y>
    </cdr:from>
    <cdr:to>
      <cdr:x>0.72253</cdr:x>
      <cdr:y>0.82963</cdr:y>
    </cdr:to>
    <cdr:sp macro="" textlink="">
      <cdr:nvSpPr>
        <cdr:cNvPr id="2" name="Rectangle 1"/>
        <cdr:cNvSpPr/>
      </cdr:nvSpPr>
      <cdr:spPr>
        <a:xfrm xmlns:a="http://schemas.openxmlformats.org/drawingml/2006/main">
          <a:off x="3434579" y="1502046"/>
          <a:ext cx="261121" cy="26007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0.81151</cdr:x>
      <cdr:y>0.58818</cdr:y>
    </cdr:from>
    <cdr:to>
      <cdr:x>0.85742</cdr:x>
      <cdr:y>0.64938</cdr:y>
    </cdr:to>
    <cdr:sp macro="" textlink="">
      <cdr:nvSpPr>
        <cdr:cNvPr id="3" name="Rectangle 2"/>
        <cdr:cNvSpPr/>
      </cdr:nvSpPr>
      <cdr:spPr>
        <a:xfrm xmlns:a="http://schemas.openxmlformats.org/drawingml/2006/main">
          <a:off x="4444348" y="1647825"/>
          <a:ext cx="251477" cy="17145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0.74067</cdr:x>
      <cdr:y>0.30208</cdr:y>
    </cdr:from>
    <cdr:to>
      <cdr:x>0.7833</cdr:x>
      <cdr:y>0.38194</cdr:y>
    </cdr:to>
    <cdr:sp macro="" textlink="">
      <cdr:nvSpPr>
        <cdr:cNvPr id="4" name="Rectangle 3"/>
        <cdr:cNvSpPr/>
      </cdr:nvSpPr>
      <cdr:spPr>
        <a:xfrm xmlns:a="http://schemas.openxmlformats.org/drawingml/2006/main">
          <a:off x="4056434" y="846306"/>
          <a:ext cx="233464" cy="22373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0.55062</cdr:x>
      <cdr:y>0.08333</cdr:y>
    </cdr:from>
    <cdr:to>
      <cdr:x>0.59325</cdr:x>
      <cdr:y>0.16319</cdr:y>
    </cdr:to>
    <cdr:sp macro="" textlink="">
      <cdr:nvSpPr>
        <cdr:cNvPr id="5" name="Rectangle 4"/>
        <cdr:cNvSpPr/>
      </cdr:nvSpPr>
      <cdr:spPr>
        <a:xfrm xmlns:a="http://schemas.openxmlformats.org/drawingml/2006/main">
          <a:off x="3015574" y="233464"/>
          <a:ext cx="233464" cy="22373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0.39609</cdr:x>
      <cdr:y>0.09028</cdr:y>
    </cdr:from>
    <cdr:to>
      <cdr:x>0.43872</cdr:x>
      <cdr:y>0.17014</cdr:y>
    </cdr:to>
    <cdr:sp macro="" textlink="">
      <cdr:nvSpPr>
        <cdr:cNvPr id="6" name="Rectangle 5"/>
        <cdr:cNvSpPr/>
      </cdr:nvSpPr>
      <cdr:spPr>
        <a:xfrm xmlns:a="http://schemas.openxmlformats.org/drawingml/2006/main">
          <a:off x="2169268" y="252919"/>
          <a:ext cx="233464" cy="22373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0.7601</cdr:x>
      <cdr:y>0.70689</cdr:y>
    </cdr:from>
    <cdr:to>
      <cdr:x>0.80273</cdr:x>
      <cdr:y>0.78675</cdr:y>
    </cdr:to>
    <cdr:sp macro="" textlink="">
      <cdr:nvSpPr>
        <cdr:cNvPr id="7" name="Rectangle 6"/>
        <cdr:cNvSpPr/>
      </cdr:nvSpPr>
      <cdr:spPr>
        <a:xfrm xmlns:a="http://schemas.openxmlformats.org/drawingml/2006/main">
          <a:off x="4162805" y="1980393"/>
          <a:ext cx="233471" cy="223733"/>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29.xml><?xml version="1.0" encoding="utf-8"?>
<c:userShapes xmlns:c="http://schemas.openxmlformats.org/drawingml/2006/chart">
  <cdr:relSizeAnchor xmlns:cdr="http://schemas.openxmlformats.org/drawingml/2006/chartDrawing">
    <cdr:from>
      <cdr:x>0.77733</cdr:x>
      <cdr:y>0.20459</cdr:y>
    </cdr:from>
    <cdr:to>
      <cdr:x>0.81892</cdr:x>
      <cdr:y>0.28206</cdr:y>
    </cdr:to>
    <cdr:sp macro="" textlink="">
      <cdr:nvSpPr>
        <cdr:cNvPr id="2" name="Rectangle 1"/>
        <cdr:cNvSpPr/>
      </cdr:nvSpPr>
      <cdr:spPr>
        <a:xfrm xmlns:a="http://schemas.openxmlformats.org/drawingml/2006/main">
          <a:off x="3864938" y="500839"/>
          <a:ext cx="206788" cy="189646"/>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0.29652</cdr:x>
      <cdr:y>0.22313</cdr:y>
    </cdr:from>
    <cdr:to>
      <cdr:x>0.3381</cdr:x>
      <cdr:y>0.30059</cdr:y>
    </cdr:to>
    <cdr:sp macro="" textlink="">
      <cdr:nvSpPr>
        <cdr:cNvPr id="3" name="Rectangle 2"/>
        <cdr:cNvSpPr/>
      </cdr:nvSpPr>
      <cdr:spPr>
        <a:xfrm xmlns:a="http://schemas.openxmlformats.org/drawingml/2006/main">
          <a:off x="1474291" y="546233"/>
          <a:ext cx="206738" cy="18962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0.57049</cdr:x>
      <cdr:y>0.21572</cdr:y>
    </cdr:from>
    <cdr:to>
      <cdr:x>0.61207</cdr:x>
      <cdr:y>0.29318</cdr:y>
    </cdr:to>
    <cdr:sp macro="" textlink="">
      <cdr:nvSpPr>
        <cdr:cNvPr id="4" name="Rectangle 3"/>
        <cdr:cNvSpPr/>
      </cdr:nvSpPr>
      <cdr:spPr>
        <a:xfrm xmlns:a="http://schemas.openxmlformats.org/drawingml/2006/main">
          <a:off x="2836519" y="528091"/>
          <a:ext cx="206738" cy="18962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0.58672</cdr:x>
      <cdr:y>0.62841</cdr:y>
    </cdr:from>
    <cdr:to>
      <cdr:x>0.6283</cdr:x>
      <cdr:y>0.70588</cdr:y>
    </cdr:to>
    <cdr:sp macro="" textlink="">
      <cdr:nvSpPr>
        <cdr:cNvPr id="5" name="Rectangle 4"/>
        <cdr:cNvSpPr/>
      </cdr:nvSpPr>
      <cdr:spPr>
        <a:xfrm xmlns:a="http://schemas.openxmlformats.org/drawingml/2006/main">
          <a:off x="2917194" y="1538355"/>
          <a:ext cx="206738" cy="189647"/>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0.74118</cdr:x>
      <cdr:y>0.73442</cdr:y>
    </cdr:from>
    <cdr:to>
      <cdr:x>0.78276</cdr:x>
      <cdr:y>0.81188</cdr:y>
    </cdr:to>
    <cdr:sp macro="" textlink="">
      <cdr:nvSpPr>
        <cdr:cNvPr id="6" name="Rectangle 5"/>
        <cdr:cNvSpPr/>
      </cdr:nvSpPr>
      <cdr:spPr>
        <a:xfrm xmlns:a="http://schemas.openxmlformats.org/drawingml/2006/main">
          <a:off x="3685177" y="1797870"/>
          <a:ext cx="206738" cy="18962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0.43636</cdr:x>
      <cdr:y>0.46108</cdr:y>
    </cdr:from>
    <cdr:to>
      <cdr:x>0.47794</cdr:x>
      <cdr:y>0.53854</cdr:y>
    </cdr:to>
    <cdr:sp macro="" textlink="">
      <cdr:nvSpPr>
        <cdr:cNvPr id="7" name="Rectangle 6"/>
        <cdr:cNvSpPr/>
      </cdr:nvSpPr>
      <cdr:spPr>
        <a:xfrm xmlns:a="http://schemas.openxmlformats.org/drawingml/2006/main">
          <a:off x="2169590" y="1128720"/>
          <a:ext cx="206738" cy="189622"/>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0.42917</cdr:x>
      <cdr:y>0.67708</cdr:y>
    </cdr:from>
    <cdr:to>
      <cdr:x>0.475</cdr:x>
      <cdr:y>0.76042</cdr:y>
    </cdr:to>
    <cdr:sp macro="" textlink="">
      <cdr:nvSpPr>
        <cdr:cNvPr id="2" name="Rectangle 1"/>
        <cdr:cNvSpPr/>
      </cdr:nvSpPr>
      <cdr:spPr>
        <a:xfrm xmlns:a="http://schemas.openxmlformats.org/drawingml/2006/main">
          <a:off x="1962150" y="1857375"/>
          <a:ext cx="209550" cy="22860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0.25341</cdr:x>
      <cdr:y>0.18838</cdr:y>
    </cdr:from>
    <cdr:to>
      <cdr:x>0.32841</cdr:x>
      <cdr:y>0.27519</cdr:y>
    </cdr:to>
    <cdr:sp macro="" textlink="">
      <cdr:nvSpPr>
        <cdr:cNvPr id="3" name="Rectangle 2"/>
        <cdr:cNvSpPr/>
      </cdr:nvSpPr>
      <cdr:spPr>
        <a:xfrm xmlns:a="http://schemas.openxmlformats.org/drawingml/2006/main">
          <a:off x="1407590" y="516773"/>
          <a:ext cx="416587" cy="23813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0.35895</cdr:x>
      <cdr:y>0.18594</cdr:y>
    </cdr:from>
    <cdr:to>
      <cdr:x>0.4277</cdr:x>
      <cdr:y>0.30399</cdr:y>
    </cdr:to>
    <cdr:sp macro="" textlink="">
      <cdr:nvSpPr>
        <cdr:cNvPr id="4" name="Rectangle 3"/>
        <cdr:cNvSpPr/>
      </cdr:nvSpPr>
      <cdr:spPr>
        <a:xfrm xmlns:a="http://schemas.openxmlformats.org/drawingml/2006/main">
          <a:off x="1993285" y="435110"/>
          <a:ext cx="381774" cy="27623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dr:relSizeAnchor xmlns:cdr="http://schemas.openxmlformats.org/drawingml/2006/chartDrawing">
    <cdr:from>
      <cdr:x>0.54534</cdr:x>
      <cdr:y>0.17185</cdr:y>
    </cdr:from>
    <cdr:to>
      <cdr:x>0.61617</cdr:x>
      <cdr:y>0.25866</cdr:y>
    </cdr:to>
    <cdr:sp macro="" textlink="">
      <cdr:nvSpPr>
        <cdr:cNvPr id="5" name="Rectangle 4"/>
        <cdr:cNvSpPr/>
      </cdr:nvSpPr>
      <cdr:spPr>
        <a:xfrm xmlns:a="http://schemas.openxmlformats.org/drawingml/2006/main">
          <a:off x="3028314" y="402133"/>
          <a:ext cx="393324" cy="20313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0.24968</cdr:x>
      <cdr:y>0.07837</cdr:y>
    </cdr:from>
    <cdr:to>
      <cdr:x>0.69212</cdr:x>
      <cdr:y>0.73676</cdr:y>
    </cdr:to>
    <cdr:grpSp>
      <cdr:nvGrpSpPr>
        <cdr:cNvPr id="6" name="Group 5"/>
        <cdr:cNvGrpSpPr/>
      </cdr:nvGrpSpPr>
      <cdr:grpSpPr>
        <a:xfrm xmlns:a="http://schemas.openxmlformats.org/drawingml/2006/main">
          <a:off x="1386492" y="183384"/>
          <a:ext cx="2456903" cy="1540616"/>
          <a:chOff x="1501157" y="226148"/>
          <a:chExt cx="2457519" cy="1806106"/>
        </a:xfrm>
      </cdr:grpSpPr>
      <cdr:sp macro="" textlink="">
        <cdr:nvSpPr>
          <cdr:cNvPr id="7" name="Straight Connector 6"/>
          <cdr:cNvSpPr/>
        </cdr:nvSpPr>
        <cdr:spPr>
          <a:xfrm xmlns:a="http://schemas.openxmlformats.org/drawingml/2006/main">
            <a:off x="2362801" y="1831262"/>
            <a:ext cx="133384" cy="20099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8" name="Straight Connector 7"/>
          <cdr:cNvSpPr/>
        </cdr:nvSpPr>
        <cdr:spPr>
          <a:xfrm xmlns:a="http://schemas.openxmlformats.org/drawingml/2006/main">
            <a:off x="1501157" y="238137"/>
            <a:ext cx="92594" cy="247629"/>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9" name="Straight Connector 8"/>
          <cdr:cNvSpPr/>
        </cdr:nvSpPr>
        <cdr:spPr>
          <a:xfrm xmlns:a="http://schemas.openxmlformats.org/drawingml/2006/main" flipH="1">
            <a:off x="2395375" y="282111"/>
            <a:ext cx="153249" cy="25127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10" name="Straight Connector 9"/>
          <cdr:cNvSpPr/>
        </cdr:nvSpPr>
        <cdr:spPr>
          <a:xfrm xmlns:a="http://schemas.openxmlformats.org/drawingml/2006/main">
            <a:off x="2999832" y="247656"/>
            <a:ext cx="114423" cy="297088"/>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11" name="Straight Connector 10"/>
          <cdr:cNvSpPr/>
        </cdr:nvSpPr>
        <cdr:spPr>
          <a:xfrm xmlns:a="http://schemas.openxmlformats.org/drawingml/2006/main" flipH="1">
            <a:off x="3877636" y="226148"/>
            <a:ext cx="81040" cy="33338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grpSp>
  </cdr:relSizeAnchor>
  <cdr:relSizeAnchor xmlns:cdr="http://schemas.openxmlformats.org/drawingml/2006/chartDrawing">
    <cdr:from>
      <cdr:x>0.66944</cdr:x>
      <cdr:y>0.19057</cdr:y>
    </cdr:from>
    <cdr:to>
      <cdr:x>0.73194</cdr:x>
      <cdr:y>0.3121</cdr:y>
    </cdr:to>
    <cdr:sp macro="" textlink="">
      <cdr:nvSpPr>
        <cdr:cNvPr id="12" name="Rectangle 11"/>
        <cdr:cNvSpPr/>
      </cdr:nvSpPr>
      <cdr:spPr>
        <a:xfrm xmlns:a="http://schemas.openxmlformats.org/drawingml/2006/main">
          <a:off x="3717435" y="445941"/>
          <a:ext cx="347068" cy="28438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5</a:t>
          </a:r>
        </a:p>
      </cdr:txBody>
    </cdr:sp>
  </cdr:relSizeAnchor>
</c:userShapes>
</file>

<file path=word/drawings/drawing30.xml><?xml version="1.0" encoding="utf-8"?>
<c:userShapes xmlns:c="http://schemas.openxmlformats.org/drawingml/2006/chart">
  <cdr:relSizeAnchor xmlns:cdr="http://schemas.openxmlformats.org/drawingml/2006/chartDrawing">
    <cdr:from>
      <cdr:x>0.44466</cdr:x>
      <cdr:y>0.67147</cdr:y>
    </cdr:from>
    <cdr:to>
      <cdr:x>0.47174</cdr:x>
      <cdr:y>0.74439</cdr:y>
    </cdr:to>
    <cdr:sp macro="" textlink="">
      <cdr:nvSpPr>
        <cdr:cNvPr id="2" name="Straight Connector 1"/>
        <cdr:cNvSpPr/>
      </cdr:nvSpPr>
      <cdr:spPr>
        <a:xfrm xmlns:a="http://schemas.openxmlformats.org/drawingml/2006/main" flipH="1">
          <a:off x="2193075" y="1618115"/>
          <a:ext cx="133559" cy="175724"/>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0.3853</cdr:x>
      <cdr:y>0.71613</cdr:y>
    </cdr:from>
    <cdr:to>
      <cdr:x>0.42489</cdr:x>
      <cdr:y>0.78905</cdr:y>
    </cdr:to>
    <cdr:sp macro="" textlink="">
      <cdr:nvSpPr>
        <cdr:cNvPr id="3" name="Rectangle 2"/>
        <cdr:cNvSpPr/>
      </cdr:nvSpPr>
      <cdr:spPr>
        <a:xfrm xmlns:a="http://schemas.openxmlformats.org/drawingml/2006/main">
          <a:off x="1900317" y="1725756"/>
          <a:ext cx="195258" cy="17572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7</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0.80686</cdr:x>
      <cdr:y>0.25887</cdr:y>
    </cdr:from>
    <cdr:to>
      <cdr:x>0.83394</cdr:x>
      <cdr:y>0.34567</cdr:y>
    </cdr:to>
    <cdr:sp macro="" textlink="">
      <cdr:nvSpPr>
        <cdr:cNvPr id="4" name="Straight Connector 3"/>
        <cdr:cNvSpPr/>
      </cdr:nvSpPr>
      <cdr:spPr>
        <a:xfrm xmlns:a="http://schemas.openxmlformats.org/drawingml/2006/main" flipH="1">
          <a:off x="3979409" y="623832"/>
          <a:ext cx="133607" cy="209173"/>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0.75864</cdr:x>
      <cdr:y>0.3531</cdr:y>
    </cdr:from>
    <cdr:to>
      <cdr:x>0.79822</cdr:x>
      <cdr:y>0.43296</cdr:y>
    </cdr:to>
    <cdr:sp macro="" textlink="">
      <cdr:nvSpPr>
        <cdr:cNvPr id="5" name="Rectangle 4"/>
        <cdr:cNvSpPr/>
      </cdr:nvSpPr>
      <cdr:spPr>
        <a:xfrm xmlns:a="http://schemas.openxmlformats.org/drawingml/2006/main">
          <a:off x="3741600" y="850916"/>
          <a:ext cx="195209" cy="19244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0.59375</cdr:x>
      <cdr:y>0.23264</cdr:y>
    </cdr:from>
    <cdr:to>
      <cdr:x>0.62083</cdr:x>
      <cdr:y>0.3125</cdr:y>
    </cdr:to>
    <cdr:sp macro="" textlink="">
      <cdr:nvSpPr>
        <cdr:cNvPr id="6" name="Straight Connector 5"/>
        <cdr:cNvSpPr/>
      </cdr:nvSpPr>
      <cdr:spPr>
        <a:xfrm xmlns:a="http://schemas.openxmlformats.org/drawingml/2006/main" flipH="1">
          <a:off x="2714640" y="638181"/>
          <a:ext cx="123810" cy="219072"/>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0.54792</cdr:x>
      <cdr:y>0.29167</cdr:y>
    </cdr:from>
    <cdr:to>
      <cdr:x>0.6</cdr:x>
      <cdr:y>0.38542</cdr:y>
    </cdr:to>
    <cdr:sp macro="" textlink="">
      <cdr:nvSpPr>
        <cdr:cNvPr id="7" name="Rectangle 6"/>
        <cdr:cNvSpPr/>
      </cdr:nvSpPr>
      <cdr:spPr>
        <a:xfrm xmlns:a="http://schemas.openxmlformats.org/drawingml/2006/main">
          <a:off x="2505075" y="800100"/>
          <a:ext cx="238125" cy="25717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0.66474</cdr:x>
      <cdr:y>0.14583</cdr:y>
    </cdr:from>
    <cdr:to>
      <cdr:x>0.69807</cdr:x>
      <cdr:y>0.28125</cdr:y>
    </cdr:to>
    <cdr:sp macro="" textlink="">
      <cdr:nvSpPr>
        <cdr:cNvPr id="8" name="Straight Connector 7"/>
        <cdr:cNvSpPr/>
      </cdr:nvSpPr>
      <cdr:spPr>
        <a:xfrm xmlns:a="http://schemas.openxmlformats.org/drawingml/2006/main" flipH="1">
          <a:off x="3278491" y="351425"/>
          <a:ext cx="164384" cy="326338"/>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0.62322</cdr:x>
      <cdr:y>0.29599</cdr:y>
    </cdr:from>
    <cdr:to>
      <cdr:x>0.67322</cdr:x>
      <cdr:y>0.38626</cdr:y>
    </cdr:to>
    <cdr:sp macro="" textlink="">
      <cdr:nvSpPr>
        <cdr:cNvPr id="9" name="Rectangle 8"/>
        <cdr:cNvSpPr/>
      </cdr:nvSpPr>
      <cdr:spPr>
        <a:xfrm xmlns:a="http://schemas.openxmlformats.org/drawingml/2006/main">
          <a:off x="3073709" y="713292"/>
          <a:ext cx="246600" cy="21753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0.73186</cdr:x>
      <cdr:y>0.17051</cdr:y>
    </cdr:from>
    <cdr:to>
      <cdr:x>0.76727</cdr:x>
      <cdr:y>0.32329</cdr:y>
    </cdr:to>
    <cdr:sp macro="" textlink="">
      <cdr:nvSpPr>
        <cdr:cNvPr id="10" name="Straight Connector 9"/>
        <cdr:cNvSpPr/>
      </cdr:nvSpPr>
      <cdr:spPr>
        <a:xfrm xmlns:a="http://schemas.openxmlformats.org/drawingml/2006/main" flipH="1">
          <a:off x="3609509" y="410901"/>
          <a:ext cx="174691" cy="368173"/>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0.68247</cdr:x>
      <cdr:y>0.33765</cdr:y>
    </cdr:from>
    <cdr:to>
      <cdr:x>0.72413</cdr:x>
      <cdr:y>0.41751</cdr:y>
    </cdr:to>
    <cdr:sp macro="" textlink="">
      <cdr:nvSpPr>
        <cdr:cNvPr id="11" name="Rectangle 10"/>
        <cdr:cNvSpPr/>
      </cdr:nvSpPr>
      <cdr:spPr>
        <a:xfrm xmlns:a="http://schemas.openxmlformats.org/drawingml/2006/main">
          <a:off x="3365941" y="813685"/>
          <a:ext cx="205468" cy="19244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0.33125</cdr:x>
      <cdr:y>0.12153</cdr:y>
    </cdr:from>
    <cdr:to>
      <cdr:x>0.3708</cdr:x>
      <cdr:y>0.22134</cdr:y>
    </cdr:to>
    <cdr:sp macro="" textlink="">
      <cdr:nvSpPr>
        <cdr:cNvPr id="12" name="Rectangle 11"/>
        <cdr:cNvSpPr/>
      </cdr:nvSpPr>
      <cdr:spPr>
        <a:xfrm xmlns:a="http://schemas.openxmlformats.org/drawingml/2006/main">
          <a:off x="1633725" y="292866"/>
          <a:ext cx="195075" cy="24053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0.45625</cdr:x>
      <cdr:y>0.13542</cdr:y>
    </cdr:from>
    <cdr:to>
      <cdr:x>0.50208</cdr:x>
      <cdr:y>0.20486</cdr:y>
    </cdr:to>
    <cdr:sp macro="" textlink="">
      <cdr:nvSpPr>
        <cdr:cNvPr id="13" name="Rectangle 12"/>
        <cdr:cNvSpPr/>
      </cdr:nvSpPr>
      <cdr:spPr>
        <a:xfrm xmlns:a="http://schemas.openxmlformats.org/drawingml/2006/main">
          <a:off x="2085975" y="371475"/>
          <a:ext cx="209550" cy="190500"/>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0.49167</cdr:x>
      <cdr:y>0.64679</cdr:y>
    </cdr:from>
    <cdr:to>
      <cdr:x>0.54375</cdr:x>
      <cdr:y>0.74748</cdr:y>
    </cdr:to>
    <cdr:sp macro="" textlink="">
      <cdr:nvSpPr>
        <cdr:cNvPr id="2" name="Rectangle 1"/>
        <cdr:cNvSpPr/>
      </cdr:nvSpPr>
      <cdr:spPr>
        <a:xfrm xmlns:a="http://schemas.openxmlformats.org/drawingml/2006/main">
          <a:off x="2772429" y="1731139"/>
          <a:ext cx="293669" cy="26949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3</a:t>
          </a:r>
        </a:p>
      </cdr:txBody>
    </cdr:sp>
  </cdr:relSizeAnchor>
  <cdr:relSizeAnchor xmlns:cdr="http://schemas.openxmlformats.org/drawingml/2006/chartDrawing">
    <cdr:from>
      <cdr:x>0.69645</cdr:x>
      <cdr:y>0.66137</cdr:y>
    </cdr:from>
    <cdr:to>
      <cdr:x>0.76312</cdr:x>
      <cdr:y>0.76554</cdr:y>
    </cdr:to>
    <cdr:sp macro="" textlink="">
      <cdr:nvSpPr>
        <cdr:cNvPr id="3" name="Rectangle 2"/>
        <cdr:cNvSpPr/>
      </cdr:nvSpPr>
      <cdr:spPr>
        <a:xfrm xmlns:a="http://schemas.openxmlformats.org/drawingml/2006/main">
          <a:off x="3927158" y="1770162"/>
          <a:ext cx="375938" cy="27881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4</a:t>
          </a:r>
        </a:p>
      </cdr:txBody>
    </cdr:sp>
  </cdr:relSizeAnchor>
  <cdr:relSizeAnchor xmlns:cdr="http://schemas.openxmlformats.org/drawingml/2006/chartDrawing">
    <cdr:from>
      <cdr:x>0.42766</cdr:x>
      <cdr:y>0.12453</cdr:y>
    </cdr:from>
    <cdr:to>
      <cdr:x>0.49432</cdr:x>
      <cdr:y>0.22523</cdr:y>
    </cdr:to>
    <cdr:sp macro="" textlink="">
      <cdr:nvSpPr>
        <cdr:cNvPr id="4" name="Rectangle 3"/>
        <cdr:cNvSpPr/>
      </cdr:nvSpPr>
      <cdr:spPr>
        <a:xfrm xmlns:a="http://schemas.openxmlformats.org/drawingml/2006/main">
          <a:off x="2412883" y="361000"/>
          <a:ext cx="376099" cy="29191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1</a:t>
          </a:r>
        </a:p>
      </cdr:txBody>
    </cdr:sp>
  </cdr:relSizeAnchor>
  <cdr:relSizeAnchor xmlns:cdr="http://schemas.openxmlformats.org/drawingml/2006/chartDrawing">
    <cdr:from>
      <cdr:x>0.47875</cdr:x>
      <cdr:y>0.04878</cdr:y>
    </cdr:from>
    <cdr:to>
      <cdr:x>0.73255</cdr:x>
      <cdr:y>0.82083</cdr:y>
    </cdr:to>
    <cdr:grpSp>
      <cdr:nvGrpSpPr>
        <cdr:cNvPr id="5" name="Group 4"/>
        <cdr:cNvGrpSpPr/>
      </cdr:nvGrpSpPr>
      <cdr:grpSpPr>
        <a:xfrm xmlns:a="http://schemas.openxmlformats.org/drawingml/2006/main">
          <a:off x="2699576" y="130623"/>
          <a:ext cx="1431127" cy="2067392"/>
          <a:chOff x="2643916" y="162054"/>
          <a:chExt cx="1431973" cy="2238033"/>
        </a:xfrm>
      </cdr:grpSpPr>
      <cdr:sp macro="" textlink="">
        <cdr:nvSpPr>
          <cdr:cNvPr id="6" name="Straight Connector 5"/>
          <cdr:cNvSpPr/>
        </cdr:nvSpPr>
        <cdr:spPr>
          <a:xfrm xmlns:a="http://schemas.openxmlformats.org/drawingml/2006/main" flipV="1">
            <a:off x="2695516" y="2168072"/>
            <a:ext cx="82318" cy="21138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7" name="Straight Connector 6"/>
          <cdr:cNvSpPr/>
        </cdr:nvSpPr>
        <cdr:spPr>
          <a:xfrm xmlns:a="http://schemas.openxmlformats.org/drawingml/2006/main" flipV="1">
            <a:off x="3832505" y="2178645"/>
            <a:ext cx="58790" cy="221442"/>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8" name="Straight Connector 7"/>
          <cdr:cNvSpPr/>
        </cdr:nvSpPr>
        <cdr:spPr>
          <a:xfrm xmlns:a="http://schemas.openxmlformats.org/drawingml/2006/main" flipH="1">
            <a:off x="2643916" y="170427"/>
            <a:ext cx="58734" cy="231501"/>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sp macro="" textlink="">
        <cdr:nvSpPr>
          <cdr:cNvPr id="9" name="Straight Connector 8"/>
          <cdr:cNvSpPr/>
        </cdr:nvSpPr>
        <cdr:spPr>
          <a:xfrm xmlns:a="http://schemas.openxmlformats.org/drawingml/2006/main" flipH="1">
            <a:off x="3981836" y="162054"/>
            <a:ext cx="94053" cy="261707"/>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grpSp>
  </cdr:relSizeAnchor>
  <cdr:relSizeAnchor xmlns:cdr="http://schemas.openxmlformats.org/drawingml/2006/chartDrawing">
    <cdr:from>
      <cdr:x>0.65439</cdr:x>
      <cdr:y>0.13507</cdr:y>
    </cdr:from>
    <cdr:to>
      <cdr:x>0.71064</cdr:x>
      <cdr:y>0.24271</cdr:y>
    </cdr:to>
    <cdr:sp macro="" textlink="">
      <cdr:nvSpPr>
        <cdr:cNvPr id="10" name="Rectangle 9"/>
        <cdr:cNvSpPr/>
      </cdr:nvSpPr>
      <cdr:spPr>
        <a:xfrm xmlns:a="http://schemas.openxmlformats.org/drawingml/2006/main">
          <a:off x="3692071" y="391538"/>
          <a:ext cx="317365" cy="31203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en-US" sz="1100">
              <a:latin typeface="Times New Roman" panose="02020603050405020304" charset="0"/>
              <a:cs typeface="Times New Roman" panose="02020603050405020304" charset="0"/>
            </a:rPr>
            <a:t>2</a:t>
          </a:r>
        </a:p>
      </cdr:txBody>
    </cdr:sp>
  </cdr:relSizeAnchor>
</c:userShapes>
</file>

<file path=word/drawings/drawing5.xml><?xml version="1.0" encoding="utf-8"?>
<c:userShapes xmlns:c="http://schemas.openxmlformats.org/drawingml/2006/chart">
  <cdr:relSizeAnchor xmlns:cdr="http://schemas.openxmlformats.org/drawingml/2006/chartDrawing">
    <cdr:from>
      <cdr:x>0.40381</cdr:x>
      <cdr:y>0.55433</cdr:y>
    </cdr:from>
    <cdr:to>
      <cdr:x>0.43313</cdr:x>
      <cdr:y>0.64322</cdr:y>
    </cdr:to>
    <cdr:sp macro="" textlink="">
      <cdr:nvSpPr>
        <cdr:cNvPr id="2" name="Straight Connector 1"/>
        <cdr:cNvSpPr/>
      </cdr:nvSpPr>
      <cdr:spPr>
        <a:xfrm xmlns:a="http://schemas.openxmlformats.org/drawingml/2006/main">
          <a:off x="2315447" y="1317099"/>
          <a:ext cx="168123" cy="211203"/>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0.43632</cdr:x>
      <cdr:y>0.29665</cdr:y>
    </cdr:from>
    <cdr:to>
      <cdr:x>0.47703</cdr:x>
      <cdr:y>0.4071</cdr:y>
    </cdr:to>
    <cdr:sp macro="" textlink="">
      <cdr:nvSpPr>
        <cdr:cNvPr id="3" name="Rectangle 2"/>
        <cdr:cNvSpPr/>
      </cdr:nvSpPr>
      <cdr:spPr>
        <a:xfrm xmlns:a="http://schemas.openxmlformats.org/drawingml/2006/main">
          <a:off x="2501906" y="704850"/>
          <a:ext cx="233433" cy="26242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0.50453</cdr:x>
      <cdr:y>0.1014</cdr:y>
    </cdr:from>
    <cdr:to>
      <cdr:x>0.54688</cdr:x>
      <cdr:y>0.19029</cdr:y>
    </cdr:to>
    <cdr:sp macro="" textlink="">
      <cdr:nvSpPr>
        <cdr:cNvPr id="4" name="Rectangle 3"/>
        <cdr:cNvSpPr/>
      </cdr:nvSpPr>
      <cdr:spPr>
        <a:xfrm xmlns:a="http://schemas.openxmlformats.org/drawingml/2006/main">
          <a:off x="2892986" y="239537"/>
          <a:ext cx="242837" cy="209976"/>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0.43811</cdr:x>
      <cdr:y>0.6</cdr:y>
    </cdr:from>
    <cdr:to>
      <cdr:x>0.4886</cdr:x>
      <cdr:y>0.69259</cdr:y>
    </cdr:to>
    <cdr:sp macro="" textlink="">
      <cdr:nvSpPr>
        <cdr:cNvPr id="5" name="Rectangle 4"/>
        <cdr:cNvSpPr/>
      </cdr:nvSpPr>
      <cdr:spPr>
        <a:xfrm xmlns:a="http://schemas.openxmlformats.org/drawingml/2006/main">
          <a:off x="2562225" y="1543050"/>
          <a:ext cx="295275" cy="238125"/>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0.58439</cdr:x>
      <cdr:y>0.61975</cdr:y>
    </cdr:from>
    <cdr:to>
      <cdr:x>0.63158</cdr:x>
      <cdr:y>0.71386</cdr:y>
    </cdr:to>
    <cdr:sp macro="" textlink="">
      <cdr:nvSpPr>
        <cdr:cNvPr id="2" name="Rectangle 1"/>
        <cdr:cNvSpPr/>
      </cdr:nvSpPr>
      <cdr:spPr>
        <a:xfrm xmlns:a="http://schemas.openxmlformats.org/drawingml/2006/main">
          <a:off x="3067056" y="1494825"/>
          <a:ext cx="247666" cy="22701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0.29945</cdr:x>
      <cdr:y>0.44764</cdr:y>
    </cdr:from>
    <cdr:to>
      <cdr:x>0.34301</cdr:x>
      <cdr:y>0.54175</cdr:y>
    </cdr:to>
    <cdr:sp macro="" textlink="">
      <cdr:nvSpPr>
        <cdr:cNvPr id="3" name="Rectangle 2"/>
        <cdr:cNvSpPr/>
      </cdr:nvSpPr>
      <cdr:spPr>
        <a:xfrm xmlns:a="http://schemas.openxmlformats.org/drawingml/2006/main">
          <a:off x="1571600" y="1079706"/>
          <a:ext cx="228615" cy="22699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0.55354</cdr:x>
      <cdr:y>0.06667</cdr:y>
    </cdr:from>
    <cdr:to>
      <cdr:x>0.59709</cdr:x>
      <cdr:y>0.16078</cdr:y>
    </cdr:to>
    <cdr:sp macro="" textlink="">
      <cdr:nvSpPr>
        <cdr:cNvPr id="4" name="Rectangle 3"/>
        <cdr:cNvSpPr/>
      </cdr:nvSpPr>
      <cdr:spPr>
        <a:xfrm xmlns:a="http://schemas.openxmlformats.org/drawingml/2006/main">
          <a:off x="2905138" y="160808"/>
          <a:ext cx="228562" cy="22699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0.65881</cdr:x>
      <cdr:y>0.38069</cdr:y>
    </cdr:from>
    <cdr:to>
      <cdr:x>0.70418</cdr:x>
      <cdr:y>0.47481</cdr:y>
    </cdr:to>
    <cdr:sp macro="" textlink="">
      <cdr:nvSpPr>
        <cdr:cNvPr id="5" name="Rectangle 4"/>
        <cdr:cNvSpPr/>
      </cdr:nvSpPr>
      <cdr:spPr>
        <a:xfrm xmlns:a="http://schemas.openxmlformats.org/drawingml/2006/main">
          <a:off x="3457590" y="918222"/>
          <a:ext cx="238115" cy="227017"/>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0.39382</cdr:x>
      <cdr:y>0.25114</cdr:y>
    </cdr:from>
    <cdr:to>
      <cdr:x>0.43376</cdr:x>
      <cdr:y>0.34356</cdr:y>
    </cdr:to>
    <cdr:sp macro="" textlink="">
      <cdr:nvSpPr>
        <cdr:cNvPr id="6" name="Straight Connector 5"/>
        <cdr:cNvSpPr/>
      </cdr:nvSpPr>
      <cdr:spPr>
        <a:xfrm xmlns:a="http://schemas.openxmlformats.org/drawingml/2006/main">
          <a:off x="2066899" y="605759"/>
          <a:ext cx="209575" cy="222916"/>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en-US"/>
        </a:p>
      </cdr:txBody>
    </cdr:sp>
  </cdr:relSizeAnchor>
  <cdr:relSizeAnchor xmlns:cdr="http://schemas.openxmlformats.org/drawingml/2006/chartDrawing">
    <cdr:from>
      <cdr:x>0.43376</cdr:x>
      <cdr:y>0.2982</cdr:y>
    </cdr:from>
    <cdr:to>
      <cdr:x>0.48276</cdr:x>
      <cdr:y>0.39624</cdr:y>
    </cdr:to>
    <cdr:sp macro="" textlink="">
      <cdr:nvSpPr>
        <cdr:cNvPr id="7" name="Rectangle 6"/>
        <cdr:cNvSpPr/>
      </cdr:nvSpPr>
      <cdr:spPr>
        <a:xfrm xmlns:a="http://schemas.openxmlformats.org/drawingml/2006/main">
          <a:off x="2276469" y="719268"/>
          <a:ext cx="257165" cy="23647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0.58802</cdr:x>
      <cdr:y>0.38061</cdr:y>
    </cdr:from>
    <cdr:to>
      <cdr:x>0.6225</cdr:x>
      <cdr:y>0.45904</cdr:y>
    </cdr:to>
    <cdr:sp macro="" textlink="">
      <cdr:nvSpPr>
        <cdr:cNvPr id="8" name="Rectangle 7"/>
        <cdr:cNvSpPr/>
      </cdr:nvSpPr>
      <cdr:spPr>
        <a:xfrm xmlns:a="http://schemas.openxmlformats.org/drawingml/2006/main">
          <a:off x="3086115" y="918036"/>
          <a:ext cx="180961" cy="18917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userShapes>
</file>

<file path=word/drawings/drawing7.xml><?xml version="1.0" encoding="utf-8"?>
<c:userShapes xmlns:c="http://schemas.openxmlformats.org/drawingml/2006/chart">
  <cdr:relSizeAnchor xmlns:cdr="http://schemas.openxmlformats.org/drawingml/2006/chartDrawing">
    <cdr:from>
      <cdr:x>0.78333</cdr:x>
      <cdr:y>0.55128</cdr:y>
    </cdr:from>
    <cdr:to>
      <cdr:x>0.82292</cdr:x>
      <cdr:y>0.63675</cdr:y>
    </cdr:to>
    <cdr:sp macro="" textlink="">
      <cdr:nvSpPr>
        <cdr:cNvPr id="2" name="Rectangle 1"/>
        <cdr:cNvSpPr/>
      </cdr:nvSpPr>
      <cdr:spPr>
        <a:xfrm xmlns:a="http://schemas.openxmlformats.org/drawingml/2006/main">
          <a:off x="3581385" y="1228715"/>
          <a:ext cx="181005" cy="19050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0.50833</cdr:x>
      <cdr:y>0.12821</cdr:y>
    </cdr:from>
    <cdr:to>
      <cdr:x>0.55</cdr:x>
      <cdr:y>0.23077</cdr:y>
    </cdr:to>
    <cdr:sp macro="" textlink="">
      <cdr:nvSpPr>
        <cdr:cNvPr id="3" name="Rectangle 2"/>
        <cdr:cNvSpPr/>
      </cdr:nvSpPr>
      <cdr:spPr>
        <a:xfrm xmlns:a="http://schemas.openxmlformats.org/drawingml/2006/main">
          <a:off x="2324100" y="285750"/>
          <a:ext cx="190500" cy="22860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0.64375</cdr:x>
      <cdr:y>0.34615</cdr:y>
    </cdr:from>
    <cdr:to>
      <cdr:x>0.69583</cdr:x>
      <cdr:y>0.44444</cdr:y>
    </cdr:to>
    <cdr:sp macro="" textlink="">
      <cdr:nvSpPr>
        <cdr:cNvPr id="4" name="Rectangle 3"/>
        <cdr:cNvSpPr/>
      </cdr:nvSpPr>
      <cdr:spPr>
        <a:xfrm xmlns:a="http://schemas.openxmlformats.org/drawingml/2006/main">
          <a:off x="2943225" y="771526"/>
          <a:ext cx="238110" cy="21907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0.63673</cdr:x>
      <cdr:y>0.3284</cdr:y>
    </cdr:from>
    <cdr:to>
      <cdr:x>0.67929</cdr:x>
      <cdr:y>0.42092</cdr:y>
    </cdr:to>
    <cdr:sp macro="" textlink="">
      <cdr:nvSpPr>
        <cdr:cNvPr id="2" name="Rectangle 1"/>
        <cdr:cNvSpPr/>
      </cdr:nvSpPr>
      <cdr:spPr>
        <a:xfrm xmlns:a="http://schemas.openxmlformats.org/drawingml/2006/main">
          <a:off x="3323536" y="803906"/>
          <a:ext cx="222150" cy="226482"/>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4</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0.74051</cdr:x>
      <cdr:y>0.58728</cdr:y>
    </cdr:from>
    <cdr:to>
      <cdr:x>0.77555</cdr:x>
      <cdr:y>0.68872</cdr:y>
    </cdr:to>
    <cdr:sp macro="" textlink="">
      <cdr:nvSpPr>
        <cdr:cNvPr id="3" name="Rectangle 2"/>
        <cdr:cNvSpPr/>
      </cdr:nvSpPr>
      <cdr:spPr>
        <a:xfrm xmlns:a="http://schemas.openxmlformats.org/drawingml/2006/main">
          <a:off x="3865252" y="1437621"/>
          <a:ext cx="182874" cy="24830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5</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0.37234</cdr:x>
      <cdr:y>0.39146</cdr:y>
    </cdr:from>
    <cdr:to>
      <cdr:x>0.40876</cdr:x>
      <cdr:y>0.48638</cdr:y>
    </cdr:to>
    <cdr:sp macro="" textlink="">
      <cdr:nvSpPr>
        <cdr:cNvPr id="4" name="Rectangle 3"/>
        <cdr:cNvSpPr/>
      </cdr:nvSpPr>
      <cdr:spPr>
        <a:xfrm xmlns:a="http://schemas.openxmlformats.org/drawingml/2006/main">
          <a:off x="1943503" y="958265"/>
          <a:ext cx="190097" cy="23236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6</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0.29401</cdr:x>
      <cdr:y>0.25623</cdr:y>
    </cdr:from>
    <cdr:to>
      <cdr:x>0.33834</cdr:x>
      <cdr:y>0.35231</cdr:y>
    </cdr:to>
    <cdr:sp macro="" textlink="">
      <cdr:nvSpPr>
        <cdr:cNvPr id="5" name="Rectangle 4"/>
        <cdr:cNvSpPr/>
      </cdr:nvSpPr>
      <cdr:spPr>
        <a:xfrm xmlns:a="http://schemas.openxmlformats.org/drawingml/2006/main">
          <a:off x="1534650" y="627232"/>
          <a:ext cx="231389" cy="235196"/>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7</a:t>
          </a:r>
          <a:endParaRPr lang="en-US" sz="1100">
            <a:latin typeface="Times New Roman" panose="02020603050405020304" charset="0"/>
            <a:cs typeface="Times New Roman" panose="02020603050405020304"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0.45841</cdr:x>
      <cdr:y>0.61804</cdr:y>
    </cdr:from>
    <cdr:to>
      <cdr:x>0.50266</cdr:x>
      <cdr:y>0.7207</cdr:y>
    </cdr:to>
    <cdr:sp macro="" textlink="">
      <cdr:nvSpPr>
        <cdr:cNvPr id="2" name="Rectangle 1"/>
        <cdr:cNvSpPr/>
      </cdr:nvSpPr>
      <cdr:spPr>
        <a:xfrm xmlns:a="http://schemas.openxmlformats.org/drawingml/2006/main">
          <a:off x="2466990" y="1468459"/>
          <a:ext cx="238137" cy="24392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2</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0.60354</cdr:x>
      <cdr:y>0.54753</cdr:y>
    </cdr:from>
    <cdr:to>
      <cdr:x>0.6531</cdr:x>
      <cdr:y>0.64639</cdr:y>
    </cdr:to>
    <cdr:sp macro="" textlink="">
      <cdr:nvSpPr>
        <cdr:cNvPr id="3" name="Rectangle 2"/>
        <cdr:cNvSpPr/>
      </cdr:nvSpPr>
      <cdr:spPr>
        <a:xfrm xmlns:a="http://schemas.openxmlformats.org/drawingml/2006/main">
          <a:off x="3248026" y="1371600"/>
          <a:ext cx="266700" cy="2476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3</a:t>
          </a:r>
          <a:endParaRPr lang="en-US" sz="1100">
            <a:latin typeface="Times New Roman" panose="02020603050405020304" charset="0"/>
            <a:cs typeface="Times New Roman" panose="02020603050405020304" charset="0"/>
          </a:endParaRPr>
        </a:p>
      </cdr:txBody>
    </cdr:sp>
  </cdr:relSizeAnchor>
  <cdr:relSizeAnchor xmlns:cdr="http://schemas.openxmlformats.org/drawingml/2006/chartDrawing">
    <cdr:from>
      <cdr:x>0.6177</cdr:x>
      <cdr:y>0.14432</cdr:y>
    </cdr:from>
    <cdr:to>
      <cdr:x>0.6708</cdr:x>
      <cdr:y>0.22793</cdr:y>
    </cdr:to>
    <cdr:sp macro="" textlink="">
      <cdr:nvSpPr>
        <cdr:cNvPr id="4" name="Rectangle 3"/>
        <cdr:cNvSpPr/>
      </cdr:nvSpPr>
      <cdr:spPr>
        <a:xfrm xmlns:a="http://schemas.openxmlformats.org/drawingml/2006/main">
          <a:off x="3324225" y="342900"/>
          <a:ext cx="285771" cy="198664"/>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uk-UA" sz="1100">
              <a:latin typeface="Times New Roman" panose="02020603050405020304" charset="0"/>
              <a:cs typeface="Times New Roman" panose="02020603050405020304" charset="0"/>
            </a:rPr>
            <a:t>1</a:t>
          </a:r>
          <a:endParaRPr lang="en-US" sz="1100">
            <a:latin typeface="Times New Roman" panose="02020603050405020304" charset="0"/>
            <a:cs typeface="Times New Roman" panose="02020603050405020304"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24472</Words>
  <Characters>139494</Characters>
  <Application>Microsoft Office Word</Application>
  <DocSecurity>0</DocSecurity>
  <Lines>1162</Lines>
  <Paragraphs>327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Runner</dc:creator>
  <cp:lastModifiedBy>Юлия Носачева</cp:lastModifiedBy>
  <cp:revision>3</cp:revision>
  <dcterms:created xsi:type="dcterms:W3CDTF">2019-12-11T04:19:00Z</dcterms:created>
  <dcterms:modified xsi:type="dcterms:W3CDTF">2019-12-11T04:19:00Z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1033-11.1.0.8722</vt:lpwstr>
  </property>
</Properties>
</file>