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C47" w:rsidRPr="00EE6C47" w:rsidRDefault="00EE6C47" w:rsidP="00EE6C47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31"/>
      <w:r w:rsidRPr="00EE6C47">
        <w:rPr>
          <w:rFonts w:ascii="Verdana" w:hAnsi="Verdana"/>
          <w:sz w:val="24"/>
          <w:szCs w:val="24"/>
          <w:lang w:val="ru-RU"/>
        </w:rPr>
        <w:t>Основні причини низького рівня інвестиційної діяльності в Україні</w:t>
      </w:r>
      <w:bookmarkEnd w:id="0"/>
    </w:p>
    <w:p w:rsidR="00EE6C47" w:rsidRPr="00EE6C47" w:rsidRDefault="00EE6C47" w:rsidP="00EE6C47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132"/>
      <w:r w:rsidRPr="00EE6C47">
        <w:rPr>
          <w:rFonts w:ascii="Verdana" w:hAnsi="Verdana"/>
          <w:b w:val="0"/>
          <w:sz w:val="22"/>
          <w:szCs w:val="22"/>
          <w:lang w:val="ru-RU"/>
        </w:rPr>
        <w:t>Гребенюк О.Ю.</w:t>
      </w:r>
      <w:bookmarkEnd w:id="1"/>
    </w:p>
    <w:p w:rsidR="00EE6C47" w:rsidRPr="000275C2" w:rsidRDefault="00EE6C47" w:rsidP="00EE6C47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EE6C47" w:rsidRPr="000275C2" w:rsidRDefault="00EE6C47" w:rsidP="00EE6C47">
      <w:pPr>
        <w:spacing w:after="0" w:line="240" w:lineRule="auto"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</w:rPr>
          <w:t>ksu07.70@mail.ru</w:t>
        </w:r>
      </w:hyperlink>
      <w:r w:rsidRPr="000275C2">
        <w:rPr>
          <w:rFonts w:ascii="Verdana" w:hAnsi="Verdana"/>
          <w:i/>
        </w:rPr>
        <w:t xml:space="preserve"> </w:t>
      </w:r>
    </w:p>
    <w:p w:rsidR="00EE6C47" w:rsidRPr="000275C2" w:rsidRDefault="00EE6C47" w:rsidP="00EE6C47">
      <w:pPr>
        <w:spacing w:after="0" w:line="240" w:lineRule="auto"/>
        <w:jc w:val="center"/>
        <w:rPr>
          <w:rFonts w:ascii="Verdana" w:hAnsi="Verdana"/>
        </w:rPr>
      </w:pPr>
      <w:r w:rsidRPr="000275C2">
        <w:rPr>
          <w:rFonts w:ascii="Verdana" w:hAnsi="Verdana"/>
        </w:rPr>
        <w:t>Науковий керівник: асист. Растєгаєва В.М.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Багаторічний досвід найрозвиненіших країн світу переконує в тому, що без іноземних інвестицій майже неможливо зробити вітчизняну продукцію конкурентоспроможною. Тому останніми роками все більш актуальною є тема міжнародної інвестиційної діяльності, яка є сукупністю практичних дій суб'єктів із вкладання інвестицій за кордон та іноземних інвестицій [1, Т. 1, с.784-789].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В Україні, як і в інших країнах пострадянського простору, необхідність залучення іноземних інвестицій є особливо актуальною, і це обумовлено рядом причин. Підприємства, що раніше отримували кошти на розвиток виробництва з одного централізованого джерела, після розпаду Радянського Союзу вийшли у вільне плавання та мають самостійно шукати способи покращення свого економічного стану. Очевидним є той факт, що для цього потрібні гроші, які, як відомо, надають інвестори. Рівень вітчизняної інвестиційної активності є надто низьким. Через довготривалу кризу та низький темп економічного зростання процес капіталотворення в межах України останнім часом помітно сповільнився. 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Іншою причиною є нагальна необхідність технічної модернізації ринкової та соціальної інфраструктури загалом та виробництва зокрема. Цього можна досягти шляхом імпорту сучасного обладнання та використовуючи досвід розвинених країн щодо управління та організації підприємницької діяльності.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Методи управління, менеджменту і маркетингу в усіх сферах господарського життя України є застарілими. Це здебільшого пов’язане зі специфічною попередньою стратегією економічного розвитку, а також з менталітетом української нації [1, Т.1, с.785].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Надзвичайна важливість інвестицій в українську економіку, їх вирішальне значення для стабільного економічного розвитку та створення високотехнологічних виробництв, ефективного подолання наслідків економічної кризи та створення нових перспектив, неодноразово підкреслювалася в чисельних дослідженнях як вітчизняних, так і зарубіжних вчених, у законодавчих актах та директивних документах вищий органів влади України.  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eastAsia="TimesNewRoman" w:hAnsi="Verdana" w:cs="TimesNewRoman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Варто зауважити, що, незважаючи на великий потенціал та нагальну потребу в інвестуванні, у</w:t>
      </w:r>
      <w:r w:rsidRPr="000275C2">
        <w:rPr>
          <w:rFonts w:ascii="Verdana" w:eastAsia="TimesNewRoman" w:hAnsi="Verdana" w:cs="TimesNewRoman"/>
          <w:sz w:val="18"/>
          <w:szCs w:val="18"/>
        </w:rPr>
        <w:t>країнська економіка втрачає інвестиційну привабливість.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eastAsia="TimesNewRoman" w:hAnsi="Verdana" w:cs="TimesNewRoman"/>
          <w:sz w:val="18"/>
          <w:szCs w:val="18"/>
        </w:rPr>
      </w:pPr>
      <w:r w:rsidRPr="000275C2">
        <w:rPr>
          <w:rFonts w:ascii="Verdana" w:eastAsia="TimesNewRoman" w:hAnsi="Verdana" w:cs="TimesNewRoman"/>
          <w:sz w:val="18"/>
          <w:szCs w:val="18"/>
        </w:rPr>
        <w:t>Восени 2012 року Європейська Бізнес Асоціація провела опитування серед 115 топ-менеджерів членських компаній Асоціації, які назвали основні причини низького рівня інвестиційної привабливості України [2].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eastAsia="TimesNewRoman" w:hAnsi="Verdana" w:cs="TimesNewRoman"/>
          <w:sz w:val="18"/>
          <w:szCs w:val="18"/>
        </w:rPr>
      </w:pPr>
      <w:r w:rsidRPr="000275C2">
        <w:rPr>
          <w:rFonts w:ascii="Verdana" w:eastAsia="TimesNewRoman" w:hAnsi="Verdana" w:cs="TimesNewRoman"/>
          <w:sz w:val="18"/>
          <w:szCs w:val="18"/>
        </w:rPr>
        <w:t>Першою та однією з основних причин є тиск влади. 17% респондентів вважають, що інвестиції не  надходять до України в зв’язку з посиленим тиском державних органів управління на бізнес, крім цього перешкодою на їх думку є корупція та складна система оподаткування. 13% респондентів зауважують, що низька інвестиційна привабливість є результатом фіскальної політики та оподаткування. Найбільш вагомими проблемами для респондентів вбачаються питаннях відшкодування ПДВ та перенесення збитків минулих періодів. Більше 15% перешкоди вбачають в нестабільності та непередбачуваності регуляторної політики, конфліктних ситуаціях з опозиційними силами й невизначеному напрямі зовнішньої політики України.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eastAsia="TimesNewRoman" w:hAnsi="Verdana" w:cs="TimesNewRoman"/>
          <w:sz w:val="18"/>
          <w:szCs w:val="18"/>
        </w:rPr>
      </w:pPr>
      <w:r w:rsidRPr="000275C2">
        <w:rPr>
          <w:rFonts w:ascii="Verdana" w:eastAsia="TimesNewRoman" w:hAnsi="Verdana" w:cs="TimesNewRoman"/>
          <w:sz w:val="18"/>
          <w:szCs w:val="18"/>
        </w:rPr>
        <w:t>Стосовно позитивних змін в інвестиційній привабливості, які відбувались останнім часом, більше 70% респондентів відмітили їх відсутність. Лише 10% опитаних позитивною зміною вважають проведення Євро-2012, в зв’язку з чим були збудовані інфраструктурні об’єкти. Так само футбольна першість підвищила репутацію країни на світовій арені, однак про радикальні перетворення інвестори наразі не говорять.</w:t>
      </w:r>
    </w:p>
    <w:p w:rsidR="00EE6C47" w:rsidRPr="000275C2" w:rsidRDefault="00EE6C47" w:rsidP="00EE6C47">
      <w:pPr>
        <w:spacing w:after="0" w:line="240" w:lineRule="auto"/>
        <w:ind w:firstLine="540"/>
        <w:jc w:val="both"/>
        <w:rPr>
          <w:rFonts w:ascii="Verdana" w:eastAsia="TimesNewRoman" w:hAnsi="Verdana" w:cs="TimesNewRoman"/>
          <w:sz w:val="18"/>
          <w:szCs w:val="18"/>
        </w:rPr>
      </w:pPr>
      <w:r w:rsidRPr="000275C2">
        <w:rPr>
          <w:rFonts w:ascii="Verdana" w:eastAsia="TimesNewRoman" w:hAnsi="Verdana" w:cs="TimesNewRoman"/>
          <w:sz w:val="18"/>
          <w:szCs w:val="18"/>
        </w:rPr>
        <w:t>В цілому вищезгадане дослідження доводить той факт, що європейські компанії та члени Асоціації не відмітили відчутного покращення бізнес- та інвестиційного клімату в Україні за останні роки.</w:t>
      </w:r>
    </w:p>
    <w:p w:rsidR="00EE6C47" w:rsidRPr="000275C2" w:rsidRDefault="00EE6C47" w:rsidP="00EE6C4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Verdana" w:eastAsia="TimesNewRoman" w:hAnsi="Verdana" w:cs="TimesNewRoman"/>
          <w:sz w:val="18"/>
          <w:szCs w:val="18"/>
        </w:rPr>
      </w:pPr>
      <w:r w:rsidRPr="000275C2">
        <w:rPr>
          <w:rFonts w:ascii="Verdana" w:eastAsia="TimesNewRoman" w:hAnsi="Verdana" w:cs="TimesNewRoman"/>
          <w:sz w:val="18"/>
          <w:szCs w:val="18"/>
        </w:rPr>
        <w:t>Звідси напрошується єдиний висновок, що вітчизняному уряду необхідно вирішувати цілий спектр проблем, основними серед яких є подолання корупції</w:t>
      </w:r>
      <w:r w:rsidRPr="000275C2">
        <w:rPr>
          <w:rFonts w:ascii="Verdana" w:eastAsia="TimesNewRoman" w:hAnsi="Verdana"/>
          <w:sz w:val="18"/>
          <w:szCs w:val="18"/>
        </w:rPr>
        <w:t xml:space="preserve">, </w:t>
      </w:r>
      <w:r w:rsidRPr="000275C2">
        <w:rPr>
          <w:rFonts w:ascii="Verdana" w:eastAsia="TimesNewRoman" w:hAnsi="Verdana" w:cs="TimesNewRoman"/>
          <w:sz w:val="18"/>
          <w:szCs w:val="18"/>
        </w:rPr>
        <w:t>валютне регулювання, вдосконалення податкової системи та регуляторної політики</w:t>
      </w:r>
      <w:r w:rsidRPr="000275C2">
        <w:rPr>
          <w:rFonts w:ascii="Verdana" w:eastAsia="TimesNewRoman" w:hAnsi="Verdana"/>
          <w:sz w:val="18"/>
          <w:szCs w:val="18"/>
        </w:rPr>
        <w:t xml:space="preserve"> і таке інше. </w:t>
      </w:r>
      <w:r w:rsidRPr="000275C2">
        <w:rPr>
          <w:rFonts w:ascii="Verdana" w:eastAsia="TimesNewRoman" w:hAnsi="Verdana" w:cs="TimesNewRoman"/>
          <w:sz w:val="18"/>
          <w:szCs w:val="18"/>
        </w:rPr>
        <w:t>Вирішення саме цих питань дасть змогу покращити інвестиційний клімат країни</w:t>
      </w:r>
      <w:r w:rsidRPr="000275C2">
        <w:rPr>
          <w:rFonts w:ascii="Verdana" w:eastAsia="TimesNewRoman" w:hAnsi="Verdana"/>
          <w:sz w:val="18"/>
          <w:szCs w:val="18"/>
        </w:rPr>
        <w:t xml:space="preserve">. </w:t>
      </w:r>
      <w:r w:rsidRPr="000275C2">
        <w:rPr>
          <w:rFonts w:ascii="Verdana" w:eastAsia="TimesNewRoman" w:hAnsi="Verdana" w:cs="TimesNewRoman"/>
          <w:sz w:val="18"/>
          <w:szCs w:val="18"/>
        </w:rPr>
        <w:t>Крім цього, потрібно надавати якісну інформацію про партнерів</w:t>
      </w:r>
      <w:r w:rsidRPr="000275C2">
        <w:rPr>
          <w:rFonts w:ascii="Verdana" w:eastAsia="TimesNewRoman" w:hAnsi="Verdana"/>
          <w:sz w:val="18"/>
          <w:szCs w:val="18"/>
        </w:rPr>
        <w:t xml:space="preserve">, </w:t>
      </w:r>
      <w:r w:rsidRPr="000275C2">
        <w:rPr>
          <w:rFonts w:ascii="Verdana" w:eastAsia="TimesNewRoman" w:hAnsi="Verdana" w:cs="TimesNewRoman"/>
          <w:sz w:val="18"/>
          <w:szCs w:val="18"/>
        </w:rPr>
        <w:t>приміщення</w:t>
      </w:r>
      <w:r w:rsidRPr="000275C2">
        <w:rPr>
          <w:rFonts w:ascii="Verdana" w:eastAsia="TimesNewRoman" w:hAnsi="Verdana"/>
          <w:sz w:val="18"/>
          <w:szCs w:val="18"/>
        </w:rPr>
        <w:t xml:space="preserve">, </w:t>
      </w:r>
      <w:r w:rsidRPr="000275C2">
        <w:rPr>
          <w:rFonts w:ascii="Verdana" w:eastAsia="TimesNewRoman" w:hAnsi="Verdana" w:cs="TimesNewRoman"/>
          <w:sz w:val="18"/>
          <w:szCs w:val="18"/>
        </w:rPr>
        <w:t>можливості</w:t>
      </w:r>
      <w:r w:rsidRPr="000275C2">
        <w:rPr>
          <w:rFonts w:ascii="Verdana" w:eastAsia="TimesNewRoman" w:hAnsi="Verdana"/>
          <w:sz w:val="18"/>
          <w:szCs w:val="18"/>
        </w:rPr>
        <w:t xml:space="preserve">, </w:t>
      </w:r>
      <w:r w:rsidRPr="000275C2">
        <w:rPr>
          <w:rFonts w:ascii="Verdana" w:eastAsia="TimesNewRoman" w:hAnsi="Verdana" w:cs="TimesNewRoman"/>
          <w:sz w:val="18"/>
          <w:szCs w:val="18"/>
        </w:rPr>
        <w:t>певні юридичні послуги</w:t>
      </w:r>
      <w:r w:rsidRPr="000275C2">
        <w:rPr>
          <w:rFonts w:ascii="Verdana" w:eastAsia="TimesNewRoman" w:hAnsi="Verdana"/>
          <w:sz w:val="18"/>
          <w:szCs w:val="18"/>
        </w:rPr>
        <w:t>, адже с</w:t>
      </w:r>
      <w:r w:rsidRPr="000275C2">
        <w:rPr>
          <w:rFonts w:ascii="Verdana" w:eastAsia="TimesNewRoman" w:hAnsi="Verdana" w:cs="TimesNewRoman"/>
          <w:sz w:val="18"/>
          <w:szCs w:val="18"/>
        </w:rPr>
        <w:t>аме при наданні повної та якісної інформації Україна матиме значно більше шансів зацікавити іноземних інвесторів</w:t>
      </w:r>
      <w:r w:rsidRPr="000275C2">
        <w:rPr>
          <w:rFonts w:ascii="Verdana" w:eastAsia="TimesNewRoman" w:hAnsi="Verdana"/>
          <w:sz w:val="18"/>
          <w:szCs w:val="18"/>
        </w:rPr>
        <w:t>.</w:t>
      </w:r>
    </w:p>
    <w:p w:rsidR="00EE6C47" w:rsidRPr="000275C2" w:rsidRDefault="00EE6C47" w:rsidP="00EE6C47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літератури:</w:t>
      </w:r>
    </w:p>
    <w:p w:rsidR="00EE6C47" w:rsidRPr="000275C2" w:rsidRDefault="00EE6C47" w:rsidP="00EE6C47">
      <w:pPr>
        <w:spacing w:after="0" w:line="240" w:lineRule="auto"/>
        <w:ind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1. Економічна енциклопедія: У 3 т., / Редкол.: відп. ред. Мочерний С. В. та ін.. – К,: ВЦ – «Академія». 2000-2002.</w:t>
      </w:r>
    </w:p>
    <w:p w:rsidR="00EE6C47" w:rsidRPr="000275C2" w:rsidRDefault="00EE6C47" w:rsidP="00EE6C47">
      <w:pPr>
        <w:spacing w:after="0" w:line="240" w:lineRule="auto"/>
        <w:ind w:firstLine="284"/>
        <w:jc w:val="both"/>
        <w:rPr>
          <w:rFonts w:ascii="Verdana" w:hAnsi="Verdana"/>
        </w:rPr>
      </w:pPr>
      <w:r w:rsidRPr="000275C2">
        <w:rPr>
          <w:rFonts w:ascii="Verdana" w:hAnsi="Verdana"/>
          <w:sz w:val="18"/>
          <w:szCs w:val="18"/>
        </w:rPr>
        <w:t xml:space="preserve">2. </w:t>
      </w:r>
      <w:hyperlink r:id="rId8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http://ipress.ua/news/ukraina_dosi_ne_stala_pryvablyvoyu_dlya_investytsiy_4339.html</w:t>
        </w:r>
      </w:hyperlink>
    </w:p>
    <w:p w:rsidR="00EE6C47" w:rsidRPr="000275C2" w:rsidRDefault="00EE6C47" w:rsidP="00EE6C47">
      <w:pPr>
        <w:spacing w:after="0" w:line="240" w:lineRule="auto"/>
        <w:rPr>
          <w:rFonts w:ascii="Verdana" w:hAnsi="Verdana"/>
        </w:rPr>
      </w:pPr>
    </w:p>
    <w:p w:rsidR="00EE6C47" w:rsidRPr="000275C2" w:rsidRDefault="00EE6C47" w:rsidP="00EE6C47">
      <w:pPr>
        <w:pStyle w:val="Default"/>
        <w:rPr>
          <w:rStyle w:val="a8"/>
          <w:rFonts w:eastAsiaTheme="majorEastAsia"/>
          <w:color w:val="auto"/>
        </w:rPr>
      </w:pPr>
      <w:r w:rsidRPr="000275C2">
        <w:rPr>
          <w:rStyle w:val="a8"/>
          <w:rFonts w:eastAsiaTheme="majorEastAsia"/>
          <w:color w:val="auto"/>
        </w:rPr>
        <w:t xml:space="preserve"> </w:t>
      </w:r>
    </w:p>
    <w:p w:rsidR="001C18CD" w:rsidRPr="00EE6C47" w:rsidRDefault="001C18CD" w:rsidP="00EE6C47">
      <w:pPr>
        <w:rPr>
          <w:szCs w:val="18"/>
        </w:rPr>
      </w:pPr>
    </w:p>
    <w:sectPr w:rsidR="001C18CD" w:rsidRPr="00EE6C47" w:rsidSect="00987B23">
      <w:footerReference w:type="default" r:id="rId9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3320" w:rsidRDefault="00D43320" w:rsidP="00842066">
      <w:pPr>
        <w:spacing w:after="0" w:line="240" w:lineRule="auto"/>
      </w:pPr>
      <w:r>
        <w:separator/>
      </w:r>
    </w:p>
  </w:endnote>
  <w:endnote w:type="continuationSeparator" w:id="1">
    <w:p w:rsidR="00D43320" w:rsidRDefault="00D43320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0E0576">
        <w:pPr>
          <w:pStyle w:val="af7"/>
        </w:pPr>
        <w:r>
          <w:rPr>
            <w:lang w:val="en-US"/>
          </w:rPr>
          <w:t>9</w:t>
        </w:r>
        <w:r w:rsidR="00EE6C47">
          <w:t>9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3320" w:rsidRDefault="00D43320" w:rsidP="00842066">
      <w:pPr>
        <w:spacing w:after="0" w:line="240" w:lineRule="auto"/>
      </w:pPr>
      <w:r>
        <w:separator/>
      </w:r>
    </w:p>
  </w:footnote>
  <w:footnote w:type="continuationSeparator" w:id="1">
    <w:p w:rsidR="00D43320" w:rsidRDefault="00D43320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E60FDD"/>
    <w:multiLevelType w:val="hybridMultilevel"/>
    <w:tmpl w:val="1432160C"/>
    <w:lvl w:ilvl="0" w:tplc="68307B1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9C7402C"/>
    <w:multiLevelType w:val="hybridMultilevel"/>
    <w:tmpl w:val="1DF6E2D2"/>
    <w:lvl w:ilvl="0" w:tplc="0CC05D3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17096F"/>
    <w:multiLevelType w:val="hybridMultilevel"/>
    <w:tmpl w:val="3C804D46"/>
    <w:lvl w:ilvl="0" w:tplc="9524098A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6A275A"/>
    <w:multiLevelType w:val="multilevel"/>
    <w:tmpl w:val="37A05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F652E4"/>
    <w:multiLevelType w:val="hybridMultilevel"/>
    <w:tmpl w:val="F87C66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271B5EEF"/>
    <w:multiLevelType w:val="hybridMultilevel"/>
    <w:tmpl w:val="1486A172"/>
    <w:lvl w:ilvl="0" w:tplc="99CA76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8DA7E9C"/>
    <w:multiLevelType w:val="hybridMultilevel"/>
    <w:tmpl w:val="E9E8F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7">
    <w:nsid w:val="2DB54668"/>
    <w:multiLevelType w:val="multilevel"/>
    <w:tmpl w:val="88581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014278D"/>
    <w:multiLevelType w:val="multilevel"/>
    <w:tmpl w:val="0EA66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34502506"/>
    <w:multiLevelType w:val="hybridMultilevel"/>
    <w:tmpl w:val="2396A854"/>
    <w:lvl w:ilvl="0" w:tplc="04190001">
      <w:start w:val="1"/>
      <w:numFmt w:val="bullet"/>
      <w:lvlText w:val=""/>
      <w:lvlJc w:val="left"/>
      <w:pPr>
        <w:ind w:left="1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21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3CD91D05"/>
    <w:multiLevelType w:val="hybridMultilevel"/>
    <w:tmpl w:val="2092C60C"/>
    <w:lvl w:ilvl="0" w:tplc="F60253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F7B0696"/>
    <w:multiLevelType w:val="hybridMultilevel"/>
    <w:tmpl w:val="B0367B24"/>
    <w:lvl w:ilvl="0" w:tplc="B17A097C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7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28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>
    <w:nsid w:val="536C2C2B"/>
    <w:multiLevelType w:val="hybridMultilevel"/>
    <w:tmpl w:val="58146662"/>
    <w:lvl w:ilvl="0" w:tplc="D996D0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540A3894"/>
    <w:multiLevelType w:val="hybridMultilevel"/>
    <w:tmpl w:val="4B1A75D0"/>
    <w:lvl w:ilvl="0" w:tplc="0E04F5C6">
      <w:start w:val="1"/>
      <w:numFmt w:val="decimal"/>
      <w:lvlText w:val="%1."/>
      <w:lvlJc w:val="left"/>
      <w:pPr>
        <w:tabs>
          <w:tab w:val="num" w:pos="869"/>
        </w:tabs>
        <w:ind w:left="869" w:hanging="58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3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>
    <w:nsid w:val="5DE72F60"/>
    <w:multiLevelType w:val="hybridMultilevel"/>
    <w:tmpl w:val="D1BEDD3C"/>
    <w:lvl w:ilvl="0" w:tplc="5BDEBAE0">
      <w:start w:val="1"/>
      <w:numFmt w:val="decimal"/>
      <w:lvlText w:val="%1."/>
      <w:lvlJc w:val="left"/>
      <w:pPr>
        <w:ind w:left="927" w:hanging="360"/>
      </w:pPr>
      <w:rPr>
        <w:rFonts w:eastAsia="Times New Roman" w:cs="Times New Roman"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6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7">
    <w:nsid w:val="6BEA4740"/>
    <w:multiLevelType w:val="multilevel"/>
    <w:tmpl w:val="31529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2612C1"/>
    <w:multiLevelType w:val="hybridMultilevel"/>
    <w:tmpl w:val="5A70CF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39A236D"/>
    <w:multiLevelType w:val="multilevel"/>
    <w:tmpl w:val="7F1E0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2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3314AD"/>
    <w:multiLevelType w:val="multilevel"/>
    <w:tmpl w:val="B1548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F0E1178"/>
    <w:multiLevelType w:val="hybridMultilevel"/>
    <w:tmpl w:val="52F0364A"/>
    <w:lvl w:ilvl="0" w:tplc="001A355E">
      <w:start w:val="1"/>
      <w:numFmt w:val="decimal"/>
      <w:lvlText w:val="%1)"/>
      <w:lvlJc w:val="left"/>
      <w:pPr>
        <w:ind w:left="927" w:hanging="360"/>
      </w:pPr>
      <w:rPr>
        <w:rFonts w:ascii="Verdana" w:eastAsia="Calibri" w:hAnsi="Verdana" w:cs="Times New Roman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3"/>
  </w:num>
  <w:num w:numId="2">
    <w:abstractNumId w:val="16"/>
  </w:num>
  <w:num w:numId="3">
    <w:abstractNumId w:val="27"/>
  </w:num>
  <w:num w:numId="4">
    <w:abstractNumId w:val="41"/>
  </w:num>
  <w:num w:numId="5">
    <w:abstractNumId w:val="30"/>
  </w:num>
  <w:num w:numId="6">
    <w:abstractNumId w:val="0"/>
  </w:num>
  <w:num w:numId="7">
    <w:abstractNumId w:val="38"/>
  </w:num>
  <w:num w:numId="8">
    <w:abstractNumId w:val="8"/>
  </w:num>
  <w:num w:numId="9">
    <w:abstractNumId w:val="43"/>
  </w:num>
  <w:num w:numId="10">
    <w:abstractNumId w:val="22"/>
  </w:num>
  <w:num w:numId="11">
    <w:abstractNumId w:val="19"/>
  </w:num>
  <w:num w:numId="12">
    <w:abstractNumId w:val="5"/>
  </w:num>
  <w:num w:numId="13">
    <w:abstractNumId w:val="42"/>
  </w:num>
  <w:num w:numId="14">
    <w:abstractNumId w:val="33"/>
  </w:num>
  <w:num w:numId="15">
    <w:abstractNumId w:val="12"/>
  </w:num>
  <w:num w:numId="16">
    <w:abstractNumId w:val="28"/>
  </w:num>
  <w:num w:numId="17">
    <w:abstractNumId w:val="4"/>
  </w:num>
  <w:num w:numId="18">
    <w:abstractNumId w:val="9"/>
  </w:num>
  <w:num w:numId="19">
    <w:abstractNumId w:val="26"/>
  </w:num>
  <w:num w:numId="20">
    <w:abstractNumId w:val="34"/>
  </w:num>
  <w:num w:numId="21">
    <w:abstractNumId w:val="10"/>
  </w:num>
  <w:num w:numId="22">
    <w:abstractNumId w:val="29"/>
  </w:num>
  <w:num w:numId="23">
    <w:abstractNumId w:val="36"/>
  </w:num>
  <w:num w:numId="24">
    <w:abstractNumId w:val="21"/>
  </w:num>
  <w:num w:numId="25">
    <w:abstractNumId w:val="13"/>
  </w:num>
  <w:num w:numId="26">
    <w:abstractNumId w:val="7"/>
  </w:num>
  <w:num w:numId="27">
    <w:abstractNumId w:val="44"/>
  </w:num>
  <w:num w:numId="28">
    <w:abstractNumId w:val="1"/>
  </w:num>
  <w:num w:numId="29">
    <w:abstractNumId w:val="31"/>
  </w:num>
  <w:num w:numId="30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6"/>
  </w:num>
  <w:num w:numId="32">
    <w:abstractNumId w:val="39"/>
  </w:num>
  <w:num w:numId="33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"/>
  </w:num>
  <w:num w:numId="40">
    <w:abstractNumId w:val="35"/>
  </w:num>
  <w:num w:numId="41">
    <w:abstractNumId w:val="24"/>
  </w:num>
  <w:num w:numId="42">
    <w:abstractNumId w:val="32"/>
  </w:num>
  <w:num w:numId="43">
    <w:abstractNumId w:val="25"/>
  </w:num>
  <w:num w:numId="44">
    <w:abstractNumId w:val="2"/>
  </w:num>
  <w:num w:numId="45">
    <w:abstractNumId w:val="15"/>
  </w:num>
  <w:num w:numId="46">
    <w:abstractNumId w:val="11"/>
  </w:num>
  <w:num w:numId="4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0B59C8"/>
    <w:rsid w:val="000E0576"/>
    <w:rsid w:val="000E33ED"/>
    <w:rsid w:val="00162A35"/>
    <w:rsid w:val="001752C1"/>
    <w:rsid w:val="001C18CD"/>
    <w:rsid w:val="001C4033"/>
    <w:rsid w:val="001F6A01"/>
    <w:rsid w:val="00202F3C"/>
    <w:rsid w:val="002073DB"/>
    <w:rsid w:val="00211E3C"/>
    <w:rsid w:val="002156DF"/>
    <w:rsid w:val="002372C3"/>
    <w:rsid w:val="002C00BE"/>
    <w:rsid w:val="002C3B8A"/>
    <w:rsid w:val="002E2CD6"/>
    <w:rsid w:val="002F1C3B"/>
    <w:rsid w:val="002F6A61"/>
    <w:rsid w:val="00300FFD"/>
    <w:rsid w:val="00336DE6"/>
    <w:rsid w:val="00343BCA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C3C43"/>
    <w:rsid w:val="00500F25"/>
    <w:rsid w:val="00504985"/>
    <w:rsid w:val="00512354"/>
    <w:rsid w:val="00540221"/>
    <w:rsid w:val="00544C25"/>
    <w:rsid w:val="00570DD2"/>
    <w:rsid w:val="005A2078"/>
    <w:rsid w:val="005B28B6"/>
    <w:rsid w:val="005D3369"/>
    <w:rsid w:val="005D6B51"/>
    <w:rsid w:val="00607A49"/>
    <w:rsid w:val="00651076"/>
    <w:rsid w:val="006573BB"/>
    <w:rsid w:val="006A7249"/>
    <w:rsid w:val="006B27E3"/>
    <w:rsid w:val="00716B2C"/>
    <w:rsid w:val="007240F2"/>
    <w:rsid w:val="007353A6"/>
    <w:rsid w:val="00745BAB"/>
    <w:rsid w:val="007723B6"/>
    <w:rsid w:val="00772807"/>
    <w:rsid w:val="00777798"/>
    <w:rsid w:val="00793DEB"/>
    <w:rsid w:val="007C4E99"/>
    <w:rsid w:val="007E342D"/>
    <w:rsid w:val="007E50FE"/>
    <w:rsid w:val="00800172"/>
    <w:rsid w:val="00814DB4"/>
    <w:rsid w:val="00826639"/>
    <w:rsid w:val="00842066"/>
    <w:rsid w:val="00845D20"/>
    <w:rsid w:val="00884BD8"/>
    <w:rsid w:val="008D5547"/>
    <w:rsid w:val="00926C33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D434A"/>
    <w:rsid w:val="009E7F0F"/>
    <w:rsid w:val="00A15681"/>
    <w:rsid w:val="00A52C1E"/>
    <w:rsid w:val="00A909B3"/>
    <w:rsid w:val="00A9671B"/>
    <w:rsid w:val="00AA4557"/>
    <w:rsid w:val="00AD1AD3"/>
    <w:rsid w:val="00B078E6"/>
    <w:rsid w:val="00B1060C"/>
    <w:rsid w:val="00B10D8C"/>
    <w:rsid w:val="00B17F3E"/>
    <w:rsid w:val="00B2180B"/>
    <w:rsid w:val="00B26518"/>
    <w:rsid w:val="00B66B59"/>
    <w:rsid w:val="00B8770B"/>
    <w:rsid w:val="00BC0205"/>
    <w:rsid w:val="00BD129B"/>
    <w:rsid w:val="00BD6F9F"/>
    <w:rsid w:val="00BE66C9"/>
    <w:rsid w:val="00C055CA"/>
    <w:rsid w:val="00C25F2A"/>
    <w:rsid w:val="00C431F4"/>
    <w:rsid w:val="00C43FFD"/>
    <w:rsid w:val="00C646CF"/>
    <w:rsid w:val="00C65DB8"/>
    <w:rsid w:val="00C844A5"/>
    <w:rsid w:val="00C85B4E"/>
    <w:rsid w:val="00CB3F13"/>
    <w:rsid w:val="00CD3499"/>
    <w:rsid w:val="00CE2709"/>
    <w:rsid w:val="00D26A99"/>
    <w:rsid w:val="00D329AE"/>
    <w:rsid w:val="00D43320"/>
    <w:rsid w:val="00D66D06"/>
    <w:rsid w:val="00D80ACF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A15B8"/>
    <w:rsid w:val="00EE6C47"/>
    <w:rsid w:val="00EF6895"/>
    <w:rsid w:val="00F31707"/>
    <w:rsid w:val="00F331EF"/>
    <w:rsid w:val="00F5173E"/>
    <w:rsid w:val="00FA222E"/>
    <w:rsid w:val="00FA5990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semiHidden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semiHidden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press.ua/news/ukraina_dosi_ne_stala_pryvablyvoyu_dlya_investytsiy_4339.htm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su07.70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2013-10-15T11:32:00Z</dcterms:created>
  <dcterms:modified xsi:type="dcterms:W3CDTF">2013-10-15T11:32:00Z</dcterms:modified>
</cp:coreProperties>
</file>