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6A01" w:rsidRPr="001F6A01" w:rsidRDefault="001F6A01" w:rsidP="001F6A01">
      <w:pPr>
        <w:pStyle w:val="1"/>
        <w:spacing w:before="0"/>
        <w:jc w:val="center"/>
        <w:rPr>
          <w:rFonts w:ascii="Verdana" w:hAnsi="Verdana"/>
          <w:caps/>
          <w:sz w:val="24"/>
          <w:szCs w:val="24"/>
          <w:lang w:val="ru-RU"/>
        </w:rPr>
      </w:pPr>
      <w:bookmarkStart w:id="0" w:name="_Toc352106092"/>
      <w:r w:rsidRPr="001F6A01">
        <w:rPr>
          <w:rFonts w:ascii="Verdana" w:hAnsi="Verdana"/>
          <w:sz w:val="24"/>
          <w:szCs w:val="24"/>
          <w:lang w:val="ru-RU"/>
        </w:rPr>
        <w:t>Організаційно-економічний механізм забезпечення прибутковості підприємства</w:t>
      </w:r>
      <w:bookmarkEnd w:id="0"/>
    </w:p>
    <w:p w:rsidR="001F6A01" w:rsidRPr="001F6A01" w:rsidRDefault="001F6A01" w:rsidP="001F6A01">
      <w:pPr>
        <w:pStyle w:val="1"/>
        <w:spacing w:before="0"/>
        <w:jc w:val="center"/>
        <w:rPr>
          <w:rFonts w:ascii="Verdana" w:hAnsi="Verdana"/>
          <w:b w:val="0"/>
          <w:sz w:val="22"/>
          <w:szCs w:val="22"/>
          <w:lang w:val="ru-RU"/>
        </w:rPr>
      </w:pPr>
      <w:bookmarkStart w:id="1" w:name="_Toc352106093"/>
      <w:r w:rsidRPr="001F6A01">
        <w:rPr>
          <w:rFonts w:ascii="Verdana" w:hAnsi="Verdana"/>
          <w:b w:val="0"/>
          <w:sz w:val="22"/>
          <w:szCs w:val="22"/>
          <w:lang w:val="ru-RU"/>
        </w:rPr>
        <w:t>Ткаченко Т.П.</w:t>
      </w:r>
      <w:bookmarkEnd w:id="1"/>
    </w:p>
    <w:p w:rsidR="001F6A01" w:rsidRPr="000275C2" w:rsidRDefault="001F6A01" w:rsidP="001F6A01">
      <w:pPr>
        <w:spacing w:after="0" w:line="240" w:lineRule="auto"/>
        <w:jc w:val="center"/>
        <w:rPr>
          <w:rFonts w:ascii="Verdana" w:hAnsi="Verdana"/>
          <w:b/>
        </w:rPr>
      </w:pPr>
      <w:r w:rsidRPr="000275C2">
        <w:rPr>
          <w:rFonts w:ascii="Verdana" w:hAnsi="Verdana"/>
          <w:b/>
        </w:rPr>
        <w:t xml:space="preserve">Національній технічний університет України  НТУУ «КПІ», </w:t>
      </w:r>
    </w:p>
    <w:p w:rsidR="001F6A01" w:rsidRPr="000275C2" w:rsidRDefault="001F6A01" w:rsidP="001F6A01">
      <w:pPr>
        <w:spacing w:after="0" w:line="240" w:lineRule="auto"/>
        <w:jc w:val="center"/>
        <w:rPr>
          <w:rFonts w:ascii="Verdana" w:hAnsi="Verdana"/>
          <w:i/>
        </w:rPr>
      </w:pPr>
      <w:r w:rsidRPr="000275C2">
        <w:rPr>
          <w:rFonts w:ascii="Verdana" w:hAnsi="Verdana"/>
          <w:i/>
        </w:rPr>
        <w:t xml:space="preserve">E-mail: </w:t>
      </w:r>
      <w:hyperlink r:id="rId7" w:history="1">
        <w:r w:rsidRPr="000275C2">
          <w:rPr>
            <w:rStyle w:val="af4"/>
            <w:rFonts w:ascii="Verdana" w:hAnsi="Verdana"/>
            <w:i/>
            <w:color w:val="auto"/>
          </w:rPr>
          <w:t>tatvla@yandex.ru</w:t>
        </w:r>
      </w:hyperlink>
    </w:p>
    <w:p w:rsidR="001F6A01" w:rsidRPr="000275C2" w:rsidRDefault="001F6A01" w:rsidP="001F6A01">
      <w:pPr>
        <w:spacing w:after="0" w:line="240" w:lineRule="auto"/>
        <w:ind w:firstLine="567"/>
        <w:jc w:val="both"/>
        <w:rPr>
          <w:rFonts w:ascii="Verdana" w:hAnsi="Verdana"/>
          <w:sz w:val="18"/>
          <w:szCs w:val="18"/>
        </w:rPr>
      </w:pPr>
      <w:r w:rsidRPr="000275C2">
        <w:rPr>
          <w:rFonts w:ascii="Verdana" w:hAnsi="Verdana"/>
          <w:sz w:val="18"/>
          <w:szCs w:val="18"/>
        </w:rPr>
        <w:t>Сутність прибутковості визначається економічним станом підприємства і його позиціонуванням на ринку. Основою забезпечення прибутковості є якісний розвиток підприємства. Якість прибутку підприємства визначається як узагальнена характеристика структури джерел формування прибутку. Висока якість прибутку підприємства характеризується зростанням обсягів реалізації продукції та зниженням рівня операційних витрат. Тому застосування організаційно-економічного механізму забезпечення прибутковості підприємств є вкрай необхідним для успішного розвитку не лише окремих галузей, а й національної економіки вцілому.</w:t>
      </w:r>
    </w:p>
    <w:p w:rsidR="001F6A01" w:rsidRPr="000275C2" w:rsidRDefault="001F6A01" w:rsidP="001F6A01">
      <w:pPr>
        <w:spacing w:after="0" w:line="240" w:lineRule="auto"/>
        <w:ind w:firstLine="567"/>
        <w:jc w:val="both"/>
        <w:rPr>
          <w:rFonts w:ascii="Verdana" w:hAnsi="Verdana"/>
          <w:sz w:val="18"/>
          <w:szCs w:val="18"/>
        </w:rPr>
      </w:pPr>
      <w:r w:rsidRPr="000275C2">
        <w:rPr>
          <w:rFonts w:ascii="Verdana" w:hAnsi="Verdana"/>
          <w:sz w:val="18"/>
          <w:szCs w:val="18"/>
        </w:rPr>
        <w:t>В економічній літературі часто вживається поняття «організаційно-економічний механізм», що застосовується, як правило, для окреслення організаційних елементів економічного механізму.</w:t>
      </w:r>
    </w:p>
    <w:p w:rsidR="001F6A01" w:rsidRPr="000275C2" w:rsidRDefault="001F6A01" w:rsidP="001F6A01">
      <w:pPr>
        <w:spacing w:after="0" w:line="240" w:lineRule="auto"/>
        <w:ind w:firstLine="567"/>
        <w:jc w:val="both"/>
        <w:rPr>
          <w:rFonts w:ascii="Verdana" w:hAnsi="Verdana"/>
          <w:sz w:val="18"/>
          <w:szCs w:val="18"/>
        </w:rPr>
      </w:pPr>
      <w:r w:rsidRPr="000275C2">
        <w:rPr>
          <w:rFonts w:ascii="Verdana" w:hAnsi="Verdana"/>
          <w:sz w:val="18"/>
          <w:szCs w:val="18"/>
        </w:rPr>
        <w:t>Дія економічного механізму в умовах ринкової економіки розглядається як система взаємозв’язків економічних явищ, що виникають у результаті функціонування об’єктивних економічних законів ринку.</w:t>
      </w:r>
    </w:p>
    <w:p w:rsidR="001F6A01" w:rsidRPr="000275C2" w:rsidRDefault="001F6A01" w:rsidP="001F6A01">
      <w:pPr>
        <w:spacing w:after="0" w:line="240" w:lineRule="auto"/>
        <w:ind w:firstLine="567"/>
        <w:jc w:val="both"/>
        <w:rPr>
          <w:rFonts w:ascii="Verdana" w:hAnsi="Verdana"/>
          <w:sz w:val="18"/>
          <w:szCs w:val="18"/>
        </w:rPr>
      </w:pPr>
      <w:r w:rsidRPr="000275C2">
        <w:rPr>
          <w:rFonts w:ascii="Verdana" w:hAnsi="Verdana"/>
          <w:sz w:val="18"/>
          <w:szCs w:val="18"/>
        </w:rPr>
        <w:t>Щодо організаційно-економічного механізму забезпечення прибутковості підприємства, то характерною його рисою в сучасних ринкових умовах є спонукання виробників до високих результатів господарської діяльності саме через економічний інтерес його учасників, який є найбільш потужним і дієвим інструментом здійснення перетворень та становлення ефективного власника в різних секторах економіки України. А головною метою створення організаційно-економічного механізму забезпечення прибутковості підприємств є стійкий розвиток й ефективне управління підприємством у ринкових умовах.</w:t>
      </w:r>
    </w:p>
    <w:p w:rsidR="001F6A01" w:rsidRPr="000275C2" w:rsidRDefault="001F6A01" w:rsidP="001F6A01">
      <w:pPr>
        <w:spacing w:after="0" w:line="240" w:lineRule="auto"/>
        <w:ind w:firstLine="567"/>
        <w:jc w:val="both"/>
        <w:rPr>
          <w:rFonts w:ascii="Verdana" w:hAnsi="Verdana"/>
          <w:sz w:val="18"/>
          <w:szCs w:val="18"/>
        </w:rPr>
      </w:pPr>
      <w:r w:rsidRPr="000275C2">
        <w:rPr>
          <w:rFonts w:ascii="Verdana" w:hAnsi="Verdana"/>
          <w:sz w:val="18"/>
          <w:szCs w:val="18"/>
        </w:rPr>
        <w:t>Такий механізм – це єдність об’єктивної та суб’єктивної сторін. Суть об’єктивної сторони полягає в дії об’єктивних економічних законів, а суб’єктивної – у взаємопов’язаній діяльності всіх елементів механізму, що побудована з урахуванням їх цілей, потреб та інтересів.</w:t>
      </w:r>
    </w:p>
    <w:p w:rsidR="001F6A01" w:rsidRPr="000275C2" w:rsidRDefault="001F6A01" w:rsidP="001F6A01">
      <w:pPr>
        <w:spacing w:after="0" w:line="240" w:lineRule="auto"/>
        <w:ind w:firstLine="567"/>
        <w:jc w:val="both"/>
        <w:rPr>
          <w:rFonts w:ascii="Verdana" w:hAnsi="Verdana"/>
          <w:sz w:val="18"/>
          <w:szCs w:val="18"/>
        </w:rPr>
      </w:pPr>
      <w:r w:rsidRPr="000275C2">
        <w:rPr>
          <w:rFonts w:ascii="Verdana" w:hAnsi="Verdana"/>
          <w:sz w:val="18"/>
          <w:szCs w:val="18"/>
        </w:rPr>
        <w:t xml:space="preserve">Отже, в якості організаційно-економічного механізму слід розглядати комплексну систему, що складається з системи забезпечення, функціональної та цільової системи, які містять певну сукупність організаційних і економічних важелів, які впливають на економічні і організаційні параметри прибутковості з метою забезпечення ефективності управління і отримання конкурентних переваг. </w:t>
      </w:r>
    </w:p>
    <w:p w:rsidR="001F6A01" w:rsidRPr="000275C2" w:rsidRDefault="001F6A01" w:rsidP="001F6A01">
      <w:pPr>
        <w:spacing w:after="0" w:line="240" w:lineRule="auto"/>
        <w:ind w:firstLine="567"/>
        <w:jc w:val="both"/>
        <w:rPr>
          <w:rFonts w:ascii="Verdana" w:hAnsi="Verdana"/>
          <w:sz w:val="18"/>
          <w:szCs w:val="18"/>
        </w:rPr>
      </w:pPr>
      <w:r w:rsidRPr="000275C2">
        <w:rPr>
          <w:rFonts w:ascii="Verdana" w:hAnsi="Verdana"/>
          <w:sz w:val="18"/>
          <w:szCs w:val="18"/>
        </w:rPr>
        <w:t>Таким чином, організаційно-економічний механізм забезпечення прибутковості підприємств – це система елементів організації, пошуку та мобілізації доходів та відповідних їм економічних інструментів, поєднання яких дозволяє досягти єдиної мети – надходження необхідних фінансових ресурсів для здійснення розширеного виробництва. З огляду на це, організаційно-економічний механізм функціонування підприємств в ринкових умовах слід сформувати як комплекс організаційних заходів (правових, виробничих та соціальних) і заходів економічного характеру зовнішньої і внутрішньої дії, які в процесі взаємодії і взаємозв’язку здійснюють активний вплив на економічний інтерес суб’єктів господарської діяльності з метою підвищення ефективності і забезпечення сталого розвитку виробництва.</w:t>
      </w:r>
    </w:p>
    <w:p w:rsidR="001F6A01" w:rsidRPr="000275C2" w:rsidRDefault="001F6A01" w:rsidP="001F6A01">
      <w:pPr>
        <w:spacing w:after="0" w:line="240" w:lineRule="auto"/>
        <w:ind w:firstLine="567"/>
        <w:jc w:val="both"/>
        <w:rPr>
          <w:rFonts w:ascii="Verdana" w:hAnsi="Verdana"/>
          <w:sz w:val="18"/>
          <w:szCs w:val="18"/>
        </w:rPr>
      </w:pPr>
      <w:r w:rsidRPr="000275C2">
        <w:rPr>
          <w:rFonts w:ascii="Verdana" w:hAnsi="Verdana"/>
          <w:sz w:val="18"/>
          <w:szCs w:val="18"/>
        </w:rPr>
        <w:t>Важливе значення для забезпечення умов невпинного зростання прибутку та рентабельності має якість їх планування. Це складний і багатогранний процес, який включає в себе глибокий економічний аналіз виробничих і фінансових показників періоду, що передував плановому періоду, досягнення максимальної узгодженості з кількісними та якісними показниками плану випуску продукції (виконання робіт, послуг), її реалізації, собівартості, врахування наявних резервів збільшення випуску продукції, зниження витрат на виробництво, особливо непродуктивних.</w:t>
      </w:r>
    </w:p>
    <w:p w:rsidR="001F6A01" w:rsidRPr="000275C2" w:rsidRDefault="001F6A01" w:rsidP="001F6A01">
      <w:pPr>
        <w:spacing w:after="0" w:line="240" w:lineRule="auto"/>
        <w:ind w:firstLine="567"/>
        <w:jc w:val="both"/>
        <w:rPr>
          <w:rFonts w:ascii="Verdana" w:hAnsi="Verdana"/>
          <w:sz w:val="18"/>
          <w:szCs w:val="18"/>
        </w:rPr>
      </w:pPr>
      <w:r w:rsidRPr="000275C2">
        <w:rPr>
          <w:rFonts w:ascii="Verdana" w:hAnsi="Verdana"/>
          <w:sz w:val="18"/>
          <w:szCs w:val="18"/>
        </w:rPr>
        <w:t>Проведений аналіз організаційно-економічного механізму забезпечення прибутковості підприємства не є вичерпним і потребує подальшого розгляду.</w:t>
      </w:r>
    </w:p>
    <w:p w:rsidR="001F6A01" w:rsidRPr="000275C2" w:rsidRDefault="001F6A01" w:rsidP="001F6A01">
      <w:pPr>
        <w:autoSpaceDE w:val="0"/>
        <w:autoSpaceDN w:val="0"/>
        <w:adjustRightInd w:val="0"/>
        <w:spacing w:after="0" w:line="240" w:lineRule="auto"/>
        <w:ind w:right="-1" w:firstLine="567"/>
        <w:contextualSpacing/>
        <w:rPr>
          <w:rFonts w:ascii="Verdana" w:hAnsi="Verdana"/>
          <w:b/>
          <w:bCs/>
        </w:rPr>
      </w:pPr>
    </w:p>
    <w:p w:rsidR="007E342D" w:rsidRPr="000275C2" w:rsidRDefault="007E342D" w:rsidP="007E342D">
      <w:pPr>
        <w:autoSpaceDE w:val="0"/>
        <w:autoSpaceDN w:val="0"/>
        <w:adjustRightInd w:val="0"/>
        <w:spacing w:after="0" w:line="240" w:lineRule="auto"/>
        <w:ind w:right="-1" w:firstLine="284"/>
        <w:contextualSpacing/>
        <w:rPr>
          <w:rFonts w:ascii="Verdana" w:hAnsi="Verdana"/>
          <w:b/>
          <w:bCs/>
        </w:rPr>
      </w:pPr>
      <w:r w:rsidRPr="000275C2">
        <w:rPr>
          <w:rFonts w:ascii="Trebuchet MS" w:hAnsi="Trebuchet MS"/>
          <w:sz w:val="20"/>
          <w:szCs w:val="20"/>
        </w:rPr>
        <w:br/>
      </w:r>
    </w:p>
    <w:p w:rsidR="001C18CD" w:rsidRPr="007E342D" w:rsidRDefault="001C18CD" w:rsidP="007E342D">
      <w:pPr>
        <w:rPr>
          <w:szCs w:val="18"/>
        </w:rPr>
      </w:pPr>
    </w:p>
    <w:sectPr w:rsidR="001C18CD" w:rsidRPr="007E342D" w:rsidSect="007E50FE">
      <w:footerReference w:type="default" r:id="rId8"/>
      <w:pgSz w:w="11906" w:h="16838"/>
      <w:pgMar w:top="1134"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3450" w:rsidRDefault="00363450" w:rsidP="00842066">
      <w:pPr>
        <w:spacing w:after="0" w:line="240" w:lineRule="auto"/>
      </w:pPr>
      <w:r>
        <w:separator/>
      </w:r>
    </w:p>
  </w:endnote>
  <w:endnote w:type="continuationSeparator" w:id="1">
    <w:p w:rsidR="00363450" w:rsidRDefault="00363450"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rebuchet MS">
    <w:panose1 w:val="020B0603020202020204"/>
    <w:charset w:val="CC"/>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3831FF">
        <w:pPr>
          <w:pStyle w:val="af7"/>
        </w:pPr>
        <w:r>
          <w:t>80</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3450" w:rsidRDefault="00363450" w:rsidP="00842066">
      <w:pPr>
        <w:spacing w:after="0" w:line="240" w:lineRule="auto"/>
      </w:pPr>
      <w:r>
        <w:separator/>
      </w:r>
    </w:p>
  </w:footnote>
  <w:footnote w:type="continuationSeparator" w:id="1">
    <w:p w:rsidR="00363450" w:rsidRDefault="00363450"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E6A275A"/>
    <w:multiLevelType w:val="multilevel"/>
    <w:tmpl w:val="37A05A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8">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2">
    <w:nsid w:val="2DB54668"/>
    <w:multiLevelType w:val="multilevel"/>
    <w:tmpl w:val="885812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3014278D"/>
    <w:multiLevelType w:val="multilevel"/>
    <w:tmpl w:val="0EA661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5">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6">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0">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21">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7">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8">
    <w:nsid w:val="6BEA4740"/>
    <w:multiLevelType w:val="multilevel"/>
    <w:tmpl w:val="315291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6D2612C1"/>
    <w:multiLevelType w:val="hybridMultilevel"/>
    <w:tmpl w:val="5A70CF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39A236D"/>
    <w:multiLevelType w:val="multilevel"/>
    <w:tmpl w:val="7F1E05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3">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C3314AD"/>
    <w:multiLevelType w:val="multilevel"/>
    <w:tmpl w:val="B15482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7F0E1178"/>
    <w:multiLevelType w:val="hybridMultilevel"/>
    <w:tmpl w:val="52F0364A"/>
    <w:lvl w:ilvl="0" w:tplc="001A355E">
      <w:start w:val="1"/>
      <w:numFmt w:val="decimal"/>
      <w:lvlText w:val="%1)"/>
      <w:lvlJc w:val="left"/>
      <w:pPr>
        <w:ind w:left="927" w:hanging="360"/>
      </w:pPr>
      <w:rPr>
        <w:rFonts w:ascii="Verdana" w:eastAsia="Calibri" w:hAnsi="Verdana"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8"/>
  </w:num>
  <w:num w:numId="2">
    <w:abstractNumId w:val="11"/>
  </w:num>
  <w:num w:numId="3">
    <w:abstractNumId w:val="20"/>
  </w:num>
  <w:num w:numId="4">
    <w:abstractNumId w:val="32"/>
  </w:num>
  <w:num w:numId="5">
    <w:abstractNumId w:val="23"/>
  </w:num>
  <w:num w:numId="6">
    <w:abstractNumId w:val="0"/>
  </w:num>
  <w:num w:numId="7">
    <w:abstractNumId w:val="29"/>
  </w:num>
  <w:num w:numId="8">
    <w:abstractNumId w:val="6"/>
  </w:num>
  <w:num w:numId="9">
    <w:abstractNumId w:val="34"/>
  </w:num>
  <w:num w:numId="10">
    <w:abstractNumId w:val="17"/>
  </w:num>
  <w:num w:numId="11">
    <w:abstractNumId w:val="14"/>
  </w:num>
  <w:num w:numId="12">
    <w:abstractNumId w:val="3"/>
  </w:num>
  <w:num w:numId="13">
    <w:abstractNumId w:val="33"/>
  </w:num>
  <w:num w:numId="14">
    <w:abstractNumId w:val="25"/>
  </w:num>
  <w:num w:numId="15">
    <w:abstractNumId w:val="9"/>
  </w:num>
  <w:num w:numId="16">
    <w:abstractNumId w:val="21"/>
  </w:num>
  <w:num w:numId="17">
    <w:abstractNumId w:val="2"/>
  </w:num>
  <w:num w:numId="18">
    <w:abstractNumId w:val="7"/>
  </w:num>
  <w:num w:numId="19">
    <w:abstractNumId w:val="19"/>
  </w:num>
  <w:num w:numId="20">
    <w:abstractNumId w:val="26"/>
  </w:num>
  <w:num w:numId="21">
    <w:abstractNumId w:val="8"/>
  </w:num>
  <w:num w:numId="22">
    <w:abstractNumId w:val="22"/>
  </w:num>
  <w:num w:numId="23">
    <w:abstractNumId w:val="27"/>
  </w:num>
  <w:num w:numId="24">
    <w:abstractNumId w:val="16"/>
  </w:num>
  <w:num w:numId="25">
    <w:abstractNumId w:val="10"/>
  </w:num>
  <w:num w:numId="26">
    <w:abstractNumId w:val="5"/>
  </w:num>
  <w:num w:numId="27">
    <w:abstractNumId w:val="35"/>
  </w:num>
  <w:num w:numId="28">
    <w:abstractNumId w:val="1"/>
  </w:num>
  <w:num w:numId="29">
    <w:abstractNumId w:val="24"/>
  </w:num>
  <w:num w:numId="3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7"/>
  </w:num>
  <w:num w:numId="32">
    <w:abstractNumId w:val="30"/>
  </w:num>
  <w:num w:numId="33">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B59C8"/>
    <w:rsid w:val="000E33ED"/>
    <w:rsid w:val="00162A35"/>
    <w:rsid w:val="001752C1"/>
    <w:rsid w:val="001C18CD"/>
    <w:rsid w:val="001C4033"/>
    <w:rsid w:val="001F6A01"/>
    <w:rsid w:val="00202F3C"/>
    <w:rsid w:val="002C00BE"/>
    <w:rsid w:val="002C3B8A"/>
    <w:rsid w:val="002F1C3B"/>
    <w:rsid w:val="002F6A61"/>
    <w:rsid w:val="00300FFD"/>
    <w:rsid w:val="00336DE6"/>
    <w:rsid w:val="00343BCA"/>
    <w:rsid w:val="00363450"/>
    <w:rsid w:val="003831FF"/>
    <w:rsid w:val="00397084"/>
    <w:rsid w:val="003B19C3"/>
    <w:rsid w:val="00404BAA"/>
    <w:rsid w:val="0045151F"/>
    <w:rsid w:val="00485B02"/>
    <w:rsid w:val="004C3C43"/>
    <w:rsid w:val="00500F25"/>
    <w:rsid w:val="00504985"/>
    <w:rsid w:val="00512354"/>
    <w:rsid w:val="00540221"/>
    <w:rsid w:val="005A2078"/>
    <w:rsid w:val="005B28B6"/>
    <w:rsid w:val="005D3369"/>
    <w:rsid w:val="00607A49"/>
    <w:rsid w:val="00651076"/>
    <w:rsid w:val="006573BB"/>
    <w:rsid w:val="006A7249"/>
    <w:rsid w:val="006B27E3"/>
    <w:rsid w:val="00716B2C"/>
    <w:rsid w:val="007240F2"/>
    <w:rsid w:val="007353A6"/>
    <w:rsid w:val="00745BAB"/>
    <w:rsid w:val="00777798"/>
    <w:rsid w:val="00793DEB"/>
    <w:rsid w:val="007C4E99"/>
    <w:rsid w:val="007E342D"/>
    <w:rsid w:val="007E50FE"/>
    <w:rsid w:val="00800172"/>
    <w:rsid w:val="00814DB4"/>
    <w:rsid w:val="00826639"/>
    <w:rsid w:val="00842066"/>
    <w:rsid w:val="00845D20"/>
    <w:rsid w:val="008D5547"/>
    <w:rsid w:val="00944C4B"/>
    <w:rsid w:val="009604D0"/>
    <w:rsid w:val="00961D19"/>
    <w:rsid w:val="009772C4"/>
    <w:rsid w:val="00977C49"/>
    <w:rsid w:val="0098493A"/>
    <w:rsid w:val="009A0D1B"/>
    <w:rsid w:val="009D434A"/>
    <w:rsid w:val="009E7F0F"/>
    <w:rsid w:val="00A15681"/>
    <w:rsid w:val="00A52C1E"/>
    <w:rsid w:val="00A9671B"/>
    <w:rsid w:val="00AA4557"/>
    <w:rsid w:val="00AD1AD3"/>
    <w:rsid w:val="00B078E6"/>
    <w:rsid w:val="00B17F3E"/>
    <w:rsid w:val="00B26518"/>
    <w:rsid w:val="00B66B59"/>
    <w:rsid w:val="00BC0205"/>
    <w:rsid w:val="00BD129B"/>
    <w:rsid w:val="00BD6F9F"/>
    <w:rsid w:val="00BE66C9"/>
    <w:rsid w:val="00C055CA"/>
    <w:rsid w:val="00C25F2A"/>
    <w:rsid w:val="00C431F4"/>
    <w:rsid w:val="00C43FFD"/>
    <w:rsid w:val="00C646CF"/>
    <w:rsid w:val="00C65DB8"/>
    <w:rsid w:val="00C85B4E"/>
    <w:rsid w:val="00CB3F13"/>
    <w:rsid w:val="00CD3499"/>
    <w:rsid w:val="00CE2709"/>
    <w:rsid w:val="00D26A99"/>
    <w:rsid w:val="00D329AE"/>
    <w:rsid w:val="00D66D06"/>
    <w:rsid w:val="00DA2709"/>
    <w:rsid w:val="00DC6492"/>
    <w:rsid w:val="00DD53BA"/>
    <w:rsid w:val="00DE6B1D"/>
    <w:rsid w:val="00DF3CE7"/>
    <w:rsid w:val="00E113BA"/>
    <w:rsid w:val="00E236A9"/>
    <w:rsid w:val="00E45840"/>
    <w:rsid w:val="00E476B8"/>
    <w:rsid w:val="00E71C27"/>
    <w:rsid w:val="00EA15B8"/>
    <w:rsid w:val="00F31707"/>
    <w:rsid w:val="00F5173E"/>
    <w:rsid w:val="00FA222E"/>
    <w:rsid w:val="00FA5990"/>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tatvla@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579</Words>
  <Characters>3301</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3873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3</cp:revision>
  <dcterms:created xsi:type="dcterms:W3CDTF">2013-10-11T08:02:00Z</dcterms:created>
  <dcterms:modified xsi:type="dcterms:W3CDTF">2013-10-11T08:02:00Z</dcterms:modified>
</cp:coreProperties>
</file>