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BA76DF" w:rsidRDefault="00C33D3F">
      <w:pPr>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НАЦІОНАЛЬНИЙ ТЕХНІЧНИЙ УНІВЕРСИТЕТ УКРАЇНИ</w:t>
      </w:r>
    </w:p>
    <w:p w:rsidR="00BA76DF" w:rsidRDefault="00C33D3F">
      <w:pPr>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«КИЇВСЬКИЙ ПОЛІТЕХНІЧНИЙ ІНСТИТУТ</w:t>
      </w:r>
      <w:r>
        <w:rPr>
          <w:rFonts w:ascii="Times New Roman" w:eastAsia="Times New Roman" w:hAnsi="Times New Roman" w:cs="Times New Roman"/>
          <w:b/>
          <w:sz w:val="28"/>
          <w:szCs w:val="28"/>
          <w:highlight w:val="white"/>
        </w:rPr>
        <w:br/>
        <w:t>імені ІГОРЯ СІКОРСЬКОГО»</w:t>
      </w:r>
    </w:p>
    <w:p w:rsidR="00BA76DF" w:rsidRDefault="00C33D3F">
      <w:pPr>
        <w:spacing w:before="1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Факультет менеджменту та маркетингу</w:t>
      </w:r>
    </w:p>
    <w:p w:rsidR="00BA76DF" w:rsidRDefault="00C33D3F">
      <w:pPr>
        <w:spacing w:before="1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Кафедра промислового маркетингу</w:t>
      </w:r>
    </w:p>
    <w:p w:rsidR="00BA76DF" w:rsidRDefault="00C33D3F">
      <w:pPr>
        <w:spacing w:line="425" w:lineRule="auto"/>
        <w:ind w:left="5680"/>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 xml:space="preserve"> </w:t>
      </w:r>
    </w:p>
    <w:p w:rsidR="00BA76DF" w:rsidRDefault="00C33D3F">
      <w:pPr>
        <w:spacing w:before="120"/>
        <w:ind w:left="566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До захисту допущено:</w:t>
      </w:r>
    </w:p>
    <w:p w:rsidR="00BA76DF" w:rsidRDefault="00C33D3F">
      <w:pPr>
        <w:spacing w:before="120"/>
        <w:ind w:left="566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Завідувач кафедри</w:t>
      </w:r>
    </w:p>
    <w:p w:rsidR="00BA76DF" w:rsidRDefault="00C33D3F">
      <w:pPr>
        <w:spacing w:before="120"/>
        <w:ind w:left="5680"/>
        <w:rPr>
          <w:rFonts w:ascii="Times New Roman" w:eastAsia="Times New Roman" w:hAnsi="Times New Roman" w:cs="Times New Roman"/>
          <w:sz w:val="24"/>
          <w:szCs w:val="24"/>
        </w:rPr>
      </w:pPr>
      <w:r>
        <w:rPr>
          <w:rFonts w:ascii="Times New Roman" w:eastAsia="Times New Roman" w:hAnsi="Times New Roman" w:cs="Times New Roman"/>
          <w:sz w:val="24"/>
          <w:szCs w:val="24"/>
        </w:rPr>
        <w:t>________ Сергій СОЛНЦЕВ</w:t>
      </w:r>
    </w:p>
    <w:p w:rsidR="00BA76DF" w:rsidRDefault="00C33D3F">
      <w:pPr>
        <w:spacing w:before="120"/>
        <w:ind w:left="5680"/>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u w:val="single"/>
        </w:rPr>
        <w:t>«14»</w:t>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u w:val="single"/>
        </w:rPr>
        <w:t>червня</w:t>
      </w:r>
      <w:r>
        <w:rPr>
          <w:rFonts w:ascii="Times New Roman" w:eastAsia="Times New Roman" w:hAnsi="Times New Roman" w:cs="Times New Roman"/>
          <w:sz w:val="24"/>
          <w:szCs w:val="24"/>
          <w:highlight w:val="white"/>
        </w:rPr>
        <w:t xml:space="preserve"> 2024 р.</w:t>
      </w:r>
    </w:p>
    <w:p w:rsidR="00BA76DF" w:rsidRDefault="00C33D3F">
      <w:pP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 </w:t>
      </w:r>
    </w:p>
    <w:p w:rsidR="00BA76DF" w:rsidRDefault="00C33D3F">
      <w:pP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 </w:t>
      </w:r>
    </w:p>
    <w:p w:rsidR="00BA76DF" w:rsidRDefault="00C33D3F">
      <w:pPr>
        <w:jc w:val="center"/>
        <w:rPr>
          <w:rFonts w:ascii="Times New Roman" w:eastAsia="Times New Roman" w:hAnsi="Times New Roman" w:cs="Times New Roman"/>
          <w:b/>
          <w:sz w:val="40"/>
          <w:szCs w:val="40"/>
          <w:highlight w:val="white"/>
        </w:rPr>
      </w:pPr>
      <w:r>
        <w:rPr>
          <w:rFonts w:ascii="Times New Roman" w:eastAsia="Times New Roman" w:hAnsi="Times New Roman" w:cs="Times New Roman"/>
          <w:b/>
          <w:sz w:val="40"/>
          <w:szCs w:val="40"/>
          <w:highlight w:val="white"/>
        </w:rPr>
        <w:t>Дипломна робота</w:t>
      </w:r>
    </w:p>
    <w:p w:rsidR="00BA76DF" w:rsidRDefault="00C33D3F">
      <w:pPr>
        <w:spacing w:before="120" w:after="1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на здобуття ступеня бакалавра</w:t>
      </w:r>
    </w:p>
    <w:p w:rsidR="00BA76DF" w:rsidRDefault="00C33D3F">
      <w:pPr>
        <w:spacing w:before="120" w:after="1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за освітньо-професійною програмою «Промисловий маркетинг»</w:t>
      </w:r>
    </w:p>
    <w:p w:rsidR="00BA76DF" w:rsidRDefault="00C33D3F">
      <w:pPr>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спеціальності 075 «Маркетинг» </w:t>
      </w:r>
    </w:p>
    <w:p w:rsidR="00BA76DF" w:rsidRDefault="00C33D3F">
      <w:pPr>
        <w:spacing w:before="1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на тему: «Удосконалення маркетингової діяльності НАК «Нафтогаз України»»</w:t>
      </w:r>
    </w:p>
    <w:p w:rsidR="00BA76DF" w:rsidRDefault="00C33D3F">
      <w:pPr>
        <w:spacing w:before="240"/>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 </w:t>
      </w:r>
    </w:p>
    <w:p w:rsidR="00BA76DF" w:rsidRDefault="00C33D3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Виконала:</w:t>
      </w:r>
    </w:p>
    <w:p w:rsidR="00BA76DF" w:rsidRDefault="00C33D3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студентка IV курсу, групи УМ-03</w:t>
      </w:r>
    </w:p>
    <w:p w:rsidR="00BA76DF" w:rsidRDefault="00C33D3F">
      <w:pPr>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Мішкур</w:t>
      </w:r>
      <w:bookmarkStart w:id="0" w:name="_GoBack"/>
      <w:bookmarkEnd w:id="0"/>
      <w:proofErr w:type="spellEnd"/>
      <w:r>
        <w:rPr>
          <w:rFonts w:ascii="Times New Roman" w:eastAsia="Times New Roman" w:hAnsi="Times New Roman" w:cs="Times New Roman"/>
          <w:sz w:val="28"/>
          <w:szCs w:val="28"/>
          <w:highlight w:val="white"/>
        </w:rPr>
        <w:t xml:space="preserve"> Олена Валентинівна                                                 </w:t>
      </w:r>
      <w:r>
        <w:rPr>
          <w:rFonts w:ascii="Times New Roman" w:eastAsia="Times New Roman" w:hAnsi="Times New Roman" w:cs="Times New Roman"/>
          <w:sz w:val="28"/>
          <w:szCs w:val="28"/>
          <w:highlight w:val="white"/>
        </w:rPr>
        <w:tab/>
        <w:t>__________</w:t>
      </w:r>
    </w:p>
    <w:p w:rsidR="00BA76DF" w:rsidRDefault="00C33D3F">
      <w:pPr>
        <w:spacing w:before="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Керівник:</w:t>
      </w:r>
    </w:p>
    <w:p w:rsidR="00BA76DF" w:rsidRDefault="00C33D3F">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ст. викладач кафедри промислового маркетингу, </w:t>
      </w:r>
      <w:proofErr w:type="spellStart"/>
      <w:r>
        <w:rPr>
          <w:rFonts w:ascii="Times New Roman" w:eastAsia="Times New Roman" w:hAnsi="Times New Roman" w:cs="Times New Roman"/>
          <w:sz w:val="28"/>
          <w:szCs w:val="28"/>
          <w:highlight w:val="white"/>
        </w:rPr>
        <w:t>к.е.н</w:t>
      </w:r>
      <w:proofErr w:type="spellEnd"/>
      <w:r>
        <w:rPr>
          <w:rFonts w:ascii="Times New Roman" w:eastAsia="Times New Roman" w:hAnsi="Times New Roman" w:cs="Times New Roman"/>
          <w:sz w:val="28"/>
          <w:szCs w:val="28"/>
          <w:highlight w:val="white"/>
        </w:rPr>
        <w:t>, доцент</w:t>
      </w:r>
    </w:p>
    <w:p w:rsidR="00BA76DF" w:rsidRDefault="00C33D3F">
      <w:pPr>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Гнітецький</w:t>
      </w:r>
      <w:proofErr w:type="spellEnd"/>
      <w:r>
        <w:rPr>
          <w:rFonts w:ascii="Times New Roman" w:eastAsia="Times New Roman" w:hAnsi="Times New Roman" w:cs="Times New Roman"/>
          <w:sz w:val="28"/>
          <w:szCs w:val="28"/>
          <w:highlight w:val="white"/>
        </w:rPr>
        <w:t xml:space="preserve"> Євген Віталійович  </w:t>
      </w:r>
      <w:r>
        <w:rPr>
          <w:rFonts w:ascii="Times New Roman" w:eastAsia="Times New Roman" w:hAnsi="Times New Roman" w:cs="Times New Roman"/>
          <w:color w:val="FF0000"/>
          <w:sz w:val="28"/>
          <w:szCs w:val="28"/>
          <w:highlight w:val="white"/>
        </w:rPr>
        <w:t xml:space="preserve">                                               </w:t>
      </w:r>
      <w:r>
        <w:rPr>
          <w:rFonts w:ascii="Times New Roman" w:eastAsia="Times New Roman" w:hAnsi="Times New Roman" w:cs="Times New Roman"/>
          <w:color w:val="FF0000"/>
          <w:sz w:val="28"/>
          <w:szCs w:val="28"/>
          <w:highlight w:val="white"/>
        </w:rPr>
        <w:tab/>
      </w:r>
      <w:r>
        <w:rPr>
          <w:rFonts w:ascii="Times New Roman" w:eastAsia="Times New Roman" w:hAnsi="Times New Roman" w:cs="Times New Roman"/>
          <w:sz w:val="28"/>
          <w:szCs w:val="28"/>
          <w:highlight w:val="white"/>
        </w:rPr>
        <w:t>__________</w:t>
      </w:r>
    </w:p>
    <w:p w:rsidR="00BA76DF" w:rsidRDefault="00C33D3F">
      <w:pPr>
        <w:spacing w:before="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Рецензент:</w:t>
      </w:r>
    </w:p>
    <w:p w:rsidR="00EA60D9" w:rsidRDefault="00EA60D9" w:rsidP="00EA60D9">
      <w:pPr>
        <w:tabs>
          <w:tab w:val="left" w:pos="7371"/>
          <w:tab w:val="left" w:pos="7513"/>
          <w:tab w:val="left" w:pos="8903"/>
        </w:tabs>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кафедри економіки і підприємництва, к. е. н., </w:t>
      </w:r>
    </w:p>
    <w:p w:rsidR="00EA60D9" w:rsidRDefault="00EA60D9" w:rsidP="004A4CC2">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доцент </w:t>
      </w:r>
      <w:proofErr w:type="spellStart"/>
      <w:r>
        <w:rPr>
          <w:rFonts w:ascii="Times New Roman" w:eastAsia="Times New Roman" w:hAnsi="Times New Roman" w:cs="Times New Roman"/>
          <w:sz w:val="28"/>
          <w:szCs w:val="28"/>
        </w:rPr>
        <w:t>Макалюк</w:t>
      </w:r>
      <w:proofErr w:type="spellEnd"/>
      <w:r>
        <w:rPr>
          <w:rFonts w:ascii="Times New Roman" w:eastAsia="Times New Roman" w:hAnsi="Times New Roman" w:cs="Times New Roman"/>
          <w:sz w:val="28"/>
          <w:szCs w:val="28"/>
        </w:rPr>
        <w:t xml:space="preserve"> Ірина Віталіївна</w:t>
      </w:r>
      <w:r w:rsidR="00C33D3F">
        <w:rPr>
          <w:rFonts w:ascii="Times New Roman" w:eastAsia="Times New Roman" w:hAnsi="Times New Roman" w:cs="Times New Roman"/>
          <w:sz w:val="28"/>
          <w:szCs w:val="28"/>
          <w:highlight w:val="white"/>
        </w:rPr>
        <w:t xml:space="preserve">                                                 </w:t>
      </w:r>
      <w:r w:rsidR="00C33D3F">
        <w:rPr>
          <w:rFonts w:ascii="Times New Roman" w:eastAsia="Times New Roman" w:hAnsi="Times New Roman" w:cs="Times New Roman"/>
          <w:sz w:val="28"/>
          <w:szCs w:val="28"/>
          <w:highlight w:val="white"/>
        </w:rPr>
        <w:tab/>
        <w:t>__________</w:t>
      </w:r>
    </w:p>
    <w:p w:rsidR="00BA76DF" w:rsidRDefault="00C33D3F">
      <w:pPr>
        <w:ind w:left="45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Засвідчую, що у цій дипломній роботі немає запозичень з праць інших авторів без відповідних посилань.</w:t>
      </w:r>
    </w:p>
    <w:p w:rsidR="00BA76DF" w:rsidRPr="009E1213" w:rsidRDefault="00C33D3F">
      <w:pPr>
        <w:ind w:left="4540"/>
        <w:jc w:val="both"/>
        <w:rPr>
          <w:rFonts w:ascii="Times New Roman" w:eastAsia="Times New Roman" w:hAnsi="Times New Roman" w:cs="Times New Roman"/>
          <w:sz w:val="28"/>
          <w:szCs w:val="28"/>
          <w:highlight w:val="white"/>
          <w:lang w:val="uk-UA"/>
        </w:rPr>
      </w:pPr>
      <w:r>
        <w:rPr>
          <w:rFonts w:ascii="Times New Roman" w:eastAsia="Times New Roman" w:hAnsi="Times New Roman" w:cs="Times New Roman"/>
          <w:sz w:val="28"/>
          <w:szCs w:val="28"/>
          <w:highlight w:val="white"/>
        </w:rPr>
        <w:t>Студентка __________</w:t>
      </w:r>
      <w:r w:rsidR="009E1213">
        <w:rPr>
          <w:rFonts w:ascii="Times New Roman" w:eastAsia="Times New Roman" w:hAnsi="Times New Roman" w:cs="Times New Roman"/>
          <w:sz w:val="28"/>
          <w:szCs w:val="28"/>
          <w:highlight w:val="white"/>
          <w:lang w:val="uk-UA"/>
        </w:rPr>
        <w:t>____</w:t>
      </w:r>
    </w:p>
    <w:p w:rsidR="00BA76DF" w:rsidRDefault="00BA76DF">
      <w:pPr>
        <w:ind w:left="4540"/>
        <w:jc w:val="both"/>
        <w:rPr>
          <w:rFonts w:ascii="Times New Roman" w:eastAsia="Times New Roman" w:hAnsi="Times New Roman" w:cs="Times New Roman"/>
          <w:sz w:val="28"/>
          <w:szCs w:val="28"/>
          <w:highlight w:val="white"/>
        </w:rPr>
      </w:pPr>
    </w:p>
    <w:p w:rsidR="00BA76DF" w:rsidRDefault="00C33D3F">
      <w:pPr>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sz w:val="28"/>
          <w:szCs w:val="28"/>
          <w:highlight w:val="white"/>
        </w:rPr>
        <w:t>Київ – 2024 року</w:t>
      </w:r>
    </w:p>
    <w:p w:rsidR="00BA76DF" w:rsidRDefault="00C33D3F">
      <w:pPr>
        <w:spacing w:before="240" w:after="240" w:line="240" w:lineRule="auto"/>
        <w:ind w:left="-283" w:right="-33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 xml:space="preserve">Національний технічний університет України </w:t>
      </w:r>
    </w:p>
    <w:p w:rsidR="00BA76DF" w:rsidRDefault="00C33D3F">
      <w:pPr>
        <w:spacing w:before="240" w:after="240" w:line="240" w:lineRule="auto"/>
        <w:ind w:left="-283" w:right="-33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«Київський політехнічний інститут імені Ігоря Сікорського»</w:t>
      </w:r>
    </w:p>
    <w:p w:rsidR="00BA76DF" w:rsidRDefault="00C33D3F">
      <w:pPr>
        <w:spacing w:before="240" w:after="240" w:line="240" w:lineRule="auto"/>
        <w:ind w:left="-283" w:right="-33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 xml:space="preserve">Факультет менеджменту та маркетингу </w:t>
      </w:r>
    </w:p>
    <w:p w:rsidR="00BA76DF" w:rsidRDefault="00C33D3F">
      <w:pPr>
        <w:spacing w:before="240" w:after="240" w:line="240" w:lineRule="auto"/>
        <w:ind w:left="-283" w:right="-33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Кафедра промислового маркетингу</w:t>
      </w:r>
    </w:p>
    <w:p w:rsidR="00BA76DF" w:rsidRDefault="00BA76DF">
      <w:pPr>
        <w:spacing w:before="240" w:after="240" w:line="240" w:lineRule="auto"/>
        <w:ind w:left="-283" w:right="-330"/>
        <w:jc w:val="center"/>
        <w:rPr>
          <w:rFonts w:ascii="Times New Roman" w:eastAsia="Times New Roman" w:hAnsi="Times New Roman" w:cs="Times New Roman"/>
          <w:b/>
          <w:sz w:val="28"/>
          <w:szCs w:val="28"/>
          <w:highlight w:val="white"/>
        </w:rPr>
      </w:pPr>
    </w:p>
    <w:p w:rsidR="00BA76DF" w:rsidRDefault="00C33D3F">
      <w:pPr>
        <w:spacing w:before="240" w:after="240" w:line="240" w:lineRule="auto"/>
        <w:ind w:left="-283" w:right="-33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Рівень вищої освіти – перший (бакалаврський) </w:t>
      </w:r>
    </w:p>
    <w:p w:rsidR="00BA76DF" w:rsidRDefault="00C33D3F">
      <w:pPr>
        <w:spacing w:before="240" w:after="240" w:line="240" w:lineRule="auto"/>
        <w:ind w:left="-283" w:right="-33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Спеціальність – 075 «Маркетинг»</w:t>
      </w:r>
    </w:p>
    <w:p w:rsidR="00BA76DF" w:rsidRDefault="00C33D3F">
      <w:pPr>
        <w:tabs>
          <w:tab w:val="right" w:pos="9622"/>
        </w:tabs>
        <w:spacing w:line="240" w:lineRule="auto"/>
        <w:ind w:left="-283" w:right="-33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«ЗАТВЕРДЖУЮ»</w:t>
      </w:r>
    </w:p>
    <w:p w:rsidR="00BA76DF" w:rsidRDefault="00C33D3F">
      <w:pPr>
        <w:spacing w:line="240" w:lineRule="auto"/>
        <w:ind w:left="-283" w:right="-33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Завідувач кафедри</w:t>
      </w:r>
    </w:p>
    <w:p w:rsidR="00BA76DF" w:rsidRDefault="00C33D3F">
      <w:pPr>
        <w:spacing w:line="240" w:lineRule="auto"/>
        <w:ind w:left="-283" w:right="-33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промислового маркетингу</w:t>
      </w:r>
    </w:p>
    <w:p w:rsidR="00BA76DF" w:rsidRDefault="00C33D3F">
      <w:pPr>
        <w:spacing w:line="240" w:lineRule="auto"/>
        <w:ind w:left="-283" w:right="-33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________________ </w:t>
      </w:r>
      <w:proofErr w:type="spellStart"/>
      <w:r>
        <w:rPr>
          <w:rFonts w:ascii="Times New Roman" w:eastAsia="Times New Roman" w:hAnsi="Times New Roman" w:cs="Times New Roman"/>
          <w:sz w:val="28"/>
          <w:szCs w:val="28"/>
          <w:highlight w:val="white"/>
        </w:rPr>
        <w:t>Солнцев</w:t>
      </w:r>
      <w:proofErr w:type="spellEnd"/>
      <w:r>
        <w:rPr>
          <w:rFonts w:ascii="Times New Roman" w:eastAsia="Times New Roman" w:hAnsi="Times New Roman" w:cs="Times New Roman"/>
          <w:sz w:val="28"/>
          <w:szCs w:val="28"/>
          <w:highlight w:val="white"/>
        </w:rPr>
        <w:t xml:space="preserve"> С. О.</w:t>
      </w:r>
    </w:p>
    <w:p w:rsidR="00BA76DF" w:rsidRDefault="00C33D3F">
      <w:pPr>
        <w:spacing w:line="240" w:lineRule="auto"/>
        <w:ind w:left="-283" w:right="-33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u w:val="single"/>
        </w:rPr>
        <w:t>«14» червня</w:t>
      </w:r>
      <w:r>
        <w:rPr>
          <w:rFonts w:ascii="Times New Roman" w:eastAsia="Times New Roman" w:hAnsi="Times New Roman" w:cs="Times New Roman"/>
          <w:sz w:val="28"/>
          <w:szCs w:val="28"/>
          <w:highlight w:val="white"/>
        </w:rPr>
        <w:t xml:space="preserve"> 2024 року</w:t>
      </w:r>
    </w:p>
    <w:p w:rsidR="00BA76DF" w:rsidRDefault="00C33D3F">
      <w:pPr>
        <w:spacing w:before="240" w:after="240" w:line="240" w:lineRule="auto"/>
        <w:ind w:left="-283" w:right="-33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ЗАВДАННЯ</w:t>
      </w:r>
    </w:p>
    <w:p w:rsidR="00BA76DF" w:rsidRDefault="00C33D3F">
      <w:pPr>
        <w:spacing w:before="240" w:after="240" w:line="240" w:lineRule="auto"/>
        <w:ind w:left="-283" w:right="-33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на дипломну роботу студентці</w:t>
      </w:r>
    </w:p>
    <w:p w:rsidR="00BA76DF" w:rsidRDefault="00C33D3F">
      <w:pPr>
        <w:spacing w:before="240" w:after="240" w:line="240" w:lineRule="auto"/>
        <w:ind w:left="-283" w:right="-330"/>
        <w:jc w:val="center"/>
        <w:rPr>
          <w:rFonts w:ascii="Times New Roman" w:eastAsia="Times New Roman" w:hAnsi="Times New Roman" w:cs="Times New Roman"/>
          <w:b/>
          <w:sz w:val="28"/>
          <w:szCs w:val="28"/>
          <w:highlight w:val="white"/>
        </w:rPr>
      </w:pPr>
      <w:proofErr w:type="spellStart"/>
      <w:r>
        <w:rPr>
          <w:rFonts w:ascii="Times New Roman" w:eastAsia="Times New Roman" w:hAnsi="Times New Roman" w:cs="Times New Roman"/>
          <w:b/>
          <w:sz w:val="28"/>
          <w:szCs w:val="28"/>
          <w:highlight w:val="white"/>
        </w:rPr>
        <w:t>Мішкур</w:t>
      </w:r>
      <w:proofErr w:type="spellEnd"/>
      <w:r>
        <w:rPr>
          <w:rFonts w:ascii="Times New Roman" w:eastAsia="Times New Roman" w:hAnsi="Times New Roman" w:cs="Times New Roman"/>
          <w:b/>
          <w:sz w:val="28"/>
          <w:szCs w:val="28"/>
          <w:highlight w:val="white"/>
        </w:rPr>
        <w:t xml:space="preserve"> Олена Валентинівна</w:t>
      </w:r>
    </w:p>
    <w:p w:rsidR="00BA76DF" w:rsidRDefault="00C33D3F">
      <w:pPr>
        <w:spacing w:before="240" w:after="240" w:line="240" w:lineRule="auto"/>
        <w:ind w:left="-283" w:right="-33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 Тема роботи: «Удосконалення маркетингової діяльності НАК «Нафтогаз України»», керівник роботи </w:t>
      </w:r>
      <w:proofErr w:type="spellStart"/>
      <w:r>
        <w:rPr>
          <w:rFonts w:ascii="Times New Roman" w:eastAsia="Times New Roman" w:hAnsi="Times New Roman" w:cs="Times New Roman"/>
          <w:sz w:val="28"/>
          <w:szCs w:val="28"/>
          <w:highlight w:val="white"/>
        </w:rPr>
        <w:t>Гнітецький</w:t>
      </w:r>
      <w:proofErr w:type="spellEnd"/>
      <w:r>
        <w:rPr>
          <w:rFonts w:ascii="Times New Roman" w:eastAsia="Times New Roman" w:hAnsi="Times New Roman" w:cs="Times New Roman"/>
          <w:sz w:val="28"/>
          <w:szCs w:val="28"/>
          <w:highlight w:val="white"/>
        </w:rPr>
        <w:t xml:space="preserve"> Євген Віталійович, ст. викладач кафедри промислового маркетингу, </w:t>
      </w:r>
      <w:proofErr w:type="spellStart"/>
      <w:r>
        <w:rPr>
          <w:rFonts w:ascii="Times New Roman" w:eastAsia="Times New Roman" w:hAnsi="Times New Roman" w:cs="Times New Roman"/>
          <w:sz w:val="28"/>
          <w:szCs w:val="28"/>
          <w:highlight w:val="white"/>
        </w:rPr>
        <w:t>к.е.н</w:t>
      </w:r>
      <w:proofErr w:type="spellEnd"/>
      <w:r>
        <w:rPr>
          <w:rFonts w:ascii="Times New Roman" w:eastAsia="Times New Roman" w:hAnsi="Times New Roman" w:cs="Times New Roman"/>
          <w:sz w:val="28"/>
          <w:szCs w:val="28"/>
          <w:highlight w:val="white"/>
        </w:rPr>
        <w:t>, доцент, затверджені наказом по університету від «30» травня 2024р. № 2222-c.</w:t>
      </w:r>
    </w:p>
    <w:p w:rsidR="00BA76DF" w:rsidRDefault="00C33D3F">
      <w:pPr>
        <w:spacing w:before="240" w:after="240" w:line="240" w:lineRule="auto"/>
        <w:ind w:left="-283" w:right="-33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Строк подання студентом роботи: «10» червня 2024 р.</w:t>
      </w:r>
    </w:p>
    <w:p w:rsidR="00BA76DF" w:rsidRDefault="00C33D3F">
      <w:pPr>
        <w:spacing w:before="240" w:after="240" w:line="240" w:lineRule="auto"/>
        <w:ind w:left="-283" w:right="-33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Вихідні дані до роботи: законодавчі акти, офіційні джерела статистичної інформації, внутрішня документація компанії, наукові роботи, підручники та монографії, що торкаються теми дослідження, дані від консалтингових фірм та новинні ресурси.</w:t>
      </w:r>
    </w:p>
    <w:p w:rsidR="00BA76DF" w:rsidRDefault="00C33D3F">
      <w:pPr>
        <w:spacing w:before="240" w:after="240" w:line="240" w:lineRule="auto"/>
        <w:ind w:left="-283" w:right="-33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Зміст роботи:</w:t>
      </w:r>
    </w:p>
    <w:p w:rsidR="00BA76DF" w:rsidRDefault="00C33D3F">
      <w:pPr>
        <w:numPr>
          <w:ilvl w:val="0"/>
          <w:numId w:val="23"/>
        </w:numPr>
        <w:spacing w:before="240" w:line="240" w:lineRule="auto"/>
        <w:ind w:right="-33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ситуаційний аналіз – огляд поточного стану компанії та її оточення для виявлення ключових факторів та проблем;</w:t>
      </w:r>
    </w:p>
    <w:p w:rsidR="00BA76DF" w:rsidRDefault="00C33D3F">
      <w:pPr>
        <w:numPr>
          <w:ilvl w:val="0"/>
          <w:numId w:val="23"/>
        </w:numPr>
        <w:spacing w:line="240" w:lineRule="auto"/>
        <w:ind w:right="-33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планування маркетингового дослідження – розробка стратегії та методології для збору та аналізу необхідної інформації;</w:t>
      </w:r>
    </w:p>
    <w:p w:rsidR="00BA76DF" w:rsidRDefault="00C33D3F">
      <w:pPr>
        <w:numPr>
          <w:ilvl w:val="0"/>
          <w:numId w:val="23"/>
        </w:numPr>
        <w:spacing w:after="240" w:line="240" w:lineRule="auto"/>
        <w:ind w:right="-33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реалізація дослідження та верифікація результатів – проведення дослідження, аналіз зібраних даних та перевірка їх достовірності та </w:t>
      </w:r>
      <w:proofErr w:type="spellStart"/>
      <w:r>
        <w:rPr>
          <w:rFonts w:ascii="Times New Roman" w:eastAsia="Times New Roman" w:hAnsi="Times New Roman" w:cs="Times New Roman"/>
          <w:sz w:val="28"/>
          <w:szCs w:val="28"/>
          <w:highlight w:val="white"/>
        </w:rPr>
        <w:t>релевантності</w:t>
      </w:r>
      <w:proofErr w:type="spellEnd"/>
      <w:r>
        <w:rPr>
          <w:rFonts w:ascii="Times New Roman" w:eastAsia="Times New Roman" w:hAnsi="Times New Roman" w:cs="Times New Roman"/>
          <w:sz w:val="28"/>
          <w:szCs w:val="28"/>
          <w:highlight w:val="white"/>
        </w:rPr>
        <w:t>, розробка та обґрунтування рекомендацій.</w:t>
      </w:r>
    </w:p>
    <w:p w:rsidR="00BA76DF" w:rsidRDefault="00C33D3F">
      <w:pPr>
        <w:spacing w:before="240" w:after="240" w:line="240" w:lineRule="auto"/>
        <w:ind w:left="-283" w:right="-33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5. Перелік ілюстративного матеріалу: 13 таблиць і 15 рисунків, 1 презентація. </w:t>
      </w:r>
    </w:p>
    <w:p w:rsidR="00BA76DF" w:rsidRDefault="00C33D3F">
      <w:pPr>
        <w:spacing w:before="240" w:after="240" w:line="240" w:lineRule="auto"/>
        <w:ind w:left="-283" w:right="-33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6. Дата видачі завдання «5» лютого 2024 р.</w:t>
      </w:r>
    </w:p>
    <w:p w:rsidR="00BA76DF" w:rsidRDefault="00C33D3F">
      <w:pPr>
        <w:spacing w:before="240" w:after="240" w:line="240" w:lineRule="auto"/>
        <w:ind w:left="-283" w:right="-33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Календарний план</w:t>
      </w:r>
    </w:p>
    <w:tbl>
      <w:tblPr>
        <w:tblStyle w:val="a5"/>
        <w:tblW w:w="9870"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6060"/>
        <w:gridCol w:w="2070"/>
        <w:gridCol w:w="1200"/>
      </w:tblGrid>
      <w:tr w:rsidR="00BA76DF">
        <w:trPr>
          <w:trHeight w:val="870"/>
        </w:trPr>
        <w:tc>
          <w:tcPr>
            <w:tcW w:w="540" w:type="dxa"/>
          </w:tcPr>
          <w:p w:rsidR="00BA76DF" w:rsidRDefault="00C33D3F">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п/п </w:t>
            </w:r>
          </w:p>
        </w:tc>
        <w:tc>
          <w:tcPr>
            <w:tcW w:w="6060" w:type="dxa"/>
          </w:tcPr>
          <w:p w:rsidR="00BA76DF" w:rsidRDefault="00C33D3F">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Назва етапів виконання дипломної роботи </w:t>
            </w:r>
          </w:p>
        </w:tc>
        <w:tc>
          <w:tcPr>
            <w:tcW w:w="2070" w:type="dxa"/>
          </w:tcPr>
          <w:p w:rsidR="00BA76DF" w:rsidRDefault="00C33D3F">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Термін виконання етапів роботи </w:t>
            </w:r>
          </w:p>
        </w:tc>
        <w:tc>
          <w:tcPr>
            <w:tcW w:w="1200" w:type="dxa"/>
          </w:tcPr>
          <w:p w:rsidR="00BA76DF" w:rsidRDefault="00C33D3F">
            <w:pPr>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Примітка</w:t>
            </w:r>
          </w:p>
        </w:tc>
      </w:tr>
      <w:tr w:rsidR="00BA76DF">
        <w:trPr>
          <w:trHeight w:val="465"/>
        </w:trPr>
        <w:tc>
          <w:tcPr>
            <w:tcW w:w="54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606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Узгодження теми і плану дипломної роботи</w:t>
            </w:r>
          </w:p>
        </w:tc>
        <w:tc>
          <w:tcPr>
            <w:tcW w:w="207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05.02.23-20.02.24</w:t>
            </w:r>
          </w:p>
        </w:tc>
        <w:tc>
          <w:tcPr>
            <w:tcW w:w="1200" w:type="dxa"/>
          </w:tcPr>
          <w:p w:rsidR="00BA76DF" w:rsidRDefault="00BA76DF">
            <w:pPr>
              <w:ind w:right="-330"/>
              <w:jc w:val="both"/>
              <w:rPr>
                <w:rFonts w:ascii="Times New Roman" w:eastAsia="Times New Roman" w:hAnsi="Times New Roman" w:cs="Times New Roman"/>
                <w:b/>
                <w:sz w:val="24"/>
                <w:szCs w:val="24"/>
                <w:highlight w:val="white"/>
              </w:rPr>
            </w:pPr>
          </w:p>
        </w:tc>
      </w:tr>
      <w:tr w:rsidR="00BA76DF">
        <w:trPr>
          <w:trHeight w:val="515"/>
        </w:trPr>
        <w:tc>
          <w:tcPr>
            <w:tcW w:w="54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c>
          <w:tcPr>
            <w:tcW w:w="606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Аналіз внутрішнього середовища підприємства</w:t>
            </w:r>
          </w:p>
        </w:tc>
        <w:tc>
          <w:tcPr>
            <w:tcW w:w="207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21.02.23-27.02.24</w:t>
            </w:r>
          </w:p>
        </w:tc>
        <w:tc>
          <w:tcPr>
            <w:tcW w:w="1200" w:type="dxa"/>
          </w:tcPr>
          <w:p w:rsidR="00BA76DF" w:rsidRDefault="00BA76DF">
            <w:pPr>
              <w:ind w:right="-330"/>
              <w:jc w:val="both"/>
              <w:rPr>
                <w:rFonts w:ascii="Times New Roman" w:eastAsia="Times New Roman" w:hAnsi="Times New Roman" w:cs="Times New Roman"/>
                <w:b/>
                <w:sz w:val="24"/>
                <w:szCs w:val="24"/>
                <w:highlight w:val="white"/>
              </w:rPr>
            </w:pPr>
          </w:p>
        </w:tc>
      </w:tr>
      <w:tr w:rsidR="00BA76DF">
        <w:trPr>
          <w:trHeight w:val="420"/>
        </w:trPr>
        <w:tc>
          <w:tcPr>
            <w:tcW w:w="54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c>
          <w:tcPr>
            <w:tcW w:w="606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Аналіз зовнішнього середовища підприємства</w:t>
            </w:r>
          </w:p>
        </w:tc>
        <w:tc>
          <w:tcPr>
            <w:tcW w:w="207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27.02.23-06.03.24</w:t>
            </w:r>
          </w:p>
        </w:tc>
        <w:tc>
          <w:tcPr>
            <w:tcW w:w="1200" w:type="dxa"/>
          </w:tcPr>
          <w:p w:rsidR="00BA76DF" w:rsidRDefault="00BA76DF">
            <w:pPr>
              <w:ind w:right="-330"/>
              <w:jc w:val="both"/>
              <w:rPr>
                <w:rFonts w:ascii="Times New Roman" w:eastAsia="Times New Roman" w:hAnsi="Times New Roman" w:cs="Times New Roman"/>
                <w:b/>
                <w:sz w:val="24"/>
                <w:szCs w:val="24"/>
                <w:highlight w:val="white"/>
              </w:rPr>
            </w:pPr>
          </w:p>
        </w:tc>
      </w:tr>
      <w:tr w:rsidR="00BA76DF">
        <w:trPr>
          <w:trHeight w:val="990"/>
        </w:trPr>
        <w:tc>
          <w:tcPr>
            <w:tcW w:w="54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c>
          <w:tcPr>
            <w:tcW w:w="606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SWOT-аналіз, визначення симптоматики маркетингової </w:t>
            </w:r>
          </w:p>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управлінської проблеми та самої маркетингової</w:t>
            </w:r>
          </w:p>
          <w:p w:rsidR="00BA76DF" w:rsidRDefault="00C33D3F">
            <w:pPr>
              <w:ind w:right="-330"/>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управлінської проблеми</w:t>
            </w:r>
          </w:p>
        </w:tc>
        <w:tc>
          <w:tcPr>
            <w:tcW w:w="207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07.03.23-14.03.24</w:t>
            </w:r>
          </w:p>
        </w:tc>
        <w:tc>
          <w:tcPr>
            <w:tcW w:w="1200" w:type="dxa"/>
          </w:tcPr>
          <w:p w:rsidR="00BA76DF" w:rsidRDefault="00BA76DF">
            <w:pPr>
              <w:ind w:right="-330"/>
              <w:jc w:val="both"/>
              <w:rPr>
                <w:rFonts w:ascii="Times New Roman" w:eastAsia="Times New Roman" w:hAnsi="Times New Roman" w:cs="Times New Roman"/>
                <w:b/>
                <w:sz w:val="24"/>
                <w:szCs w:val="24"/>
                <w:highlight w:val="white"/>
              </w:rPr>
            </w:pPr>
          </w:p>
        </w:tc>
      </w:tr>
      <w:tr w:rsidR="00BA76DF">
        <w:trPr>
          <w:trHeight w:val="660"/>
        </w:trPr>
        <w:tc>
          <w:tcPr>
            <w:tcW w:w="54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c>
          <w:tcPr>
            <w:tcW w:w="606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Аналіз теоретичних підходів вирішення маркетингової </w:t>
            </w:r>
          </w:p>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управлінської проблеми</w:t>
            </w:r>
          </w:p>
        </w:tc>
        <w:tc>
          <w:tcPr>
            <w:tcW w:w="207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15.03.23-29.03.24</w:t>
            </w:r>
          </w:p>
        </w:tc>
        <w:tc>
          <w:tcPr>
            <w:tcW w:w="1200" w:type="dxa"/>
          </w:tcPr>
          <w:p w:rsidR="00BA76DF" w:rsidRDefault="00BA76DF">
            <w:pPr>
              <w:ind w:right="-330"/>
              <w:jc w:val="both"/>
              <w:rPr>
                <w:rFonts w:ascii="Times New Roman" w:eastAsia="Times New Roman" w:hAnsi="Times New Roman" w:cs="Times New Roman"/>
                <w:b/>
                <w:sz w:val="24"/>
                <w:szCs w:val="24"/>
                <w:highlight w:val="white"/>
              </w:rPr>
            </w:pPr>
          </w:p>
        </w:tc>
      </w:tr>
      <w:tr w:rsidR="00BA76DF">
        <w:trPr>
          <w:trHeight w:val="1245"/>
        </w:trPr>
        <w:tc>
          <w:tcPr>
            <w:tcW w:w="54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w:t>
            </w:r>
          </w:p>
        </w:tc>
        <w:tc>
          <w:tcPr>
            <w:tcW w:w="606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Планування маркетингового дослідження, розроблення </w:t>
            </w:r>
          </w:p>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пошукових питань, алгоритмів визначення напрямків </w:t>
            </w:r>
          </w:p>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зростання, планування організації проведення </w:t>
            </w:r>
          </w:p>
          <w:p w:rsidR="00BA76DF" w:rsidRDefault="00C33D3F">
            <w:pPr>
              <w:ind w:right="-330"/>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дослідження, розробка графіку роботи</w:t>
            </w:r>
          </w:p>
        </w:tc>
        <w:tc>
          <w:tcPr>
            <w:tcW w:w="207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30.03.23-10.04.24</w:t>
            </w:r>
          </w:p>
        </w:tc>
        <w:tc>
          <w:tcPr>
            <w:tcW w:w="1200" w:type="dxa"/>
          </w:tcPr>
          <w:p w:rsidR="00BA76DF" w:rsidRDefault="00BA76DF">
            <w:pPr>
              <w:ind w:right="-330"/>
              <w:jc w:val="both"/>
              <w:rPr>
                <w:rFonts w:ascii="Times New Roman" w:eastAsia="Times New Roman" w:hAnsi="Times New Roman" w:cs="Times New Roman"/>
                <w:b/>
                <w:sz w:val="24"/>
                <w:szCs w:val="24"/>
                <w:highlight w:val="white"/>
              </w:rPr>
            </w:pPr>
          </w:p>
        </w:tc>
      </w:tr>
      <w:tr w:rsidR="00BA76DF">
        <w:trPr>
          <w:trHeight w:val="992"/>
        </w:trPr>
        <w:tc>
          <w:tcPr>
            <w:tcW w:w="54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606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Збирання та аналіз вторинної та первинної інформації,</w:t>
            </w:r>
          </w:p>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анкетування експертів та споживачів, обробка відповідей </w:t>
            </w:r>
          </w:p>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анкетування, отримання відповідей на пошукові питання</w:t>
            </w:r>
          </w:p>
        </w:tc>
        <w:tc>
          <w:tcPr>
            <w:tcW w:w="207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11.04.23-07.05.24</w:t>
            </w:r>
          </w:p>
        </w:tc>
        <w:tc>
          <w:tcPr>
            <w:tcW w:w="1200" w:type="dxa"/>
          </w:tcPr>
          <w:p w:rsidR="00BA76DF" w:rsidRDefault="00BA76DF">
            <w:pPr>
              <w:ind w:right="-330"/>
              <w:jc w:val="both"/>
              <w:rPr>
                <w:rFonts w:ascii="Times New Roman" w:eastAsia="Times New Roman" w:hAnsi="Times New Roman" w:cs="Times New Roman"/>
                <w:b/>
                <w:sz w:val="24"/>
                <w:szCs w:val="24"/>
                <w:highlight w:val="white"/>
              </w:rPr>
            </w:pPr>
          </w:p>
        </w:tc>
      </w:tr>
      <w:tr w:rsidR="00BA76DF">
        <w:trPr>
          <w:trHeight w:val="675"/>
        </w:trPr>
        <w:tc>
          <w:tcPr>
            <w:tcW w:w="54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c>
          <w:tcPr>
            <w:tcW w:w="606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Розроблення пропозицій щодо вдосконалення </w:t>
            </w:r>
          </w:p>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маркетингової діяльності підприємства</w:t>
            </w:r>
          </w:p>
        </w:tc>
        <w:tc>
          <w:tcPr>
            <w:tcW w:w="207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08.05.23-21.05.24</w:t>
            </w:r>
          </w:p>
        </w:tc>
        <w:tc>
          <w:tcPr>
            <w:tcW w:w="1200" w:type="dxa"/>
          </w:tcPr>
          <w:p w:rsidR="00BA76DF" w:rsidRDefault="00BA76DF">
            <w:pPr>
              <w:ind w:right="-330"/>
              <w:jc w:val="both"/>
              <w:rPr>
                <w:rFonts w:ascii="Times New Roman" w:eastAsia="Times New Roman" w:hAnsi="Times New Roman" w:cs="Times New Roman"/>
                <w:b/>
                <w:sz w:val="24"/>
                <w:szCs w:val="24"/>
                <w:highlight w:val="white"/>
              </w:rPr>
            </w:pPr>
          </w:p>
        </w:tc>
      </w:tr>
      <w:tr w:rsidR="00BA76DF">
        <w:trPr>
          <w:trHeight w:val="495"/>
        </w:trPr>
        <w:tc>
          <w:tcPr>
            <w:tcW w:w="54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w:t>
            </w:r>
          </w:p>
        </w:tc>
        <w:tc>
          <w:tcPr>
            <w:tcW w:w="606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Економічна оцінка запропонованих заходів</w:t>
            </w:r>
          </w:p>
        </w:tc>
        <w:tc>
          <w:tcPr>
            <w:tcW w:w="207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22.05.23-31.05.24</w:t>
            </w:r>
          </w:p>
        </w:tc>
        <w:tc>
          <w:tcPr>
            <w:tcW w:w="1200" w:type="dxa"/>
          </w:tcPr>
          <w:p w:rsidR="00BA76DF" w:rsidRDefault="00BA76DF">
            <w:pPr>
              <w:ind w:right="-330"/>
              <w:jc w:val="both"/>
              <w:rPr>
                <w:rFonts w:ascii="Times New Roman" w:eastAsia="Times New Roman" w:hAnsi="Times New Roman" w:cs="Times New Roman"/>
                <w:b/>
                <w:sz w:val="24"/>
                <w:szCs w:val="24"/>
                <w:highlight w:val="white"/>
              </w:rPr>
            </w:pPr>
          </w:p>
        </w:tc>
      </w:tr>
      <w:tr w:rsidR="00BA76DF">
        <w:trPr>
          <w:trHeight w:val="450"/>
        </w:trPr>
        <w:tc>
          <w:tcPr>
            <w:tcW w:w="54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w:t>
            </w:r>
          </w:p>
        </w:tc>
        <w:tc>
          <w:tcPr>
            <w:tcW w:w="606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Оформлення роботи, розроблення презентації</w:t>
            </w:r>
          </w:p>
        </w:tc>
        <w:tc>
          <w:tcPr>
            <w:tcW w:w="2070" w:type="dxa"/>
          </w:tcPr>
          <w:p w:rsidR="00BA76DF" w:rsidRDefault="00C33D3F">
            <w:pPr>
              <w:ind w:right="-330"/>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07.06.23-09.06.24</w:t>
            </w:r>
          </w:p>
        </w:tc>
        <w:tc>
          <w:tcPr>
            <w:tcW w:w="1200" w:type="dxa"/>
          </w:tcPr>
          <w:p w:rsidR="00BA76DF" w:rsidRDefault="00BA76DF">
            <w:pPr>
              <w:ind w:right="-330"/>
              <w:jc w:val="both"/>
              <w:rPr>
                <w:rFonts w:ascii="Times New Roman" w:eastAsia="Times New Roman" w:hAnsi="Times New Roman" w:cs="Times New Roman"/>
                <w:b/>
                <w:sz w:val="24"/>
                <w:szCs w:val="24"/>
                <w:highlight w:val="white"/>
              </w:rPr>
            </w:pPr>
          </w:p>
        </w:tc>
      </w:tr>
    </w:tbl>
    <w:p w:rsidR="00BA76DF" w:rsidRDefault="00C33D3F">
      <w:pPr>
        <w:spacing w:before="240" w:after="240" w:line="240" w:lineRule="auto"/>
        <w:ind w:left="-283" w:right="-33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Студентка </w:t>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t xml:space="preserve">       Олена МІШКУР</w:t>
      </w:r>
    </w:p>
    <w:p w:rsidR="00BA76DF" w:rsidRDefault="00C33D3F">
      <w:pPr>
        <w:spacing w:before="240" w:after="240" w:line="240" w:lineRule="auto"/>
        <w:ind w:left="-283" w:right="-33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Керівник роботи </w:t>
      </w:r>
      <w:r>
        <w:rPr>
          <w:rFonts w:ascii="Times New Roman" w:eastAsia="Times New Roman" w:hAnsi="Times New Roman" w:cs="Times New Roman"/>
          <w:sz w:val="28"/>
          <w:szCs w:val="28"/>
          <w:highlight w:val="white"/>
        </w:rPr>
        <w:tab/>
        <w:t xml:space="preserve">           </w:t>
      </w:r>
      <w:r>
        <w:rPr>
          <w:rFonts w:ascii="Times New Roman" w:eastAsia="Times New Roman" w:hAnsi="Times New Roman" w:cs="Times New Roman"/>
          <w:sz w:val="28"/>
          <w:szCs w:val="28"/>
          <w:highlight w:val="white"/>
        </w:rPr>
        <w:tab/>
        <w:t>Євген ГНІТЕЦЬКИЙ</w:t>
      </w:r>
    </w:p>
    <w:p w:rsidR="00BA76DF" w:rsidRDefault="00BA76DF">
      <w:pPr>
        <w:spacing w:before="240" w:after="240" w:line="240" w:lineRule="auto"/>
        <w:ind w:left="-283" w:right="-330"/>
        <w:rPr>
          <w:rFonts w:ascii="Times New Roman" w:eastAsia="Times New Roman" w:hAnsi="Times New Roman" w:cs="Times New Roman"/>
          <w:sz w:val="28"/>
          <w:szCs w:val="28"/>
          <w:highlight w:val="white"/>
        </w:rPr>
      </w:pPr>
    </w:p>
    <w:p w:rsidR="00BA76DF" w:rsidRDefault="00BA76DF">
      <w:pPr>
        <w:spacing w:before="240" w:after="240" w:line="240" w:lineRule="auto"/>
        <w:ind w:left="-283" w:right="-330"/>
        <w:rPr>
          <w:rFonts w:ascii="Times New Roman" w:eastAsia="Times New Roman" w:hAnsi="Times New Roman" w:cs="Times New Roman"/>
          <w:sz w:val="28"/>
          <w:szCs w:val="28"/>
          <w:highlight w:val="white"/>
        </w:rPr>
      </w:pPr>
    </w:p>
    <w:p w:rsidR="00BA76DF" w:rsidRDefault="00BA76DF">
      <w:pPr>
        <w:spacing w:before="240" w:after="240" w:line="240" w:lineRule="auto"/>
        <w:ind w:left="-283" w:right="-330"/>
        <w:rPr>
          <w:rFonts w:ascii="Times New Roman" w:eastAsia="Times New Roman" w:hAnsi="Times New Roman" w:cs="Times New Roman"/>
          <w:sz w:val="28"/>
          <w:szCs w:val="28"/>
          <w:highlight w:val="white"/>
        </w:rPr>
      </w:pPr>
    </w:p>
    <w:p w:rsidR="00BA76DF" w:rsidRDefault="00BA76DF">
      <w:pPr>
        <w:tabs>
          <w:tab w:val="right" w:pos="9637"/>
        </w:tabs>
        <w:spacing w:before="240" w:after="240" w:line="240" w:lineRule="auto"/>
        <w:ind w:left="-283" w:right="-330" w:hanging="1"/>
        <w:rPr>
          <w:rFonts w:ascii="Times New Roman" w:eastAsia="Times New Roman" w:hAnsi="Times New Roman" w:cs="Times New Roman"/>
          <w:sz w:val="28"/>
          <w:szCs w:val="28"/>
          <w:highlight w:val="white"/>
        </w:rPr>
      </w:pPr>
    </w:p>
    <w:p w:rsidR="00BA76DF" w:rsidRDefault="00BA76DF">
      <w:pPr>
        <w:tabs>
          <w:tab w:val="right" w:pos="9637"/>
        </w:tabs>
        <w:spacing w:before="240" w:after="240" w:line="240" w:lineRule="auto"/>
        <w:ind w:left="-283" w:right="-330" w:hanging="1"/>
        <w:rPr>
          <w:rFonts w:ascii="Times New Roman" w:eastAsia="Times New Roman" w:hAnsi="Times New Roman" w:cs="Times New Roman"/>
          <w:sz w:val="28"/>
          <w:szCs w:val="28"/>
          <w:highlight w:val="white"/>
        </w:rPr>
      </w:pPr>
    </w:p>
    <w:p w:rsidR="00BA76DF" w:rsidRDefault="00BA76DF">
      <w:pPr>
        <w:tabs>
          <w:tab w:val="right" w:pos="9645"/>
        </w:tabs>
        <w:spacing w:before="240" w:after="240" w:line="240" w:lineRule="auto"/>
        <w:ind w:left="-285" w:right="-330"/>
        <w:rPr>
          <w:rFonts w:ascii="Times New Roman" w:eastAsia="Times New Roman" w:hAnsi="Times New Roman" w:cs="Times New Roman"/>
          <w:sz w:val="28"/>
          <w:szCs w:val="28"/>
          <w:highlight w:val="white"/>
        </w:rPr>
      </w:pPr>
    </w:p>
    <w:p w:rsidR="00BA76DF" w:rsidRDefault="00BA76DF">
      <w:pPr>
        <w:spacing w:before="240" w:after="240" w:line="240" w:lineRule="auto"/>
        <w:ind w:left="-283" w:right="-330"/>
        <w:rPr>
          <w:rFonts w:ascii="Times New Roman" w:eastAsia="Times New Roman" w:hAnsi="Times New Roman" w:cs="Times New Roman"/>
          <w:sz w:val="28"/>
          <w:szCs w:val="28"/>
          <w:highlight w:val="white"/>
        </w:rPr>
      </w:pP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РЕФЕРАТ </w:t>
      </w: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Дипломна робота на тему «Удосконалення маркетингової діяльності НАК «Нафтогаз України»» складається зі списку скорочень, вступу, трьох розділів (кожен з трьома пунктами), висновків, списку використаної літератури та додатків. Загалом робота містить 115 сторінок, 13 таблиць та 15 рисунків. </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Метою роботи є вивчення та аналіз маркетингової діяльності НАК «Нафтогаз України» з метою її подальшого удосконалення.</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Під час роботи використовувалися різні методи збору та аналізу інформації, зокрема опитування, кабінетні дослідження, SWOT-аналіз, перехресний SWOT-аналіз.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Результати роботи показали, що НАК «Нафтогаз України» має певні слабкі сторони у комунікації зі споживачами, які можна покращити для підвищення рівня лояльності. Було розроблено рекомендації щодо покращення маркетингової діяльності  НАК «Нафтогаз України», а саме впровадження мобільного застосунку з функціоналом оплати рахунків онлайн, моніторингу споживання газу, консультацій через чат, подачею заявок на обслуговування, надсиланням новин та акційних пропозицій.</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Ключові слова: конкурентоспроможність, лояльність, SWOT-аналіз, комунікації, споживачі, конкуренти.</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ABSTRACT</w:t>
      </w: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thesis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titled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Improvement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Marketing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Activities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Naftogaz</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Ukraine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consists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a </w:t>
      </w:r>
      <w:proofErr w:type="spellStart"/>
      <w:r>
        <w:rPr>
          <w:rFonts w:ascii="Times New Roman" w:eastAsia="Times New Roman" w:hAnsi="Times New Roman" w:cs="Times New Roman"/>
          <w:sz w:val="28"/>
          <w:szCs w:val="28"/>
          <w:highlight w:val="white"/>
        </w:rPr>
        <w:t>list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abbreviations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introduction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three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chapters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each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with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three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sections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conclusions</w:t>
      </w:r>
      <w:proofErr w:type="spellEnd"/>
      <w:r>
        <w:rPr>
          <w:rFonts w:ascii="Times New Roman" w:eastAsia="Times New Roman" w:hAnsi="Times New Roman" w:cs="Times New Roman"/>
          <w:sz w:val="28"/>
          <w:szCs w:val="28"/>
          <w:highlight w:val="white"/>
        </w:rPr>
        <w:t xml:space="preserve">, a </w:t>
      </w:r>
      <w:proofErr w:type="spellStart"/>
      <w:r>
        <w:rPr>
          <w:rFonts w:ascii="Times New Roman" w:eastAsia="Times New Roman" w:hAnsi="Times New Roman" w:cs="Times New Roman"/>
          <w:sz w:val="28"/>
          <w:szCs w:val="28"/>
          <w:highlight w:val="white"/>
        </w:rPr>
        <w:t>list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references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appendices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total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thesis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includes</w:t>
      </w:r>
      <w:proofErr w:type="spellEnd"/>
      <w:r>
        <w:rPr>
          <w:rFonts w:ascii="Times New Roman" w:eastAsia="Times New Roman" w:hAnsi="Times New Roman" w:cs="Times New Roman"/>
          <w:sz w:val="28"/>
          <w:szCs w:val="28"/>
          <w:highlight w:val="white"/>
        </w:rPr>
        <w:t xml:space="preserve"> 115 </w:t>
      </w:r>
      <w:proofErr w:type="spellStart"/>
      <w:r>
        <w:rPr>
          <w:rFonts w:ascii="Times New Roman" w:eastAsia="Times New Roman" w:hAnsi="Times New Roman" w:cs="Times New Roman"/>
          <w:sz w:val="28"/>
          <w:szCs w:val="28"/>
          <w:highlight w:val="white"/>
        </w:rPr>
        <w:t>pages</w:t>
      </w:r>
      <w:proofErr w:type="spellEnd"/>
      <w:r>
        <w:rPr>
          <w:rFonts w:ascii="Times New Roman" w:eastAsia="Times New Roman" w:hAnsi="Times New Roman" w:cs="Times New Roman"/>
          <w:sz w:val="28"/>
          <w:szCs w:val="28"/>
          <w:highlight w:val="white"/>
        </w:rPr>
        <w:t xml:space="preserve">, 13 </w:t>
      </w:r>
      <w:proofErr w:type="spellStart"/>
      <w:r>
        <w:rPr>
          <w:rFonts w:ascii="Times New Roman" w:eastAsia="Times New Roman" w:hAnsi="Times New Roman" w:cs="Times New Roman"/>
          <w:sz w:val="28"/>
          <w:szCs w:val="28"/>
          <w:highlight w:val="white"/>
        </w:rPr>
        <w:t>tables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15 </w:t>
      </w:r>
      <w:proofErr w:type="spellStart"/>
      <w:r>
        <w:rPr>
          <w:rFonts w:ascii="Times New Roman" w:eastAsia="Times New Roman" w:hAnsi="Times New Roman" w:cs="Times New Roman"/>
          <w:sz w:val="28"/>
          <w:szCs w:val="28"/>
          <w:highlight w:val="white"/>
        </w:rPr>
        <w:t>figures</w:t>
      </w:r>
      <w:proofErr w:type="spellEnd"/>
      <w:r>
        <w:rPr>
          <w:rFonts w:ascii="Times New Roman" w:eastAsia="Times New Roman" w:hAnsi="Times New Roman" w:cs="Times New Roman"/>
          <w:sz w:val="28"/>
          <w:szCs w:val="28"/>
          <w:highlight w:val="white"/>
        </w:rPr>
        <w:t xml:space="preserve">. </w:t>
      </w:r>
    </w:p>
    <w:p w:rsidR="00BA76DF" w:rsidRDefault="00C33D3F">
      <w:p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aim</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thesis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to</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study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analyze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marketing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activities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Naftogaz</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Ukraine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to</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further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improve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them</w:t>
      </w:r>
      <w:proofErr w:type="spellEnd"/>
      <w:r>
        <w:rPr>
          <w:rFonts w:ascii="Times New Roman" w:eastAsia="Times New Roman" w:hAnsi="Times New Roman" w:cs="Times New Roman"/>
          <w:sz w:val="28"/>
          <w:szCs w:val="28"/>
          <w:highlight w:val="white"/>
        </w:rPr>
        <w:t>.</w:t>
      </w:r>
    </w:p>
    <w:p w:rsidR="00BA76DF" w:rsidRDefault="00C33D3F">
      <w:pPr>
        <w:spacing w:line="360" w:lineRule="auto"/>
        <w:ind w:firstLine="720"/>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Various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methods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data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collection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analysis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were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used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during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research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including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surveys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desk</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research</w:t>
      </w:r>
      <w:proofErr w:type="spellEnd"/>
      <w:r>
        <w:rPr>
          <w:rFonts w:ascii="Times New Roman" w:eastAsia="Times New Roman" w:hAnsi="Times New Roman" w:cs="Times New Roman"/>
          <w:sz w:val="28"/>
          <w:szCs w:val="28"/>
          <w:highlight w:val="white"/>
        </w:rPr>
        <w:t xml:space="preserve">, SWOT </w:t>
      </w:r>
      <w:proofErr w:type="spellStart"/>
      <w:r>
        <w:rPr>
          <w:rFonts w:ascii="Times New Roman" w:eastAsia="Times New Roman" w:hAnsi="Times New Roman" w:cs="Times New Roman"/>
          <w:sz w:val="28"/>
          <w:szCs w:val="28"/>
          <w:highlight w:val="white"/>
        </w:rPr>
        <w:t>analysis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cross</w:t>
      </w:r>
      <w:proofErr w:type="spellEnd"/>
      <w:r>
        <w:rPr>
          <w:rFonts w:ascii="Times New Roman" w:eastAsia="Times New Roman" w:hAnsi="Times New Roman" w:cs="Times New Roman"/>
          <w:sz w:val="28"/>
          <w:szCs w:val="28"/>
          <w:highlight w:val="white"/>
        </w:rPr>
        <w:t xml:space="preserve">-SWOT </w:t>
      </w:r>
      <w:proofErr w:type="spellStart"/>
      <w:r>
        <w:rPr>
          <w:rFonts w:ascii="Times New Roman" w:eastAsia="Times New Roman" w:hAnsi="Times New Roman" w:cs="Times New Roman"/>
          <w:sz w:val="28"/>
          <w:szCs w:val="28"/>
          <w:highlight w:val="white"/>
        </w:rPr>
        <w:t>analysis</w:t>
      </w:r>
      <w:proofErr w:type="spellEnd"/>
      <w:r>
        <w:rPr>
          <w:rFonts w:ascii="Times New Roman" w:eastAsia="Times New Roman" w:hAnsi="Times New Roman" w:cs="Times New Roman"/>
          <w:sz w:val="28"/>
          <w:szCs w:val="28"/>
          <w:highlight w:val="white"/>
        </w:rPr>
        <w:t>.</w:t>
      </w:r>
    </w:p>
    <w:p w:rsidR="00BA76DF" w:rsidRDefault="00C33D3F">
      <w:pPr>
        <w:spacing w:line="360" w:lineRule="auto"/>
        <w:ind w:firstLine="720"/>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results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research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showed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that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Naftogaz</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Ukraine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has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certain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weaknesses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communication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with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consumers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which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can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be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improved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to</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increase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loyalty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Recommendations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for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improving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marketing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activities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Naftogaz</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Ukraine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were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developed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specifically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implementation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a </w:t>
      </w:r>
      <w:proofErr w:type="spellStart"/>
      <w:r>
        <w:rPr>
          <w:rFonts w:ascii="Times New Roman" w:eastAsia="Times New Roman" w:hAnsi="Times New Roman" w:cs="Times New Roman"/>
          <w:sz w:val="28"/>
          <w:szCs w:val="28"/>
          <w:highlight w:val="white"/>
        </w:rPr>
        <w:t>mobile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application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with</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functionalities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for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online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bill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payments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gas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consumption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monitoring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consultations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via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chat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service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request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submissions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the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sending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news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promotional</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offers</w:t>
      </w:r>
      <w:proofErr w:type="spellEnd"/>
      <w:r>
        <w:rPr>
          <w:rFonts w:ascii="Times New Roman" w:eastAsia="Times New Roman" w:hAnsi="Times New Roman" w:cs="Times New Roman"/>
          <w:sz w:val="28"/>
          <w:szCs w:val="28"/>
          <w:highlight w:val="white"/>
        </w:rPr>
        <w:t>.</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Keywords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competitiveness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loyalty</w:t>
      </w:r>
      <w:proofErr w:type="spellEnd"/>
      <w:r>
        <w:rPr>
          <w:rFonts w:ascii="Times New Roman" w:eastAsia="Times New Roman" w:hAnsi="Times New Roman" w:cs="Times New Roman"/>
          <w:sz w:val="28"/>
          <w:szCs w:val="28"/>
          <w:highlight w:val="white"/>
        </w:rPr>
        <w:t xml:space="preserve">, SWOT </w:t>
      </w:r>
      <w:proofErr w:type="spellStart"/>
      <w:r>
        <w:rPr>
          <w:rFonts w:ascii="Times New Roman" w:eastAsia="Times New Roman" w:hAnsi="Times New Roman" w:cs="Times New Roman"/>
          <w:sz w:val="28"/>
          <w:szCs w:val="28"/>
          <w:highlight w:val="white"/>
        </w:rPr>
        <w:t>analysis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communications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consumers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competitors</w:t>
      </w:r>
      <w:proofErr w:type="spellEnd"/>
      <w:r>
        <w:rPr>
          <w:rFonts w:ascii="Times New Roman" w:eastAsia="Times New Roman" w:hAnsi="Times New Roman" w:cs="Times New Roman"/>
          <w:sz w:val="28"/>
          <w:szCs w:val="28"/>
          <w:highlight w:val="white"/>
        </w:rPr>
        <w:t>.</w:t>
      </w:r>
    </w:p>
    <w:p w:rsidR="00BA76DF" w:rsidRDefault="00BA76DF">
      <w:pPr>
        <w:spacing w:line="360" w:lineRule="auto"/>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spacing w:before="240" w:after="24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ЗМІСТ</w:t>
      </w:r>
    </w:p>
    <w:p w:rsidR="00BA76DF" w:rsidRDefault="00BA76DF">
      <w:pPr>
        <w:spacing w:before="240" w:after="240" w:line="360" w:lineRule="auto"/>
        <w:jc w:val="center"/>
        <w:rPr>
          <w:rFonts w:ascii="Times New Roman" w:eastAsia="Times New Roman" w:hAnsi="Times New Roman" w:cs="Times New Roman"/>
          <w:sz w:val="28"/>
          <w:szCs w:val="28"/>
          <w:highlight w:val="white"/>
        </w:rPr>
      </w:pPr>
    </w:p>
    <w:sdt>
      <w:sdtPr>
        <w:id w:val="-869369859"/>
        <w:docPartObj>
          <w:docPartGallery w:val="Table of Contents"/>
          <w:docPartUnique/>
        </w:docPartObj>
      </w:sdtPr>
      <w:sdtEndPr/>
      <w:sdtContent>
        <w:p w:rsidR="00BA76DF" w:rsidRDefault="00C33D3F">
          <w:pPr>
            <w:widowControl w:val="0"/>
            <w:tabs>
              <w:tab w:val="right" w:leader="dot" w:pos="12000"/>
            </w:tabs>
            <w:spacing w:before="60" w:line="360" w:lineRule="auto"/>
            <w:jc w:val="both"/>
            <w:rPr>
              <w:rFonts w:ascii="Times New Roman" w:eastAsia="Times New Roman" w:hAnsi="Times New Roman" w:cs="Times New Roman"/>
              <w:b/>
              <w:color w:val="000000"/>
              <w:sz w:val="28"/>
              <w:szCs w:val="28"/>
            </w:rPr>
          </w:pPr>
          <w:r>
            <w:fldChar w:fldCharType="begin"/>
          </w:r>
          <w:r>
            <w:instrText xml:space="preserve"> TOC \h \u \z \t "Heading 1,1,Heading 2,2,Heading 3,3,Heading 4,4,Heading 5,5,Heading 6,6,"</w:instrText>
          </w:r>
          <w:r>
            <w:fldChar w:fldCharType="separate"/>
          </w:r>
          <w:hyperlink w:anchor="_javlqrlgrt0o">
            <w:r>
              <w:rPr>
                <w:rFonts w:ascii="Times New Roman" w:eastAsia="Times New Roman" w:hAnsi="Times New Roman" w:cs="Times New Roman"/>
                <w:color w:val="000000"/>
                <w:sz w:val="28"/>
                <w:szCs w:val="28"/>
              </w:rPr>
              <w:t>СПИСОК СКОРОЧЕНЬ</w:t>
            </w:r>
            <w:r>
              <w:rPr>
                <w:rFonts w:ascii="Times New Roman" w:eastAsia="Times New Roman" w:hAnsi="Times New Roman" w:cs="Times New Roman"/>
                <w:color w:val="000000"/>
                <w:sz w:val="28"/>
                <w:szCs w:val="28"/>
              </w:rPr>
              <w:tab/>
              <w:t>7</w:t>
            </w:r>
          </w:hyperlink>
        </w:p>
        <w:p w:rsidR="00BA76DF" w:rsidRDefault="006A1DB0">
          <w:pPr>
            <w:widowControl w:val="0"/>
            <w:tabs>
              <w:tab w:val="right" w:leader="dot" w:pos="12000"/>
            </w:tabs>
            <w:spacing w:before="60" w:line="360" w:lineRule="auto"/>
            <w:jc w:val="both"/>
            <w:rPr>
              <w:rFonts w:ascii="Times New Roman" w:eastAsia="Times New Roman" w:hAnsi="Times New Roman" w:cs="Times New Roman"/>
              <w:b/>
              <w:color w:val="000000"/>
              <w:sz w:val="28"/>
              <w:szCs w:val="28"/>
            </w:rPr>
          </w:pPr>
          <w:hyperlink w:anchor="_sw0wzmyhphst">
            <w:r w:rsidR="00C33D3F">
              <w:rPr>
                <w:rFonts w:ascii="Times New Roman" w:eastAsia="Times New Roman" w:hAnsi="Times New Roman" w:cs="Times New Roman"/>
                <w:color w:val="000000"/>
                <w:sz w:val="28"/>
                <w:szCs w:val="28"/>
                <w:highlight w:val="white"/>
              </w:rPr>
              <w:t>ВСТУП</w:t>
            </w:r>
            <w:r w:rsidR="00C33D3F">
              <w:rPr>
                <w:rFonts w:ascii="Times New Roman" w:eastAsia="Times New Roman" w:hAnsi="Times New Roman" w:cs="Times New Roman"/>
                <w:color w:val="000000"/>
                <w:sz w:val="28"/>
                <w:szCs w:val="28"/>
                <w:highlight w:val="white"/>
              </w:rPr>
              <w:tab/>
              <w:t>8</w:t>
            </w:r>
          </w:hyperlink>
        </w:p>
        <w:p w:rsidR="00BA76DF" w:rsidRDefault="006A1DB0">
          <w:pPr>
            <w:widowControl w:val="0"/>
            <w:tabs>
              <w:tab w:val="right" w:leader="dot" w:pos="12000"/>
            </w:tabs>
            <w:spacing w:before="60" w:line="360" w:lineRule="auto"/>
            <w:jc w:val="both"/>
            <w:rPr>
              <w:rFonts w:ascii="Times New Roman" w:eastAsia="Times New Roman" w:hAnsi="Times New Roman" w:cs="Times New Roman"/>
              <w:b/>
              <w:color w:val="000000"/>
              <w:sz w:val="28"/>
              <w:szCs w:val="28"/>
            </w:rPr>
          </w:pPr>
          <w:hyperlink w:anchor="_mul2hkyqpagw">
            <w:r w:rsidR="00C33D3F">
              <w:rPr>
                <w:rFonts w:ascii="Times New Roman" w:eastAsia="Times New Roman" w:hAnsi="Times New Roman" w:cs="Times New Roman"/>
                <w:color w:val="000000"/>
                <w:sz w:val="28"/>
                <w:szCs w:val="28"/>
                <w:highlight w:val="white"/>
              </w:rPr>
              <w:t>РОЗДІЛ 1 СИТУАЦІЙНИЙ АНАЛІЗ</w:t>
            </w:r>
            <w:r w:rsidR="00C33D3F">
              <w:rPr>
                <w:rFonts w:ascii="Times New Roman" w:eastAsia="Times New Roman" w:hAnsi="Times New Roman" w:cs="Times New Roman"/>
                <w:color w:val="000000"/>
                <w:sz w:val="28"/>
                <w:szCs w:val="28"/>
                <w:highlight w:val="white"/>
              </w:rPr>
              <w:tab/>
              <w:t>9</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a0gsxr74xjfg">
            <w:r w:rsidR="00C33D3F">
              <w:rPr>
                <w:rFonts w:ascii="Times New Roman" w:eastAsia="Times New Roman" w:hAnsi="Times New Roman" w:cs="Times New Roman"/>
                <w:color w:val="000000"/>
                <w:sz w:val="28"/>
                <w:szCs w:val="28"/>
                <w:highlight w:val="white"/>
              </w:rPr>
              <w:t>1.1 Аналіз діяльності НАК «Нафтогаз України»  на ринку природного газу</w:t>
            </w:r>
            <w:r w:rsidR="00C33D3F">
              <w:rPr>
                <w:rFonts w:ascii="Times New Roman" w:eastAsia="Times New Roman" w:hAnsi="Times New Roman" w:cs="Times New Roman"/>
                <w:color w:val="000000"/>
                <w:sz w:val="28"/>
                <w:szCs w:val="28"/>
                <w:highlight w:val="white"/>
              </w:rPr>
              <w:tab/>
              <w:t>9</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o316i8cqgah">
            <w:r w:rsidR="00C33D3F">
              <w:rPr>
                <w:rFonts w:ascii="Times New Roman" w:eastAsia="Times New Roman" w:hAnsi="Times New Roman" w:cs="Times New Roman"/>
                <w:color w:val="000000"/>
                <w:sz w:val="28"/>
                <w:szCs w:val="28"/>
                <w:highlight w:val="white"/>
              </w:rPr>
              <w:t>1.2 Аналіз маркетингового середовища НАК «Нафтогаз України»</w:t>
            </w:r>
            <w:r w:rsidR="00C33D3F">
              <w:rPr>
                <w:rFonts w:ascii="Times New Roman" w:eastAsia="Times New Roman" w:hAnsi="Times New Roman" w:cs="Times New Roman"/>
                <w:color w:val="000000"/>
                <w:sz w:val="28"/>
                <w:szCs w:val="28"/>
                <w:highlight w:val="white"/>
              </w:rPr>
              <w:tab/>
              <w:t>21</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w4idndb2px6u">
            <w:r w:rsidR="00C33D3F">
              <w:rPr>
                <w:rFonts w:ascii="Times New Roman" w:eastAsia="Times New Roman" w:hAnsi="Times New Roman" w:cs="Times New Roman"/>
                <w:color w:val="000000"/>
                <w:sz w:val="28"/>
                <w:szCs w:val="28"/>
                <w:highlight w:val="white"/>
              </w:rPr>
              <w:t>1.3 Визначення маркетингової управлінської проблеми</w:t>
            </w:r>
            <w:r w:rsidR="00C33D3F">
              <w:rPr>
                <w:rFonts w:ascii="Times New Roman" w:eastAsia="Times New Roman" w:hAnsi="Times New Roman" w:cs="Times New Roman"/>
                <w:color w:val="000000"/>
                <w:sz w:val="28"/>
                <w:szCs w:val="28"/>
                <w:highlight w:val="white"/>
              </w:rPr>
              <w:tab/>
              <w:t>33</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ym7i6jwhegyq">
            <w:r w:rsidR="00C33D3F">
              <w:rPr>
                <w:rFonts w:ascii="Times New Roman" w:eastAsia="Times New Roman" w:hAnsi="Times New Roman" w:cs="Times New Roman"/>
                <w:color w:val="000000"/>
                <w:sz w:val="28"/>
                <w:szCs w:val="28"/>
                <w:highlight w:val="white"/>
              </w:rPr>
              <w:t>Висновки до розділу І</w:t>
            </w:r>
            <w:r w:rsidR="00C33D3F">
              <w:rPr>
                <w:rFonts w:ascii="Times New Roman" w:eastAsia="Times New Roman" w:hAnsi="Times New Roman" w:cs="Times New Roman"/>
                <w:color w:val="000000"/>
                <w:sz w:val="28"/>
                <w:szCs w:val="28"/>
                <w:highlight w:val="white"/>
              </w:rPr>
              <w:tab/>
              <w:t>41</w:t>
            </w:r>
          </w:hyperlink>
        </w:p>
        <w:p w:rsidR="00BA76DF" w:rsidRDefault="006A1DB0">
          <w:pPr>
            <w:widowControl w:val="0"/>
            <w:tabs>
              <w:tab w:val="right" w:leader="dot" w:pos="12000"/>
            </w:tabs>
            <w:spacing w:before="60" w:line="360" w:lineRule="auto"/>
            <w:jc w:val="both"/>
            <w:rPr>
              <w:rFonts w:ascii="Times New Roman" w:eastAsia="Times New Roman" w:hAnsi="Times New Roman" w:cs="Times New Roman"/>
              <w:b/>
              <w:color w:val="000000"/>
              <w:sz w:val="28"/>
              <w:szCs w:val="28"/>
            </w:rPr>
          </w:pPr>
          <w:hyperlink w:anchor="_5jb6864rdx9t">
            <w:r w:rsidR="00C33D3F">
              <w:rPr>
                <w:rFonts w:ascii="Times New Roman" w:eastAsia="Times New Roman" w:hAnsi="Times New Roman" w:cs="Times New Roman"/>
                <w:color w:val="000000"/>
                <w:sz w:val="28"/>
                <w:szCs w:val="28"/>
                <w:highlight w:val="white"/>
              </w:rPr>
              <w:t>РОЗДІЛ 2. ПЛАНУВАННЯ МАРКЕТИНГОВОГО ДОСЛІДЖЕННЯ</w:t>
            </w:r>
            <w:r w:rsidR="00C33D3F">
              <w:rPr>
                <w:rFonts w:ascii="Times New Roman" w:eastAsia="Times New Roman" w:hAnsi="Times New Roman" w:cs="Times New Roman"/>
                <w:color w:val="000000"/>
                <w:sz w:val="28"/>
                <w:szCs w:val="28"/>
                <w:highlight w:val="white"/>
              </w:rPr>
              <w:tab/>
              <w:t>42</w:t>
            </w:r>
          </w:hyperlink>
        </w:p>
        <w:p w:rsidR="00BA76DF" w:rsidRDefault="006A1DB0">
          <w:pPr>
            <w:widowControl w:val="0"/>
            <w:tabs>
              <w:tab w:val="right" w:leader="dot" w:pos="12000"/>
            </w:tabs>
            <w:spacing w:before="60" w:line="360" w:lineRule="auto"/>
            <w:jc w:val="both"/>
            <w:rPr>
              <w:rFonts w:ascii="Times New Roman" w:eastAsia="Times New Roman" w:hAnsi="Times New Roman" w:cs="Times New Roman"/>
              <w:b/>
              <w:color w:val="000000"/>
              <w:sz w:val="28"/>
              <w:szCs w:val="28"/>
            </w:rPr>
          </w:pPr>
          <w:hyperlink w:anchor="_psrfc5zdghmm">
            <w:r w:rsidR="00C33D3F">
              <w:rPr>
                <w:rFonts w:ascii="Times New Roman" w:eastAsia="Times New Roman" w:hAnsi="Times New Roman" w:cs="Times New Roman"/>
                <w:color w:val="000000"/>
                <w:sz w:val="28"/>
                <w:szCs w:val="28"/>
              </w:rPr>
              <w:t>2.1 Методологія дослідження</w:t>
            </w:r>
            <w:r w:rsidR="00C33D3F">
              <w:rPr>
                <w:rFonts w:ascii="Times New Roman" w:eastAsia="Times New Roman" w:hAnsi="Times New Roman" w:cs="Times New Roman"/>
                <w:color w:val="000000"/>
                <w:sz w:val="28"/>
                <w:szCs w:val="28"/>
              </w:rPr>
              <w:tab/>
              <w:t>42</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xbu7bnfqmff2">
            <w:r w:rsidR="00C33D3F">
              <w:rPr>
                <w:rFonts w:ascii="Times New Roman" w:eastAsia="Times New Roman" w:hAnsi="Times New Roman" w:cs="Times New Roman"/>
                <w:color w:val="000000"/>
                <w:sz w:val="28"/>
                <w:szCs w:val="28"/>
                <w:highlight w:val="white"/>
              </w:rPr>
              <w:t>2.2 Визначення цілей та завдань дослідження</w:t>
            </w:r>
            <w:r w:rsidR="00C33D3F">
              <w:rPr>
                <w:rFonts w:ascii="Times New Roman" w:eastAsia="Times New Roman" w:hAnsi="Times New Roman" w:cs="Times New Roman"/>
                <w:color w:val="000000"/>
                <w:sz w:val="28"/>
                <w:szCs w:val="28"/>
                <w:highlight w:val="white"/>
              </w:rPr>
              <w:tab/>
              <w:t>50</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3irk3u8xk80j">
            <w:r w:rsidR="00C33D3F">
              <w:rPr>
                <w:rFonts w:ascii="Times New Roman" w:eastAsia="Times New Roman" w:hAnsi="Times New Roman" w:cs="Times New Roman"/>
                <w:color w:val="000000"/>
                <w:sz w:val="28"/>
                <w:szCs w:val="28"/>
                <w:highlight w:val="white"/>
              </w:rPr>
              <w:t>2.3 Планування та організація збору даних</w:t>
            </w:r>
            <w:r w:rsidR="00C33D3F">
              <w:rPr>
                <w:rFonts w:ascii="Times New Roman" w:eastAsia="Times New Roman" w:hAnsi="Times New Roman" w:cs="Times New Roman"/>
                <w:color w:val="000000"/>
                <w:sz w:val="28"/>
                <w:szCs w:val="28"/>
                <w:highlight w:val="white"/>
              </w:rPr>
              <w:tab/>
              <w:t>58</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1sujy063mjcx">
            <w:r w:rsidR="00C33D3F">
              <w:rPr>
                <w:rFonts w:ascii="Times New Roman" w:eastAsia="Times New Roman" w:hAnsi="Times New Roman" w:cs="Times New Roman"/>
                <w:color w:val="000000"/>
                <w:sz w:val="28"/>
                <w:szCs w:val="28"/>
                <w:highlight w:val="white"/>
              </w:rPr>
              <w:t>Висновки до розділу 2</w:t>
            </w:r>
            <w:r w:rsidR="00C33D3F">
              <w:rPr>
                <w:rFonts w:ascii="Times New Roman" w:eastAsia="Times New Roman" w:hAnsi="Times New Roman" w:cs="Times New Roman"/>
                <w:color w:val="000000"/>
                <w:sz w:val="28"/>
                <w:szCs w:val="28"/>
                <w:highlight w:val="white"/>
              </w:rPr>
              <w:tab/>
              <w:t>66</w:t>
            </w:r>
          </w:hyperlink>
        </w:p>
        <w:p w:rsidR="00BA76DF" w:rsidRDefault="006A1DB0">
          <w:pPr>
            <w:widowControl w:val="0"/>
            <w:tabs>
              <w:tab w:val="right" w:leader="dot" w:pos="12000"/>
            </w:tabs>
            <w:spacing w:before="60" w:line="360" w:lineRule="auto"/>
            <w:jc w:val="both"/>
            <w:rPr>
              <w:rFonts w:ascii="Times New Roman" w:eastAsia="Times New Roman" w:hAnsi="Times New Roman" w:cs="Times New Roman"/>
              <w:b/>
              <w:color w:val="000000"/>
              <w:sz w:val="28"/>
              <w:szCs w:val="28"/>
            </w:rPr>
          </w:pPr>
          <w:hyperlink w:anchor="_6fip7bz4huqr">
            <w:r w:rsidR="00C33D3F">
              <w:rPr>
                <w:rFonts w:ascii="Times New Roman" w:eastAsia="Times New Roman" w:hAnsi="Times New Roman" w:cs="Times New Roman"/>
                <w:color w:val="000000"/>
                <w:sz w:val="28"/>
                <w:szCs w:val="28"/>
                <w:highlight w:val="white"/>
              </w:rPr>
              <w:t>РОЗДІЛ 3. РЕАЛІЗАЦІЯ ДОСЛІДЖЕННЯ ТА ВЕРИФІКАЦІЯ РЕЗУЛЬТАТІВ</w:t>
            </w:r>
            <w:r w:rsidR="00C33D3F">
              <w:rPr>
                <w:rFonts w:ascii="Times New Roman" w:eastAsia="Times New Roman" w:hAnsi="Times New Roman" w:cs="Times New Roman"/>
                <w:color w:val="000000"/>
                <w:sz w:val="28"/>
                <w:szCs w:val="28"/>
                <w:highlight w:val="white"/>
              </w:rPr>
              <w:tab/>
              <w:t>68</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3m17rvi9b1lx">
            <w:r w:rsidR="00C33D3F">
              <w:rPr>
                <w:rFonts w:ascii="Times New Roman" w:eastAsia="Times New Roman" w:hAnsi="Times New Roman" w:cs="Times New Roman"/>
                <w:color w:val="000000"/>
                <w:sz w:val="28"/>
                <w:szCs w:val="28"/>
                <w:highlight w:val="white"/>
              </w:rPr>
              <w:t>3.1 Збір та аналіз даних</w:t>
            </w:r>
            <w:r w:rsidR="00C33D3F">
              <w:rPr>
                <w:rFonts w:ascii="Times New Roman" w:eastAsia="Times New Roman" w:hAnsi="Times New Roman" w:cs="Times New Roman"/>
                <w:color w:val="000000"/>
                <w:sz w:val="28"/>
                <w:szCs w:val="28"/>
                <w:highlight w:val="white"/>
              </w:rPr>
              <w:tab/>
              <w:t>68</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y6zl1iiz4btl">
            <w:r w:rsidR="00C33D3F">
              <w:rPr>
                <w:rFonts w:ascii="Times New Roman" w:eastAsia="Times New Roman" w:hAnsi="Times New Roman" w:cs="Times New Roman"/>
                <w:color w:val="000000"/>
                <w:sz w:val="28"/>
                <w:szCs w:val="28"/>
                <w:highlight w:val="white"/>
              </w:rPr>
              <w:t>3.2 Пропозиції щодо удосконалення маркетингової діяльності підприємства</w:t>
            </w:r>
            <w:r w:rsidR="00C33D3F">
              <w:rPr>
                <w:rFonts w:ascii="Times New Roman" w:eastAsia="Times New Roman" w:hAnsi="Times New Roman" w:cs="Times New Roman"/>
                <w:color w:val="000000"/>
                <w:sz w:val="28"/>
                <w:szCs w:val="28"/>
                <w:highlight w:val="white"/>
              </w:rPr>
              <w:tab/>
              <w:t>81</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em49n1yfl1rd">
            <w:r w:rsidR="00C33D3F">
              <w:rPr>
                <w:rFonts w:ascii="Times New Roman" w:eastAsia="Times New Roman" w:hAnsi="Times New Roman" w:cs="Times New Roman"/>
                <w:color w:val="000000"/>
                <w:sz w:val="28"/>
                <w:szCs w:val="28"/>
                <w:highlight w:val="white"/>
              </w:rPr>
              <w:t>3.3 Економічне обґрунтування ефективності маркетингових заходів</w:t>
            </w:r>
            <w:r w:rsidR="00C33D3F">
              <w:rPr>
                <w:rFonts w:ascii="Times New Roman" w:eastAsia="Times New Roman" w:hAnsi="Times New Roman" w:cs="Times New Roman"/>
                <w:color w:val="000000"/>
                <w:sz w:val="28"/>
                <w:szCs w:val="28"/>
                <w:highlight w:val="white"/>
              </w:rPr>
              <w:tab/>
              <w:t>88</w:t>
            </w:r>
          </w:hyperlink>
        </w:p>
        <w:p w:rsidR="00BA76DF" w:rsidRDefault="006A1DB0">
          <w:pPr>
            <w:widowControl w:val="0"/>
            <w:tabs>
              <w:tab w:val="right" w:leader="dot" w:pos="12000"/>
            </w:tabs>
            <w:spacing w:before="60" w:line="360" w:lineRule="auto"/>
            <w:ind w:left="360"/>
            <w:jc w:val="both"/>
            <w:rPr>
              <w:rFonts w:ascii="Times New Roman" w:eastAsia="Times New Roman" w:hAnsi="Times New Roman" w:cs="Times New Roman"/>
              <w:color w:val="000000"/>
              <w:sz w:val="28"/>
              <w:szCs w:val="28"/>
            </w:rPr>
          </w:pPr>
          <w:hyperlink w:anchor="_66vgamym3qsp">
            <w:r w:rsidR="00C33D3F">
              <w:rPr>
                <w:rFonts w:ascii="Times New Roman" w:eastAsia="Times New Roman" w:hAnsi="Times New Roman" w:cs="Times New Roman"/>
                <w:color w:val="000000"/>
                <w:sz w:val="28"/>
                <w:szCs w:val="28"/>
              </w:rPr>
              <w:t>Висновки до розділу 3</w:t>
            </w:r>
            <w:r w:rsidR="00C33D3F">
              <w:rPr>
                <w:rFonts w:ascii="Times New Roman" w:eastAsia="Times New Roman" w:hAnsi="Times New Roman" w:cs="Times New Roman"/>
                <w:color w:val="000000"/>
                <w:sz w:val="28"/>
                <w:szCs w:val="28"/>
              </w:rPr>
              <w:tab/>
              <w:t>96</w:t>
            </w:r>
          </w:hyperlink>
        </w:p>
        <w:p w:rsidR="00BA76DF" w:rsidRDefault="006A1DB0">
          <w:pPr>
            <w:widowControl w:val="0"/>
            <w:tabs>
              <w:tab w:val="right" w:leader="dot" w:pos="12000"/>
            </w:tabs>
            <w:spacing w:before="60" w:line="360" w:lineRule="auto"/>
            <w:jc w:val="both"/>
            <w:rPr>
              <w:rFonts w:ascii="Times New Roman" w:eastAsia="Times New Roman" w:hAnsi="Times New Roman" w:cs="Times New Roman"/>
              <w:b/>
              <w:color w:val="000000"/>
              <w:sz w:val="28"/>
              <w:szCs w:val="28"/>
            </w:rPr>
          </w:pPr>
          <w:hyperlink w:anchor="_r5z9j1vgidzw">
            <w:r w:rsidR="00C33D3F">
              <w:rPr>
                <w:rFonts w:ascii="Times New Roman" w:eastAsia="Times New Roman" w:hAnsi="Times New Roman" w:cs="Times New Roman"/>
                <w:color w:val="000000"/>
                <w:sz w:val="28"/>
                <w:szCs w:val="28"/>
              </w:rPr>
              <w:t>ВИСНОВКИ</w:t>
            </w:r>
            <w:r w:rsidR="00C33D3F">
              <w:rPr>
                <w:rFonts w:ascii="Times New Roman" w:eastAsia="Times New Roman" w:hAnsi="Times New Roman" w:cs="Times New Roman"/>
                <w:color w:val="000000"/>
                <w:sz w:val="28"/>
                <w:szCs w:val="28"/>
              </w:rPr>
              <w:tab/>
              <w:t>97</w:t>
            </w:r>
          </w:hyperlink>
        </w:p>
        <w:p w:rsidR="00BA76DF" w:rsidRDefault="006A1DB0">
          <w:pPr>
            <w:widowControl w:val="0"/>
            <w:tabs>
              <w:tab w:val="right" w:leader="dot" w:pos="12000"/>
            </w:tabs>
            <w:spacing w:before="60" w:line="360" w:lineRule="auto"/>
            <w:jc w:val="both"/>
            <w:rPr>
              <w:rFonts w:ascii="Times New Roman" w:eastAsia="Times New Roman" w:hAnsi="Times New Roman" w:cs="Times New Roman"/>
              <w:b/>
              <w:color w:val="000000"/>
              <w:sz w:val="28"/>
              <w:szCs w:val="28"/>
            </w:rPr>
          </w:pPr>
          <w:hyperlink w:anchor="_sbxqv343ealq">
            <w:r w:rsidR="00C33D3F">
              <w:rPr>
                <w:rFonts w:ascii="Times New Roman" w:eastAsia="Times New Roman" w:hAnsi="Times New Roman" w:cs="Times New Roman"/>
                <w:color w:val="000000"/>
                <w:sz w:val="28"/>
                <w:szCs w:val="28"/>
                <w:highlight w:val="white"/>
              </w:rPr>
              <w:t>СПИСОК ВИКОРИСТАНИХ ДЖЕРЕЛ</w:t>
            </w:r>
            <w:r w:rsidR="00C33D3F">
              <w:rPr>
                <w:rFonts w:ascii="Times New Roman" w:eastAsia="Times New Roman" w:hAnsi="Times New Roman" w:cs="Times New Roman"/>
                <w:color w:val="000000"/>
                <w:sz w:val="28"/>
                <w:szCs w:val="28"/>
                <w:highlight w:val="white"/>
              </w:rPr>
              <w:tab/>
              <w:t>98</w:t>
            </w:r>
          </w:hyperlink>
        </w:p>
        <w:p w:rsidR="00BA76DF" w:rsidRDefault="006A1DB0">
          <w:pPr>
            <w:widowControl w:val="0"/>
            <w:tabs>
              <w:tab w:val="right" w:leader="dot" w:pos="12000"/>
            </w:tabs>
            <w:spacing w:before="60" w:line="360" w:lineRule="auto"/>
            <w:jc w:val="both"/>
            <w:rPr>
              <w:rFonts w:ascii="Times New Roman" w:eastAsia="Times New Roman" w:hAnsi="Times New Roman" w:cs="Times New Roman"/>
              <w:b/>
              <w:color w:val="000000"/>
              <w:sz w:val="28"/>
              <w:szCs w:val="28"/>
            </w:rPr>
          </w:pPr>
          <w:hyperlink w:anchor="_35bri2sk6hyk">
            <w:r w:rsidR="00C33D3F">
              <w:rPr>
                <w:rFonts w:ascii="Times New Roman" w:eastAsia="Times New Roman" w:hAnsi="Times New Roman" w:cs="Times New Roman"/>
                <w:color w:val="000000"/>
                <w:sz w:val="28"/>
                <w:szCs w:val="28"/>
                <w:highlight w:val="white"/>
              </w:rPr>
              <w:t>ДОДАТКИ</w:t>
            </w:r>
            <w:r w:rsidR="00C33D3F">
              <w:rPr>
                <w:rFonts w:ascii="Times New Roman" w:eastAsia="Times New Roman" w:hAnsi="Times New Roman" w:cs="Times New Roman"/>
                <w:color w:val="000000"/>
                <w:sz w:val="28"/>
                <w:szCs w:val="28"/>
                <w:highlight w:val="white"/>
              </w:rPr>
              <w:tab/>
              <w:t>103</w:t>
            </w:r>
          </w:hyperlink>
          <w:r w:rsidR="00C33D3F">
            <w:fldChar w:fldCharType="end"/>
          </w:r>
        </w:p>
      </w:sdtContent>
    </w:sdt>
    <w:p w:rsidR="00BA76DF" w:rsidRDefault="00BA76DF">
      <w:pPr>
        <w:spacing w:before="240" w:after="240"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 w:rsidR="00BA76DF" w:rsidRDefault="00BA76DF"/>
    <w:p w:rsidR="00BA76DF" w:rsidRDefault="00C33D3F">
      <w:pPr>
        <w:pStyle w:val="1"/>
      </w:pPr>
      <w:bookmarkStart w:id="1" w:name="_javlqrlgrt0o" w:colFirst="0" w:colLast="0"/>
      <w:bookmarkEnd w:id="1"/>
      <w:r>
        <w:lastRenderedPageBreak/>
        <w:t>СПИСОК СКОРОЧЕНЬ</w:t>
      </w:r>
    </w:p>
    <w:p w:rsidR="00BA76DF" w:rsidRDefault="00BA76DF"/>
    <w:p w:rsidR="00BA76DF" w:rsidRDefault="00C33D3F">
      <w:pPr>
        <w:spacing w:line="360" w:lineRule="auto"/>
        <w:ind w:left="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НАК - Національна акціонерна компанія</w:t>
      </w:r>
    </w:p>
    <w:p w:rsidR="00BA76DF" w:rsidRDefault="00C33D3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SWOT - </w:t>
      </w:r>
      <w:proofErr w:type="spellStart"/>
      <w:r>
        <w:rPr>
          <w:rFonts w:ascii="Times New Roman" w:eastAsia="Times New Roman" w:hAnsi="Times New Roman" w:cs="Times New Roman"/>
          <w:sz w:val="28"/>
          <w:szCs w:val="28"/>
        </w:rPr>
        <w:t>Strengths</w:t>
      </w:r>
      <w:proofErr w:type="spellEnd"/>
      <w:r>
        <w:rPr>
          <w:rFonts w:ascii="Times New Roman" w:eastAsia="Times New Roman" w:hAnsi="Times New Roman" w:cs="Times New Roman"/>
          <w:sz w:val="28"/>
          <w:szCs w:val="28"/>
        </w:rPr>
        <w:t xml:space="preserve"> (сильні сторони), </w:t>
      </w:r>
      <w:proofErr w:type="spellStart"/>
      <w:r>
        <w:rPr>
          <w:rFonts w:ascii="Times New Roman" w:eastAsia="Times New Roman" w:hAnsi="Times New Roman" w:cs="Times New Roman"/>
          <w:sz w:val="28"/>
          <w:szCs w:val="28"/>
        </w:rPr>
        <w:t>Weaknesses</w:t>
      </w:r>
      <w:proofErr w:type="spellEnd"/>
      <w:r>
        <w:rPr>
          <w:rFonts w:ascii="Times New Roman" w:eastAsia="Times New Roman" w:hAnsi="Times New Roman" w:cs="Times New Roman"/>
          <w:sz w:val="28"/>
          <w:szCs w:val="28"/>
        </w:rPr>
        <w:t xml:space="preserve"> (слабкі сторони),</w:t>
      </w:r>
    </w:p>
    <w:p w:rsidR="00BA76DF" w:rsidRDefault="00C33D3F">
      <w:pPr>
        <w:spacing w:line="36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Opportunities</w:t>
      </w:r>
      <w:proofErr w:type="spellEnd"/>
      <w:r>
        <w:rPr>
          <w:rFonts w:ascii="Times New Roman" w:eastAsia="Times New Roman" w:hAnsi="Times New Roman" w:cs="Times New Roman"/>
          <w:sz w:val="28"/>
          <w:szCs w:val="28"/>
        </w:rPr>
        <w:t xml:space="preserve"> (можливості), </w:t>
      </w:r>
      <w:proofErr w:type="spellStart"/>
      <w:r>
        <w:rPr>
          <w:rFonts w:ascii="Times New Roman" w:eastAsia="Times New Roman" w:hAnsi="Times New Roman" w:cs="Times New Roman"/>
          <w:sz w:val="28"/>
          <w:szCs w:val="28"/>
        </w:rPr>
        <w:t>Threats</w:t>
      </w:r>
      <w:proofErr w:type="spellEnd"/>
      <w:r>
        <w:rPr>
          <w:rFonts w:ascii="Times New Roman" w:eastAsia="Times New Roman" w:hAnsi="Times New Roman" w:cs="Times New Roman"/>
          <w:sz w:val="28"/>
          <w:szCs w:val="28"/>
        </w:rPr>
        <w:t xml:space="preserve"> (загрози)</w:t>
      </w:r>
    </w:p>
    <w:p w:rsidR="00BA76DF" w:rsidRDefault="00C33D3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 - Засоби масової інформації</w:t>
      </w:r>
    </w:p>
    <w:p w:rsidR="00BA76DF" w:rsidRDefault="00C33D3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ГРМ - газорозподільні мережі</w:t>
      </w:r>
    </w:p>
    <w:p w:rsidR="00BA76DF" w:rsidRDefault="00C33D3F">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КВЕД - класифікація видів економічної діяльності</w:t>
      </w:r>
    </w:p>
    <w:p w:rsidR="00BA76DF" w:rsidRDefault="00C33D3F">
      <w:pPr>
        <w:spacing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НКРЕКП - Національна комісія, що здійснює державне регулювання у    сферах енергетики та комунальних послуг</w:t>
      </w:r>
    </w:p>
    <w:p w:rsidR="00BA76DF" w:rsidRDefault="00C33D3F">
      <w:pPr>
        <w:spacing w:line="360" w:lineRule="auto"/>
        <w:ind w:left="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CRM - </w:t>
      </w:r>
      <w:proofErr w:type="spellStart"/>
      <w:r>
        <w:rPr>
          <w:rFonts w:ascii="Times New Roman" w:eastAsia="Times New Roman" w:hAnsi="Times New Roman" w:cs="Times New Roman"/>
          <w:sz w:val="28"/>
          <w:szCs w:val="28"/>
          <w:highlight w:val="white"/>
        </w:rPr>
        <w:t>Customer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Relationship</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Management</w:t>
      </w:r>
      <w:proofErr w:type="spellEnd"/>
      <w:r>
        <w:rPr>
          <w:rFonts w:ascii="Times New Roman" w:eastAsia="Times New Roman" w:hAnsi="Times New Roman" w:cs="Times New Roman"/>
          <w:sz w:val="28"/>
          <w:szCs w:val="28"/>
          <w:highlight w:val="white"/>
        </w:rPr>
        <w:t xml:space="preserve"> (Управління взаємовідносинами з клієнтами) </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BA76DF">
      <w:pPr>
        <w:spacing w:line="360" w:lineRule="auto"/>
        <w:jc w:val="both"/>
        <w:rPr>
          <w:rFonts w:ascii="Times New Roman" w:eastAsia="Times New Roman" w:hAnsi="Times New Roman" w:cs="Times New Roman"/>
          <w:sz w:val="28"/>
          <w:szCs w:val="28"/>
        </w:rPr>
      </w:pPr>
    </w:p>
    <w:p w:rsidR="00BA76DF" w:rsidRDefault="00C33D3F">
      <w:pPr>
        <w:pStyle w:val="1"/>
      </w:pPr>
      <w:bookmarkStart w:id="2" w:name="_sw0wzmyhphst" w:colFirst="0" w:colLast="0"/>
      <w:bookmarkEnd w:id="2"/>
      <w:r>
        <w:lastRenderedPageBreak/>
        <w:t>ВСТУП</w:t>
      </w:r>
    </w:p>
    <w:p w:rsidR="00BA76DF" w:rsidRDefault="00BA76DF"/>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Нафтогазова промисловість в Україні є важливим сегментом економіки, забезпечуючи країну енергетичними ресурсами та впливаючи на її економічний розвиток. Національна акціонерна компанія «Нафтогаз України« (далі - НАК «Нафтогаз України») є ключовою компанією у цій галузі, здійснюючи діяльність у сфері видобутку, транспортування та реалізації природного газу, а також у сегменті електроенергетики. З метою підвищення конкурентоспроможності та ефективності своєї діяльності, НАК «Нафтогаз України» постійно вдосконалює свою маркетингову стратегію. Мета даної дипломної роботи полягає у вивченні та аналізі маркетингової діяльності НАК «Нафтогаз України» з метою її подальшого удосконалення. Для досягнення цієї мети передбачено вирішення таких завдань:</w:t>
      </w:r>
    </w:p>
    <w:p w:rsidR="00BA76DF" w:rsidRDefault="00C33D3F">
      <w:pPr>
        <w:numPr>
          <w:ilvl w:val="0"/>
          <w:numId w:val="2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Визначення основних аспектів маркетингової діяльності НАК «Нафтогаз України»;</w:t>
      </w:r>
    </w:p>
    <w:p w:rsidR="00BA76DF" w:rsidRDefault="00C33D3F">
      <w:pPr>
        <w:numPr>
          <w:ilvl w:val="0"/>
          <w:numId w:val="2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поточного стану маркетингової стратегії підприємства;</w:t>
      </w:r>
    </w:p>
    <w:p w:rsidR="00BA76DF" w:rsidRDefault="00C33D3F">
      <w:pPr>
        <w:numPr>
          <w:ilvl w:val="0"/>
          <w:numId w:val="2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Виявлення проблемних питань у маркетинговій діяльності НАК «Нафтогаз України»;</w:t>
      </w:r>
    </w:p>
    <w:p w:rsidR="00BA76DF" w:rsidRDefault="00C33D3F">
      <w:pPr>
        <w:numPr>
          <w:ilvl w:val="0"/>
          <w:numId w:val="2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Розроблення пропозицій щодо удосконалення маркетингової стратегії НАК «Нафтогаз України».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досягнення поставлених завдань використовувалися методи теоретичного аналізу, порівняльного аналізу та експертної оцінки. Також були проведені опитування серед споживачів послуг НАК «Нафтогаз України» для збирання первинної інформації. Результати дослідження можуть бути корисними для управління НАК «Нафтогаз України» у плануванні та реалізації маркетингових заходів, спрямованих на підвищення його конкурентоспроможності та ефективності діяльності. Наукові дослідження різних аспектів маркетингової діяльності відображено в працях зарубіжних і вітчизняних вчених, таких як: Д. </w:t>
      </w:r>
      <w:proofErr w:type="spellStart"/>
      <w:r>
        <w:rPr>
          <w:rFonts w:ascii="Times New Roman" w:eastAsia="Times New Roman" w:hAnsi="Times New Roman" w:cs="Times New Roman"/>
          <w:sz w:val="28"/>
          <w:szCs w:val="28"/>
          <w:highlight w:val="white"/>
        </w:rPr>
        <w:t>Аакер</w:t>
      </w:r>
      <w:proofErr w:type="spellEnd"/>
      <w:r>
        <w:rPr>
          <w:rFonts w:ascii="Times New Roman" w:eastAsia="Times New Roman" w:hAnsi="Times New Roman" w:cs="Times New Roman"/>
          <w:sz w:val="28"/>
          <w:szCs w:val="28"/>
          <w:highlight w:val="white"/>
        </w:rPr>
        <w:t xml:space="preserve">, Ф. </w:t>
      </w:r>
      <w:proofErr w:type="spellStart"/>
      <w:r>
        <w:rPr>
          <w:rFonts w:ascii="Times New Roman" w:eastAsia="Times New Roman" w:hAnsi="Times New Roman" w:cs="Times New Roman"/>
          <w:sz w:val="28"/>
          <w:szCs w:val="28"/>
          <w:highlight w:val="white"/>
        </w:rPr>
        <w:t>Котлер</w:t>
      </w:r>
      <w:proofErr w:type="spellEnd"/>
      <w:r>
        <w:rPr>
          <w:rFonts w:ascii="Times New Roman" w:eastAsia="Times New Roman" w:hAnsi="Times New Roman" w:cs="Times New Roman"/>
          <w:sz w:val="28"/>
          <w:szCs w:val="28"/>
          <w:highlight w:val="white"/>
        </w:rPr>
        <w:t xml:space="preserve">, Ф. </w:t>
      </w:r>
      <w:proofErr w:type="spellStart"/>
      <w:r>
        <w:rPr>
          <w:rFonts w:ascii="Times New Roman" w:eastAsia="Times New Roman" w:hAnsi="Times New Roman" w:cs="Times New Roman"/>
          <w:sz w:val="28"/>
          <w:szCs w:val="28"/>
          <w:highlight w:val="white"/>
        </w:rPr>
        <w:t>Райхельд</w:t>
      </w:r>
      <w:proofErr w:type="spellEnd"/>
      <w:r>
        <w:rPr>
          <w:rFonts w:ascii="Times New Roman" w:eastAsia="Times New Roman" w:hAnsi="Times New Roman" w:cs="Times New Roman"/>
          <w:sz w:val="28"/>
          <w:szCs w:val="28"/>
          <w:highlight w:val="white"/>
        </w:rPr>
        <w:t xml:space="preserve">, Д. Гріффін, Д. </w:t>
      </w:r>
      <w:proofErr w:type="spellStart"/>
      <w:r>
        <w:rPr>
          <w:rFonts w:ascii="Times New Roman" w:eastAsia="Times New Roman" w:hAnsi="Times New Roman" w:cs="Times New Roman"/>
          <w:sz w:val="28"/>
          <w:szCs w:val="28"/>
          <w:highlight w:val="white"/>
        </w:rPr>
        <w:t>Гремлер</w:t>
      </w:r>
      <w:proofErr w:type="spellEnd"/>
      <w:r>
        <w:rPr>
          <w:rFonts w:ascii="Times New Roman" w:eastAsia="Times New Roman" w:hAnsi="Times New Roman" w:cs="Times New Roman"/>
          <w:sz w:val="28"/>
          <w:szCs w:val="28"/>
          <w:highlight w:val="white"/>
        </w:rPr>
        <w:t xml:space="preserve">, С. Браун, А.В. </w:t>
      </w:r>
      <w:proofErr w:type="spellStart"/>
      <w:r>
        <w:rPr>
          <w:rFonts w:ascii="Times New Roman" w:eastAsia="Times New Roman" w:hAnsi="Times New Roman" w:cs="Times New Roman"/>
          <w:sz w:val="28"/>
          <w:szCs w:val="28"/>
          <w:highlight w:val="white"/>
        </w:rPr>
        <w:t>Цисар</w:t>
      </w:r>
      <w:proofErr w:type="spellEnd"/>
      <w:r>
        <w:rPr>
          <w:rFonts w:ascii="Times New Roman" w:eastAsia="Times New Roman" w:hAnsi="Times New Roman" w:cs="Times New Roman"/>
          <w:sz w:val="28"/>
          <w:szCs w:val="28"/>
          <w:highlight w:val="white"/>
        </w:rPr>
        <w:t xml:space="preserve">, О.В. </w:t>
      </w:r>
      <w:proofErr w:type="spellStart"/>
      <w:r>
        <w:rPr>
          <w:rFonts w:ascii="Times New Roman" w:eastAsia="Times New Roman" w:hAnsi="Times New Roman" w:cs="Times New Roman"/>
          <w:sz w:val="28"/>
          <w:szCs w:val="28"/>
          <w:highlight w:val="white"/>
        </w:rPr>
        <w:t>Зозульов</w:t>
      </w:r>
      <w:proofErr w:type="spellEnd"/>
      <w:r>
        <w:rPr>
          <w:rFonts w:ascii="Times New Roman" w:eastAsia="Times New Roman" w:hAnsi="Times New Roman" w:cs="Times New Roman"/>
          <w:sz w:val="28"/>
          <w:szCs w:val="28"/>
          <w:highlight w:val="white"/>
        </w:rPr>
        <w:t>, Н.В. Богомаз та інших [13].</w:t>
      </w:r>
    </w:p>
    <w:p w:rsidR="00BA76DF" w:rsidRDefault="00C33D3F">
      <w:pPr>
        <w:pStyle w:val="1"/>
      </w:pPr>
      <w:bookmarkStart w:id="3" w:name="_mul2hkyqpagw" w:colFirst="0" w:colLast="0"/>
      <w:bookmarkEnd w:id="3"/>
      <w:r>
        <w:lastRenderedPageBreak/>
        <w:t>РОЗДІЛ 1 СИТУАЦІЙНИЙ АНАЛІЗ</w:t>
      </w:r>
    </w:p>
    <w:p w:rsidR="00BA76DF" w:rsidRDefault="00BA76DF">
      <w:pPr>
        <w:spacing w:line="360" w:lineRule="auto"/>
        <w:rPr>
          <w:rFonts w:ascii="Times New Roman" w:eastAsia="Times New Roman" w:hAnsi="Times New Roman" w:cs="Times New Roman"/>
          <w:sz w:val="28"/>
          <w:szCs w:val="28"/>
        </w:rPr>
      </w:pPr>
    </w:p>
    <w:p w:rsidR="00BA76DF" w:rsidRDefault="00C33D3F">
      <w:pPr>
        <w:pStyle w:val="2"/>
        <w:spacing w:line="360" w:lineRule="auto"/>
        <w:ind w:firstLine="720"/>
        <w:jc w:val="both"/>
        <w:rPr>
          <w:highlight w:val="white"/>
        </w:rPr>
      </w:pPr>
      <w:bookmarkStart w:id="4" w:name="_a0gsxr74xjfg" w:colFirst="0" w:colLast="0"/>
      <w:bookmarkEnd w:id="4"/>
      <w:r>
        <w:rPr>
          <w:highlight w:val="white"/>
        </w:rPr>
        <w:t>1.1 Аналіз діяльності НАК «Нафтогаз України»  на ринку природного газу</w:t>
      </w:r>
    </w:p>
    <w:p w:rsidR="00BA76DF" w:rsidRDefault="00BA76DF">
      <w:pPr>
        <w:spacing w:line="360" w:lineRule="auto"/>
        <w:rPr>
          <w:rFonts w:ascii="Times New Roman" w:eastAsia="Times New Roman" w:hAnsi="Times New Roman" w:cs="Times New Roman"/>
          <w:sz w:val="28"/>
          <w:szCs w:val="28"/>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Акціонерне товариство Національна Акціонерна Компанія Нафтогаз України (скорочено НАК «Нафтогаз України») -  підприємство паливно-енергетичного комплексу України, засновником та єдиним акціонером якого є держава. Його діяльність включає безперебійний транзит газу до країн Європи, торгівлю газом для промислових споживачів, імпорт газу, а також переробку газу, нафти та конденсату на п'яти газопереробних заводах (ГПЗ), що входять до складу компанії. НАК «Нафтогаз України» виробляє на цих заводах скраплений газ, моторні палива та інші типи нафтопродуктів [1]. Основний КВЕД - 70.10 Діяльність головних управлінь (</w:t>
      </w:r>
      <w:proofErr w:type="spellStart"/>
      <w:r>
        <w:rPr>
          <w:rFonts w:ascii="Times New Roman" w:eastAsia="Times New Roman" w:hAnsi="Times New Roman" w:cs="Times New Roman"/>
          <w:sz w:val="28"/>
          <w:szCs w:val="28"/>
          <w:highlight w:val="white"/>
        </w:rPr>
        <w:t>хед</w:t>
      </w:r>
      <w:proofErr w:type="spellEnd"/>
      <w:r>
        <w:rPr>
          <w:rFonts w:ascii="Times New Roman" w:eastAsia="Times New Roman" w:hAnsi="Times New Roman" w:cs="Times New Roman"/>
          <w:sz w:val="28"/>
          <w:szCs w:val="28"/>
          <w:highlight w:val="white"/>
        </w:rPr>
        <w:t xml:space="preserve">-офісів). Інші </w:t>
      </w:r>
      <w:proofErr w:type="spellStart"/>
      <w:r>
        <w:rPr>
          <w:rFonts w:ascii="Times New Roman" w:eastAsia="Times New Roman" w:hAnsi="Times New Roman" w:cs="Times New Roman"/>
          <w:sz w:val="28"/>
          <w:szCs w:val="28"/>
          <w:highlight w:val="white"/>
        </w:rPr>
        <w:t>КВЕДи</w:t>
      </w:r>
      <w:proofErr w:type="spellEnd"/>
      <w:r>
        <w:rPr>
          <w:rFonts w:ascii="Times New Roman" w:eastAsia="Times New Roman" w:hAnsi="Times New Roman" w:cs="Times New Roman"/>
          <w:sz w:val="28"/>
          <w:szCs w:val="28"/>
          <w:highlight w:val="white"/>
        </w:rPr>
        <w:t>:</w:t>
      </w:r>
    </w:p>
    <w:p w:rsidR="00BA76DF" w:rsidRDefault="00C33D3F">
      <w:pPr>
        <w:numPr>
          <w:ilvl w:val="0"/>
          <w:numId w:val="3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06.10 Добування сирої нафти;</w:t>
      </w:r>
    </w:p>
    <w:p w:rsidR="00BA76DF" w:rsidRDefault="00C33D3F">
      <w:pPr>
        <w:numPr>
          <w:ilvl w:val="0"/>
          <w:numId w:val="3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06.20 Добування природного газу;</w:t>
      </w:r>
    </w:p>
    <w:p w:rsidR="00BA76DF" w:rsidRDefault="00C33D3F">
      <w:pPr>
        <w:numPr>
          <w:ilvl w:val="0"/>
          <w:numId w:val="3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09.10 Надання допоміжних послуг у сфері добування нафти та природного газу;</w:t>
      </w:r>
    </w:p>
    <w:p w:rsidR="00BA76DF" w:rsidRDefault="00C33D3F">
      <w:pPr>
        <w:numPr>
          <w:ilvl w:val="0"/>
          <w:numId w:val="3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46.71 Оптова торгівля твердим, рідким, газоподібним паливом і подібними продуктами;</w:t>
      </w:r>
    </w:p>
    <w:p w:rsidR="00BA76DF" w:rsidRDefault="00C33D3F">
      <w:pPr>
        <w:numPr>
          <w:ilvl w:val="0"/>
          <w:numId w:val="3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49.50 Трубопровідний транспорт;</w:t>
      </w:r>
    </w:p>
    <w:p w:rsidR="00BA76DF" w:rsidRDefault="00C33D3F">
      <w:pPr>
        <w:numPr>
          <w:ilvl w:val="0"/>
          <w:numId w:val="3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72.19 Дослідження й експериментальні розробки у сфері інших природничих і технічних наук;</w:t>
      </w:r>
    </w:p>
    <w:p w:rsidR="00BA76DF" w:rsidRDefault="00C33D3F">
      <w:pPr>
        <w:numPr>
          <w:ilvl w:val="0"/>
          <w:numId w:val="3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35.22 Розподілення газоподібного палива через місцеві (локальні) трубопроводи.</w:t>
      </w:r>
    </w:p>
    <w:p w:rsidR="00BA76DF" w:rsidRDefault="00C33D3F">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Галуззю господарства, в якому працює підприємство є нафтогазова промисловість. Сектор товарного ринку - закритий. Сегмент сектору</w:t>
      </w:r>
      <w:r>
        <w:rPr>
          <w:rFonts w:ascii="Times New Roman" w:eastAsia="Times New Roman" w:hAnsi="Times New Roman" w:cs="Times New Roman"/>
          <w:b/>
          <w:sz w:val="28"/>
          <w:szCs w:val="28"/>
          <w:highlight w:val="white"/>
        </w:rPr>
        <w:t xml:space="preserve"> </w:t>
      </w:r>
      <w:r>
        <w:rPr>
          <w:rFonts w:ascii="Times New Roman" w:eastAsia="Times New Roman" w:hAnsi="Times New Roman" w:cs="Times New Roman"/>
          <w:sz w:val="28"/>
          <w:szCs w:val="28"/>
          <w:highlight w:val="white"/>
        </w:rPr>
        <w:t xml:space="preserve">- оптова торгівля [2]. Сфера діяльності підприємства охоплює операції з розвідки та розробки родовищ, експлуатаційного та розвідувального буріння, транспортування та зберігання нафти і газу, постачання природного і скрапленого газу споживачам, </w:t>
      </w:r>
      <w:r>
        <w:rPr>
          <w:rFonts w:ascii="Times New Roman" w:eastAsia="Times New Roman" w:hAnsi="Times New Roman" w:cs="Times New Roman"/>
          <w:sz w:val="28"/>
          <w:szCs w:val="28"/>
          <w:highlight w:val="white"/>
        </w:rPr>
        <w:lastRenderedPageBreak/>
        <w:t>транзит газу до європейських споживачів та його імпорт, а також переробку газу, нафти та конденсату. Крім того, компанія займається виробництвом скрапленого газу, моторного палива та інших типів нафтопродуктів. Ринки, на яких діє підприємство, включають споживчий та промисловий [1]. Товар, якому буде присвячено роботу - природний газ.</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Історія розвитку компанії:</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 червня 1998 - дата заснування компанії. Рішення про це було з боку Президента та Уряду України. </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2000 рік - відкриття в Азовському морі Східно-</w:t>
      </w:r>
      <w:proofErr w:type="spellStart"/>
      <w:r>
        <w:rPr>
          <w:rFonts w:ascii="Times New Roman" w:eastAsia="Times New Roman" w:hAnsi="Times New Roman" w:cs="Times New Roman"/>
          <w:sz w:val="28"/>
          <w:szCs w:val="28"/>
          <w:highlight w:val="white"/>
        </w:rPr>
        <w:t>Казантипського</w:t>
      </w:r>
      <w:proofErr w:type="spellEnd"/>
      <w:r>
        <w:rPr>
          <w:rFonts w:ascii="Times New Roman" w:eastAsia="Times New Roman" w:hAnsi="Times New Roman" w:cs="Times New Roman"/>
          <w:sz w:val="28"/>
          <w:szCs w:val="28"/>
          <w:highlight w:val="white"/>
        </w:rPr>
        <w:t xml:space="preserve"> газового родовища.</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2001 - побудовано нафтопровід Одеса-Броди та морський нафтовий термінал «Південний», що знаходиться поблизу Одеси. Відкрито в Азовському морі Північно-</w:t>
      </w:r>
      <w:proofErr w:type="spellStart"/>
      <w:r>
        <w:rPr>
          <w:rFonts w:ascii="Times New Roman" w:eastAsia="Times New Roman" w:hAnsi="Times New Roman" w:cs="Times New Roman"/>
          <w:sz w:val="28"/>
          <w:szCs w:val="28"/>
          <w:highlight w:val="white"/>
        </w:rPr>
        <w:t>Булганацьке</w:t>
      </w:r>
      <w:proofErr w:type="spellEnd"/>
      <w:r>
        <w:rPr>
          <w:rFonts w:ascii="Times New Roman" w:eastAsia="Times New Roman" w:hAnsi="Times New Roman" w:cs="Times New Roman"/>
          <w:sz w:val="28"/>
          <w:szCs w:val="28"/>
          <w:highlight w:val="white"/>
        </w:rPr>
        <w:t xml:space="preserve"> газове родовище. Введено в експлуатацію компресорну станцію «Тарутине», що розташоване в Одеській області. Там же, за технічної підтримки Європейської комісії, було збудовано газовимірювальну станцію «</w:t>
      </w:r>
      <w:proofErr w:type="spellStart"/>
      <w:r>
        <w:rPr>
          <w:rFonts w:ascii="Times New Roman" w:eastAsia="Times New Roman" w:hAnsi="Times New Roman" w:cs="Times New Roman"/>
          <w:sz w:val="28"/>
          <w:szCs w:val="28"/>
          <w:highlight w:val="white"/>
        </w:rPr>
        <w:t>Гребеники</w:t>
      </w:r>
      <w:proofErr w:type="spellEnd"/>
      <w:r>
        <w:rPr>
          <w:rFonts w:ascii="Times New Roman" w:eastAsia="Times New Roman" w:hAnsi="Times New Roman" w:cs="Times New Roman"/>
          <w:sz w:val="28"/>
          <w:szCs w:val="28"/>
          <w:highlight w:val="white"/>
        </w:rPr>
        <w:t>». Засновано Національну газову спілку України.</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2006 рік - НАК «Нафтогаз </w:t>
      </w:r>
      <w:proofErr w:type="spellStart"/>
      <w:r>
        <w:rPr>
          <w:rFonts w:ascii="Times New Roman" w:eastAsia="Times New Roman" w:hAnsi="Times New Roman" w:cs="Times New Roman"/>
          <w:sz w:val="28"/>
          <w:szCs w:val="28"/>
          <w:highlight w:val="white"/>
        </w:rPr>
        <w:t>України»віддав</w:t>
      </w:r>
      <w:proofErr w:type="spellEnd"/>
      <w:r>
        <w:rPr>
          <w:rFonts w:ascii="Times New Roman" w:eastAsia="Times New Roman" w:hAnsi="Times New Roman" w:cs="Times New Roman"/>
          <w:sz w:val="28"/>
          <w:szCs w:val="28"/>
          <w:highlight w:val="white"/>
        </w:rPr>
        <w:t xml:space="preserve"> права на продаж газу на території України компанії </w:t>
      </w:r>
      <w:proofErr w:type="spellStart"/>
      <w:r>
        <w:rPr>
          <w:rFonts w:ascii="Times New Roman" w:eastAsia="Times New Roman" w:hAnsi="Times New Roman" w:cs="Times New Roman"/>
          <w:sz w:val="28"/>
          <w:szCs w:val="28"/>
          <w:highlight w:val="white"/>
        </w:rPr>
        <w:t>РосУкрЕнерго</w:t>
      </w:r>
      <w:proofErr w:type="spellEnd"/>
      <w:r>
        <w:rPr>
          <w:rFonts w:ascii="Times New Roman" w:eastAsia="Times New Roman" w:hAnsi="Times New Roman" w:cs="Times New Roman"/>
          <w:sz w:val="28"/>
          <w:szCs w:val="28"/>
          <w:highlight w:val="white"/>
        </w:rPr>
        <w:t xml:space="preserve">, яка є </w:t>
      </w:r>
      <w:hyperlink r:id="rId7">
        <w:r>
          <w:rPr>
            <w:rFonts w:ascii="Times New Roman" w:eastAsia="Times New Roman" w:hAnsi="Times New Roman" w:cs="Times New Roman"/>
            <w:sz w:val="28"/>
            <w:szCs w:val="28"/>
            <w:highlight w:val="white"/>
          </w:rPr>
          <w:t>спільним підприємство</w:t>
        </w:r>
      </w:hyperlink>
      <w:r>
        <w:rPr>
          <w:rFonts w:ascii="Times New Roman" w:eastAsia="Times New Roman" w:hAnsi="Times New Roman" w:cs="Times New Roman"/>
          <w:sz w:val="28"/>
          <w:szCs w:val="28"/>
          <w:highlight w:val="white"/>
        </w:rPr>
        <w:t xml:space="preserve">м двох фінансових організацій, а саме групи </w:t>
      </w:r>
      <w:hyperlink r:id="rId8">
        <w:r>
          <w:rPr>
            <w:rFonts w:ascii="Times New Roman" w:eastAsia="Times New Roman" w:hAnsi="Times New Roman" w:cs="Times New Roman"/>
            <w:sz w:val="28"/>
            <w:szCs w:val="28"/>
            <w:highlight w:val="white"/>
          </w:rPr>
          <w:t>«</w:t>
        </w:r>
        <w:proofErr w:type="spellStart"/>
        <w:r>
          <w:rPr>
            <w:rFonts w:ascii="Times New Roman" w:eastAsia="Times New Roman" w:hAnsi="Times New Roman" w:cs="Times New Roman"/>
            <w:sz w:val="28"/>
            <w:szCs w:val="28"/>
            <w:highlight w:val="white"/>
          </w:rPr>
          <w:t>Газпромбанк</w:t>
        </w:r>
        <w:proofErr w:type="spellEnd"/>
        <w:r>
          <w:rPr>
            <w:rFonts w:ascii="Times New Roman" w:eastAsia="Times New Roman" w:hAnsi="Times New Roman" w:cs="Times New Roman"/>
            <w:sz w:val="28"/>
            <w:szCs w:val="28"/>
            <w:highlight w:val="white"/>
          </w:rPr>
          <w:t>»</w:t>
        </w:r>
      </w:hyperlink>
      <w:r>
        <w:rPr>
          <w:rFonts w:ascii="Times New Roman" w:eastAsia="Times New Roman" w:hAnsi="Times New Roman" w:cs="Times New Roman"/>
          <w:sz w:val="28"/>
          <w:szCs w:val="28"/>
          <w:highlight w:val="white"/>
        </w:rPr>
        <w:t xml:space="preserve"> і компанії </w:t>
      </w:r>
      <w:proofErr w:type="spellStart"/>
      <w:r>
        <w:rPr>
          <w:rFonts w:ascii="Times New Roman" w:eastAsia="Times New Roman" w:hAnsi="Times New Roman" w:cs="Times New Roman"/>
          <w:sz w:val="28"/>
          <w:szCs w:val="28"/>
          <w:highlight w:val="white"/>
        </w:rPr>
        <w:t>Centragas</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Holding</w:t>
      </w:r>
      <w:proofErr w:type="spellEnd"/>
      <w:r>
        <w:rPr>
          <w:rFonts w:ascii="Times New Roman" w:eastAsia="Times New Roman" w:hAnsi="Times New Roman" w:cs="Times New Roman"/>
          <w:sz w:val="28"/>
          <w:szCs w:val="28"/>
          <w:highlight w:val="white"/>
        </w:rPr>
        <w:t xml:space="preserve">, власниками цих двох компаній є </w:t>
      </w:r>
      <w:hyperlink r:id="rId9">
        <w:r>
          <w:rPr>
            <w:rFonts w:ascii="Times New Roman" w:eastAsia="Times New Roman" w:hAnsi="Times New Roman" w:cs="Times New Roman"/>
            <w:sz w:val="28"/>
            <w:szCs w:val="28"/>
            <w:highlight w:val="white"/>
          </w:rPr>
          <w:t>Дмитро Фірташ</w:t>
        </w:r>
      </w:hyperlink>
      <w:r>
        <w:rPr>
          <w:rFonts w:ascii="Times New Roman" w:eastAsia="Times New Roman" w:hAnsi="Times New Roman" w:cs="Times New Roman"/>
          <w:sz w:val="28"/>
          <w:szCs w:val="28"/>
          <w:highlight w:val="white"/>
        </w:rPr>
        <w:t xml:space="preserve"> і </w:t>
      </w:r>
      <w:hyperlink r:id="rId10">
        <w:r>
          <w:rPr>
            <w:rFonts w:ascii="Times New Roman" w:eastAsia="Times New Roman" w:hAnsi="Times New Roman" w:cs="Times New Roman"/>
            <w:sz w:val="28"/>
            <w:szCs w:val="28"/>
            <w:highlight w:val="white"/>
          </w:rPr>
          <w:t xml:space="preserve">Іван </w:t>
        </w:r>
        <w:proofErr w:type="spellStart"/>
        <w:r>
          <w:rPr>
            <w:rFonts w:ascii="Times New Roman" w:eastAsia="Times New Roman" w:hAnsi="Times New Roman" w:cs="Times New Roman"/>
            <w:sz w:val="28"/>
            <w:szCs w:val="28"/>
            <w:highlight w:val="white"/>
          </w:rPr>
          <w:t>Фурсін</w:t>
        </w:r>
        <w:proofErr w:type="spellEnd"/>
      </w:hyperlink>
      <w:r>
        <w:rPr>
          <w:rFonts w:ascii="Times New Roman" w:eastAsia="Times New Roman" w:hAnsi="Times New Roman" w:cs="Times New Roman"/>
          <w:sz w:val="28"/>
          <w:szCs w:val="28"/>
          <w:highlight w:val="white"/>
        </w:rPr>
        <w:t xml:space="preserve"> .</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2011 рік - становлення України повноправним членом Європейського енергетичного товариства. Україна та Азербайджан підписали Меморандум про співробітництво в організації постачання скрапленого природного газу на територію України та Угоду про заходи з розвитку співробітництва у сфері транспортування нафти територією України. Створення національного проекту «LNG — термінал». У липні цього ж року почалася реконструкція магістрального газопроводу «</w:t>
      </w:r>
      <w:proofErr w:type="spellStart"/>
      <w:r>
        <w:rPr>
          <w:rFonts w:ascii="Times New Roman" w:eastAsia="Times New Roman" w:hAnsi="Times New Roman" w:cs="Times New Roman"/>
          <w:sz w:val="28"/>
          <w:szCs w:val="28"/>
          <w:highlight w:val="white"/>
        </w:rPr>
        <w:t>Уренгой</w:t>
      </w:r>
      <w:proofErr w:type="spellEnd"/>
      <w:r>
        <w:rPr>
          <w:rFonts w:ascii="Times New Roman" w:eastAsia="Times New Roman" w:hAnsi="Times New Roman" w:cs="Times New Roman"/>
          <w:sz w:val="28"/>
          <w:szCs w:val="28"/>
          <w:highlight w:val="white"/>
        </w:rPr>
        <w:t>-</w:t>
      </w:r>
      <w:proofErr w:type="spellStart"/>
      <w:r>
        <w:rPr>
          <w:rFonts w:ascii="Times New Roman" w:eastAsia="Times New Roman" w:hAnsi="Times New Roman" w:cs="Times New Roman"/>
          <w:sz w:val="28"/>
          <w:szCs w:val="28"/>
          <w:highlight w:val="white"/>
        </w:rPr>
        <w:t>Помари</w:t>
      </w:r>
      <w:proofErr w:type="spellEnd"/>
      <w:r>
        <w:rPr>
          <w:rFonts w:ascii="Times New Roman" w:eastAsia="Times New Roman" w:hAnsi="Times New Roman" w:cs="Times New Roman"/>
          <w:sz w:val="28"/>
          <w:szCs w:val="28"/>
          <w:highlight w:val="white"/>
        </w:rPr>
        <w:t>-Ужгород».</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2013 рік - підписання меморандуму про поновлення поставок газу з Туркменії в Україну і європейські країни. Був укладений між двома компаніями, а саме «Нафтогазом» і «</w:t>
      </w:r>
      <w:proofErr w:type="spellStart"/>
      <w:r>
        <w:rPr>
          <w:rFonts w:ascii="Times New Roman" w:eastAsia="Times New Roman" w:hAnsi="Times New Roman" w:cs="Times New Roman"/>
          <w:sz w:val="28"/>
          <w:szCs w:val="28"/>
          <w:highlight w:val="white"/>
        </w:rPr>
        <w:t>Туркменгазом</w:t>
      </w:r>
      <w:proofErr w:type="spellEnd"/>
      <w:r>
        <w:rPr>
          <w:rFonts w:ascii="Times New Roman" w:eastAsia="Times New Roman" w:hAnsi="Times New Roman" w:cs="Times New Roman"/>
          <w:sz w:val="28"/>
          <w:szCs w:val="28"/>
          <w:highlight w:val="white"/>
        </w:rPr>
        <w:t>».</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2014 рік - початок судових справ між «Газпромом» та «Нафтогазом».</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2015 рік - національна комісія, що здійснює державне регулювання у сферах енергетики та комунальних послуг ухвалила Постанову № 583, якою скорочується дефіцит між роздрібною та закупівельною ціною газу для населення з 1 квітня 2015 року. У Хорватії 15 країн Європейського Союзу та Енергетичного співтовариства країн Центральної, Східної, Південно-Східної Європи (включаючи Україну), було підписано Меморандум про об’єднання газових ринків та зміну джерел постачання. На території Грузії було підписано меморандум між компаніями «Нафтогаз» та «</w:t>
      </w:r>
      <w:proofErr w:type="spellStart"/>
      <w:r>
        <w:rPr>
          <w:rFonts w:ascii="Times New Roman" w:eastAsia="Times New Roman" w:hAnsi="Times New Roman" w:cs="Times New Roman"/>
          <w:sz w:val="28"/>
          <w:szCs w:val="28"/>
          <w:highlight w:val="white"/>
        </w:rPr>
        <w:t>Frontera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Resources</w:t>
      </w:r>
      <w:proofErr w:type="spellEnd"/>
      <w:r>
        <w:rPr>
          <w:rFonts w:ascii="Times New Roman" w:eastAsia="Times New Roman" w:hAnsi="Times New Roman" w:cs="Times New Roman"/>
          <w:sz w:val="28"/>
          <w:szCs w:val="28"/>
          <w:highlight w:val="white"/>
        </w:rPr>
        <w:t xml:space="preserve">» про взаєморозуміння щодо співробітництва у сфері розвідки та розробки нафти та газу в Україні, реалізації проекту імпорту LNG з </w:t>
      </w:r>
      <w:proofErr w:type="spellStart"/>
      <w:r>
        <w:rPr>
          <w:rFonts w:ascii="Times New Roman" w:eastAsia="Times New Roman" w:hAnsi="Times New Roman" w:cs="Times New Roman"/>
          <w:sz w:val="28"/>
          <w:szCs w:val="28"/>
          <w:highlight w:val="white"/>
        </w:rPr>
        <w:t>потужностей</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Frontera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Resources</w:t>
      </w:r>
      <w:proofErr w:type="spellEnd"/>
      <w:r>
        <w:rPr>
          <w:rFonts w:ascii="Times New Roman" w:eastAsia="Times New Roman" w:hAnsi="Times New Roman" w:cs="Times New Roman"/>
          <w:sz w:val="28"/>
          <w:szCs w:val="28"/>
          <w:highlight w:val="white"/>
        </w:rPr>
        <w:t xml:space="preserve">. Компанія долучилася до системи державних електронних </w:t>
      </w:r>
      <w:proofErr w:type="spellStart"/>
      <w:r>
        <w:rPr>
          <w:rFonts w:ascii="Times New Roman" w:eastAsia="Times New Roman" w:hAnsi="Times New Roman" w:cs="Times New Roman"/>
          <w:sz w:val="28"/>
          <w:szCs w:val="28"/>
          <w:highlight w:val="white"/>
        </w:rPr>
        <w:t>закупівель</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Prozorro</w:t>
      </w:r>
      <w:proofErr w:type="spellEnd"/>
      <w:r>
        <w:rPr>
          <w:rFonts w:ascii="Times New Roman" w:eastAsia="Times New Roman" w:hAnsi="Times New Roman" w:cs="Times New Roman"/>
          <w:sz w:val="28"/>
          <w:szCs w:val="28"/>
          <w:highlight w:val="white"/>
        </w:rPr>
        <w:t xml:space="preserve">. </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2016 рік - суди Нафтогазу з Російською Федерацією про втрачені активи на тимчасово окупованих територіях. </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2017-2018 роки - завершення судового циклу у Стокгольмському арбітражі та перемога Нафтогазу у судовому процесі між Газпромом.</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22 грудня 2017 року - відхилення Стокгольмським арбітражем  вимоги Газпрому стосовно контракту на постачання газу за принципом «бери або плати». </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28 лютого 2018 року - рішення про транзитний контракт  Стокгольмським арбітражем на користь Нафтогазу України.</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 вересня 2019 року — ТОВ «Газопостачальна компанія «Нафтогаз України», що входить до Групи Нафтогаз, розпочала імпорт електроенергії з Білорусі та її продаж на українському ринку.</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квітень 2020 року - початок діяльності першої власної </w:t>
      </w:r>
      <w:proofErr w:type="spellStart"/>
      <w:r>
        <w:rPr>
          <w:rFonts w:ascii="Times New Roman" w:eastAsia="Times New Roman" w:hAnsi="Times New Roman" w:cs="Times New Roman"/>
          <w:sz w:val="28"/>
          <w:szCs w:val="28"/>
          <w:highlight w:val="white"/>
        </w:rPr>
        <w:t>електрозарядної</w:t>
      </w:r>
      <w:proofErr w:type="spellEnd"/>
      <w:r>
        <w:rPr>
          <w:rFonts w:ascii="Times New Roman" w:eastAsia="Times New Roman" w:hAnsi="Times New Roman" w:cs="Times New Roman"/>
          <w:sz w:val="28"/>
          <w:szCs w:val="28"/>
          <w:highlight w:val="white"/>
        </w:rPr>
        <w:t xml:space="preserve"> станції в рамках пілотного проекту </w:t>
      </w:r>
      <w:proofErr w:type="spellStart"/>
      <w:r>
        <w:rPr>
          <w:rFonts w:ascii="Times New Roman" w:eastAsia="Times New Roman" w:hAnsi="Times New Roman" w:cs="Times New Roman"/>
          <w:sz w:val="28"/>
          <w:szCs w:val="28"/>
          <w:highlight w:val="white"/>
        </w:rPr>
        <w:t>WeEnergy</w:t>
      </w:r>
      <w:proofErr w:type="spellEnd"/>
      <w:r>
        <w:rPr>
          <w:rFonts w:ascii="Times New Roman" w:eastAsia="Times New Roman" w:hAnsi="Times New Roman" w:cs="Times New Roman"/>
          <w:sz w:val="28"/>
          <w:szCs w:val="28"/>
          <w:highlight w:val="white"/>
        </w:rPr>
        <w:t>.</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вересень 2020 року - становлення компанії як члена Глобального центру взаємодії в кіберпросторі (протидії </w:t>
      </w:r>
      <w:proofErr w:type="spellStart"/>
      <w:r>
        <w:rPr>
          <w:rFonts w:ascii="Times New Roman" w:eastAsia="Times New Roman" w:hAnsi="Times New Roman" w:cs="Times New Roman"/>
          <w:sz w:val="28"/>
          <w:szCs w:val="28"/>
          <w:highlight w:val="white"/>
        </w:rPr>
        <w:t>кіберзагрозам</w:t>
      </w:r>
      <w:proofErr w:type="spellEnd"/>
      <w:r>
        <w:rPr>
          <w:rFonts w:ascii="Times New Roman" w:eastAsia="Times New Roman" w:hAnsi="Times New Roman" w:cs="Times New Roman"/>
          <w:sz w:val="28"/>
          <w:szCs w:val="28"/>
          <w:highlight w:val="white"/>
        </w:rPr>
        <w:t>).</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2021 рік - на період дії карантину у зв’язку з COVID-19 компанія прийняла рішення зменшити ціни для споживачів газу. Укладення меморандуму про взаєморозуміння щодо вирішення проблемних питань у сфері централізованого постачання теплової енергії та постачання гарячої води.</w:t>
      </w:r>
    </w:p>
    <w:p w:rsidR="00BA76DF" w:rsidRDefault="00C33D3F">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28 квітня 2021 рік – звільнення з посади генерального директора </w:t>
      </w:r>
      <w:proofErr w:type="spellStart"/>
      <w:r>
        <w:rPr>
          <w:rFonts w:ascii="Times New Roman" w:eastAsia="Times New Roman" w:hAnsi="Times New Roman" w:cs="Times New Roman"/>
          <w:sz w:val="28"/>
          <w:szCs w:val="28"/>
          <w:highlight w:val="white"/>
        </w:rPr>
        <w:t>Коболєва</w:t>
      </w:r>
      <w:proofErr w:type="spellEnd"/>
      <w:r>
        <w:rPr>
          <w:rFonts w:ascii="Times New Roman" w:eastAsia="Times New Roman" w:hAnsi="Times New Roman" w:cs="Times New Roman"/>
          <w:sz w:val="28"/>
          <w:szCs w:val="28"/>
          <w:highlight w:val="white"/>
        </w:rPr>
        <w:t xml:space="preserve"> Андрія Володимировича Кабінетом Міністрів України [3]. </w:t>
      </w:r>
    </w:p>
    <w:p w:rsidR="00BA76DF" w:rsidRDefault="00C33D3F">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27 вересня 2021 року - Кабінет Міністрів України звільнив членів наглядової ради НАК «Нафтогаз України» від держави в особі Юлії Ковалів, Наталії Бойко та Юлії Свириденко слідом за незалежними директорами, які подали у відставку на початку вересня [54].</w:t>
      </w:r>
    </w:p>
    <w:p w:rsidR="00BA76DF" w:rsidRDefault="00C33D3F">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1 листопада 2022 року, Кабінет Міністрів України звільнив Юрія Вітренка з посади голови правління НАК «Нафтогаз України».</w:t>
      </w:r>
    </w:p>
    <w:p w:rsidR="00BA76DF" w:rsidRDefault="00C33D3F">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2023 року НАК «Нафтогаз України» припинили публікацію інформації про заробітні плати, винагороди та інші виплати топ менеджерів за 2022—2023 роки.</w:t>
      </w:r>
    </w:p>
    <w:p w:rsidR="00BA76DF" w:rsidRDefault="00C33D3F">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17 березня 2023 року, згідно з повідомленням Служби безпеки України, СБУ спільно з БЕБ ліквідували масштабну схему привласнення промислових обсягів блакитного палива із газотранспортної системи НАК «Нафтогаз України». До організації цієї схеми був причетний топ менеджмент 16 регіональних газових підприємств. Вони здійснювали несанкціонований відбір блакитного палива, яке знаходилося у газотранспортній системі НАК «Нафтогаз України» і належало державі. </w:t>
      </w:r>
    </w:p>
    <w:p w:rsidR="00BA76DF" w:rsidRDefault="00C33D3F">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квітень 2023 року - за повідомленням очільника «Нафтогазу України» Олексія Чернишова Арбітражний трибунал при Постійній палаті третейського суду в Гаазі ухвалив рішення, яким зобов'язав Російську Федерацію сплатити НАК «Нафтогаз України» 5 млрд </w:t>
      </w:r>
      <w:proofErr w:type="spellStart"/>
      <w:r>
        <w:rPr>
          <w:rFonts w:ascii="Times New Roman" w:eastAsia="Times New Roman" w:hAnsi="Times New Roman" w:cs="Times New Roman"/>
          <w:sz w:val="28"/>
          <w:szCs w:val="28"/>
          <w:highlight w:val="white"/>
        </w:rPr>
        <w:t>дол</w:t>
      </w:r>
      <w:proofErr w:type="spellEnd"/>
      <w:r>
        <w:rPr>
          <w:rFonts w:ascii="Times New Roman" w:eastAsia="Times New Roman" w:hAnsi="Times New Roman" w:cs="Times New Roman"/>
          <w:sz w:val="28"/>
          <w:szCs w:val="28"/>
          <w:highlight w:val="white"/>
        </w:rPr>
        <w:t xml:space="preserve">. США за збитки, заподіяні захопленням активів «Групи Нафтогаз» в </w:t>
      </w:r>
      <w:proofErr w:type="spellStart"/>
      <w:r>
        <w:rPr>
          <w:rFonts w:ascii="Times New Roman" w:eastAsia="Times New Roman" w:hAnsi="Times New Roman" w:cs="Times New Roman"/>
          <w:sz w:val="28"/>
          <w:szCs w:val="28"/>
          <w:highlight w:val="white"/>
        </w:rPr>
        <w:t>т.о</w:t>
      </w:r>
      <w:proofErr w:type="spellEnd"/>
      <w:r>
        <w:rPr>
          <w:rFonts w:ascii="Times New Roman" w:eastAsia="Times New Roman" w:hAnsi="Times New Roman" w:cs="Times New Roman"/>
          <w:sz w:val="28"/>
          <w:szCs w:val="28"/>
          <w:highlight w:val="white"/>
        </w:rPr>
        <w:t>. Криму в 2014 році, а також відшкодувати «Нафтогазу» витрати, пов’язані з цим арбітражним провадженням.</w:t>
      </w:r>
    </w:p>
    <w:p w:rsidR="00BA76DF" w:rsidRDefault="00C33D3F">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жовтень 2023 року глава компанії Олексій Чернишов повідомив, що плату за транзит російського енергоресурсу Україна продовжувала отримувати від країн, які не мають іншого джерела надходження природного газу — Австрії, Словаччини, Італії та Угорщини. У «Нафтогазі» запевнили, що до 2027 року в Євросоюзі повністю перейдуть на альтернативні енергоносії, і відмовляться від споживання російської сировини. Протягом 2023 року компанія завершила інтеграцію облгазів та </w:t>
      </w:r>
      <w:proofErr w:type="spellStart"/>
      <w:r>
        <w:rPr>
          <w:rFonts w:ascii="Times New Roman" w:eastAsia="Times New Roman" w:hAnsi="Times New Roman" w:cs="Times New Roman"/>
          <w:sz w:val="28"/>
          <w:szCs w:val="28"/>
          <w:highlight w:val="white"/>
        </w:rPr>
        <w:t>міськгазів</w:t>
      </w:r>
      <w:proofErr w:type="spellEnd"/>
      <w:r>
        <w:rPr>
          <w:rFonts w:ascii="Times New Roman" w:eastAsia="Times New Roman" w:hAnsi="Times New Roman" w:cs="Times New Roman"/>
          <w:sz w:val="28"/>
          <w:szCs w:val="28"/>
          <w:highlight w:val="white"/>
        </w:rPr>
        <w:t xml:space="preserve"> [4]. </w:t>
      </w:r>
    </w:p>
    <w:p w:rsidR="00BA76DF" w:rsidRDefault="00C33D3F">
      <w:pPr>
        <w:shd w:val="clear" w:color="auto" w:fill="FFFFFF"/>
        <w:spacing w:line="360" w:lineRule="auto"/>
        <w:ind w:right="-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Указом Президента України від 2008 року «Про відзначення державними нагородами України працівників Національної акціонерної компанії «Нафтогаз України« за вагомий   особистий   внесок   у   розвиток   вітчизняного нафтогазового  комплексу,  високі  досягнення  в праці та з нагоди 10-річчя підприємства було нагороджено працівників компанії [5].  Підприємство працює у декількох бізнесах, а саме нафти, газу та електроенергії та має на них певні результати, тому доцільним буде зробити їх портфельний аналіз, щоб визначити чи є бізнес газу привабливим для компанії. Оцінимо показники сили бізнесу та привабливості галузі для побудови матриці </w:t>
      </w:r>
      <w:proofErr w:type="spellStart"/>
      <w:r>
        <w:rPr>
          <w:rFonts w:ascii="Times New Roman" w:eastAsia="Times New Roman" w:hAnsi="Times New Roman" w:cs="Times New Roman"/>
          <w:sz w:val="28"/>
          <w:szCs w:val="28"/>
          <w:highlight w:val="white"/>
        </w:rPr>
        <w:t>McKinsey</w:t>
      </w:r>
      <w:proofErr w:type="spellEnd"/>
      <w:r>
        <w:rPr>
          <w:rFonts w:ascii="Times New Roman" w:eastAsia="Times New Roman" w:hAnsi="Times New Roman" w:cs="Times New Roman"/>
          <w:sz w:val="28"/>
          <w:szCs w:val="28"/>
          <w:highlight w:val="white"/>
        </w:rPr>
        <w:t xml:space="preserve"> з використанням методу експертних оцінок.  Матриця </w:t>
      </w:r>
      <w:proofErr w:type="spellStart"/>
      <w:r>
        <w:rPr>
          <w:rFonts w:ascii="Times New Roman" w:eastAsia="Times New Roman" w:hAnsi="Times New Roman" w:cs="Times New Roman"/>
          <w:sz w:val="28"/>
          <w:szCs w:val="28"/>
          <w:highlight w:val="white"/>
        </w:rPr>
        <w:t>McKinsey</w:t>
      </w:r>
      <w:proofErr w:type="spellEnd"/>
      <w:r>
        <w:rPr>
          <w:rFonts w:ascii="Times New Roman" w:eastAsia="Times New Roman" w:hAnsi="Times New Roman" w:cs="Times New Roman"/>
          <w:sz w:val="28"/>
          <w:szCs w:val="28"/>
          <w:highlight w:val="white"/>
        </w:rPr>
        <w:t xml:space="preserve"> наведена у таблиці 1.1.</w:t>
      </w: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Таблиця 1.1 - Таблиця Матриця </w:t>
      </w:r>
      <w:proofErr w:type="spellStart"/>
      <w:r>
        <w:rPr>
          <w:rFonts w:ascii="Times New Roman" w:eastAsia="Times New Roman" w:hAnsi="Times New Roman" w:cs="Times New Roman"/>
          <w:sz w:val="28"/>
          <w:szCs w:val="28"/>
          <w:highlight w:val="white"/>
        </w:rPr>
        <w:t>McKinsey</w:t>
      </w:r>
      <w:proofErr w:type="spellEnd"/>
    </w:p>
    <w:tbl>
      <w:tblPr>
        <w:tblStyle w:val="a6"/>
        <w:tblW w:w="9855" w:type="dxa"/>
        <w:tblInd w:w="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585"/>
        <w:gridCol w:w="1275"/>
        <w:gridCol w:w="1755"/>
        <w:gridCol w:w="1260"/>
        <w:gridCol w:w="1980"/>
      </w:tblGrid>
      <w:tr w:rsidR="00BA76DF">
        <w:trPr>
          <w:trHeight w:val="422"/>
        </w:trPr>
        <w:tc>
          <w:tcPr>
            <w:tcW w:w="9855" w:type="dxa"/>
            <w:gridSpan w:val="5"/>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Привабливість галузі</w:t>
            </w:r>
          </w:p>
        </w:tc>
      </w:tr>
      <w:tr w:rsidR="00BA76DF">
        <w:trPr>
          <w:trHeight w:val="701"/>
        </w:trPr>
        <w:tc>
          <w:tcPr>
            <w:tcW w:w="35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Показник </w:t>
            </w:r>
          </w:p>
        </w:tc>
        <w:tc>
          <w:tcPr>
            <w:tcW w:w="12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Вагомість</w:t>
            </w:r>
          </w:p>
        </w:tc>
        <w:tc>
          <w:tcPr>
            <w:tcW w:w="17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Природний газ</w:t>
            </w:r>
          </w:p>
        </w:tc>
        <w:tc>
          <w:tcPr>
            <w:tcW w:w="126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Нафта</w:t>
            </w:r>
          </w:p>
        </w:tc>
        <w:tc>
          <w:tcPr>
            <w:tcW w:w="19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Електроенергія</w:t>
            </w:r>
          </w:p>
        </w:tc>
      </w:tr>
      <w:tr w:rsidR="00BA76DF">
        <w:tc>
          <w:tcPr>
            <w:tcW w:w="35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Темп розвитку товарного сегменту</w:t>
            </w:r>
          </w:p>
        </w:tc>
        <w:tc>
          <w:tcPr>
            <w:tcW w:w="12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0,6 </w:t>
            </w:r>
          </w:p>
        </w:tc>
        <w:tc>
          <w:tcPr>
            <w:tcW w:w="17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w:t>
            </w:r>
          </w:p>
        </w:tc>
        <w:tc>
          <w:tcPr>
            <w:tcW w:w="126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19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6,5</w:t>
            </w:r>
          </w:p>
        </w:tc>
      </w:tr>
      <w:tr w:rsidR="00BA76DF">
        <w:tc>
          <w:tcPr>
            <w:tcW w:w="35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Стан конкурентного середовища</w:t>
            </w:r>
          </w:p>
        </w:tc>
        <w:tc>
          <w:tcPr>
            <w:tcW w:w="12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0,2 </w:t>
            </w:r>
          </w:p>
        </w:tc>
        <w:tc>
          <w:tcPr>
            <w:tcW w:w="17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126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c>
          <w:tcPr>
            <w:tcW w:w="19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r>
      <w:tr w:rsidR="00BA76DF">
        <w:tc>
          <w:tcPr>
            <w:tcW w:w="35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Успішність в сегменті</w:t>
            </w:r>
          </w:p>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(обернений)</w:t>
            </w:r>
          </w:p>
        </w:tc>
        <w:tc>
          <w:tcPr>
            <w:tcW w:w="12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0,2 </w:t>
            </w:r>
          </w:p>
        </w:tc>
        <w:tc>
          <w:tcPr>
            <w:tcW w:w="17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126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c>
          <w:tcPr>
            <w:tcW w:w="19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r>
      <w:tr w:rsidR="00BA76DF">
        <w:tc>
          <w:tcPr>
            <w:tcW w:w="35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Загальна оцінка</w:t>
            </w:r>
          </w:p>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привабливості галузі</w:t>
            </w:r>
          </w:p>
        </w:tc>
        <w:tc>
          <w:tcPr>
            <w:tcW w:w="12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17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8,20</w:t>
            </w:r>
          </w:p>
        </w:tc>
        <w:tc>
          <w:tcPr>
            <w:tcW w:w="126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5,40</w:t>
            </w:r>
          </w:p>
        </w:tc>
        <w:tc>
          <w:tcPr>
            <w:tcW w:w="19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5,9</w:t>
            </w:r>
          </w:p>
        </w:tc>
      </w:tr>
      <w:tr w:rsidR="00BA76DF">
        <w:trPr>
          <w:trHeight w:val="435"/>
        </w:trPr>
        <w:tc>
          <w:tcPr>
            <w:tcW w:w="9855" w:type="dxa"/>
            <w:gridSpan w:val="5"/>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Сила бізнесу</w:t>
            </w:r>
          </w:p>
        </w:tc>
      </w:tr>
      <w:tr w:rsidR="00BA76DF">
        <w:tc>
          <w:tcPr>
            <w:tcW w:w="35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Показник </w:t>
            </w:r>
          </w:p>
        </w:tc>
        <w:tc>
          <w:tcPr>
            <w:tcW w:w="12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Вагомість</w:t>
            </w:r>
          </w:p>
        </w:tc>
        <w:tc>
          <w:tcPr>
            <w:tcW w:w="17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Природний газ</w:t>
            </w:r>
          </w:p>
        </w:tc>
        <w:tc>
          <w:tcPr>
            <w:tcW w:w="126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Нафта</w:t>
            </w:r>
          </w:p>
        </w:tc>
        <w:tc>
          <w:tcPr>
            <w:tcW w:w="19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Електроенергія</w:t>
            </w:r>
          </w:p>
        </w:tc>
      </w:tr>
      <w:tr w:rsidR="00BA76DF">
        <w:tc>
          <w:tcPr>
            <w:tcW w:w="35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Успіх компанії в сегменті </w:t>
            </w:r>
          </w:p>
        </w:tc>
        <w:tc>
          <w:tcPr>
            <w:tcW w:w="12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0,35</w:t>
            </w:r>
          </w:p>
        </w:tc>
        <w:tc>
          <w:tcPr>
            <w:tcW w:w="17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126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c>
          <w:tcPr>
            <w:tcW w:w="19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8,5</w:t>
            </w:r>
          </w:p>
        </w:tc>
      </w:tr>
      <w:tr w:rsidR="00BA76DF">
        <w:tc>
          <w:tcPr>
            <w:tcW w:w="35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Імідж компанії як постачальника</w:t>
            </w:r>
          </w:p>
        </w:tc>
        <w:tc>
          <w:tcPr>
            <w:tcW w:w="12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0,25</w:t>
            </w:r>
          </w:p>
        </w:tc>
        <w:tc>
          <w:tcPr>
            <w:tcW w:w="17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c>
          <w:tcPr>
            <w:tcW w:w="126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19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r>
      <w:tr w:rsidR="00BA76DF">
        <w:tc>
          <w:tcPr>
            <w:tcW w:w="35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Налагодженість збутової</w:t>
            </w:r>
          </w:p>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мережі/покриття ринку</w:t>
            </w:r>
          </w:p>
        </w:tc>
        <w:tc>
          <w:tcPr>
            <w:tcW w:w="12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0,4</w:t>
            </w:r>
          </w:p>
        </w:tc>
        <w:tc>
          <w:tcPr>
            <w:tcW w:w="17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w:t>
            </w:r>
          </w:p>
        </w:tc>
        <w:tc>
          <w:tcPr>
            <w:tcW w:w="126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c>
          <w:tcPr>
            <w:tcW w:w="19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r>
      <w:tr w:rsidR="00BA76DF">
        <w:tc>
          <w:tcPr>
            <w:tcW w:w="35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Загальна оцінка сили бізнесу</w:t>
            </w:r>
          </w:p>
        </w:tc>
        <w:tc>
          <w:tcPr>
            <w:tcW w:w="12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17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8,05</w:t>
            </w:r>
          </w:p>
        </w:tc>
        <w:tc>
          <w:tcPr>
            <w:tcW w:w="126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7,75</w:t>
            </w:r>
          </w:p>
        </w:tc>
        <w:tc>
          <w:tcPr>
            <w:tcW w:w="19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5,83</w:t>
            </w:r>
          </w:p>
        </w:tc>
      </w:tr>
    </w:tbl>
    <w:p w:rsidR="00BA76DF" w:rsidRDefault="00C33D3F">
      <w:pPr>
        <w:spacing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ind w:firstLine="720"/>
        <w:jc w:val="both"/>
        <w:rPr>
          <w:rFonts w:ascii="Times New Roman" w:eastAsia="Times New Roman" w:hAnsi="Times New Roman" w:cs="Times New Roman"/>
          <w:i/>
          <w:sz w:val="28"/>
          <w:szCs w:val="28"/>
          <w:highlight w:val="white"/>
        </w:rPr>
      </w:pP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Схематичне зображення матриці </w:t>
      </w:r>
      <w:proofErr w:type="spellStart"/>
      <w:r>
        <w:rPr>
          <w:rFonts w:ascii="Times New Roman" w:eastAsia="Times New Roman" w:hAnsi="Times New Roman" w:cs="Times New Roman"/>
          <w:sz w:val="28"/>
          <w:szCs w:val="28"/>
          <w:highlight w:val="white"/>
        </w:rPr>
        <w:t>McKinsey</w:t>
      </w:r>
      <w:proofErr w:type="spellEnd"/>
      <w:r>
        <w:rPr>
          <w:rFonts w:ascii="Times New Roman" w:eastAsia="Times New Roman" w:hAnsi="Times New Roman" w:cs="Times New Roman"/>
          <w:sz w:val="28"/>
          <w:szCs w:val="28"/>
          <w:highlight w:val="white"/>
        </w:rPr>
        <w:t xml:space="preserve"> наведено на рисунку 1.1. </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drawing>
          <wp:inline distT="114300" distB="114300" distL="114300" distR="114300">
            <wp:extent cx="4155788" cy="3405676"/>
            <wp:effectExtent l="0" t="0" r="0" b="0"/>
            <wp:docPr id="28"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1"/>
                    <a:srcRect/>
                    <a:stretch>
                      <a:fillRect/>
                    </a:stretch>
                  </pic:blipFill>
                  <pic:spPr>
                    <a:xfrm>
                      <a:off x="0" y="0"/>
                      <a:ext cx="4155788" cy="3405676"/>
                    </a:xfrm>
                    <a:prstGeom prst="rect">
                      <a:avLst/>
                    </a:prstGeom>
                    <a:ln/>
                  </pic:spPr>
                </pic:pic>
              </a:graphicData>
            </a:graphic>
          </wp:inline>
        </w:drawing>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де * П - природний газ, Н - нафта, Е - електроенергія </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Рисунок 1.1 - Схематичне зображення матриці </w:t>
      </w:r>
      <w:proofErr w:type="spellStart"/>
      <w:r>
        <w:rPr>
          <w:rFonts w:ascii="Times New Roman" w:eastAsia="Times New Roman" w:hAnsi="Times New Roman" w:cs="Times New Roman"/>
          <w:sz w:val="28"/>
          <w:szCs w:val="28"/>
          <w:highlight w:val="white"/>
        </w:rPr>
        <w:t>McKinsey</w:t>
      </w:r>
      <w:proofErr w:type="spellEnd"/>
    </w:p>
    <w:p w:rsidR="00BA76DF" w:rsidRDefault="00C33D3F">
      <w:pPr>
        <w:spacing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 матриці вище можемо побачити, що найбільш привабливою галуззю і бізнесом є природний газ. Нафта та електроенергія займають друге та третє місце відповідно. Оскільки привабливість галузі та бізнесу газу є досить високою можна сказати, що для НАК «Нафтогаз України» природний газ є перспективним та привабливим бізнесом. Також, можна зазначити, що портфель є збалансованим, оскільки він включає бізнес-одиниці з різними рівнями стратегічної привабливості та конкурентоспроможності.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Природний газ - корисна копалина, яка являє собою суміш вуглеводнів та невуглеводневих компонентів, перебуває у газоподібному стані за стандартних умов (тиск 760 мм </w:t>
      </w:r>
      <w:proofErr w:type="spellStart"/>
      <w:r>
        <w:rPr>
          <w:rFonts w:ascii="Times New Roman" w:eastAsia="Times New Roman" w:hAnsi="Times New Roman" w:cs="Times New Roman"/>
          <w:sz w:val="28"/>
          <w:szCs w:val="28"/>
          <w:highlight w:val="white"/>
        </w:rPr>
        <w:t>рт</w:t>
      </w:r>
      <w:proofErr w:type="spellEnd"/>
      <w:r>
        <w:rPr>
          <w:rFonts w:ascii="Times New Roman" w:eastAsia="Times New Roman" w:hAnsi="Times New Roman" w:cs="Times New Roman"/>
          <w:sz w:val="28"/>
          <w:szCs w:val="28"/>
          <w:highlight w:val="white"/>
        </w:rPr>
        <w:t xml:space="preserve">. ст. і температура 20° C) і є товарною продукцією [6]. Якість газу регламентується відповідно до Закону України «Про ринок природного газу» та стандартами і іншими нормативно-правовими актами [19]. Основні вимоги зазначеного стандарту щодо фізико-хімічних показників природного газу відповідають нормам країн ЄЄ. Кодексом газотранспортної системи, затвердженим </w:t>
      </w:r>
      <w:r>
        <w:rPr>
          <w:rFonts w:ascii="Times New Roman" w:eastAsia="Times New Roman" w:hAnsi="Times New Roman" w:cs="Times New Roman"/>
          <w:sz w:val="28"/>
          <w:szCs w:val="28"/>
          <w:highlight w:val="white"/>
        </w:rPr>
        <w:lastRenderedPageBreak/>
        <w:t xml:space="preserve">постановою НКРЕКП від 30.09.15 №2493, встановлюються норми якості, фізико-хімічні показники та інші характеристики природного газу, що допускається до транспортування в газотранспортній системі. Перший рівень товару передбачає задоволення фізіологічних потреб споживача через оптимізацію якості життя. Споживач прагне придбати тепло, комфорт та затишок на ринку споживчих товарів. Другий рівень товару включає в себе сам природний газ як суміш газів, утворених у надрах землі та видобутих людиною. Третій рівень товару, або товар з підкріпленням, передбачає надання споживачу додаткових послуг та переваг. Це включає монтаж, гарантію, доставку, </w:t>
      </w:r>
      <w:proofErr w:type="spellStart"/>
      <w:r>
        <w:rPr>
          <w:rFonts w:ascii="Times New Roman" w:eastAsia="Times New Roman" w:hAnsi="Times New Roman" w:cs="Times New Roman"/>
          <w:sz w:val="28"/>
          <w:szCs w:val="28"/>
          <w:highlight w:val="white"/>
        </w:rPr>
        <w:t>післяпродажне</w:t>
      </w:r>
      <w:proofErr w:type="spellEnd"/>
      <w:r>
        <w:rPr>
          <w:rFonts w:ascii="Times New Roman" w:eastAsia="Times New Roman" w:hAnsi="Times New Roman" w:cs="Times New Roman"/>
          <w:sz w:val="28"/>
          <w:szCs w:val="28"/>
          <w:highlight w:val="white"/>
        </w:rPr>
        <w:t xml:space="preserve"> обслуговування, консультації, підтримку мережі та обладнання в робочому стані, а також прийняття аварійних викликів і усунення аварійних ситуацій. Оператор газорозподільної мережі (ГРМ) виступає посередником між НАК «Нафтогаз» та споживачем у цьому процесі. Наразі природний газ знаходиться на третьому етапі життєвого циклу товару – етапі зрілості. Цей етап є найбільш тривалим і це період, коли більшість покупців вже сприйняли товар, прибутки дещо знижуються, що пов'язано із зростанням витрат на конкурентну боротьбу та в цілому зростання конкуренції. Схематично життєвий цикл природного газу зображено у додатку А.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Метою компанії на етапі зрілості є утримання позицій товару на ринку. У НАК «Нафтогаз України» настає той час, коли темпи зростання продажу поступово знижуються, збут і прибутки стабілізуються, споживачі – це масовий ринок. На цьому етапі необхідно аналізувати ринок, його специфіку, зміни, що відбуваються на ньому, конкуренцію, можливість модифікації товару (додавання певних фізико-хімічних властивостей у товар, щоб охопити нові ринки), аналіз іміджу компанії. Наразі на ринку починають з’являтися нові конкуренти для НАК «Нафтогаз України», тому компанія починає все менше витрачати бюджет на маркетинг, орієнтуючись на те, що потрібно час від часу нагадувати про себе, таким чином вести конкурентну боротьбу, покращення сервісу. Підприємству варто знизити ціни на власний товар, надавати пільги при укладанні договорів купівлі-продажу, збільшити витрати на рекламну діяльність, а саме нагадування про себе. На даному </w:t>
      </w:r>
      <w:r>
        <w:rPr>
          <w:rFonts w:ascii="Times New Roman" w:eastAsia="Times New Roman" w:hAnsi="Times New Roman" w:cs="Times New Roman"/>
          <w:sz w:val="28"/>
          <w:szCs w:val="28"/>
          <w:highlight w:val="white"/>
        </w:rPr>
        <w:lastRenderedPageBreak/>
        <w:t>етапі підприємству варто диференціювати свій сервіс, оскільки сам товар стандартизований та конкурентна боротьба іде саме за третім рівнем товару [3].</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Підприємство має складну організаційну структуру, яка була визначена у Постанові Кабінету Міністрів України від 25 травня 1998 року №747 «Про утворення Національної акціонерної компанії «Нафтогаз України«. Організаційна структура компанії включає дочірні підприємства (Укргазвидобування, Укртрансгаз, Укрнафта, </w:t>
      </w:r>
      <w:proofErr w:type="spellStart"/>
      <w:r>
        <w:rPr>
          <w:rFonts w:ascii="Times New Roman" w:eastAsia="Times New Roman" w:hAnsi="Times New Roman" w:cs="Times New Roman"/>
          <w:sz w:val="28"/>
          <w:szCs w:val="28"/>
          <w:highlight w:val="white"/>
        </w:rPr>
        <w:t>Чорноморнафтогаз</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Укртранснафта</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Науканафтогаз</w:t>
      </w:r>
      <w:proofErr w:type="spellEnd"/>
      <w:r>
        <w:rPr>
          <w:rFonts w:ascii="Times New Roman" w:eastAsia="Times New Roman" w:hAnsi="Times New Roman" w:cs="Times New Roman"/>
          <w:sz w:val="28"/>
          <w:szCs w:val="28"/>
          <w:highlight w:val="white"/>
        </w:rPr>
        <w:t xml:space="preserve">, Газ України, ЛІКВО, </w:t>
      </w:r>
      <w:proofErr w:type="spellStart"/>
      <w:r>
        <w:rPr>
          <w:rFonts w:ascii="Times New Roman" w:eastAsia="Times New Roman" w:hAnsi="Times New Roman" w:cs="Times New Roman"/>
          <w:sz w:val="28"/>
          <w:szCs w:val="28"/>
          <w:highlight w:val="white"/>
        </w:rPr>
        <w:t>Укрспецтрансгаз</w:t>
      </w:r>
      <w:proofErr w:type="spellEnd"/>
      <w:r>
        <w:rPr>
          <w:rFonts w:ascii="Times New Roman" w:eastAsia="Times New Roman" w:hAnsi="Times New Roman" w:cs="Times New Roman"/>
          <w:sz w:val="28"/>
          <w:szCs w:val="28"/>
          <w:highlight w:val="white"/>
        </w:rPr>
        <w:t>, Газопостачальна компанія Нафтогаз-Україна) та підприємства, які були створені НАК «Нафтогаз України», а також філії та представництва. Роботу цих структур керують бізнес-дивізіони: «Розвідка та видобування«, «Нафта«, «Зберігання природного газу«, «</w:t>
      </w:r>
      <w:proofErr w:type="spellStart"/>
      <w:r>
        <w:rPr>
          <w:rFonts w:ascii="Times New Roman" w:eastAsia="Times New Roman" w:hAnsi="Times New Roman" w:cs="Times New Roman"/>
          <w:sz w:val="28"/>
          <w:szCs w:val="28"/>
          <w:highlight w:val="white"/>
        </w:rPr>
        <w:t>Трейдинг</w:t>
      </w:r>
      <w:proofErr w:type="spellEnd"/>
      <w:r>
        <w:rPr>
          <w:rFonts w:ascii="Times New Roman" w:eastAsia="Times New Roman" w:hAnsi="Times New Roman" w:cs="Times New Roman"/>
          <w:sz w:val="28"/>
          <w:szCs w:val="28"/>
          <w:highlight w:val="white"/>
        </w:rPr>
        <w:t xml:space="preserve">«, «Роздрібний бізнес«, «Нова енергія«, «Теплоенергетика«. Діяльність бізнес-дивізіонів підтримують наскрізні корпоративні функції. На даний момент у Групі існує п'ятнадцять таких функцій: «Управління фінансами«, «Юридичне забезпечення«, «Безпека«, «Управління людськими ресурсами«, «HSE«, «Етика та </w:t>
      </w:r>
      <w:proofErr w:type="spellStart"/>
      <w:r>
        <w:rPr>
          <w:rFonts w:ascii="Times New Roman" w:eastAsia="Times New Roman" w:hAnsi="Times New Roman" w:cs="Times New Roman"/>
          <w:sz w:val="28"/>
          <w:szCs w:val="28"/>
          <w:highlight w:val="white"/>
        </w:rPr>
        <w:t>комплаєнс</w:t>
      </w:r>
      <w:proofErr w:type="spellEnd"/>
      <w:r>
        <w:rPr>
          <w:rFonts w:ascii="Times New Roman" w:eastAsia="Times New Roman" w:hAnsi="Times New Roman" w:cs="Times New Roman"/>
          <w:sz w:val="28"/>
          <w:szCs w:val="28"/>
          <w:highlight w:val="white"/>
        </w:rPr>
        <w:t xml:space="preserve">«, «Стратегія та бізнес-аналітика«, «Методологія та стандартизація бізнес-процесів«, «Управління інтегрованими комунікаціями«, «Управління проектами та ініціативами«, «Управління ризиками«, «Врегулювання проблемної заборгованості«, «Управління інформаційними технологіями«, «Взаємодія з органами влади та зацікавленими сторонами«, «Управління </w:t>
      </w:r>
      <w:proofErr w:type="spellStart"/>
      <w:r>
        <w:rPr>
          <w:rFonts w:ascii="Times New Roman" w:eastAsia="Times New Roman" w:hAnsi="Times New Roman" w:cs="Times New Roman"/>
          <w:sz w:val="28"/>
          <w:szCs w:val="28"/>
          <w:highlight w:val="white"/>
        </w:rPr>
        <w:t>закупівлями</w:t>
      </w:r>
      <w:proofErr w:type="spellEnd"/>
      <w:r>
        <w:rPr>
          <w:rFonts w:ascii="Times New Roman" w:eastAsia="Times New Roman" w:hAnsi="Times New Roman" w:cs="Times New Roman"/>
          <w:sz w:val="28"/>
          <w:szCs w:val="28"/>
          <w:highlight w:val="white"/>
        </w:rPr>
        <w:t xml:space="preserve">«. Кадрова політика в компанії є гнучкою та універсальною, що дозволяє всім підрозділам та керівникам виконувати не лише свої функції. В компанії існує реактивна кадрова політика. Керівництво вирішується за допомогою авторитарно-демократичного стилю, керівник підвищує свою кваліфікацію, створює дружню атмосферу в колективі та дозволяє працівникам висловлювати свою думку. Виробничими </w:t>
      </w:r>
      <w:proofErr w:type="spellStart"/>
      <w:r>
        <w:rPr>
          <w:rFonts w:ascii="Times New Roman" w:eastAsia="Times New Roman" w:hAnsi="Times New Roman" w:cs="Times New Roman"/>
          <w:sz w:val="28"/>
          <w:szCs w:val="28"/>
          <w:highlight w:val="white"/>
        </w:rPr>
        <w:t>потужностями</w:t>
      </w:r>
      <w:proofErr w:type="spellEnd"/>
      <w:r>
        <w:rPr>
          <w:rFonts w:ascii="Times New Roman" w:eastAsia="Times New Roman" w:hAnsi="Times New Roman" w:cs="Times New Roman"/>
          <w:sz w:val="28"/>
          <w:szCs w:val="28"/>
          <w:highlight w:val="white"/>
        </w:rPr>
        <w:t xml:space="preserve"> виступають газові родовища, при цьому компанія використовує обладнання як вітчизняних, так і зарубіжних виробників. Фінансові ресурси компанії включають доходи від продажу та постачання природного газу та його транзиту, прибуток від операційної діяльності, позиковий та резервний капітал. Технологічні ресурси включають капілярні системи для підвищення видобутку на </w:t>
      </w:r>
      <w:r>
        <w:rPr>
          <w:rFonts w:ascii="Times New Roman" w:eastAsia="Times New Roman" w:hAnsi="Times New Roman" w:cs="Times New Roman"/>
          <w:sz w:val="28"/>
          <w:szCs w:val="28"/>
          <w:highlight w:val="white"/>
        </w:rPr>
        <w:lastRenderedPageBreak/>
        <w:t xml:space="preserve">виснажених родовищах, а також планується впровадження горизонтального буріння з застосуванням методів багатостадійного ГРП в поточному році [8].  Також компанія використовує CRM-системи для обліку фінансів, сировини, комплектуючих, проданої продукції. Робітники, що працюють у компанії підвищують свою кваліфікацію щороку, чому сприяє підприємство. Станом на 2023 рік кількість співробітників компанії 45 тисяч осіб, до кінця року компанія планує збільшити їх до 100 тисяч осіб [9].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НАК «Нафтогаз </w:t>
      </w:r>
      <w:proofErr w:type="spellStart"/>
      <w:r>
        <w:rPr>
          <w:rFonts w:ascii="Times New Roman" w:eastAsia="Times New Roman" w:hAnsi="Times New Roman" w:cs="Times New Roman"/>
          <w:sz w:val="28"/>
          <w:szCs w:val="28"/>
          <w:highlight w:val="white"/>
        </w:rPr>
        <w:t>України»є</w:t>
      </w:r>
      <w:proofErr w:type="spellEnd"/>
      <w:r>
        <w:rPr>
          <w:rFonts w:ascii="Times New Roman" w:eastAsia="Times New Roman" w:hAnsi="Times New Roman" w:cs="Times New Roman"/>
          <w:sz w:val="28"/>
          <w:szCs w:val="28"/>
          <w:highlight w:val="white"/>
        </w:rPr>
        <w:t xml:space="preserve"> диверсифікованою компанією як горизонтально, так і вертикально. Горизонтальна диверсифікація полягає в розширенні бізнесу на нові товари, які не пов'язані зі сталим бізнесом компанії. У випадку НАК «Нафтогаз України» це розвиток альтернативних джерел енергії та розширення географії своєї діяльності за межі України. Вертикальна диверсифікація, з іншого боку, передбачає розширення компанії на суміжні сегменти виробництва. У НАК «Нафтогаз України» це виробництво та постачання газового обладнання, послуги з енергоефективності та розробка нових технологій для видобутку і обробки природного газу.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НАК «Нафтогаз України» охоплює різні ринки в Україні та за її межами. Внутрішній ринок природного газу - компанія є основним постачальником природного газу для українських споживачів, включаючи домогосподарства, підприємства та інші організації. Компанія також активно працює на міжнародному ринку збуту газу, експортуючи природний газ за кордон та співпрацюючи з іншими країнами щодо енергетичної безпеки та постачання газу. Підприємство також займається виробництвом електроенергії та її постачанням на внутрішній ринок, що робить його присутнім на ринку електроенергії. Компанія займає 73% частки ринку. Вона є постачальником останньої надії, що підкреслює її лідерські позиції на ринку, НАК «Нафтогаз </w:t>
      </w:r>
      <w:proofErr w:type="spellStart"/>
      <w:r>
        <w:rPr>
          <w:rFonts w:ascii="Times New Roman" w:eastAsia="Times New Roman" w:hAnsi="Times New Roman" w:cs="Times New Roman"/>
          <w:sz w:val="28"/>
          <w:szCs w:val="28"/>
          <w:highlight w:val="white"/>
        </w:rPr>
        <w:t>України»забезпечує</w:t>
      </w:r>
      <w:proofErr w:type="spellEnd"/>
      <w:r>
        <w:rPr>
          <w:rFonts w:ascii="Times New Roman" w:eastAsia="Times New Roman" w:hAnsi="Times New Roman" w:cs="Times New Roman"/>
          <w:sz w:val="28"/>
          <w:szCs w:val="28"/>
          <w:highlight w:val="white"/>
        </w:rPr>
        <w:t xml:space="preserve"> транзит та експорт природного газу, що має важливе значення для енергетичної безпеки регіону та є джерелом доходів для компанії [1]. Рівень відомості марки та рівень лояльності споживачів високий, на що вказує те, що споживачі обирають залишатися з компанією, тобто не змінювати постачальника.  Маркетинговими </w:t>
      </w:r>
      <w:r>
        <w:rPr>
          <w:rFonts w:ascii="Times New Roman" w:eastAsia="Times New Roman" w:hAnsi="Times New Roman" w:cs="Times New Roman"/>
          <w:sz w:val="28"/>
          <w:szCs w:val="28"/>
          <w:highlight w:val="white"/>
        </w:rPr>
        <w:lastRenderedPageBreak/>
        <w:t xml:space="preserve">цілями НАК «Нафтогаз України» на поточний момент часу є збільшення свідомості споживачів про продукти компанії, підвищення лояльності клієнтів шляхом впровадження програм лояльності та підтримки високого рівня обслуговування, розширення асортименту продукції та послуг для задоволення різноманітних потреб ринку. Ринковими цілям НАК «Нафтогаз України» на поточний момент часу є  збільшення своєї частки на внутрішньому ринку газу та енергії, розвиток нових ринків збуту для експорту та транзиту газу, залучення нових клієнтів та ринків для розширення діяльності компанії, підвищення конкурентоспроможності компанії на ринку шляхом розвитку та впровадження інноваційних рішень та технологій. На ринкові та маркетингові цілі підприємства впливають складності та виклики, які наразі існують, а саме складна геополітична ситуація у регіоні може впливати на </w:t>
      </w:r>
      <w:proofErr w:type="spellStart"/>
      <w:r>
        <w:rPr>
          <w:rFonts w:ascii="Times New Roman" w:eastAsia="Times New Roman" w:hAnsi="Times New Roman" w:cs="Times New Roman"/>
          <w:sz w:val="28"/>
          <w:szCs w:val="28"/>
          <w:highlight w:val="white"/>
        </w:rPr>
        <w:t>на</w:t>
      </w:r>
      <w:proofErr w:type="spellEnd"/>
      <w:r>
        <w:rPr>
          <w:rFonts w:ascii="Times New Roman" w:eastAsia="Times New Roman" w:hAnsi="Times New Roman" w:cs="Times New Roman"/>
          <w:sz w:val="28"/>
          <w:szCs w:val="28"/>
          <w:highlight w:val="white"/>
        </w:rPr>
        <w:t xml:space="preserve"> умови експорту та транзиту газу через території інших країн. Забезпечення енергетичної безпеки країни та регіону є однією з ключових викликів для НАК «Нафтогаз України». Компанія повинна забезпечувати стабільне постачання газу для внутрішнього споживача та партнерів у регіоні. Також існує жорстка конкуренція на ринку газу та енергії, економічна нестабільність країни, у зв’язку з російсько-українською війною. Світові тенденції до зеленої енергетики та використання альтернативних джерел енергії створюють виклики для традиційних енергетичних компаній, таких як НАК «Нафтогаз України», у плані адаптації до нових умов та розвитку екологічно чистих технологій. Ціноутворення природного газу для побутових споживачів в НАК «Нафтогаз України» базується на комплексному підході, який враховує ряд факторів. Серед них важливе значення має собівартість газу, що включає витрати на його видобуток, транспортування, зберігання та інші операційні витрати. Другим ключовим фактором є ціни на світових ринках, оскільки вони можуть впливати на цінову політику в Україні через залежність від імпортованих обсягів газу. Крім того, уряд може регулювати ціни на газ для забезпечення стабільності ринку та захисту споживачів від різких коливань цін. Третім аспектом є субсидії, які уряд може надавати для оплати газу соціально вразливим верствам населення. Це також впливає на цінову політику для цієї категорії споживачів. Остаточні ціни на природний газ для побутових </w:t>
      </w:r>
      <w:r>
        <w:rPr>
          <w:rFonts w:ascii="Times New Roman" w:eastAsia="Times New Roman" w:hAnsi="Times New Roman" w:cs="Times New Roman"/>
          <w:sz w:val="28"/>
          <w:szCs w:val="28"/>
          <w:highlight w:val="white"/>
        </w:rPr>
        <w:lastRenderedPageBreak/>
        <w:t xml:space="preserve">споживачів визначаються з урахуванням цих факторів, що є об'єктом внутрішньої стратегії компанії та регулятивних вимог. Інтенсивний тип збуту характеризується широким охопленням ринку та активними методами доставки та постачання газу як товару широкого споживання у найбільшу можливу кількість збутових каналів. Непрямий метод збуту полягає у використанні посередників, що виступають у ролі газорозподільчих систем (ГРСМ) у різних областях країни. Ці посередники є різними та забезпечують доставку газу до кінцевих споживачів. Основними каналами збуту є </w:t>
      </w:r>
      <w:proofErr w:type="spellStart"/>
      <w:r>
        <w:rPr>
          <w:rFonts w:ascii="Times New Roman" w:eastAsia="Times New Roman" w:hAnsi="Times New Roman" w:cs="Times New Roman"/>
          <w:sz w:val="28"/>
          <w:szCs w:val="28"/>
          <w:highlight w:val="white"/>
        </w:rPr>
        <w:t>газозбутові</w:t>
      </w:r>
      <w:proofErr w:type="spellEnd"/>
      <w:r>
        <w:rPr>
          <w:rFonts w:ascii="Times New Roman" w:eastAsia="Times New Roman" w:hAnsi="Times New Roman" w:cs="Times New Roman"/>
          <w:sz w:val="28"/>
          <w:szCs w:val="28"/>
          <w:highlight w:val="white"/>
        </w:rPr>
        <w:t xml:space="preserve"> організації, зокрема газорозподільні та газотранспортні компанії, які здійснюють постачання газу в різних областях країни та взаємодіють з різними категоріями споживачів для укладення договорів та забезпечення якісного обслуговування [8]. Компанія веде активну комунікаційну політику, що охоплює низку заходів для забезпечення ефективного спілкування зі споживачами. Ця політика включає розповсюдження докладної інформації про актуальні тарифи та ціни на газ, присутність у засобах масової інформації та соціальних мережах, а також взаємодію з клієнтами через контактні центри та онлайн-сервіси для вирішення запитань та надання необхідної інформації. Компанія також надає легкий доступ до інформації, відгуків та обробляє скарги та пропозиції споживачів, а також впроваджує програми лояльності та акції для стимулювання взаємодії з нею. Ці заходи свідчать про бажання компанії покращити якість обслуговування шляхом ефективної комунікації зі споживачами. У споживачів асоціація з компанією, як постачальником останньої надії, з низькими цінами про послуги. Асоціацію «низькі ціни» потрібно удосконалити, а саме закласти у свідомість споживача, що гарна якість і обслуговування може бути за низької ціни, оскільки більшість споживачів схильні думати навпаки, що може негативно впливати на діяльність компанії на ринку. Репутація компанії є неоднозначною, з одного боку гарна репутація, з іншого - недовіра до компанії у зв’язку з її залежністю до політичних дій та рішень [10].  Зведений аналіз сильних та слабких сторін наведені у таблиці 1.2.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br/>
      </w:r>
      <w:r>
        <w:rPr>
          <w:rFonts w:ascii="Times New Roman" w:eastAsia="Times New Roman" w:hAnsi="Times New Roman" w:cs="Times New Roman"/>
          <w:sz w:val="28"/>
          <w:szCs w:val="28"/>
          <w:highlight w:val="white"/>
        </w:rPr>
        <w:tab/>
        <w:t xml:space="preserve">Таблиця 1.2 – Сильні та слабкі сторони підприємства  </w:t>
      </w:r>
    </w:p>
    <w:tbl>
      <w:tblPr>
        <w:tblStyle w:val="a7"/>
        <w:tblW w:w="982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0"/>
        <w:gridCol w:w="2700"/>
        <w:gridCol w:w="3510"/>
        <w:gridCol w:w="3075"/>
      </w:tblGrid>
      <w:tr w:rsidR="00BA76DF">
        <w:tc>
          <w:tcPr>
            <w:tcW w:w="54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з/п</w:t>
            </w:r>
          </w:p>
        </w:tc>
        <w:tc>
          <w:tcPr>
            <w:tcW w:w="270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Фактор</w:t>
            </w:r>
          </w:p>
        </w:tc>
        <w:tc>
          <w:tcPr>
            <w:tcW w:w="351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Сильна сторона</w:t>
            </w:r>
          </w:p>
        </w:tc>
        <w:tc>
          <w:tcPr>
            <w:tcW w:w="30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Слабка сторона</w:t>
            </w:r>
          </w:p>
        </w:tc>
      </w:tr>
      <w:tr w:rsidR="00BA76DF">
        <w:tc>
          <w:tcPr>
            <w:tcW w:w="54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2700" w:type="dxa"/>
          </w:tcPr>
          <w:p w:rsidR="00BA76DF" w:rsidRDefault="00C33D3F">
            <w:pPr>
              <w:tabs>
                <w:tab w:val="left" w:pos="816"/>
              </w:tabs>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Стратегія та керівництво</w:t>
            </w:r>
          </w:p>
        </w:tc>
        <w:tc>
          <w:tcPr>
            <w:tcW w:w="3510" w:type="dxa"/>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c>
          <w:tcPr>
            <w:tcW w:w="30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Вплив політичних факторів на стратегію компанії.</w:t>
            </w:r>
          </w:p>
        </w:tc>
      </w:tr>
      <w:tr w:rsidR="00BA76DF">
        <w:tc>
          <w:tcPr>
            <w:tcW w:w="54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c>
          <w:tcPr>
            <w:tcW w:w="27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Організаційна культура</w:t>
            </w:r>
          </w:p>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c>
          <w:tcPr>
            <w:tcW w:w="35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Висока мотивація персоналу для досягнення цілей компанії.</w:t>
            </w:r>
          </w:p>
        </w:tc>
        <w:tc>
          <w:tcPr>
            <w:tcW w:w="3075" w:type="dxa"/>
            <w:shd w:val="clear" w:color="auto" w:fill="auto"/>
            <w:tcMar>
              <w:top w:w="100" w:type="dxa"/>
              <w:left w:w="100" w:type="dxa"/>
              <w:bottom w:w="100" w:type="dxa"/>
              <w:right w:w="100" w:type="dxa"/>
            </w:tcMar>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r>
      <w:tr w:rsidR="00BA76DF">
        <w:tc>
          <w:tcPr>
            <w:tcW w:w="54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c>
          <w:tcPr>
            <w:tcW w:w="27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Структура та системи управління </w:t>
            </w:r>
          </w:p>
        </w:tc>
        <w:tc>
          <w:tcPr>
            <w:tcW w:w="3510" w:type="dxa"/>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c>
          <w:tcPr>
            <w:tcW w:w="30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Бюрократія та повільне прийняття рішень.</w:t>
            </w:r>
          </w:p>
        </w:tc>
      </w:tr>
      <w:tr w:rsidR="00BA76DF">
        <w:trPr>
          <w:trHeight w:val="1538"/>
        </w:trPr>
        <w:tc>
          <w:tcPr>
            <w:tcW w:w="54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c>
          <w:tcPr>
            <w:tcW w:w="27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Людські ресурси</w:t>
            </w:r>
          </w:p>
        </w:tc>
        <w:tc>
          <w:tcPr>
            <w:tcW w:w="35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Висококваліфікований персонал з готовністю до змін та розвитку.</w:t>
            </w:r>
          </w:p>
        </w:tc>
        <w:tc>
          <w:tcPr>
            <w:tcW w:w="3075" w:type="dxa"/>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r>
      <w:tr w:rsidR="00BA76DF">
        <w:tc>
          <w:tcPr>
            <w:tcW w:w="54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c>
          <w:tcPr>
            <w:tcW w:w="27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Фінансові ресурси</w:t>
            </w:r>
          </w:p>
        </w:tc>
        <w:tc>
          <w:tcPr>
            <w:tcW w:w="35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Доступ до фінансових ресурсів та їх ефективне використання.</w:t>
            </w:r>
          </w:p>
        </w:tc>
        <w:tc>
          <w:tcPr>
            <w:tcW w:w="3075" w:type="dxa"/>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r>
      <w:tr w:rsidR="00BA76DF">
        <w:trPr>
          <w:trHeight w:val="1979"/>
        </w:trPr>
        <w:tc>
          <w:tcPr>
            <w:tcW w:w="54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w:t>
            </w:r>
          </w:p>
        </w:tc>
        <w:tc>
          <w:tcPr>
            <w:tcW w:w="27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Технології та обладнання</w:t>
            </w:r>
          </w:p>
        </w:tc>
        <w:tc>
          <w:tcPr>
            <w:tcW w:w="35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Використання сучасних технологій та обладнання для підвищення продуктивності.</w:t>
            </w:r>
          </w:p>
        </w:tc>
        <w:tc>
          <w:tcPr>
            <w:tcW w:w="30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Потреба у постійному оновленні технологій та обладнання.</w:t>
            </w:r>
          </w:p>
          <w:p w:rsidR="00BA76DF" w:rsidRDefault="00BA76DF">
            <w:pPr>
              <w:widowControl w:val="0"/>
              <w:spacing w:line="240" w:lineRule="auto"/>
              <w:jc w:val="both"/>
              <w:rPr>
                <w:rFonts w:ascii="Times New Roman" w:eastAsia="Times New Roman" w:hAnsi="Times New Roman" w:cs="Times New Roman"/>
                <w:sz w:val="24"/>
                <w:szCs w:val="24"/>
                <w:highlight w:val="white"/>
              </w:rPr>
            </w:pPr>
          </w:p>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r>
      <w:tr w:rsidR="00BA76DF">
        <w:tc>
          <w:tcPr>
            <w:tcW w:w="54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27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Комунікаційна політика</w:t>
            </w:r>
          </w:p>
        </w:tc>
        <w:tc>
          <w:tcPr>
            <w:tcW w:w="35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Розповсюдження докладної інформації про актуальні тарифи та ціни на газ, присутність у засобах масової інформації та соціальних мережах.</w:t>
            </w:r>
          </w:p>
        </w:tc>
        <w:tc>
          <w:tcPr>
            <w:tcW w:w="30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Потреба у покращенні взаємодії з клієнтами та вирішенні скарг та пропозицій.</w:t>
            </w:r>
          </w:p>
          <w:p w:rsidR="00BA76DF" w:rsidRDefault="00BA76DF">
            <w:pPr>
              <w:widowControl w:val="0"/>
              <w:spacing w:line="240" w:lineRule="auto"/>
              <w:jc w:val="both"/>
              <w:rPr>
                <w:rFonts w:ascii="Times New Roman" w:eastAsia="Times New Roman" w:hAnsi="Times New Roman" w:cs="Times New Roman"/>
                <w:sz w:val="24"/>
                <w:szCs w:val="24"/>
                <w:highlight w:val="white"/>
              </w:rPr>
            </w:pPr>
          </w:p>
          <w:p w:rsidR="00BA76DF" w:rsidRDefault="00BA76DF">
            <w:pPr>
              <w:widowControl w:val="0"/>
              <w:spacing w:line="240" w:lineRule="auto"/>
              <w:jc w:val="both"/>
              <w:rPr>
                <w:rFonts w:ascii="Times New Roman" w:eastAsia="Times New Roman" w:hAnsi="Times New Roman" w:cs="Times New Roman"/>
                <w:sz w:val="24"/>
                <w:szCs w:val="24"/>
                <w:highlight w:val="white"/>
              </w:rPr>
            </w:pPr>
          </w:p>
        </w:tc>
      </w:tr>
      <w:tr w:rsidR="00BA76DF">
        <w:tc>
          <w:tcPr>
            <w:tcW w:w="54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c>
          <w:tcPr>
            <w:tcW w:w="27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Асоціація споживачів</w:t>
            </w:r>
          </w:p>
        </w:tc>
        <w:tc>
          <w:tcPr>
            <w:tcW w:w="35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Позиціонування компанії як постачальника надійних послуг з низькими цінами.</w:t>
            </w:r>
          </w:p>
        </w:tc>
        <w:tc>
          <w:tcPr>
            <w:tcW w:w="30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Потреба у покращенні сприйняття споживачами якості та обслуговування за низьку ціну.</w:t>
            </w:r>
          </w:p>
        </w:tc>
      </w:tr>
      <w:tr w:rsidR="00BA76DF">
        <w:tc>
          <w:tcPr>
            <w:tcW w:w="54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w:t>
            </w:r>
          </w:p>
        </w:tc>
        <w:tc>
          <w:tcPr>
            <w:tcW w:w="27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Репутація компанії</w:t>
            </w:r>
          </w:p>
        </w:tc>
        <w:tc>
          <w:tcPr>
            <w:tcW w:w="3510" w:type="dxa"/>
            <w:shd w:val="clear" w:color="auto" w:fill="auto"/>
            <w:tcMar>
              <w:top w:w="100" w:type="dxa"/>
              <w:left w:w="100" w:type="dxa"/>
              <w:bottom w:w="100" w:type="dxa"/>
              <w:right w:w="100" w:type="dxa"/>
            </w:tcMar>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c>
          <w:tcPr>
            <w:tcW w:w="30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Недовіра споживачів через можливий політичний вплив </w:t>
            </w:r>
          </w:p>
        </w:tc>
      </w:tr>
    </w:tbl>
    <w:p w:rsidR="00BA76DF" w:rsidRDefault="00C33D3F">
      <w:pPr>
        <w:spacing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на основі [1,2,4]</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after="30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Аналіз внутрішнього середовища НАК «Нафтогаз України» виявив ряд сильних сторін, що включають глибоке розуміння потреби у забезпеченні енергетичної безпеки та стабільного постачання газу, активне використання новітніх технологій для ефективного видобутку газу та модернізації родовищ, </w:t>
      </w:r>
      <w:r>
        <w:rPr>
          <w:rFonts w:ascii="Times New Roman" w:eastAsia="Times New Roman" w:hAnsi="Times New Roman" w:cs="Times New Roman"/>
          <w:sz w:val="28"/>
          <w:szCs w:val="28"/>
          <w:highlight w:val="white"/>
        </w:rPr>
        <w:lastRenderedPageBreak/>
        <w:t>комплексний підхід до визначення цін на газ та широке охоплення ринку та активні методи доставки та постачання газу як товару широкого споживання. Однак, важливо врахувати слабкі сторони, такі як вплив політичних факторів на стратегію компанії, неоднозначна репутація компанії та недовіра до неї у зв'язку з політичним впливом та корупційними скандалами. Загалом, НАК «Нафтогаз України» має потенціал для подальшого розвитку та покращення своєї діяльності, проте необхідно активно працювати над вирішенням слабких сторін, зокрема, покращенням репутації компанії та зменшенням впливу політичних факторів на її стратегію.</w:t>
      </w:r>
    </w:p>
    <w:p w:rsidR="00BA76DF" w:rsidRDefault="00C33D3F">
      <w:pPr>
        <w:pStyle w:val="2"/>
        <w:spacing w:line="360" w:lineRule="auto"/>
        <w:ind w:firstLine="720"/>
        <w:jc w:val="both"/>
        <w:rPr>
          <w:highlight w:val="white"/>
        </w:rPr>
      </w:pPr>
      <w:bookmarkStart w:id="5" w:name="_o316i8cqgah" w:colFirst="0" w:colLast="0"/>
      <w:bookmarkEnd w:id="5"/>
      <w:r>
        <w:rPr>
          <w:highlight w:val="white"/>
        </w:rPr>
        <w:t>1.2 Аналіз маркетингового середовища НАК «Нафтогаз України»</w:t>
      </w:r>
    </w:p>
    <w:p w:rsidR="00BA76DF" w:rsidRDefault="00BA76DF">
      <w:pPr>
        <w:spacing w:line="360" w:lineRule="auto"/>
        <w:rPr>
          <w:rFonts w:ascii="Times New Roman" w:eastAsia="Times New Roman" w:hAnsi="Times New Roman" w:cs="Times New Roman"/>
          <w:sz w:val="28"/>
          <w:szCs w:val="28"/>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макросередовища підприємства НАК «Нафтогаз України» включає ретельне розглядання факторів, що можуть впливати на його діяльність на ринку природного газу. Одним із таких факторів є велика різниця в доходах населення. Цей фактор визначає необхідність підприємству приділяти значну увагу ціноутворенню, оскільки навіть невеликі коливання ціни можуть викликати негативну реакцію у споживачів. Підприємство враховує економічну ситуацію у країні та намагається обрати оптимальну ціну, щоб забезпечити задоволення споживачів та зберегти їхню лояльність. Інший важливий фактор - це тривалість опалювального сезону, яка становить близько шести місяців. У період поза опалювальним сезоном попит на газ для опалення помешкань різко зменшується, що може вплинути на обсяг збуту. Щоб компенсувати це, підприємство закликає споживачів придбати газ для інших видів діяльності, таких як приготування їжі або нагрівання води.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Іншим фактором є низька тривалість життя в Україні. Він вказує на необхідність навчання молодих спеціалістів та стимулювання їхнього наукового розвитку. Для цього підприємство проводить стажування студентів та випускників ВНЗ, що сприяє підвищенню кваліфікації молодих фахівців та забезпечує компанії доступ до новітніх наукових розробок. Зменшення платоспроможності споживачів </w:t>
      </w:r>
      <w:r>
        <w:rPr>
          <w:rFonts w:ascii="Times New Roman" w:eastAsia="Times New Roman" w:hAnsi="Times New Roman" w:cs="Times New Roman"/>
          <w:sz w:val="28"/>
          <w:szCs w:val="28"/>
          <w:highlight w:val="white"/>
        </w:rPr>
        <w:lastRenderedPageBreak/>
        <w:t xml:space="preserve">- ще один важливий фактор. Ця загроза може призвести до необхідності перегляду цінової політики підприємства та втрати певної частини споживачів. Для запобігання цьому, підприємство аналізує економічну та політичну ситуацію у країні та намагається вчасно реагувати на зміни, щоб зберегти свої позиції на ринку. Аналіз макросередовища НАК «Нафтогаз України» виявив ряд факторів, що можуть сприяти розвитку підприємства на ринку природного газу. Один із таких факторів - це монопольне становище на ринку, що створює можливість для підприємства майже повністю охопити ринок і підвищити обсяг видобутку газу. Ще один важливий фактор - це впровадження нових технологій у видобуток на постачання природного газу. Це дає можливість мінімізувати витрати за рахунок використання інновацій та модернізації виробництва. Впровадження нових технологій дозволяє підприємству підтримувати конкурентоспроможність та ефективно використовувати ресурси. Інший фактор - це внутрішньогалузева конкуренція. Вона стимулює підприємство до постійного розвитку та оновлення, що призводить до покращення якості обслуговування та розвитку нових продуктів та послуг. Також, завищені ціни на імпортний газ можуть призвести до збільшення попиту на продукцію підприємства. Фактори макросередовища наведені у таблиці 1.3. </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Таблиця 1.3 – Таблиця факторів макросередовища </w:t>
      </w:r>
    </w:p>
    <w:tbl>
      <w:tblPr>
        <w:tblStyle w:val="a8"/>
        <w:tblW w:w="9780" w:type="dxa"/>
        <w:tblInd w:w="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70"/>
        <w:gridCol w:w="2115"/>
        <w:gridCol w:w="3390"/>
        <w:gridCol w:w="3705"/>
      </w:tblGrid>
      <w:tr w:rsidR="00BA76DF">
        <w:tc>
          <w:tcPr>
            <w:tcW w:w="57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з/п</w:t>
            </w:r>
          </w:p>
        </w:tc>
        <w:tc>
          <w:tcPr>
            <w:tcW w:w="211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Фактор</w:t>
            </w:r>
          </w:p>
        </w:tc>
        <w:tc>
          <w:tcPr>
            <w:tcW w:w="339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Загроза</w:t>
            </w:r>
          </w:p>
        </w:tc>
        <w:tc>
          <w:tcPr>
            <w:tcW w:w="370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Можливість</w:t>
            </w:r>
          </w:p>
        </w:tc>
      </w:tr>
      <w:tr w:rsidR="00BA76DF">
        <w:trPr>
          <w:trHeight w:val="705"/>
        </w:trPr>
        <w:tc>
          <w:tcPr>
            <w:tcW w:w="57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c>
          <w:tcPr>
            <w:tcW w:w="211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Велика різниця в доходах населення        </w:t>
            </w:r>
          </w:p>
        </w:tc>
        <w:tc>
          <w:tcPr>
            <w:tcW w:w="339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Хоча зумовлює нестабільність попиту, проте може бути використана для пристосування ціноутворення та стимулювання споживання </w:t>
            </w:r>
          </w:p>
        </w:tc>
        <w:tc>
          <w:tcPr>
            <w:tcW w:w="370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Можливість розробки тарифів та пропозицій, які враховують рівень доходів населення та стимулюють споживання в оптимальний для компанії спосіб</w:t>
            </w:r>
          </w:p>
        </w:tc>
      </w:tr>
    </w:tbl>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Продовження таблиці 1.3</w:t>
      </w:r>
    </w:p>
    <w:tbl>
      <w:tblPr>
        <w:tblStyle w:val="a9"/>
        <w:tblW w:w="9765" w:type="dxa"/>
        <w:tblInd w:w="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5"/>
        <w:gridCol w:w="2115"/>
        <w:gridCol w:w="3390"/>
        <w:gridCol w:w="3705"/>
      </w:tblGrid>
      <w:tr w:rsidR="00BA76DF">
        <w:trPr>
          <w:trHeight w:val="705"/>
        </w:trPr>
        <w:tc>
          <w:tcPr>
            <w:tcW w:w="55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з/п</w:t>
            </w:r>
          </w:p>
        </w:tc>
        <w:tc>
          <w:tcPr>
            <w:tcW w:w="211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Фактор</w:t>
            </w:r>
          </w:p>
        </w:tc>
        <w:tc>
          <w:tcPr>
            <w:tcW w:w="339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Загроза</w:t>
            </w:r>
          </w:p>
        </w:tc>
        <w:tc>
          <w:tcPr>
            <w:tcW w:w="370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Можливість</w:t>
            </w:r>
          </w:p>
        </w:tc>
      </w:tr>
      <w:tr w:rsidR="00BA76DF">
        <w:trPr>
          <w:trHeight w:val="705"/>
        </w:trPr>
        <w:tc>
          <w:tcPr>
            <w:tcW w:w="555" w:type="dxa"/>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c>
          <w:tcPr>
            <w:tcW w:w="2115" w:type="dxa"/>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c>
          <w:tcPr>
            <w:tcW w:w="339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 періоди зниженого попиту</w:t>
            </w:r>
          </w:p>
        </w:tc>
        <w:tc>
          <w:tcPr>
            <w:tcW w:w="3705" w:type="dxa"/>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r>
      <w:tr w:rsidR="00BA76DF">
        <w:tc>
          <w:tcPr>
            <w:tcW w:w="55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2</w:t>
            </w:r>
          </w:p>
        </w:tc>
        <w:tc>
          <w:tcPr>
            <w:tcW w:w="211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Опалювальний сезон триває лише декілька місяців</w:t>
            </w:r>
          </w:p>
        </w:tc>
        <w:tc>
          <w:tcPr>
            <w:tcW w:w="339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Загроза зниження обсягів продажу в періоди поза опалювальним сезоном.          </w:t>
            </w:r>
          </w:p>
        </w:tc>
        <w:tc>
          <w:tcPr>
            <w:tcW w:w="37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Можливість рекламувати альтернативні використання газу та стимулювати споживання в ці періоди для збільшення продажів. </w:t>
            </w:r>
          </w:p>
        </w:tc>
      </w:tr>
      <w:tr w:rsidR="00BA76DF">
        <w:tc>
          <w:tcPr>
            <w:tcW w:w="55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c>
          <w:tcPr>
            <w:tcW w:w="2115"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Низька тривалість життя в Україні</w:t>
            </w:r>
          </w:p>
        </w:tc>
        <w:tc>
          <w:tcPr>
            <w:tcW w:w="339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Загроза нестабільності кадрового потенціалу та втрати кваліфікованих працівників.</w:t>
            </w:r>
          </w:p>
        </w:tc>
        <w:tc>
          <w:tcPr>
            <w:tcW w:w="37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Можливість залучення та навчання молодих спеціалістів, що забезпечує стабільність персоналу та збільшить кваліфікацію. </w:t>
            </w:r>
          </w:p>
        </w:tc>
      </w:tr>
      <w:tr w:rsidR="00BA76DF">
        <w:tc>
          <w:tcPr>
            <w:tcW w:w="55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c>
          <w:tcPr>
            <w:tcW w:w="211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Зменшення платоспроможності споживачів</w:t>
            </w:r>
          </w:p>
        </w:tc>
        <w:tc>
          <w:tcPr>
            <w:tcW w:w="339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Загроза втрати частини споживачів та зниження обсягів продажу.</w:t>
            </w:r>
          </w:p>
        </w:tc>
        <w:tc>
          <w:tcPr>
            <w:tcW w:w="37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Можливість розробки гнучкої цінової політики та впровадження акцій для збереження та привертання нових споживачів.          </w:t>
            </w:r>
          </w:p>
        </w:tc>
      </w:tr>
      <w:tr w:rsidR="00BA76DF">
        <w:tc>
          <w:tcPr>
            <w:tcW w:w="55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c>
          <w:tcPr>
            <w:tcW w:w="211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Монопольне становище на ринку</w:t>
            </w:r>
            <w:r>
              <w:rPr>
                <w:rFonts w:ascii="Times New Roman" w:eastAsia="Times New Roman" w:hAnsi="Times New Roman" w:cs="Times New Roman"/>
                <w:sz w:val="24"/>
                <w:szCs w:val="24"/>
                <w:highlight w:val="white"/>
              </w:rPr>
              <w:tab/>
            </w:r>
          </w:p>
        </w:tc>
        <w:tc>
          <w:tcPr>
            <w:tcW w:w="3390" w:type="dxa"/>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c>
          <w:tcPr>
            <w:tcW w:w="37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Можливість майже повного охоплення ринку і підвищення обсягу видобутку газу</w:t>
            </w:r>
          </w:p>
        </w:tc>
      </w:tr>
      <w:tr w:rsidR="00BA76DF">
        <w:tc>
          <w:tcPr>
            <w:tcW w:w="55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w:t>
            </w:r>
          </w:p>
        </w:tc>
        <w:tc>
          <w:tcPr>
            <w:tcW w:w="211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Внутрішньогалузева конкуренція</w:t>
            </w:r>
            <w:r>
              <w:rPr>
                <w:rFonts w:ascii="Times New Roman" w:eastAsia="Times New Roman" w:hAnsi="Times New Roman" w:cs="Times New Roman"/>
                <w:sz w:val="24"/>
                <w:szCs w:val="24"/>
                <w:highlight w:val="white"/>
              </w:rPr>
              <w:tab/>
            </w:r>
          </w:p>
        </w:tc>
        <w:tc>
          <w:tcPr>
            <w:tcW w:w="3390" w:type="dxa"/>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c>
          <w:tcPr>
            <w:tcW w:w="37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Стимулювання розвитку та оновлення, покращення якості обслуговування, розвиток нових продуктів та послуг</w:t>
            </w:r>
          </w:p>
        </w:tc>
      </w:tr>
      <w:tr w:rsidR="00BA76DF">
        <w:tc>
          <w:tcPr>
            <w:tcW w:w="55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211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Завищені ціни на імпортний газ</w:t>
            </w:r>
            <w:r>
              <w:rPr>
                <w:rFonts w:ascii="Times New Roman" w:eastAsia="Times New Roman" w:hAnsi="Times New Roman" w:cs="Times New Roman"/>
                <w:sz w:val="24"/>
                <w:szCs w:val="24"/>
                <w:highlight w:val="white"/>
              </w:rPr>
              <w:tab/>
            </w:r>
          </w:p>
        </w:tc>
        <w:tc>
          <w:tcPr>
            <w:tcW w:w="3390" w:type="dxa"/>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c>
          <w:tcPr>
            <w:tcW w:w="37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Можливість збільшення попиту на продукцію підприємства</w:t>
            </w:r>
          </w:p>
        </w:tc>
      </w:tr>
    </w:tbl>
    <w:p w:rsidR="00BA76DF" w:rsidRDefault="00C33D3F">
      <w:pPr>
        <w:spacing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макросередовища НАК «Нафтогаз України» показав, що компанія має деякі переваги і можливості на ринку природного газу. Монопольне становище на ринку дозволяє їй майже повністю охопити ринок і збільшити обсяг видобутку газу, що може призвести до зростання прибутковості. Впровадження нових технологій сприяє мінімізації витрат і збереженню конкурентоспроможності. Внутрішньогалузева конкуренція стимулює підприємство до постійного розвитку та покращення якості обслуговування.</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Проте, існують загрози, які можуть вплинути на діяльність компанії. Монопольне становище може стати об'єктом антимонопольного контролю, що обмежить можливості росту. Ризик технологічного застою або невдачі нових технологій може призвести до втрати конкурентоспроможності. Зростання конкуренції може змусити підприємство знижувати ціни та збільшувати витрати на </w:t>
      </w:r>
      <w:r>
        <w:rPr>
          <w:rFonts w:ascii="Times New Roman" w:eastAsia="Times New Roman" w:hAnsi="Times New Roman" w:cs="Times New Roman"/>
          <w:sz w:val="28"/>
          <w:szCs w:val="28"/>
          <w:highlight w:val="white"/>
        </w:rPr>
        <w:lastRenderedPageBreak/>
        <w:t>маркетинг. Збільшення цін на імпортний газ може зменшити попит на газову продукцію компанії.</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Отже, НАК «Нафтогаз України» повинен удосконалювати свою стратегію, роблячи акцент на розвиток та впровадження нових технологій, збереження конкурентоспроможності, підвищення якості обслуговування та виявлення альтернативних джерел енергії, щоб зменшити ризики та максимізувати переваги в умовах змінного ринкового середовища. Також, з аналізу </w:t>
      </w:r>
      <w:proofErr w:type="spellStart"/>
      <w:r>
        <w:rPr>
          <w:rFonts w:ascii="Times New Roman" w:eastAsia="Times New Roman" w:hAnsi="Times New Roman" w:cs="Times New Roman"/>
          <w:sz w:val="28"/>
          <w:szCs w:val="28"/>
          <w:highlight w:val="white"/>
        </w:rPr>
        <w:t>макромаркетингового</w:t>
      </w:r>
      <w:proofErr w:type="spellEnd"/>
      <w:r>
        <w:rPr>
          <w:rFonts w:ascii="Times New Roman" w:eastAsia="Times New Roman" w:hAnsi="Times New Roman" w:cs="Times New Roman"/>
          <w:sz w:val="28"/>
          <w:szCs w:val="28"/>
          <w:highlight w:val="white"/>
        </w:rPr>
        <w:t xml:space="preserve"> середовища можна зробити висновки, що на ринку цілком можливо прогнозувати зростання попиту та стабільність, також ринок має достатньо високий потенціал розвитку.  </w:t>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Подальший розвиток економіки України та зміна споживання та виробництва енергоресурсів розглядаються через призму сценаріїв економічного зростання і структури ВВП, що ґрунтуються на прогнозах Уряду України. Ці сценарії охоплюють широкий спектр, від песимістичного, коли існує безліч ризиків, пов'язаних із уповільненням виходу економіки з кризи, до оптимістичного, коли передбачається активне відновлення світового попиту на продукцію металургії й інших галузей (прогнозоване середньорічне реальне зростання ВВП до 2030 року - близько 3,8 % до 6,4 % відповідно). За основний взято сценарій, в якому передбачається середньорічне зростання ВВП на рівні 5 % до 2030 року. В усіх сценаріях передбачено ефект від детінізації економіки. В економічному розвитку України виокремлюються два етапи:</w:t>
      </w:r>
    </w:p>
    <w:p w:rsidR="00BA76DF" w:rsidRDefault="00C33D3F">
      <w:pPr>
        <w:numPr>
          <w:ilvl w:val="0"/>
          <w:numId w:val="43"/>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Перший етап полягає у високому посткризовому економічному зростанні та досягненні докризового рівня ВВП;</w:t>
      </w:r>
    </w:p>
    <w:p w:rsidR="00BA76DF" w:rsidRDefault="00C33D3F">
      <w:pPr>
        <w:numPr>
          <w:ilvl w:val="0"/>
          <w:numId w:val="43"/>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Другий етап передбачає зниження темпів економічного зростання разом із поступовою зміною структури ВВП на користь зростання сектору послуг економіки.</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Динаміка зростання ВВП України наведена у додатку Б. Для базового сценарію прогнозів ринків використовується середнє щорічне реальне зростання ВВП від 5% у період з 2010 по 2030 роки. Однак при регулярному оновленні </w:t>
      </w:r>
      <w:proofErr w:type="spellStart"/>
      <w:r>
        <w:rPr>
          <w:rFonts w:ascii="Times New Roman" w:eastAsia="Times New Roman" w:hAnsi="Times New Roman" w:cs="Times New Roman"/>
          <w:sz w:val="28"/>
          <w:szCs w:val="28"/>
          <w:highlight w:val="white"/>
        </w:rPr>
        <w:t>енергостратегії</w:t>
      </w:r>
      <w:proofErr w:type="spellEnd"/>
      <w:r>
        <w:rPr>
          <w:rFonts w:ascii="Times New Roman" w:eastAsia="Times New Roman" w:hAnsi="Times New Roman" w:cs="Times New Roman"/>
          <w:sz w:val="28"/>
          <w:szCs w:val="28"/>
          <w:highlight w:val="white"/>
        </w:rPr>
        <w:t xml:space="preserve"> необхідно враховувати фактичний розвиток ринків та ВВП. У </w:t>
      </w:r>
      <w:r>
        <w:rPr>
          <w:rFonts w:ascii="Times New Roman" w:eastAsia="Times New Roman" w:hAnsi="Times New Roman" w:cs="Times New Roman"/>
          <w:sz w:val="28"/>
          <w:szCs w:val="28"/>
          <w:highlight w:val="white"/>
        </w:rPr>
        <w:lastRenderedPageBreak/>
        <w:t xml:space="preserve">випадку швидшого зростання, ніж передбачено у базовому сценарії, необхідно коригувати прогнози. За базовий сценарій очікується, що співвідношення ВВП сфери послуг та промисловості до 2030 року наблизиться до рівня розвинених країн (70% ВВП сфери послуг, близько 21% промисловості та 9% сільського господарства). У цьому сценарії ВВП України в 2030 році досягне 2,9 трлн грн. Оптимістичний сценарій передбачає більш інтенсивний індустріальний розвиток, з реальним зростанням ВВП України на 6,4% щорічно до 2030 року та зміщенням структури ВВП у бік сектору послуг. </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Основними чинниками росту стануть зростання ВВП промислового сектору (5,2% щорічно), ВВП сектору послуг (6,9% щорічно) та ВВП сільського господарства (7,1%). За цим сценарієм у 2030 році ВВП досягне 3,8 трлн грн. У песимістичному сценарії зростання ВВП буде значно нижчим через менші темпи зростання ВВП у промисловому секторі (1,4% щорічно), сфері послуг (4,2% щорічно) та сільському господарстві (6,1%). У разі реалізації цього сценарію розвитку ВВП України в 2030 році складе 2,3 трлн грн. За основний рік для розрахунків потреб у паливі та енергії прийнято 2010 рік, прогнозовані показники цін на який відображаються у період від 2015 до 2030 року [11]. Прогнозний паливно-енергетичний баланс України на 2015 - 2030 рр. базовий та песимістичний та оптимістичний наведено у додатках В, Г, Ґ відповідно. </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Основними операторами ринку природного газу є НАК «Нафтогаз України», Державне управління справами, яке відповідає за забезпечення енергетичних потреб президента, уряду та інших державних установ,  приватні та іноземні компанії. Ці компанії співпрацюють між собою та з урядом для забезпечення стабільності та ефективності ринку природного газу в Україні. </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ринку природного газу характерні високі бар’єри входу на ринок, оскільки розвиток газової інфраструктури потребує значних інвестицій у будівництво та модернізацію газопроводів, зберігання газу та інших споруд. Ці інфраструктурні обмеження ускладнюють вступ нових учасників на ринок. Окрім цього, розробка та використання технологій видобутку, транспортування та зберігання газу потребує спеціалізованих знань і великих витрат. Це створює </w:t>
      </w:r>
      <w:r>
        <w:rPr>
          <w:rFonts w:ascii="Times New Roman" w:eastAsia="Times New Roman" w:hAnsi="Times New Roman" w:cs="Times New Roman"/>
          <w:sz w:val="28"/>
          <w:szCs w:val="28"/>
          <w:highlight w:val="white"/>
        </w:rPr>
        <w:lastRenderedPageBreak/>
        <w:t xml:space="preserve">складнощі для нових учасників, які повинні мати доступ до відповідних технологій та експертизи. </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Також, ринок природного газу піддається суворому регулюванню з боку уряду та регуляторних органів, що може включати в себе вимоги щодо ліцензування, дотримання нормативів щодо якості та безпеки, а також інші правила, які можуть бути важкими для нових учасників. Усі ці бар'єри ускладнюють вступ нових учасників на ринок природного газу та роблять його менш конкурентним і більш сконцентрованим. З іншого боку, для ринку притаманні також високі бар’єри виходу з нього, а саме компанія може зіткнутися з високими витратами на вилучення або переобладнання інфраструктури, якщо вирішить припинити свою діяльність. Також, вихід з ринку може призвести до фінансових втрат, пов'язаних з непроданою інфраструктурою, запасами газу або непокритими витратами. Держава зацікавлена у тому, щоб ринок функціонував стабільно, тому існують юридичні обмеження, такі як вимоги щодо дозвільної документації або відшкодування за збитки, які можуть ускладнити вихід підприємства з ринку.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Формування попиту на ринку природного газу має своєю особливістю пряму залежність від ціни на газ: чим вища ціна, тим менший обсяг попиту. Оскільки ціна на газ змінюється протягом року залежно від сезону та економічних показників держави та держав-імпортерів, попит є нестабільним і змінюється відповідно до платоспроможності споживача і ціни на газ. Якщо споживач потребує газу для </w:t>
      </w:r>
      <w:proofErr w:type="spellStart"/>
      <w:r>
        <w:rPr>
          <w:rFonts w:ascii="Times New Roman" w:eastAsia="Times New Roman" w:hAnsi="Times New Roman" w:cs="Times New Roman"/>
          <w:sz w:val="28"/>
          <w:szCs w:val="28"/>
          <w:highlight w:val="white"/>
        </w:rPr>
        <w:t>життєво</w:t>
      </w:r>
      <w:proofErr w:type="spellEnd"/>
      <w:r>
        <w:rPr>
          <w:rFonts w:ascii="Times New Roman" w:eastAsia="Times New Roman" w:hAnsi="Times New Roman" w:cs="Times New Roman"/>
          <w:sz w:val="28"/>
          <w:szCs w:val="28"/>
          <w:highlight w:val="white"/>
        </w:rPr>
        <w:t xml:space="preserve"> важливих потреб (наприклад, для побутового використання), він буде створювати попит, але цей попит буде мінімальним.</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У свою чергу, попит є розширюваним та еластичним, оскільки у виборі товару споживач звертає увагу на ціни, які встановлені НАК «Нафтогаз України» та їх конкурентами, включаючи альтернативні джерела. Ціна є ключовим фактором у цьому процесі. Відповідно, споживач може споживати більше газу за зменшення ціни. Перехресна еластичність попиту на природний газ проявляється слабко і, головним чином, залежить від цін на товари-замінники та інші товари промислово-енергетичного комплексу. Сезонність попиту на газ є вираженою, що пов'язано зі </w:t>
      </w:r>
      <w:r>
        <w:rPr>
          <w:rFonts w:ascii="Times New Roman" w:eastAsia="Times New Roman" w:hAnsi="Times New Roman" w:cs="Times New Roman"/>
          <w:sz w:val="28"/>
          <w:szCs w:val="28"/>
          <w:highlight w:val="white"/>
        </w:rPr>
        <w:lastRenderedPageBreak/>
        <w:t xml:space="preserve">зменшенням обсягів продажу газу влітку та весною через завершення опалювального сезону.  У першому кварталі 2023 року обсяг валового споживання природного газу склав 8,4 млрд м³, що на 29% більше, ніж у попередньому кварталі та на 14% менше, ніж у відповідному періоді попереднього року. Динаміка обсягів валового споживання та споживання побутових споживачів наведена у додатку Д.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Обсяг видобутку природного газу (без врахування обсягів видобутку, переданих до мереж Операторів ГРМ) у першому кварталі 2023 року зменшився на 86 млн м³ (або на 2%) порівняно з попереднім кварталом та на 250 млн м³ (або на 5%) у порівнянні з аналогічним періодом минулого року і становив 4,3 млрд м³.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річному споживанні природного газу спостерігаються нерівномірності через сезонні коливання. Для забезпечення потреб споживачів у періоди пікового попиту на газ, зокрема в опалювальний період, необхідний обсяг газу відбирається з газосховищ. У періоди з низьким попитом надлишок видобутого та імпортованого газу закачується до підземних газосховищ. Наприклад, у першому кварталі 2023 року високий попит на природний газ покривався за рахунок імпортованого природного газу, газу власного видобутку та газу, відібраного із підземних газосховищ. У цей період обсяги видобутого та імпортованого природного газу покривали 65% від валового споживання, що є більшим порівняно з аналогічним періодом 2022 року, коли цей показник становив 58% [11].  Динаміка обсягів споживання, видобутку та імпорту природного газу наведено у додатку Ж.</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Для ринку природного газу характерні такі особливості, як висока технологічність у всіх процесах (від видобутку до транспортування), а також значний вплив політичних факторів на його функціонування через геополітичну значущість цього ресурсу.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Розмір ринку газу визначається обсягами споживання цього виду енергоресурсів у країні за певний період часу. Потенціал ринку природного газу пов'язаний з його можливим зростанням у майбутньому, що може бути обумовлене новими технологіями видобутку, змінами у споживчому попиті та енергетичними стратегіями країн. Тип конкуренції на ринку природного газу визначається наявністю та активністю учасників ринку, таких як державні компанії, приватні </w:t>
      </w:r>
      <w:r>
        <w:rPr>
          <w:rFonts w:ascii="Times New Roman" w:eastAsia="Times New Roman" w:hAnsi="Times New Roman" w:cs="Times New Roman"/>
          <w:sz w:val="28"/>
          <w:szCs w:val="28"/>
          <w:highlight w:val="white"/>
        </w:rPr>
        <w:lastRenderedPageBreak/>
        <w:t>видобувні підприємства та постачальники газу. Рівень конкуренції на ринку природного газу може варіюватись від помірного до високого, залежно від кількості та сили конкурентів.</w:t>
      </w:r>
      <w:r>
        <w:rPr>
          <w:rFonts w:ascii="Times New Roman" w:eastAsia="Times New Roman" w:hAnsi="Times New Roman" w:cs="Times New Roman"/>
          <w:sz w:val="28"/>
          <w:szCs w:val="28"/>
          <w:highlight w:val="white"/>
        </w:rPr>
        <w:tab/>
        <w:t>В залежності від рівня платоспроможності споживача у нього існують різні мотиви купівлі. При високому рівні платоспроможності головним мотивом є комфорт, при середньому рівні основними мотивами є мотивами є турбота про близьких, при низькому - економія коштів. Прийняття рішення про купівлю складається з декількох етапів.</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Першим етапом є усвідомлення потреби в природному газі, який задовольняє потребу в комфорті та теплі. Другим етапом є пошук інформації. Споживач спочатку користується зовнішнім пошуком інформації, звертається до опису підприємства, товару, послуги, отримує консультації від оточуючих тощо. Розмах пошуку широкий, аналізується велика кількість інформації та альтернатив, послідовність пошуку є випадковою. Третім етапом є оцінка альтернатив, тобто споживач аналізує інформацію про альтернативні варіанти, їх опис. Четвертим етапом є </w:t>
      </w:r>
      <w:proofErr w:type="spellStart"/>
      <w:r>
        <w:rPr>
          <w:rFonts w:ascii="Times New Roman" w:eastAsia="Times New Roman" w:hAnsi="Times New Roman" w:cs="Times New Roman"/>
          <w:sz w:val="28"/>
          <w:szCs w:val="28"/>
          <w:highlight w:val="white"/>
        </w:rPr>
        <w:t>залученість</w:t>
      </w:r>
      <w:proofErr w:type="spellEnd"/>
      <w:r>
        <w:rPr>
          <w:rFonts w:ascii="Times New Roman" w:eastAsia="Times New Roman" w:hAnsi="Times New Roman" w:cs="Times New Roman"/>
          <w:sz w:val="28"/>
          <w:szCs w:val="28"/>
          <w:highlight w:val="white"/>
        </w:rPr>
        <w:t xml:space="preserve"> та процес прийняття рішення. </w:t>
      </w:r>
      <w:proofErr w:type="spellStart"/>
      <w:r>
        <w:rPr>
          <w:rFonts w:ascii="Times New Roman" w:eastAsia="Times New Roman" w:hAnsi="Times New Roman" w:cs="Times New Roman"/>
          <w:sz w:val="28"/>
          <w:szCs w:val="28"/>
          <w:highlight w:val="white"/>
        </w:rPr>
        <w:t>Залученість</w:t>
      </w:r>
      <w:proofErr w:type="spellEnd"/>
      <w:r>
        <w:rPr>
          <w:rFonts w:ascii="Times New Roman" w:eastAsia="Times New Roman" w:hAnsi="Times New Roman" w:cs="Times New Roman"/>
          <w:sz w:val="28"/>
          <w:szCs w:val="28"/>
          <w:highlight w:val="white"/>
        </w:rPr>
        <w:t xml:space="preserve"> висока, оскільки використання природного газу пов'язане зі значними ризиками, а цей товар має особливе значення для споживача. П'ятим етапом є покупка, на якому споживач проводить пошук інформації в формальних та неформальних джерелах, орієнтуючись на імідж компанії. Останнім, шостим етапом є </w:t>
      </w:r>
      <w:proofErr w:type="spellStart"/>
      <w:r>
        <w:rPr>
          <w:rFonts w:ascii="Times New Roman" w:eastAsia="Times New Roman" w:hAnsi="Times New Roman" w:cs="Times New Roman"/>
          <w:sz w:val="28"/>
          <w:szCs w:val="28"/>
          <w:highlight w:val="white"/>
        </w:rPr>
        <w:t>післяпродажна</w:t>
      </w:r>
      <w:proofErr w:type="spellEnd"/>
      <w:r>
        <w:rPr>
          <w:rFonts w:ascii="Times New Roman" w:eastAsia="Times New Roman" w:hAnsi="Times New Roman" w:cs="Times New Roman"/>
          <w:sz w:val="28"/>
          <w:szCs w:val="28"/>
          <w:highlight w:val="white"/>
        </w:rPr>
        <w:t xml:space="preserve"> оцінка.</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У разі задоволення споживача товаром від обраного постачальника газу, він стає постійним покупцем, в іншому випадку починається пошук інформації про інших постачальників. Портрет клієнта НАК «Нафтогаз України»:</w:t>
      </w:r>
    </w:p>
    <w:p w:rsidR="00BA76DF" w:rsidRDefault="00C33D3F">
      <w:pPr>
        <w:numPr>
          <w:ilvl w:val="0"/>
          <w:numId w:val="10"/>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Найпоширеніші імена споживачів жіночої статі Тетяна та Олена 8%, чоловічої статі Олександр та Сергій 7%;</w:t>
      </w:r>
    </w:p>
    <w:p w:rsidR="00BA76DF" w:rsidRDefault="00C33D3F">
      <w:pPr>
        <w:numPr>
          <w:ilvl w:val="0"/>
          <w:numId w:val="10"/>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компанії станом на 2023 рік 1,8 мільйона споживачів;</w:t>
      </w:r>
    </w:p>
    <w:p w:rsidR="00BA76DF" w:rsidRDefault="00C33D3F">
      <w:pPr>
        <w:numPr>
          <w:ilvl w:val="0"/>
          <w:numId w:val="10"/>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Середня сума рахунку 590 гривень;</w:t>
      </w:r>
    </w:p>
    <w:p w:rsidR="00BA76DF" w:rsidRDefault="00C33D3F">
      <w:pPr>
        <w:numPr>
          <w:ilvl w:val="0"/>
          <w:numId w:val="10"/>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Кожен третій клієнт отримує рахунки онлайн;</w:t>
      </w:r>
    </w:p>
    <w:p w:rsidR="00BA76DF" w:rsidRDefault="00C33D3F">
      <w:pPr>
        <w:numPr>
          <w:ilvl w:val="0"/>
          <w:numId w:val="10"/>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94% споживачів сплачують за рахунками;</w:t>
      </w:r>
    </w:p>
    <w:p w:rsidR="00BA76DF" w:rsidRDefault="00C33D3F">
      <w:pPr>
        <w:numPr>
          <w:ilvl w:val="0"/>
          <w:numId w:val="10"/>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Мають пільги та субсидії 23% споживачів;</w:t>
      </w:r>
    </w:p>
    <w:p w:rsidR="00BA76DF" w:rsidRDefault="00C33D3F">
      <w:pPr>
        <w:numPr>
          <w:ilvl w:val="0"/>
          <w:numId w:val="10"/>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Споживачі власники квартир 49%, власники будинків 51%. </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Розглянемо ролі осіб, що приймають участь в процесі прийняття рішення про купівлю: </w:t>
      </w:r>
    </w:p>
    <w:p w:rsidR="00BA76DF" w:rsidRDefault="00C33D3F">
      <w:pPr>
        <w:numPr>
          <w:ilvl w:val="0"/>
          <w:numId w:val="4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Користувачі – ті, хто споживають продукцію компанії;</w:t>
      </w:r>
    </w:p>
    <w:p w:rsidR="00BA76DF" w:rsidRDefault="00C33D3F">
      <w:pPr>
        <w:numPr>
          <w:ilvl w:val="0"/>
          <w:numId w:val="4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Ініціатори – родина, друзі;</w:t>
      </w:r>
    </w:p>
    <w:p w:rsidR="00BA76DF" w:rsidRDefault="00C33D3F">
      <w:pPr>
        <w:numPr>
          <w:ilvl w:val="0"/>
          <w:numId w:val="4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Референтні групи – родина, друзі;</w:t>
      </w:r>
    </w:p>
    <w:p w:rsidR="00BA76DF" w:rsidRDefault="00C33D3F">
      <w:pPr>
        <w:numPr>
          <w:ilvl w:val="0"/>
          <w:numId w:val="4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Той, хто приймає рішення про купівлю – сам споживач; </w:t>
      </w:r>
    </w:p>
    <w:p w:rsidR="00BA76DF" w:rsidRDefault="00C33D3F">
      <w:pPr>
        <w:numPr>
          <w:ilvl w:val="0"/>
          <w:numId w:val="4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Той, хто безпосередньо купує – сам споживач.</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Групами членства є родина та друзі, сім’я – первинна група, друзі – вторинна. Ці дві групи найбільше впливають на вподобання споживача, через те, що є найближчим до нього оточенням. Референтними групами є авторитетні члени сім’ї, найкращі друзі. Однак, незважаючи на вплив найближчого оточення, купівля товару підприємства НАК «Нафтогаз» пов’язана з ефектом приєднання до більшості. Цей феномен можна пояснити психологічним фактором соціального доказу, коли споживачі схильні довіряти вибору своїх сусідів та однодумців. Іншими словами, якщо більшість мешканців будинку обирають користуватись послугами НАК «Нафтогаз», то з великою ймовірністю інші споживачі також приймуть рішення на користь цього ж підприємства.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Це явище значно впливає на формування споживчих переваг і зумовлює високий рівень лояльності клієнтів до наданих послуг. Ефект приєднання до більшості має значний вплив на поведінку споживачів у контексті вибору постачальника енергоресурсів.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Модель </w:t>
      </w:r>
      <w:proofErr w:type="spellStart"/>
      <w:r>
        <w:rPr>
          <w:rFonts w:ascii="Times New Roman" w:eastAsia="Times New Roman" w:hAnsi="Times New Roman" w:cs="Times New Roman"/>
          <w:sz w:val="28"/>
          <w:szCs w:val="28"/>
          <w:highlight w:val="white"/>
        </w:rPr>
        <w:t>Зозульова-Базь</w:t>
      </w:r>
      <w:proofErr w:type="spellEnd"/>
      <w:r>
        <w:rPr>
          <w:rFonts w:ascii="Times New Roman" w:eastAsia="Times New Roman" w:hAnsi="Times New Roman" w:cs="Times New Roman"/>
          <w:sz w:val="28"/>
          <w:szCs w:val="28"/>
          <w:highlight w:val="white"/>
        </w:rPr>
        <w:t xml:space="preserve"> дає можливість відобразити поведінку споживача при купівлі товару. Модель зображена на рисунку 1.2. </w:t>
      </w:r>
    </w:p>
    <w:p w:rsidR="00BA76DF" w:rsidRDefault="00BA76DF">
      <w:pPr>
        <w:tabs>
          <w:tab w:val="right" w:pos="9779"/>
        </w:tabs>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spacing w:line="360" w:lineRule="auto"/>
        <w:jc w:val="center"/>
        <w:rPr>
          <w:rFonts w:ascii="Times New Roman" w:eastAsia="Times New Roman" w:hAnsi="Times New Roman" w:cs="Times New Roman"/>
          <w:sz w:val="28"/>
          <w:szCs w:val="28"/>
          <w:highlight w:val="white"/>
        </w:rPr>
      </w:pPr>
      <w:r>
        <w:rPr>
          <w:noProof/>
          <w:lang w:val="en-US"/>
        </w:rPr>
        <mc:AlternateContent>
          <mc:Choice Requires="wpg">
            <w:drawing>
              <wp:anchor distT="0" distB="0" distL="114300" distR="114300" simplePos="0" relativeHeight="251658240" behindDoc="0" locked="0" layoutInCell="1" hidden="0" allowOverlap="1">
                <wp:simplePos x="0" y="0"/>
                <wp:positionH relativeFrom="column">
                  <wp:posOffset>2184400</wp:posOffset>
                </wp:positionH>
                <wp:positionV relativeFrom="paragraph">
                  <wp:posOffset>76200</wp:posOffset>
                </wp:positionV>
                <wp:extent cx="1428750" cy="333375"/>
                <wp:effectExtent l="0" t="0" r="0" b="0"/>
                <wp:wrapNone/>
                <wp:docPr id="4" name="Прямоугольник 4"/>
                <wp:cNvGraphicFramePr/>
                <a:graphic xmlns:a="http://schemas.openxmlformats.org/drawingml/2006/main">
                  <a:graphicData uri="http://schemas.microsoft.com/office/word/2010/wordprocessingShape">
                    <wps:wsp>
                      <wps:cNvSpPr/>
                      <wps:spPr>
                        <a:xfrm>
                          <a:off x="4636388" y="3618075"/>
                          <a:ext cx="1419225" cy="323850"/>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НАК «Нафтогаз»</w:t>
                            </w:r>
                          </w:p>
                          <w:p w:rsidR="00BA76DF" w:rsidRDefault="00BA76DF">
                            <w:pPr>
                              <w:spacing w:after="160" w:line="258" w:lineRule="auto"/>
                              <w:textDirection w:val="btLr"/>
                            </w:pP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2184400</wp:posOffset>
                </wp:positionH>
                <wp:positionV relativeFrom="paragraph">
                  <wp:posOffset>76200</wp:posOffset>
                </wp:positionV>
                <wp:extent cx="1428750" cy="333375"/>
                <wp:effectExtent b="0" l="0" r="0" t="0"/>
                <wp:wrapNone/>
                <wp:docPr id="4" name="image11.png"/>
                <a:graphic>
                  <a:graphicData uri="http://schemas.openxmlformats.org/drawingml/2006/picture">
                    <pic:pic>
                      <pic:nvPicPr>
                        <pic:cNvPr id="0" name="image11.png"/>
                        <pic:cNvPicPr preferRelativeResize="0"/>
                      </pic:nvPicPr>
                      <pic:blipFill>
                        <a:blip r:embed="rId12"/>
                        <a:srcRect/>
                        <a:stretch>
                          <a:fillRect/>
                        </a:stretch>
                      </pic:blipFill>
                      <pic:spPr>
                        <a:xfrm>
                          <a:off x="0" y="0"/>
                          <a:ext cx="1428750" cy="33337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59264" behindDoc="0" locked="0" layoutInCell="1" hidden="0" allowOverlap="1">
                <wp:simplePos x="0" y="0"/>
                <wp:positionH relativeFrom="column">
                  <wp:posOffset>533400</wp:posOffset>
                </wp:positionH>
                <wp:positionV relativeFrom="paragraph">
                  <wp:posOffset>1016000</wp:posOffset>
                </wp:positionV>
                <wp:extent cx="25400" cy="371475"/>
                <wp:effectExtent l="0" t="0" r="0" b="0"/>
                <wp:wrapNone/>
                <wp:docPr id="5" name="Прямая со стрелкой 5"/>
                <wp:cNvGraphicFramePr/>
                <a:graphic xmlns:a="http://schemas.openxmlformats.org/drawingml/2006/main">
                  <a:graphicData uri="http://schemas.microsoft.com/office/word/2010/wordprocessingShape">
                    <wps:wsp>
                      <wps:cNvCnPr/>
                      <wps:spPr>
                        <a:xfrm>
                          <a:off x="5346000" y="3594263"/>
                          <a:ext cx="0" cy="371475"/>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533400</wp:posOffset>
                </wp:positionH>
                <wp:positionV relativeFrom="paragraph">
                  <wp:posOffset>1016000</wp:posOffset>
                </wp:positionV>
                <wp:extent cx="25400" cy="371475"/>
                <wp:effectExtent b="0" l="0" r="0" t="0"/>
                <wp:wrapNone/>
                <wp:docPr id="5" name="image12.png"/>
                <a:graphic>
                  <a:graphicData uri="http://schemas.openxmlformats.org/drawingml/2006/picture">
                    <pic:pic>
                      <pic:nvPicPr>
                        <pic:cNvPr id="0" name="image12.png"/>
                        <pic:cNvPicPr preferRelativeResize="0"/>
                      </pic:nvPicPr>
                      <pic:blipFill>
                        <a:blip r:embed="rId13"/>
                        <a:srcRect/>
                        <a:stretch>
                          <a:fillRect/>
                        </a:stretch>
                      </pic:blipFill>
                      <pic:spPr>
                        <a:xfrm>
                          <a:off x="0" y="0"/>
                          <a:ext cx="25400" cy="37147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60288" behindDoc="0" locked="0" layoutInCell="1" hidden="0" allowOverlap="1">
                <wp:simplePos x="0" y="0"/>
                <wp:positionH relativeFrom="column">
                  <wp:posOffset>838200</wp:posOffset>
                </wp:positionH>
                <wp:positionV relativeFrom="paragraph">
                  <wp:posOffset>215900</wp:posOffset>
                </wp:positionV>
                <wp:extent cx="1362075" cy="457200"/>
                <wp:effectExtent l="0" t="0" r="0" b="0"/>
                <wp:wrapNone/>
                <wp:docPr id="7" name="Прямая со стрелкой 7"/>
                <wp:cNvGraphicFramePr/>
                <a:graphic xmlns:a="http://schemas.openxmlformats.org/drawingml/2006/main">
                  <a:graphicData uri="http://schemas.microsoft.com/office/word/2010/wordprocessingShape">
                    <wps:wsp>
                      <wps:cNvCnPr/>
                      <wps:spPr>
                        <a:xfrm flipH="1">
                          <a:off x="4669725" y="3556163"/>
                          <a:ext cx="1352550" cy="447675"/>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838200</wp:posOffset>
                </wp:positionH>
                <wp:positionV relativeFrom="paragraph">
                  <wp:posOffset>215900</wp:posOffset>
                </wp:positionV>
                <wp:extent cx="1362075" cy="457200"/>
                <wp:effectExtent b="0" l="0" r="0" t="0"/>
                <wp:wrapNone/>
                <wp:docPr id="7" name="image14.png"/>
                <a:graphic>
                  <a:graphicData uri="http://schemas.openxmlformats.org/drawingml/2006/picture">
                    <pic:pic>
                      <pic:nvPicPr>
                        <pic:cNvPr id="0" name="image14.png"/>
                        <pic:cNvPicPr preferRelativeResize="0"/>
                      </pic:nvPicPr>
                      <pic:blipFill>
                        <a:blip r:embed="rId14"/>
                        <a:srcRect/>
                        <a:stretch>
                          <a:fillRect/>
                        </a:stretch>
                      </pic:blipFill>
                      <pic:spPr>
                        <a:xfrm>
                          <a:off x="0" y="0"/>
                          <a:ext cx="1362075" cy="45720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61312" behindDoc="0" locked="0" layoutInCell="1" hidden="0" allowOverlap="1">
                <wp:simplePos x="0" y="0"/>
                <wp:positionH relativeFrom="column">
                  <wp:posOffset>3606800</wp:posOffset>
                </wp:positionH>
                <wp:positionV relativeFrom="paragraph">
                  <wp:posOffset>215900</wp:posOffset>
                </wp:positionV>
                <wp:extent cx="1000125" cy="457200"/>
                <wp:effectExtent l="0" t="0" r="0" b="0"/>
                <wp:wrapNone/>
                <wp:docPr id="18" name="Прямая со стрелкой 18"/>
                <wp:cNvGraphicFramePr/>
                <a:graphic xmlns:a="http://schemas.openxmlformats.org/drawingml/2006/main">
                  <a:graphicData uri="http://schemas.microsoft.com/office/word/2010/wordprocessingShape">
                    <wps:wsp>
                      <wps:cNvCnPr/>
                      <wps:spPr>
                        <a:xfrm>
                          <a:off x="4850700" y="3556163"/>
                          <a:ext cx="990600" cy="447675"/>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3606800</wp:posOffset>
                </wp:positionH>
                <wp:positionV relativeFrom="paragraph">
                  <wp:posOffset>215900</wp:posOffset>
                </wp:positionV>
                <wp:extent cx="1000125" cy="457200"/>
                <wp:effectExtent b="0" l="0" r="0" t="0"/>
                <wp:wrapNone/>
                <wp:docPr id="18" name="image27.png"/>
                <a:graphic>
                  <a:graphicData uri="http://schemas.openxmlformats.org/drawingml/2006/picture">
                    <pic:pic>
                      <pic:nvPicPr>
                        <pic:cNvPr id="0" name="image27.png"/>
                        <pic:cNvPicPr preferRelativeResize="0"/>
                      </pic:nvPicPr>
                      <pic:blipFill>
                        <a:blip r:embed="rId15"/>
                        <a:srcRect/>
                        <a:stretch>
                          <a:fillRect/>
                        </a:stretch>
                      </pic:blipFill>
                      <pic:spPr>
                        <a:xfrm>
                          <a:off x="0" y="0"/>
                          <a:ext cx="1000125" cy="457200"/>
                        </a:xfrm>
                        <a:prstGeom prst="rect"/>
                        <a:ln/>
                      </pic:spPr>
                    </pic:pic>
                  </a:graphicData>
                </a:graphic>
              </wp:anchor>
            </w:drawing>
          </mc:Fallback>
        </mc:AlternateContent>
      </w:r>
    </w:p>
    <w:p w:rsidR="00BA76DF" w:rsidRDefault="00BA76DF">
      <w:pPr>
        <w:spacing w:line="360" w:lineRule="auto"/>
        <w:jc w:val="right"/>
        <w:rPr>
          <w:rFonts w:ascii="Times New Roman" w:eastAsia="Times New Roman" w:hAnsi="Times New Roman" w:cs="Times New Roman"/>
          <w:sz w:val="28"/>
          <w:szCs w:val="28"/>
          <w:highlight w:val="white"/>
        </w:rPr>
      </w:pPr>
    </w:p>
    <w:p w:rsidR="00BA76DF" w:rsidRDefault="00C33D3F">
      <w:pPr>
        <w:spacing w:after="160" w:line="360" w:lineRule="auto"/>
        <w:jc w:val="right"/>
        <w:rPr>
          <w:rFonts w:ascii="Times New Roman" w:eastAsia="Times New Roman" w:hAnsi="Times New Roman" w:cs="Times New Roman"/>
          <w:sz w:val="28"/>
          <w:szCs w:val="28"/>
          <w:highlight w:val="white"/>
        </w:rPr>
      </w:pPr>
      <w:r>
        <w:rPr>
          <w:noProof/>
          <w:lang w:val="en-US"/>
        </w:rPr>
        <mc:AlternateContent>
          <mc:Choice Requires="wpg">
            <w:drawing>
              <wp:anchor distT="0" distB="0" distL="114300" distR="114300" simplePos="0" relativeHeight="251662336" behindDoc="0" locked="0" layoutInCell="1" hidden="0" allowOverlap="1">
                <wp:simplePos x="0" y="0"/>
                <wp:positionH relativeFrom="column">
                  <wp:posOffset>5262563</wp:posOffset>
                </wp:positionH>
                <wp:positionV relativeFrom="paragraph">
                  <wp:posOffset>405817</wp:posOffset>
                </wp:positionV>
                <wp:extent cx="25400" cy="2276475"/>
                <wp:effectExtent l="0" t="0" r="0" b="0"/>
                <wp:wrapNone/>
                <wp:docPr id="13" name="Прямая со стрелкой 13"/>
                <wp:cNvGraphicFramePr/>
                <a:graphic xmlns:a="http://schemas.openxmlformats.org/drawingml/2006/main">
                  <a:graphicData uri="http://schemas.microsoft.com/office/word/2010/wordprocessingShape">
                    <wps:wsp>
                      <wps:cNvCnPr/>
                      <wps:spPr>
                        <a:xfrm>
                          <a:off x="5346000" y="2641763"/>
                          <a:ext cx="0" cy="2276475"/>
                        </a:xfrm>
                        <a:prstGeom prst="straightConnector1">
                          <a:avLst/>
                        </a:prstGeom>
                        <a:noFill/>
                        <a:ln w="9525" cap="flat" cmpd="sng">
                          <a:solidFill>
                            <a:schemeClr val="dk1"/>
                          </a:solidFill>
                          <a:prstDash val="solid"/>
                          <a:miter lim="800000"/>
                          <a:headEnd type="none" w="sm" len="sm"/>
                          <a:tailEnd type="triangle" w="med" len="med"/>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5262563</wp:posOffset>
                </wp:positionH>
                <wp:positionV relativeFrom="paragraph">
                  <wp:posOffset>405817</wp:posOffset>
                </wp:positionV>
                <wp:extent cx="25400" cy="2276475"/>
                <wp:effectExtent b="0" l="0" r="0" t="0"/>
                <wp:wrapNone/>
                <wp:docPr id="13" name="image21.png"/>
                <a:graphic>
                  <a:graphicData uri="http://schemas.openxmlformats.org/drawingml/2006/picture">
                    <pic:pic>
                      <pic:nvPicPr>
                        <pic:cNvPr id="0" name="image21.png"/>
                        <pic:cNvPicPr preferRelativeResize="0"/>
                      </pic:nvPicPr>
                      <pic:blipFill>
                        <a:blip r:embed="rId16"/>
                        <a:srcRect/>
                        <a:stretch>
                          <a:fillRect/>
                        </a:stretch>
                      </pic:blipFill>
                      <pic:spPr>
                        <a:xfrm>
                          <a:off x="0" y="0"/>
                          <a:ext cx="25400" cy="227647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63360" behindDoc="0" locked="0" layoutInCell="1" hidden="0" allowOverlap="1">
                <wp:simplePos x="0" y="0"/>
                <wp:positionH relativeFrom="column">
                  <wp:posOffset>4324350</wp:posOffset>
                </wp:positionH>
                <wp:positionV relativeFrom="paragraph">
                  <wp:posOffset>62917</wp:posOffset>
                </wp:positionV>
                <wp:extent cx="1905000" cy="361950"/>
                <wp:effectExtent l="0" t="0" r="0" b="0"/>
                <wp:wrapNone/>
                <wp:docPr id="15" name="Прямоугольник 15"/>
                <wp:cNvGraphicFramePr/>
                <a:graphic xmlns:a="http://schemas.openxmlformats.org/drawingml/2006/main">
                  <a:graphicData uri="http://schemas.microsoft.com/office/word/2010/wordprocessingShape">
                    <wps:wsp>
                      <wps:cNvSpPr/>
                      <wps:spPr>
                        <a:xfrm>
                          <a:off x="4398263" y="3603788"/>
                          <a:ext cx="1895475" cy="35242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Ситуаційна складова</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4324350</wp:posOffset>
                </wp:positionH>
                <wp:positionV relativeFrom="paragraph">
                  <wp:posOffset>62917</wp:posOffset>
                </wp:positionV>
                <wp:extent cx="1905000" cy="361950"/>
                <wp:effectExtent b="0" l="0" r="0" t="0"/>
                <wp:wrapNone/>
                <wp:docPr id="15" name="image23.png"/>
                <a:graphic>
                  <a:graphicData uri="http://schemas.openxmlformats.org/drawingml/2006/picture">
                    <pic:pic>
                      <pic:nvPicPr>
                        <pic:cNvPr id="0" name="image23.png"/>
                        <pic:cNvPicPr preferRelativeResize="0"/>
                      </pic:nvPicPr>
                      <pic:blipFill>
                        <a:blip r:embed="rId17"/>
                        <a:srcRect/>
                        <a:stretch>
                          <a:fillRect/>
                        </a:stretch>
                      </pic:blipFill>
                      <pic:spPr>
                        <a:xfrm>
                          <a:off x="0" y="0"/>
                          <a:ext cx="1905000" cy="36195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64384" behindDoc="0" locked="0" layoutInCell="1" hidden="0" allowOverlap="1">
                <wp:simplePos x="0" y="0"/>
                <wp:positionH relativeFrom="column">
                  <wp:posOffset>228600</wp:posOffset>
                </wp:positionH>
                <wp:positionV relativeFrom="paragraph">
                  <wp:posOffset>26243</wp:posOffset>
                </wp:positionV>
                <wp:extent cx="1752600" cy="361950"/>
                <wp:effectExtent l="0" t="0" r="0" b="0"/>
                <wp:wrapNone/>
                <wp:docPr id="25" name="Прямоугольник 25"/>
                <wp:cNvGraphicFramePr/>
                <a:graphic xmlns:a="http://schemas.openxmlformats.org/drawingml/2006/main">
                  <a:graphicData uri="http://schemas.microsoft.com/office/word/2010/wordprocessingShape">
                    <wps:wsp>
                      <wps:cNvSpPr/>
                      <wps:spPr>
                        <a:xfrm>
                          <a:off x="4474463" y="3603788"/>
                          <a:ext cx="1743075" cy="35242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Мотиваційна складова</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228600</wp:posOffset>
                </wp:positionH>
                <wp:positionV relativeFrom="paragraph">
                  <wp:posOffset>26243</wp:posOffset>
                </wp:positionV>
                <wp:extent cx="1752600" cy="361950"/>
                <wp:effectExtent b="0" l="0" r="0" t="0"/>
                <wp:wrapNone/>
                <wp:docPr id="25" name="image36.png"/>
                <a:graphic>
                  <a:graphicData uri="http://schemas.openxmlformats.org/drawingml/2006/picture">
                    <pic:pic>
                      <pic:nvPicPr>
                        <pic:cNvPr id="0" name="image36.png"/>
                        <pic:cNvPicPr preferRelativeResize="0"/>
                      </pic:nvPicPr>
                      <pic:blipFill>
                        <a:blip r:embed="rId18"/>
                        <a:srcRect/>
                        <a:stretch>
                          <a:fillRect/>
                        </a:stretch>
                      </pic:blipFill>
                      <pic:spPr>
                        <a:xfrm>
                          <a:off x="0" y="0"/>
                          <a:ext cx="1752600" cy="361950"/>
                        </a:xfrm>
                        <a:prstGeom prst="rect"/>
                        <a:ln/>
                      </pic:spPr>
                    </pic:pic>
                  </a:graphicData>
                </a:graphic>
              </wp:anchor>
            </w:drawing>
          </mc:Fallback>
        </mc:AlternateContent>
      </w:r>
    </w:p>
    <w:p w:rsidR="00BA76DF" w:rsidRDefault="00C33D3F">
      <w:pPr>
        <w:spacing w:after="160" w:line="360" w:lineRule="auto"/>
        <w:jc w:val="right"/>
        <w:rPr>
          <w:rFonts w:ascii="Times New Roman" w:eastAsia="Times New Roman" w:hAnsi="Times New Roman" w:cs="Times New Roman"/>
          <w:sz w:val="28"/>
          <w:szCs w:val="28"/>
          <w:highlight w:val="white"/>
        </w:rPr>
      </w:pPr>
      <w:r>
        <w:rPr>
          <w:noProof/>
          <w:lang w:val="en-US"/>
        </w:rPr>
        <mc:AlternateContent>
          <mc:Choice Requires="wpg">
            <w:drawing>
              <wp:anchor distT="0" distB="0" distL="114300" distR="114300" simplePos="0" relativeHeight="251665408" behindDoc="0" locked="0" layoutInCell="1" hidden="0" allowOverlap="1">
                <wp:simplePos x="0" y="0"/>
                <wp:positionH relativeFrom="column">
                  <wp:posOffset>119063</wp:posOffset>
                </wp:positionH>
                <wp:positionV relativeFrom="paragraph">
                  <wp:posOffset>280339</wp:posOffset>
                </wp:positionV>
                <wp:extent cx="2305050" cy="304800"/>
                <wp:effectExtent l="0" t="0" r="0" b="0"/>
                <wp:wrapNone/>
                <wp:docPr id="22" name="Прямоугольник 22"/>
                <wp:cNvGraphicFramePr/>
                <a:graphic xmlns:a="http://schemas.openxmlformats.org/drawingml/2006/main">
                  <a:graphicData uri="http://schemas.microsoft.com/office/word/2010/wordprocessingShape">
                    <wps:wsp>
                      <wps:cNvSpPr/>
                      <wps:spPr>
                        <a:xfrm>
                          <a:off x="4198238" y="3632363"/>
                          <a:ext cx="2295525" cy="29527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Раціональна</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119063</wp:posOffset>
                </wp:positionH>
                <wp:positionV relativeFrom="paragraph">
                  <wp:posOffset>280339</wp:posOffset>
                </wp:positionV>
                <wp:extent cx="2305050" cy="304800"/>
                <wp:effectExtent b="0" l="0" r="0" t="0"/>
                <wp:wrapNone/>
                <wp:docPr id="22" name="image31.png"/>
                <a:graphic>
                  <a:graphicData uri="http://schemas.openxmlformats.org/drawingml/2006/picture">
                    <pic:pic>
                      <pic:nvPicPr>
                        <pic:cNvPr id="0" name="image31.png"/>
                        <pic:cNvPicPr preferRelativeResize="0"/>
                      </pic:nvPicPr>
                      <pic:blipFill>
                        <a:blip r:embed="rId19"/>
                        <a:srcRect/>
                        <a:stretch>
                          <a:fillRect/>
                        </a:stretch>
                      </pic:blipFill>
                      <pic:spPr>
                        <a:xfrm>
                          <a:off x="0" y="0"/>
                          <a:ext cx="2305050" cy="304800"/>
                        </a:xfrm>
                        <a:prstGeom prst="rect"/>
                        <a:ln/>
                      </pic:spPr>
                    </pic:pic>
                  </a:graphicData>
                </a:graphic>
              </wp:anchor>
            </w:drawing>
          </mc:Fallback>
        </mc:AlternateContent>
      </w:r>
    </w:p>
    <w:p w:rsidR="00BA76DF" w:rsidRDefault="00C33D3F">
      <w:pPr>
        <w:tabs>
          <w:tab w:val="left" w:pos="9637"/>
          <w:tab w:val="right" w:pos="9779"/>
        </w:tabs>
        <w:spacing w:after="160" w:line="360" w:lineRule="auto"/>
        <w:jc w:val="right"/>
        <w:rPr>
          <w:rFonts w:ascii="Times New Roman" w:eastAsia="Times New Roman" w:hAnsi="Times New Roman" w:cs="Times New Roman"/>
          <w:sz w:val="28"/>
          <w:szCs w:val="28"/>
          <w:highlight w:val="white"/>
        </w:rPr>
      </w:pPr>
      <w:r>
        <w:rPr>
          <w:noProof/>
          <w:lang w:val="en-US"/>
        </w:rPr>
        <w:lastRenderedPageBreak/>
        <mc:AlternateContent>
          <mc:Choice Requires="wpg">
            <w:drawing>
              <wp:anchor distT="0" distB="0" distL="114300" distR="114300" simplePos="0" relativeHeight="251666432" behindDoc="0" locked="0" layoutInCell="1" hidden="0" allowOverlap="1">
                <wp:simplePos x="0" y="0"/>
                <wp:positionH relativeFrom="column">
                  <wp:posOffset>1866900</wp:posOffset>
                </wp:positionH>
                <wp:positionV relativeFrom="paragraph">
                  <wp:posOffset>200025</wp:posOffset>
                </wp:positionV>
                <wp:extent cx="790575" cy="247650"/>
                <wp:effectExtent l="0" t="0" r="0" b="0"/>
                <wp:wrapNone/>
                <wp:docPr id="11" name="Прямоугольник 11"/>
                <wp:cNvGraphicFramePr/>
                <a:graphic xmlns:a="http://schemas.openxmlformats.org/drawingml/2006/main">
                  <a:graphicData uri="http://schemas.microsoft.com/office/word/2010/wordprocessingShape">
                    <wps:wsp>
                      <wps:cNvSpPr/>
                      <wps:spPr>
                        <a:xfrm>
                          <a:off x="4955475" y="3660938"/>
                          <a:ext cx="781050" cy="23812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М</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1866900</wp:posOffset>
                </wp:positionH>
                <wp:positionV relativeFrom="paragraph">
                  <wp:posOffset>200025</wp:posOffset>
                </wp:positionV>
                <wp:extent cx="790575" cy="247650"/>
                <wp:effectExtent b="0" l="0" r="0" t="0"/>
                <wp:wrapNone/>
                <wp:docPr id="11" name="image19.png"/>
                <a:graphic>
                  <a:graphicData uri="http://schemas.openxmlformats.org/drawingml/2006/picture">
                    <pic:pic>
                      <pic:nvPicPr>
                        <pic:cNvPr id="0" name="image19.png"/>
                        <pic:cNvPicPr preferRelativeResize="0"/>
                      </pic:nvPicPr>
                      <pic:blipFill>
                        <a:blip r:embed="rId20"/>
                        <a:srcRect/>
                        <a:stretch>
                          <a:fillRect/>
                        </a:stretch>
                      </pic:blipFill>
                      <pic:spPr>
                        <a:xfrm>
                          <a:off x="0" y="0"/>
                          <a:ext cx="790575" cy="24765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67456" behindDoc="0" locked="0" layoutInCell="1" hidden="0" allowOverlap="1">
                <wp:simplePos x="0" y="0"/>
                <wp:positionH relativeFrom="column">
                  <wp:posOffset>1104900</wp:posOffset>
                </wp:positionH>
                <wp:positionV relativeFrom="paragraph">
                  <wp:posOffset>209550</wp:posOffset>
                </wp:positionV>
                <wp:extent cx="685800" cy="247650"/>
                <wp:effectExtent l="0" t="0" r="0" b="0"/>
                <wp:wrapNone/>
                <wp:docPr id="27" name="Прямоугольник 27"/>
                <wp:cNvGraphicFramePr/>
                <a:graphic xmlns:a="http://schemas.openxmlformats.org/drawingml/2006/main">
                  <a:graphicData uri="http://schemas.microsoft.com/office/word/2010/wordprocessingShape">
                    <wps:wsp>
                      <wps:cNvSpPr/>
                      <wps:spPr>
                        <a:xfrm>
                          <a:off x="5007863" y="3660938"/>
                          <a:ext cx="676275" cy="23812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Ф.</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1104900</wp:posOffset>
                </wp:positionH>
                <wp:positionV relativeFrom="paragraph">
                  <wp:posOffset>209550</wp:posOffset>
                </wp:positionV>
                <wp:extent cx="685800" cy="247650"/>
                <wp:effectExtent b="0" l="0" r="0" t="0"/>
                <wp:wrapNone/>
                <wp:docPr id="27" name="image39.png"/>
                <a:graphic>
                  <a:graphicData uri="http://schemas.openxmlformats.org/drawingml/2006/picture">
                    <pic:pic>
                      <pic:nvPicPr>
                        <pic:cNvPr id="0" name="image39.png"/>
                        <pic:cNvPicPr preferRelativeResize="0"/>
                      </pic:nvPicPr>
                      <pic:blipFill>
                        <a:blip r:embed="rId21"/>
                        <a:srcRect/>
                        <a:stretch>
                          <a:fillRect/>
                        </a:stretch>
                      </pic:blipFill>
                      <pic:spPr>
                        <a:xfrm>
                          <a:off x="0" y="0"/>
                          <a:ext cx="685800" cy="24765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68480" behindDoc="0" locked="0" layoutInCell="1" hidden="0" allowOverlap="1">
                <wp:simplePos x="0" y="0"/>
                <wp:positionH relativeFrom="column">
                  <wp:posOffset>180975</wp:posOffset>
                </wp:positionH>
                <wp:positionV relativeFrom="paragraph">
                  <wp:posOffset>180975</wp:posOffset>
                </wp:positionV>
                <wp:extent cx="847725" cy="304800"/>
                <wp:effectExtent l="0" t="0" r="0" b="0"/>
                <wp:wrapNone/>
                <wp:docPr id="10" name="Прямоугольник 10"/>
                <wp:cNvGraphicFramePr/>
                <a:graphic xmlns:a="http://schemas.openxmlformats.org/drawingml/2006/main">
                  <a:graphicData uri="http://schemas.microsoft.com/office/word/2010/wordprocessingShape">
                    <wps:wsp>
                      <wps:cNvSpPr/>
                      <wps:spPr>
                        <a:xfrm>
                          <a:off x="4926900" y="3632363"/>
                          <a:ext cx="838200" cy="29527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С.</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180975</wp:posOffset>
                </wp:positionH>
                <wp:positionV relativeFrom="paragraph">
                  <wp:posOffset>180975</wp:posOffset>
                </wp:positionV>
                <wp:extent cx="847725" cy="304800"/>
                <wp:effectExtent b="0" l="0" r="0" t="0"/>
                <wp:wrapNone/>
                <wp:docPr id="10" name="image18.png"/>
                <a:graphic>
                  <a:graphicData uri="http://schemas.openxmlformats.org/drawingml/2006/picture">
                    <pic:pic>
                      <pic:nvPicPr>
                        <pic:cNvPr id="0" name="image18.png"/>
                        <pic:cNvPicPr preferRelativeResize="0"/>
                      </pic:nvPicPr>
                      <pic:blipFill>
                        <a:blip r:embed="rId22"/>
                        <a:srcRect/>
                        <a:stretch>
                          <a:fillRect/>
                        </a:stretch>
                      </pic:blipFill>
                      <pic:spPr>
                        <a:xfrm>
                          <a:off x="0" y="0"/>
                          <a:ext cx="847725" cy="304800"/>
                        </a:xfrm>
                        <a:prstGeom prst="rect"/>
                        <a:ln/>
                      </pic:spPr>
                    </pic:pic>
                  </a:graphicData>
                </a:graphic>
              </wp:anchor>
            </w:drawing>
          </mc:Fallback>
        </mc:AlternateContent>
      </w:r>
    </w:p>
    <w:p w:rsidR="00BA76DF" w:rsidRDefault="00C33D3F">
      <w:pPr>
        <w:spacing w:after="160" w:line="360" w:lineRule="auto"/>
        <w:jc w:val="right"/>
        <w:rPr>
          <w:rFonts w:ascii="Times New Roman" w:eastAsia="Times New Roman" w:hAnsi="Times New Roman" w:cs="Times New Roman"/>
          <w:sz w:val="28"/>
          <w:szCs w:val="28"/>
          <w:highlight w:val="white"/>
        </w:rPr>
      </w:pPr>
      <w:r>
        <w:rPr>
          <w:noProof/>
          <w:lang w:val="en-US"/>
        </w:rPr>
        <mc:AlternateContent>
          <mc:Choice Requires="wpg">
            <w:drawing>
              <wp:anchor distT="0" distB="0" distL="114300" distR="114300" simplePos="0" relativeHeight="251669504" behindDoc="0" locked="0" layoutInCell="1" hidden="0" allowOverlap="1">
                <wp:simplePos x="0" y="0"/>
                <wp:positionH relativeFrom="column">
                  <wp:posOffset>166688</wp:posOffset>
                </wp:positionH>
                <wp:positionV relativeFrom="paragraph">
                  <wp:posOffset>228600</wp:posOffset>
                </wp:positionV>
                <wp:extent cx="1533525" cy="304800"/>
                <wp:effectExtent l="0" t="0" r="0" b="0"/>
                <wp:wrapNone/>
                <wp:docPr id="21" name="Прямоугольник 21"/>
                <wp:cNvGraphicFramePr/>
                <a:graphic xmlns:a="http://schemas.openxmlformats.org/drawingml/2006/main">
                  <a:graphicData uri="http://schemas.microsoft.com/office/word/2010/wordprocessingShape">
                    <wps:wsp>
                      <wps:cNvSpPr/>
                      <wps:spPr>
                        <a:xfrm>
                          <a:off x="4584000" y="3632363"/>
                          <a:ext cx="1524000" cy="29527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Ситуація</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166688</wp:posOffset>
                </wp:positionH>
                <wp:positionV relativeFrom="paragraph">
                  <wp:posOffset>228600</wp:posOffset>
                </wp:positionV>
                <wp:extent cx="1533525" cy="304800"/>
                <wp:effectExtent b="0" l="0" r="0" t="0"/>
                <wp:wrapNone/>
                <wp:docPr id="21" name="image30.png"/>
                <a:graphic>
                  <a:graphicData uri="http://schemas.openxmlformats.org/drawingml/2006/picture">
                    <pic:pic>
                      <pic:nvPicPr>
                        <pic:cNvPr id="0" name="image30.png"/>
                        <pic:cNvPicPr preferRelativeResize="0"/>
                      </pic:nvPicPr>
                      <pic:blipFill>
                        <a:blip r:embed="rId23"/>
                        <a:srcRect/>
                        <a:stretch>
                          <a:fillRect/>
                        </a:stretch>
                      </pic:blipFill>
                      <pic:spPr>
                        <a:xfrm>
                          <a:off x="0" y="0"/>
                          <a:ext cx="1533525" cy="30480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70528" behindDoc="0" locked="0" layoutInCell="1" hidden="0" allowOverlap="1">
                <wp:simplePos x="0" y="0"/>
                <wp:positionH relativeFrom="column">
                  <wp:posOffset>2095500</wp:posOffset>
                </wp:positionH>
                <wp:positionV relativeFrom="paragraph">
                  <wp:posOffset>67323</wp:posOffset>
                </wp:positionV>
                <wp:extent cx="2743200" cy="304800"/>
                <wp:effectExtent l="0" t="0" r="0" b="0"/>
                <wp:wrapNone/>
                <wp:docPr id="23" name="Прямоугольник 23"/>
                <wp:cNvGraphicFramePr/>
                <a:graphic xmlns:a="http://schemas.openxmlformats.org/drawingml/2006/main">
                  <a:graphicData uri="http://schemas.microsoft.com/office/word/2010/wordprocessingShape">
                    <wps:wsp>
                      <wps:cNvSpPr/>
                      <wps:spPr>
                        <a:xfrm>
                          <a:off x="3979163" y="3632363"/>
                          <a:ext cx="2733675" cy="29527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Ірраціональна</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2095500</wp:posOffset>
                </wp:positionH>
                <wp:positionV relativeFrom="paragraph">
                  <wp:posOffset>67323</wp:posOffset>
                </wp:positionV>
                <wp:extent cx="2743200" cy="304800"/>
                <wp:effectExtent b="0" l="0" r="0" t="0"/>
                <wp:wrapNone/>
                <wp:docPr id="23" name="image34.png"/>
                <a:graphic>
                  <a:graphicData uri="http://schemas.openxmlformats.org/drawingml/2006/picture">
                    <pic:pic>
                      <pic:nvPicPr>
                        <pic:cNvPr id="0" name="image34.png"/>
                        <pic:cNvPicPr preferRelativeResize="0"/>
                      </pic:nvPicPr>
                      <pic:blipFill>
                        <a:blip r:embed="rId24"/>
                        <a:srcRect/>
                        <a:stretch>
                          <a:fillRect/>
                        </a:stretch>
                      </pic:blipFill>
                      <pic:spPr>
                        <a:xfrm>
                          <a:off x="0" y="0"/>
                          <a:ext cx="2743200" cy="304800"/>
                        </a:xfrm>
                        <a:prstGeom prst="rect"/>
                        <a:ln/>
                      </pic:spPr>
                    </pic:pic>
                  </a:graphicData>
                </a:graphic>
              </wp:anchor>
            </w:drawing>
          </mc:Fallback>
        </mc:AlternateContent>
      </w:r>
    </w:p>
    <w:p w:rsidR="00BA76DF" w:rsidRDefault="00C33D3F">
      <w:pPr>
        <w:spacing w:after="160" w:line="360" w:lineRule="auto"/>
        <w:jc w:val="right"/>
        <w:rPr>
          <w:rFonts w:ascii="Times New Roman" w:eastAsia="Times New Roman" w:hAnsi="Times New Roman" w:cs="Times New Roman"/>
          <w:sz w:val="28"/>
          <w:szCs w:val="28"/>
          <w:highlight w:val="white"/>
        </w:rPr>
      </w:pPr>
      <w:r>
        <w:rPr>
          <w:noProof/>
          <w:lang w:val="en-US"/>
        </w:rPr>
        <mc:AlternateContent>
          <mc:Choice Requires="wpg">
            <w:drawing>
              <wp:anchor distT="0" distB="0" distL="114300" distR="114300" simplePos="0" relativeHeight="251671552" behindDoc="0" locked="0" layoutInCell="1" hidden="0" allowOverlap="1">
                <wp:simplePos x="0" y="0"/>
                <wp:positionH relativeFrom="column">
                  <wp:posOffset>1123950</wp:posOffset>
                </wp:positionH>
                <wp:positionV relativeFrom="paragraph">
                  <wp:posOffset>304800</wp:posOffset>
                </wp:positionV>
                <wp:extent cx="790575" cy="1000125"/>
                <wp:effectExtent l="0" t="0" r="0" b="0"/>
                <wp:wrapNone/>
                <wp:docPr id="19" name="Прямоугольник 19"/>
                <wp:cNvGraphicFramePr/>
                <a:graphic xmlns:a="http://schemas.openxmlformats.org/drawingml/2006/main">
                  <a:graphicData uri="http://schemas.microsoft.com/office/word/2010/wordprocessingShape">
                    <wps:wsp>
                      <wps:cNvSpPr/>
                      <wps:spPr>
                        <a:xfrm>
                          <a:off x="4955475" y="3284700"/>
                          <a:ext cx="781050" cy="990600"/>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line="240" w:lineRule="auto"/>
                              <w:textDirection w:val="btLr"/>
                            </w:pPr>
                            <w:r>
                              <w:rPr>
                                <w:rFonts w:ascii="Times New Roman" w:eastAsia="Times New Roman" w:hAnsi="Times New Roman" w:cs="Times New Roman"/>
                                <w:color w:val="000000"/>
                              </w:rPr>
                              <w:t>Знижки, різноманіття тарифів</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1123950</wp:posOffset>
                </wp:positionH>
                <wp:positionV relativeFrom="paragraph">
                  <wp:posOffset>304800</wp:posOffset>
                </wp:positionV>
                <wp:extent cx="790575" cy="1000125"/>
                <wp:effectExtent b="0" l="0" r="0" t="0"/>
                <wp:wrapNone/>
                <wp:docPr id="19" name="image28.png"/>
                <a:graphic>
                  <a:graphicData uri="http://schemas.openxmlformats.org/drawingml/2006/picture">
                    <pic:pic>
                      <pic:nvPicPr>
                        <pic:cNvPr id="0" name="image28.png"/>
                        <pic:cNvPicPr preferRelativeResize="0"/>
                      </pic:nvPicPr>
                      <pic:blipFill>
                        <a:blip r:embed="rId25"/>
                        <a:srcRect/>
                        <a:stretch>
                          <a:fillRect/>
                        </a:stretch>
                      </pic:blipFill>
                      <pic:spPr>
                        <a:xfrm>
                          <a:off x="0" y="0"/>
                          <a:ext cx="790575" cy="100012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72576" behindDoc="0" locked="0" layoutInCell="1" hidden="0" allowOverlap="1">
                <wp:simplePos x="0" y="0"/>
                <wp:positionH relativeFrom="column">
                  <wp:posOffset>3867150</wp:posOffset>
                </wp:positionH>
                <wp:positionV relativeFrom="paragraph">
                  <wp:posOffset>38100</wp:posOffset>
                </wp:positionV>
                <wp:extent cx="971550" cy="247650"/>
                <wp:effectExtent l="0" t="0" r="0" b="0"/>
                <wp:wrapNone/>
                <wp:docPr id="24" name="Прямоугольник 24"/>
                <wp:cNvGraphicFramePr/>
                <a:graphic xmlns:a="http://schemas.openxmlformats.org/drawingml/2006/main">
                  <a:graphicData uri="http://schemas.microsoft.com/office/word/2010/wordprocessingShape">
                    <wps:wsp>
                      <wps:cNvSpPr/>
                      <wps:spPr>
                        <a:xfrm>
                          <a:off x="4864988" y="3660938"/>
                          <a:ext cx="962025" cy="23812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М</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3867150</wp:posOffset>
                </wp:positionH>
                <wp:positionV relativeFrom="paragraph">
                  <wp:posOffset>38100</wp:posOffset>
                </wp:positionV>
                <wp:extent cx="971550" cy="247650"/>
                <wp:effectExtent b="0" l="0" r="0" t="0"/>
                <wp:wrapNone/>
                <wp:docPr id="24" name="image35.png"/>
                <a:graphic>
                  <a:graphicData uri="http://schemas.openxmlformats.org/drawingml/2006/picture">
                    <pic:pic>
                      <pic:nvPicPr>
                        <pic:cNvPr id="0" name="image35.png"/>
                        <pic:cNvPicPr preferRelativeResize="0"/>
                      </pic:nvPicPr>
                      <pic:blipFill>
                        <a:blip r:embed="rId26"/>
                        <a:srcRect/>
                        <a:stretch>
                          <a:fillRect/>
                        </a:stretch>
                      </pic:blipFill>
                      <pic:spPr>
                        <a:xfrm>
                          <a:off x="0" y="0"/>
                          <a:ext cx="971550" cy="24765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73600" behindDoc="0" locked="0" layoutInCell="1" hidden="0" allowOverlap="1">
                <wp:simplePos x="0" y="0"/>
                <wp:positionH relativeFrom="column">
                  <wp:posOffset>1933575</wp:posOffset>
                </wp:positionH>
                <wp:positionV relativeFrom="paragraph">
                  <wp:posOffset>293331</wp:posOffset>
                </wp:positionV>
                <wp:extent cx="990600" cy="1123950"/>
                <wp:effectExtent l="0" t="0" r="0" b="0"/>
                <wp:wrapNone/>
                <wp:docPr id="3" name="Прямоугольник 3"/>
                <wp:cNvGraphicFramePr/>
                <a:graphic xmlns:a="http://schemas.openxmlformats.org/drawingml/2006/main">
                  <a:graphicData uri="http://schemas.microsoft.com/office/word/2010/wordprocessingShape">
                    <wps:wsp>
                      <wps:cNvSpPr/>
                      <wps:spPr>
                        <a:xfrm>
                          <a:off x="4855463" y="3222788"/>
                          <a:ext cx="981075" cy="111442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line="240" w:lineRule="auto"/>
                              <w:textDirection w:val="btLr"/>
                            </w:pPr>
                            <w:r>
                              <w:rPr>
                                <w:rFonts w:ascii="Times New Roman" w:eastAsia="Times New Roman" w:hAnsi="Times New Roman" w:cs="Times New Roman"/>
                                <w:color w:val="000000"/>
                              </w:rPr>
                              <w:t>Всі перейшли на іншого постачальника газу і я перейду</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1933575</wp:posOffset>
                </wp:positionH>
                <wp:positionV relativeFrom="paragraph">
                  <wp:posOffset>293331</wp:posOffset>
                </wp:positionV>
                <wp:extent cx="990600" cy="1123950"/>
                <wp:effectExtent b="0" l="0" r="0" t="0"/>
                <wp:wrapNone/>
                <wp:docPr id="3" name="image10.png"/>
                <a:graphic>
                  <a:graphicData uri="http://schemas.openxmlformats.org/drawingml/2006/picture">
                    <pic:pic>
                      <pic:nvPicPr>
                        <pic:cNvPr id="0" name="image10.png"/>
                        <pic:cNvPicPr preferRelativeResize="0"/>
                      </pic:nvPicPr>
                      <pic:blipFill>
                        <a:blip r:embed="rId27"/>
                        <a:srcRect/>
                        <a:stretch>
                          <a:fillRect/>
                        </a:stretch>
                      </pic:blipFill>
                      <pic:spPr>
                        <a:xfrm>
                          <a:off x="0" y="0"/>
                          <a:ext cx="990600" cy="112395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74624" behindDoc="0" locked="0" layoutInCell="1" hidden="0" allowOverlap="1">
                <wp:simplePos x="0" y="0"/>
                <wp:positionH relativeFrom="column">
                  <wp:posOffset>3867150</wp:posOffset>
                </wp:positionH>
                <wp:positionV relativeFrom="paragraph">
                  <wp:posOffset>276225</wp:posOffset>
                </wp:positionV>
                <wp:extent cx="971550" cy="1000125"/>
                <wp:effectExtent l="0" t="0" r="0" b="0"/>
                <wp:wrapNone/>
                <wp:docPr id="12" name="Прямоугольник 12"/>
                <wp:cNvGraphicFramePr/>
                <a:graphic xmlns:a="http://schemas.openxmlformats.org/drawingml/2006/main">
                  <a:graphicData uri="http://schemas.microsoft.com/office/word/2010/wordprocessingShape">
                    <wps:wsp>
                      <wps:cNvSpPr/>
                      <wps:spPr>
                        <a:xfrm>
                          <a:off x="4864988" y="3284700"/>
                          <a:ext cx="962025" cy="990600"/>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line="240" w:lineRule="auto"/>
                              <w:textDirection w:val="btLr"/>
                            </w:pPr>
                            <w:r>
                              <w:rPr>
                                <w:rFonts w:ascii="Calibri" w:eastAsia="Calibri" w:hAnsi="Calibri" w:cs="Calibri"/>
                                <w:color w:val="000000"/>
                              </w:rPr>
                              <w:t>Активна реклама</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3867150</wp:posOffset>
                </wp:positionH>
                <wp:positionV relativeFrom="paragraph">
                  <wp:posOffset>276225</wp:posOffset>
                </wp:positionV>
                <wp:extent cx="971550" cy="1000125"/>
                <wp:effectExtent b="0" l="0" r="0" t="0"/>
                <wp:wrapNone/>
                <wp:docPr id="12" name="image20.png"/>
                <a:graphic>
                  <a:graphicData uri="http://schemas.openxmlformats.org/drawingml/2006/picture">
                    <pic:pic>
                      <pic:nvPicPr>
                        <pic:cNvPr id="0" name="image20.png"/>
                        <pic:cNvPicPr preferRelativeResize="0"/>
                      </pic:nvPicPr>
                      <pic:blipFill>
                        <a:blip r:embed="rId28"/>
                        <a:srcRect/>
                        <a:stretch>
                          <a:fillRect/>
                        </a:stretch>
                      </pic:blipFill>
                      <pic:spPr>
                        <a:xfrm>
                          <a:off x="0" y="0"/>
                          <a:ext cx="971550" cy="100012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75648" behindDoc="0" locked="0" layoutInCell="1" hidden="0" allowOverlap="1">
                <wp:simplePos x="0" y="0"/>
                <wp:positionH relativeFrom="column">
                  <wp:posOffset>3067050</wp:posOffset>
                </wp:positionH>
                <wp:positionV relativeFrom="paragraph">
                  <wp:posOffset>38100</wp:posOffset>
                </wp:positionV>
                <wp:extent cx="800100" cy="247650"/>
                <wp:effectExtent l="0" t="0" r="0" b="0"/>
                <wp:wrapNone/>
                <wp:docPr id="16" name="Прямоугольник 16"/>
                <wp:cNvGraphicFramePr/>
                <a:graphic xmlns:a="http://schemas.openxmlformats.org/drawingml/2006/main">
                  <a:graphicData uri="http://schemas.microsoft.com/office/word/2010/wordprocessingShape">
                    <wps:wsp>
                      <wps:cNvSpPr/>
                      <wps:spPr>
                        <a:xfrm>
                          <a:off x="4950713" y="3660938"/>
                          <a:ext cx="790575" cy="23812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Ф</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3067050</wp:posOffset>
                </wp:positionH>
                <wp:positionV relativeFrom="paragraph">
                  <wp:posOffset>38100</wp:posOffset>
                </wp:positionV>
                <wp:extent cx="800100" cy="247650"/>
                <wp:effectExtent b="0" l="0" r="0" t="0"/>
                <wp:wrapNone/>
                <wp:docPr id="16" name="image24.png"/>
                <a:graphic>
                  <a:graphicData uri="http://schemas.openxmlformats.org/drawingml/2006/picture">
                    <pic:pic>
                      <pic:nvPicPr>
                        <pic:cNvPr id="0" name="image24.png"/>
                        <pic:cNvPicPr preferRelativeResize="0"/>
                      </pic:nvPicPr>
                      <pic:blipFill>
                        <a:blip r:embed="rId29"/>
                        <a:srcRect/>
                        <a:stretch>
                          <a:fillRect/>
                        </a:stretch>
                      </pic:blipFill>
                      <pic:spPr>
                        <a:xfrm>
                          <a:off x="0" y="0"/>
                          <a:ext cx="800100" cy="24765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76672" behindDoc="0" locked="0" layoutInCell="1" hidden="0" allowOverlap="1">
                <wp:simplePos x="0" y="0"/>
                <wp:positionH relativeFrom="column">
                  <wp:posOffset>2076450</wp:posOffset>
                </wp:positionH>
                <wp:positionV relativeFrom="paragraph">
                  <wp:posOffset>38100</wp:posOffset>
                </wp:positionV>
                <wp:extent cx="990600" cy="247650"/>
                <wp:effectExtent l="0" t="0" r="0" b="0"/>
                <wp:wrapNone/>
                <wp:docPr id="20" name="Прямоугольник 20"/>
                <wp:cNvGraphicFramePr/>
                <a:graphic xmlns:a="http://schemas.openxmlformats.org/drawingml/2006/main">
                  <a:graphicData uri="http://schemas.microsoft.com/office/word/2010/wordprocessingShape">
                    <wps:wsp>
                      <wps:cNvSpPr/>
                      <wps:spPr>
                        <a:xfrm>
                          <a:off x="4855463" y="3660938"/>
                          <a:ext cx="981075" cy="23812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С</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2076450</wp:posOffset>
                </wp:positionH>
                <wp:positionV relativeFrom="paragraph">
                  <wp:posOffset>38100</wp:posOffset>
                </wp:positionV>
                <wp:extent cx="990600" cy="247650"/>
                <wp:effectExtent b="0" l="0" r="0" t="0"/>
                <wp:wrapNone/>
                <wp:docPr id="20" name="image29.png"/>
                <a:graphic>
                  <a:graphicData uri="http://schemas.openxmlformats.org/drawingml/2006/picture">
                    <pic:pic>
                      <pic:nvPicPr>
                        <pic:cNvPr id="0" name="image29.png"/>
                        <pic:cNvPicPr preferRelativeResize="0"/>
                      </pic:nvPicPr>
                      <pic:blipFill>
                        <a:blip r:embed="rId30"/>
                        <a:srcRect/>
                        <a:stretch>
                          <a:fillRect/>
                        </a:stretch>
                      </pic:blipFill>
                      <pic:spPr>
                        <a:xfrm>
                          <a:off x="0" y="0"/>
                          <a:ext cx="990600" cy="247650"/>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77696" behindDoc="0" locked="0" layoutInCell="1" hidden="0" allowOverlap="1">
                <wp:simplePos x="0" y="0"/>
                <wp:positionH relativeFrom="column">
                  <wp:posOffset>3067050</wp:posOffset>
                </wp:positionH>
                <wp:positionV relativeFrom="paragraph">
                  <wp:posOffset>276225</wp:posOffset>
                </wp:positionV>
                <wp:extent cx="800100" cy="1000125"/>
                <wp:effectExtent l="0" t="0" r="0" b="0"/>
                <wp:wrapNone/>
                <wp:docPr id="9" name="Прямоугольник 9"/>
                <wp:cNvGraphicFramePr/>
                <a:graphic xmlns:a="http://schemas.openxmlformats.org/drawingml/2006/main">
                  <a:graphicData uri="http://schemas.microsoft.com/office/word/2010/wordprocessingShape">
                    <wps:wsp>
                      <wps:cNvSpPr/>
                      <wps:spPr>
                        <a:xfrm>
                          <a:off x="4950713" y="3284700"/>
                          <a:ext cx="790575" cy="990600"/>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line="240" w:lineRule="auto"/>
                              <w:textDirection w:val="btLr"/>
                            </w:pPr>
                            <w:r>
                              <w:rPr>
                                <w:rFonts w:ascii="Times New Roman" w:eastAsia="Times New Roman" w:hAnsi="Times New Roman" w:cs="Times New Roman"/>
                                <w:color w:val="000000"/>
                              </w:rPr>
                              <w:t>Ефект більшості</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3067050</wp:posOffset>
                </wp:positionH>
                <wp:positionV relativeFrom="paragraph">
                  <wp:posOffset>276225</wp:posOffset>
                </wp:positionV>
                <wp:extent cx="800100" cy="1000125"/>
                <wp:effectExtent b="0" l="0" r="0" t="0"/>
                <wp:wrapNone/>
                <wp:docPr id="9" name="image17.png"/>
                <a:graphic>
                  <a:graphicData uri="http://schemas.openxmlformats.org/drawingml/2006/picture">
                    <pic:pic>
                      <pic:nvPicPr>
                        <pic:cNvPr id="0" name="image17.png"/>
                        <pic:cNvPicPr preferRelativeResize="0"/>
                      </pic:nvPicPr>
                      <pic:blipFill>
                        <a:blip r:embed="rId31"/>
                        <a:srcRect/>
                        <a:stretch>
                          <a:fillRect/>
                        </a:stretch>
                      </pic:blipFill>
                      <pic:spPr>
                        <a:xfrm>
                          <a:off x="0" y="0"/>
                          <a:ext cx="800100" cy="100012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78720" behindDoc="0" locked="0" layoutInCell="1" hidden="0" allowOverlap="1">
                <wp:simplePos x="0" y="0"/>
                <wp:positionH relativeFrom="column">
                  <wp:posOffset>419100</wp:posOffset>
                </wp:positionH>
                <wp:positionV relativeFrom="paragraph">
                  <wp:posOffset>293979</wp:posOffset>
                </wp:positionV>
                <wp:extent cx="685800" cy="1000125"/>
                <wp:effectExtent l="0" t="0" r="0" b="0"/>
                <wp:wrapNone/>
                <wp:docPr id="1" name="Прямоугольник 1"/>
                <wp:cNvGraphicFramePr/>
                <a:graphic xmlns:a="http://schemas.openxmlformats.org/drawingml/2006/main">
                  <a:graphicData uri="http://schemas.microsoft.com/office/word/2010/wordprocessingShape">
                    <wps:wsp>
                      <wps:cNvSpPr/>
                      <wps:spPr>
                        <a:xfrm>
                          <a:off x="5007863" y="3284700"/>
                          <a:ext cx="676275" cy="990600"/>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line="240" w:lineRule="auto"/>
                              <w:textDirection w:val="btLr"/>
                            </w:pPr>
                            <w:r>
                              <w:rPr>
                                <w:rFonts w:ascii="Times New Roman" w:eastAsia="Times New Roman" w:hAnsi="Times New Roman" w:cs="Times New Roman"/>
                                <w:color w:val="000000"/>
                              </w:rPr>
                              <w:t>Економія коштів, часу</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419100</wp:posOffset>
                </wp:positionH>
                <wp:positionV relativeFrom="paragraph">
                  <wp:posOffset>293979</wp:posOffset>
                </wp:positionV>
                <wp:extent cx="685800" cy="1000125"/>
                <wp:effectExtent b="0" l="0" r="0" t="0"/>
                <wp:wrapNone/>
                <wp:docPr id="1" name="image8.png"/>
                <a:graphic>
                  <a:graphicData uri="http://schemas.openxmlformats.org/drawingml/2006/picture">
                    <pic:pic>
                      <pic:nvPicPr>
                        <pic:cNvPr id="0" name="image8.png"/>
                        <pic:cNvPicPr preferRelativeResize="0"/>
                      </pic:nvPicPr>
                      <pic:blipFill>
                        <a:blip r:embed="rId32"/>
                        <a:srcRect/>
                        <a:stretch>
                          <a:fillRect/>
                        </a:stretch>
                      </pic:blipFill>
                      <pic:spPr>
                        <a:xfrm>
                          <a:off x="0" y="0"/>
                          <a:ext cx="685800" cy="1000125"/>
                        </a:xfrm>
                        <a:prstGeom prst="rect"/>
                        <a:ln/>
                      </pic:spPr>
                    </pic:pic>
                  </a:graphicData>
                </a:graphic>
              </wp:anchor>
            </w:drawing>
          </mc:Fallback>
        </mc:AlternateContent>
      </w:r>
    </w:p>
    <w:p w:rsidR="00BA76DF" w:rsidRDefault="00BA76DF">
      <w:pPr>
        <w:spacing w:after="160" w:line="360" w:lineRule="auto"/>
        <w:jc w:val="right"/>
        <w:rPr>
          <w:rFonts w:ascii="Times New Roman" w:eastAsia="Times New Roman" w:hAnsi="Times New Roman" w:cs="Times New Roman"/>
          <w:sz w:val="28"/>
          <w:szCs w:val="28"/>
          <w:highlight w:val="white"/>
        </w:rPr>
      </w:pPr>
    </w:p>
    <w:p w:rsidR="00BA76DF" w:rsidRDefault="00C33D3F">
      <w:pPr>
        <w:spacing w:after="160" w:line="360" w:lineRule="auto"/>
        <w:jc w:val="right"/>
        <w:rPr>
          <w:rFonts w:ascii="Times New Roman" w:eastAsia="Times New Roman" w:hAnsi="Times New Roman" w:cs="Times New Roman"/>
          <w:sz w:val="28"/>
          <w:szCs w:val="28"/>
          <w:highlight w:val="white"/>
        </w:rPr>
      </w:pPr>
      <w:r>
        <w:rPr>
          <w:noProof/>
          <w:lang w:val="en-US"/>
        </w:rPr>
        <mc:AlternateContent>
          <mc:Choice Requires="wpg">
            <w:drawing>
              <wp:anchor distT="0" distB="0" distL="114300" distR="114300" simplePos="0" relativeHeight="251679744" behindDoc="0" locked="0" layoutInCell="1" hidden="0" allowOverlap="1">
                <wp:simplePos x="0" y="0"/>
                <wp:positionH relativeFrom="column">
                  <wp:posOffset>4943475</wp:posOffset>
                </wp:positionH>
                <wp:positionV relativeFrom="paragraph">
                  <wp:posOffset>154992</wp:posOffset>
                </wp:positionV>
                <wp:extent cx="1285875" cy="304800"/>
                <wp:effectExtent l="0" t="0" r="0" b="0"/>
                <wp:wrapNone/>
                <wp:docPr id="2" name="Прямоугольник 2"/>
                <wp:cNvGraphicFramePr/>
                <a:graphic xmlns:a="http://schemas.openxmlformats.org/drawingml/2006/main">
                  <a:graphicData uri="http://schemas.microsoft.com/office/word/2010/wordprocessingShape">
                    <wps:wsp>
                      <wps:cNvSpPr/>
                      <wps:spPr>
                        <a:xfrm>
                          <a:off x="4626863" y="3632363"/>
                          <a:ext cx="1438275" cy="29527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М. дія</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4943475</wp:posOffset>
                </wp:positionH>
                <wp:positionV relativeFrom="paragraph">
                  <wp:posOffset>154992</wp:posOffset>
                </wp:positionV>
                <wp:extent cx="1285875" cy="304800"/>
                <wp:effectExtent b="0" l="0" r="0" t="0"/>
                <wp:wrapNone/>
                <wp:docPr id="2" name="image9.png"/>
                <a:graphic>
                  <a:graphicData uri="http://schemas.openxmlformats.org/drawingml/2006/picture">
                    <pic:pic>
                      <pic:nvPicPr>
                        <pic:cNvPr id="0" name="image9.png"/>
                        <pic:cNvPicPr preferRelativeResize="0"/>
                      </pic:nvPicPr>
                      <pic:blipFill>
                        <a:blip r:embed="rId33"/>
                        <a:srcRect/>
                        <a:stretch>
                          <a:fillRect/>
                        </a:stretch>
                      </pic:blipFill>
                      <pic:spPr>
                        <a:xfrm>
                          <a:off x="0" y="0"/>
                          <a:ext cx="1285875" cy="304800"/>
                        </a:xfrm>
                        <a:prstGeom prst="rect"/>
                        <a:ln/>
                      </pic:spPr>
                    </pic:pic>
                  </a:graphicData>
                </a:graphic>
              </wp:anchor>
            </w:drawing>
          </mc:Fallback>
        </mc:AlternateContent>
      </w:r>
    </w:p>
    <w:p w:rsidR="00BA76DF" w:rsidRDefault="00C33D3F">
      <w:pPr>
        <w:spacing w:after="160" w:line="360" w:lineRule="auto"/>
        <w:jc w:val="right"/>
        <w:rPr>
          <w:rFonts w:ascii="Times New Roman" w:eastAsia="Times New Roman" w:hAnsi="Times New Roman" w:cs="Times New Roman"/>
          <w:sz w:val="28"/>
          <w:szCs w:val="28"/>
          <w:highlight w:val="white"/>
        </w:rPr>
      </w:pPr>
      <w:r>
        <w:rPr>
          <w:noProof/>
          <w:lang w:val="en-US"/>
        </w:rPr>
        <mc:AlternateContent>
          <mc:Choice Requires="wpg">
            <w:drawing>
              <wp:anchor distT="0" distB="0" distL="114300" distR="114300" simplePos="0" relativeHeight="251680768" behindDoc="0" locked="0" layoutInCell="1" hidden="0" allowOverlap="1">
                <wp:simplePos x="0" y="0"/>
                <wp:positionH relativeFrom="column">
                  <wp:posOffset>123825</wp:posOffset>
                </wp:positionH>
                <wp:positionV relativeFrom="paragraph">
                  <wp:posOffset>233648</wp:posOffset>
                </wp:positionV>
                <wp:extent cx="847725" cy="1228725"/>
                <wp:effectExtent l="0" t="0" r="0" b="0"/>
                <wp:wrapNone/>
                <wp:docPr id="17" name="Прямоугольник 17"/>
                <wp:cNvGraphicFramePr/>
                <a:graphic xmlns:a="http://schemas.openxmlformats.org/drawingml/2006/main">
                  <a:graphicData uri="http://schemas.microsoft.com/office/word/2010/wordprocessingShape">
                    <wps:wsp>
                      <wps:cNvSpPr/>
                      <wps:spPr>
                        <a:xfrm>
                          <a:off x="4926900" y="3170400"/>
                          <a:ext cx="838200" cy="1219200"/>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line="240" w:lineRule="auto"/>
                              <w:textDirection w:val="btLr"/>
                            </w:pPr>
                            <w:r>
                              <w:rPr>
                                <w:rFonts w:ascii="Times New Roman" w:eastAsia="Times New Roman" w:hAnsi="Times New Roman" w:cs="Times New Roman"/>
                                <w:color w:val="000000"/>
                              </w:rPr>
                              <w:t>Не вистачає потужності та якості газу, ріст цін на дрова</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123825</wp:posOffset>
                </wp:positionH>
                <wp:positionV relativeFrom="paragraph">
                  <wp:posOffset>233648</wp:posOffset>
                </wp:positionV>
                <wp:extent cx="847725" cy="1228725"/>
                <wp:effectExtent b="0" l="0" r="0" t="0"/>
                <wp:wrapNone/>
                <wp:docPr id="17" name="image26.png"/>
                <a:graphic>
                  <a:graphicData uri="http://schemas.openxmlformats.org/drawingml/2006/picture">
                    <pic:pic>
                      <pic:nvPicPr>
                        <pic:cNvPr id="0" name="image26.png"/>
                        <pic:cNvPicPr preferRelativeResize="0"/>
                      </pic:nvPicPr>
                      <pic:blipFill>
                        <a:blip r:embed="rId34"/>
                        <a:srcRect/>
                        <a:stretch>
                          <a:fillRect/>
                        </a:stretch>
                      </pic:blipFill>
                      <pic:spPr>
                        <a:xfrm>
                          <a:off x="0" y="0"/>
                          <a:ext cx="847725" cy="1228725"/>
                        </a:xfrm>
                        <a:prstGeom prst="rect"/>
                        <a:ln/>
                      </pic:spPr>
                    </pic:pic>
                  </a:graphicData>
                </a:graphic>
              </wp:anchor>
            </w:drawing>
          </mc:Fallback>
        </mc:AlternateContent>
      </w:r>
      <w:r>
        <w:rPr>
          <w:noProof/>
          <w:lang w:val="en-US"/>
        </w:rPr>
        <mc:AlternateContent>
          <mc:Choice Requires="wpg">
            <w:drawing>
              <wp:anchor distT="0" distB="0" distL="114300" distR="114300" simplePos="0" relativeHeight="251681792" behindDoc="0" locked="0" layoutInCell="1" hidden="0" allowOverlap="1">
                <wp:simplePos x="0" y="0"/>
                <wp:positionH relativeFrom="column">
                  <wp:posOffset>2400300</wp:posOffset>
                </wp:positionH>
                <wp:positionV relativeFrom="paragraph">
                  <wp:posOffset>222963</wp:posOffset>
                </wp:positionV>
                <wp:extent cx="1285875" cy="304800"/>
                <wp:effectExtent l="0" t="0" r="0" b="0"/>
                <wp:wrapNone/>
                <wp:docPr id="6" name="Прямоугольник 6"/>
                <wp:cNvGraphicFramePr/>
                <a:graphic xmlns:a="http://schemas.openxmlformats.org/drawingml/2006/main">
                  <a:graphicData uri="http://schemas.microsoft.com/office/word/2010/wordprocessingShape">
                    <wps:wsp>
                      <wps:cNvSpPr/>
                      <wps:spPr>
                        <a:xfrm>
                          <a:off x="4707825" y="3632363"/>
                          <a:ext cx="1276350" cy="29527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after="160" w:line="258" w:lineRule="auto"/>
                              <w:textDirection w:val="btLr"/>
                            </w:pPr>
                            <w:r>
                              <w:rPr>
                                <w:rFonts w:ascii="Times New Roman" w:eastAsia="Times New Roman" w:hAnsi="Times New Roman" w:cs="Times New Roman"/>
                                <w:color w:val="000000"/>
                                <w:sz w:val="24"/>
                              </w:rPr>
                              <w:t>Фактор</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2400300</wp:posOffset>
                </wp:positionH>
                <wp:positionV relativeFrom="paragraph">
                  <wp:posOffset>222963</wp:posOffset>
                </wp:positionV>
                <wp:extent cx="1285875" cy="304800"/>
                <wp:effectExtent b="0" l="0" r="0" t="0"/>
                <wp:wrapNone/>
                <wp:docPr id="6" name="image13.png"/>
                <a:graphic>
                  <a:graphicData uri="http://schemas.openxmlformats.org/drawingml/2006/picture">
                    <pic:pic>
                      <pic:nvPicPr>
                        <pic:cNvPr id="0" name="image13.png"/>
                        <pic:cNvPicPr preferRelativeResize="0"/>
                      </pic:nvPicPr>
                      <pic:blipFill>
                        <a:blip r:embed="rId35"/>
                        <a:srcRect/>
                        <a:stretch>
                          <a:fillRect/>
                        </a:stretch>
                      </pic:blipFill>
                      <pic:spPr>
                        <a:xfrm>
                          <a:off x="0" y="0"/>
                          <a:ext cx="1285875" cy="304800"/>
                        </a:xfrm>
                        <a:prstGeom prst="rect"/>
                        <a:ln/>
                      </pic:spPr>
                    </pic:pic>
                  </a:graphicData>
                </a:graphic>
              </wp:anchor>
            </w:drawing>
          </mc:Fallback>
        </mc:AlternateContent>
      </w:r>
    </w:p>
    <w:p w:rsidR="00BA76DF" w:rsidRDefault="00C33D3F">
      <w:pPr>
        <w:spacing w:after="160" w:line="360" w:lineRule="auto"/>
        <w:jc w:val="right"/>
        <w:rPr>
          <w:rFonts w:ascii="Times New Roman" w:eastAsia="Times New Roman" w:hAnsi="Times New Roman" w:cs="Times New Roman"/>
          <w:sz w:val="28"/>
          <w:szCs w:val="28"/>
          <w:highlight w:val="white"/>
        </w:rPr>
      </w:pPr>
      <w:r>
        <w:rPr>
          <w:noProof/>
          <w:lang w:val="en-US"/>
        </w:rPr>
        <mc:AlternateContent>
          <mc:Choice Requires="wpg">
            <w:drawing>
              <wp:anchor distT="0" distB="0" distL="114300" distR="114300" simplePos="0" relativeHeight="251682816" behindDoc="0" locked="0" layoutInCell="1" hidden="0" allowOverlap="1">
                <wp:simplePos x="0" y="0"/>
                <wp:positionH relativeFrom="column">
                  <wp:posOffset>2400300</wp:posOffset>
                </wp:positionH>
                <wp:positionV relativeFrom="paragraph">
                  <wp:posOffset>115596</wp:posOffset>
                </wp:positionV>
                <wp:extent cx="1285875" cy="841492"/>
                <wp:effectExtent l="0" t="0" r="0" b="0"/>
                <wp:wrapNone/>
                <wp:docPr id="8" name="Прямоугольник 8"/>
                <wp:cNvGraphicFramePr/>
                <a:graphic xmlns:a="http://schemas.openxmlformats.org/drawingml/2006/main">
                  <a:graphicData uri="http://schemas.microsoft.com/office/word/2010/wordprocessingShape">
                    <wps:wsp>
                      <wps:cNvSpPr/>
                      <wps:spPr>
                        <a:xfrm>
                          <a:off x="4707825" y="3365663"/>
                          <a:ext cx="1276350" cy="82867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line="240" w:lineRule="auto"/>
                              <w:textDirection w:val="btLr"/>
                            </w:pPr>
                            <w:r>
                              <w:rPr>
                                <w:rFonts w:ascii="Times New Roman" w:eastAsia="Times New Roman" w:hAnsi="Times New Roman" w:cs="Times New Roman"/>
                                <w:color w:val="000000"/>
                              </w:rPr>
                              <w:t>Треба приготувати їжу, хочеться їсти</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2400300</wp:posOffset>
                </wp:positionH>
                <wp:positionV relativeFrom="paragraph">
                  <wp:posOffset>115596</wp:posOffset>
                </wp:positionV>
                <wp:extent cx="1285875" cy="841492"/>
                <wp:effectExtent b="0" l="0" r="0" t="0"/>
                <wp:wrapNone/>
                <wp:docPr id="8" name="image16.png"/>
                <a:graphic>
                  <a:graphicData uri="http://schemas.openxmlformats.org/drawingml/2006/picture">
                    <pic:pic>
                      <pic:nvPicPr>
                        <pic:cNvPr id="0" name="image16.png"/>
                        <pic:cNvPicPr preferRelativeResize="0"/>
                      </pic:nvPicPr>
                      <pic:blipFill>
                        <a:blip r:embed="rId36"/>
                        <a:srcRect/>
                        <a:stretch>
                          <a:fillRect/>
                        </a:stretch>
                      </pic:blipFill>
                      <pic:spPr>
                        <a:xfrm>
                          <a:off x="0" y="0"/>
                          <a:ext cx="1285875" cy="841492"/>
                        </a:xfrm>
                        <a:prstGeom prst="rect"/>
                        <a:ln/>
                      </pic:spPr>
                    </pic:pic>
                  </a:graphicData>
                </a:graphic>
              </wp:anchor>
            </w:drawing>
          </mc:Fallback>
        </mc:AlternateContent>
      </w:r>
    </w:p>
    <w:p w:rsidR="00BA76DF" w:rsidRDefault="00C33D3F">
      <w:pPr>
        <w:spacing w:after="160" w:line="360" w:lineRule="auto"/>
        <w:jc w:val="right"/>
        <w:rPr>
          <w:rFonts w:ascii="Times New Roman" w:eastAsia="Times New Roman" w:hAnsi="Times New Roman" w:cs="Times New Roman"/>
          <w:sz w:val="28"/>
          <w:szCs w:val="28"/>
          <w:highlight w:val="white"/>
        </w:rPr>
      </w:pPr>
      <w:r>
        <w:rPr>
          <w:noProof/>
          <w:lang w:val="en-US"/>
        </w:rPr>
        <mc:AlternateContent>
          <mc:Choice Requires="wpg">
            <w:drawing>
              <wp:anchor distT="0" distB="0" distL="114300" distR="114300" simplePos="0" relativeHeight="251683840" behindDoc="0" locked="0" layoutInCell="1" hidden="0" allowOverlap="1">
                <wp:simplePos x="0" y="0"/>
                <wp:positionH relativeFrom="column">
                  <wp:posOffset>3819525</wp:posOffset>
                </wp:positionH>
                <wp:positionV relativeFrom="paragraph">
                  <wp:posOffset>238125</wp:posOffset>
                </wp:positionV>
                <wp:extent cx="1447800" cy="1390650"/>
                <wp:effectExtent l="0" t="0" r="0" b="0"/>
                <wp:wrapNone/>
                <wp:docPr id="26" name="Прямоугольник 26"/>
                <wp:cNvGraphicFramePr/>
                <a:graphic xmlns:a="http://schemas.openxmlformats.org/drawingml/2006/main">
                  <a:graphicData uri="http://schemas.microsoft.com/office/word/2010/wordprocessingShape">
                    <wps:wsp>
                      <wps:cNvSpPr/>
                      <wps:spPr>
                        <a:xfrm>
                          <a:off x="4626863" y="3089438"/>
                          <a:ext cx="1438275" cy="138112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line="240" w:lineRule="auto"/>
                              <w:textDirection w:val="btLr"/>
                            </w:pPr>
                            <w:r>
                              <w:rPr>
                                <w:rFonts w:ascii="Times New Roman" w:eastAsia="Times New Roman" w:hAnsi="Times New Roman" w:cs="Times New Roman"/>
                                <w:color w:val="000000"/>
                              </w:rPr>
                              <w:t>Можливість безперебійного підключення газу, постійний зв’язок із компанією, швидкість вирішення форс-мажорних ситуацій</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3819525</wp:posOffset>
                </wp:positionH>
                <wp:positionV relativeFrom="paragraph">
                  <wp:posOffset>238125</wp:posOffset>
                </wp:positionV>
                <wp:extent cx="1447800" cy="1390650"/>
                <wp:effectExtent b="0" l="0" r="0" t="0"/>
                <wp:wrapNone/>
                <wp:docPr id="26" name="image38.png"/>
                <a:graphic>
                  <a:graphicData uri="http://schemas.openxmlformats.org/drawingml/2006/picture">
                    <pic:pic>
                      <pic:nvPicPr>
                        <pic:cNvPr id="0" name="image38.png"/>
                        <pic:cNvPicPr preferRelativeResize="0"/>
                      </pic:nvPicPr>
                      <pic:blipFill>
                        <a:blip r:embed="rId37"/>
                        <a:srcRect/>
                        <a:stretch>
                          <a:fillRect/>
                        </a:stretch>
                      </pic:blipFill>
                      <pic:spPr>
                        <a:xfrm>
                          <a:off x="0" y="0"/>
                          <a:ext cx="1447800" cy="1390650"/>
                        </a:xfrm>
                        <a:prstGeom prst="rect"/>
                        <a:ln/>
                      </pic:spPr>
                    </pic:pic>
                  </a:graphicData>
                </a:graphic>
              </wp:anchor>
            </w:drawing>
          </mc:Fallback>
        </mc:AlternateContent>
      </w:r>
    </w:p>
    <w:p w:rsidR="00BA76DF" w:rsidRDefault="00C33D3F">
      <w:pPr>
        <w:spacing w:after="160" w:line="360" w:lineRule="auto"/>
        <w:jc w:val="right"/>
        <w:rPr>
          <w:rFonts w:ascii="Times New Roman" w:eastAsia="Times New Roman" w:hAnsi="Times New Roman" w:cs="Times New Roman"/>
          <w:sz w:val="28"/>
          <w:szCs w:val="28"/>
          <w:highlight w:val="white"/>
        </w:rPr>
      </w:pPr>
      <w:r>
        <w:rPr>
          <w:noProof/>
          <w:lang w:val="en-US"/>
        </w:rPr>
        <mc:AlternateContent>
          <mc:Choice Requires="wpg">
            <w:drawing>
              <wp:anchor distT="0" distB="0" distL="114300" distR="114300" simplePos="0" relativeHeight="251684864" behindDoc="0" locked="0" layoutInCell="1" hidden="0" allowOverlap="1">
                <wp:simplePos x="0" y="0"/>
                <wp:positionH relativeFrom="column">
                  <wp:posOffset>971550</wp:posOffset>
                </wp:positionH>
                <wp:positionV relativeFrom="paragraph">
                  <wp:posOffset>242013</wp:posOffset>
                </wp:positionV>
                <wp:extent cx="1533525" cy="838200"/>
                <wp:effectExtent l="0" t="0" r="0" b="0"/>
                <wp:wrapNone/>
                <wp:docPr id="14" name="Прямоугольник 14"/>
                <wp:cNvGraphicFramePr/>
                <a:graphic xmlns:a="http://schemas.openxmlformats.org/drawingml/2006/main">
                  <a:graphicData uri="http://schemas.microsoft.com/office/word/2010/wordprocessingShape">
                    <wps:wsp>
                      <wps:cNvSpPr/>
                      <wps:spPr>
                        <a:xfrm>
                          <a:off x="4584000" y="3365663"/>
                          <a:ext cx="1524000" cy="828675"/>
                        </a:xfrm>
                        <a:prstGeom prst="rect">
                          <a:avLst/>
                        </a:prstGeom>
                        <a:solidFill>
                          <a:schemeClr val="lt1"/>
                        </a:solidFill>
                        <a:ln w="9525" cap="flat" cmpd="sng">
                          <a:solidFill>
                            <a:srgbClr val="000000"/>
                          </a:solidFill>
                          <a:prstDash val="solid"/>
                          <a:round/>
                          <a:headEnd type="none" w="sm" len="sm"/>
                          <a:tailEnd type="none" w="sm" len="sm"/>
                        </a:ln>
                      </wps:spPr>
                      <wps:txbx>
                        <w:txbxContent>
                          <w:p w:rsidR="00BA76DF" w:rsidRDefault="00C33D3F">
                            <w:pPr>
                              <w:spacing w:line="240" w:lineRule="auto"/>
                              <w:textDirection w:val="btLr"/>
                            </w:pPr>
                            <w:r>
                              <w:rPr>
                                <w:rFonts w:ascii="Times New Roman" w:eastAsia="Times New Roman" w:hAnsi="Times New Roman" w:cs="Times New Roman"/>
                                <w:color w:val="000000"/>
                              </w:rPr>
                              <w:t>Зламалась електрична плита</w:t>
                            </w:r>
                          </w:p>
                        </w:txbxContent>
                      </wps:txbx>
                      <wps:bodyPr spcFirstLastPara="1" wrap="square" lIns="91425" tIns="45700" rIns="91425" bIns="45700" anchor="t" anchorCtr="0">
                        <a:noAutofit/>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971550</wp:posOffset>
                </wp:positionH>
                <wp:positionV relativeFrom="paragraph">
                  <wp:posOffset>242013</wp:posOffset>
                </wp:positionV>
                <wp:extent cx="1533525" cy="838200"/>
                <wp:effectExtent b="0" l="0" r="0" t="0"/>
                <wp:wrapNone/>
                <wp:docPr id="14" name="image22.png"/>
                <a:graphic>
                  <a:graphicData uri="http://schemas.openxmlformats.org/drawingml/2006/picture">
                    <pic:pic>
                      <pic:nvPicPr>
                        <pic:cNvPr id="0" name="image22.png"/>
                        <pic:cNvPicPr preferRelativeResize="0"/>
                      </pic:nvPicPr>
                      <pic:blipFill>
                        <a:blip r:embed="rId38"/>
                        <a:srcRect/>
                        <a:stretch>
                          <a:fillRect/>
                        </a:stretch>
                      </pic:blipFill>
                      <pic:spPr>
                        <a:xfrm>
                          <a:off x="0" y="0"/>
                          <a:ext cx="1533525" cy="838200"/>
                        </a:xfrm>
                        <a:prstGeom prst="rect"/>
                        <a:ln/>
                      </pic:spPr>
                    </pic:pic>
                  </a:graphicData>
                </a:graphic>
              </wp:anchor>
            </w:drawing>
          </mc:Fallback>
        </mc:AlternateContent>
      </w:r>
    </w:p>
    <w:p w:rsidR="00BA76DF" w:rsidRDefault="00BA76DF">
      <w:pPr>
        <w:spacing w:after="160" w:line="360" w:lineRule="auto"/>
        <w:jc w:val="center"/>
        <w:rPr>
          <w:rFonts w:ascii="Times New Roman" w:eastAsia="Times New Roman" w:hAnsi="Times New Roman" w:cs="Times New Roman"/>
          <w:sz w:val="28"/>
          <w:szCs w:val="28"/>
          <w:highlight w:val="white"/>
        </w:rPr>
      </w:pP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Рисунок 1.2 - Модель </w:t>
      </w:r>
      <w:proofErr w:type="spellStart"/>
      <w:r>
        <w:rPr>
          <w:rFonts w:ascii="Times New Roman" w:eastAsia="Times New Roman" w:hAnsi="Times New Roman" w:cs="Times New Roman"/>
          <w:sz w:val="28"/>
          <w:szCs w:val="28"/>
          <w:highlight w:val="white"/>
        </w:rPr>
        <w:t>Зозульова-Базь</w:t>
      </w:r>
      <w:proofErr w:type="spellEnd"/>
    </w:p>
    <w:p w:rsidR="00BA76DF" w:rsidRDefault="00C33D3F">
      <w:pPr>
        <w:spacing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на основі [1,2]</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 рисунка вище можна побачити, що споживачу характерна раціональна та ірраціональна поведінка при купівлі товару. Відповідно до цього, він обирає певного постачальника природного газу.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 ринку природного газу існують три типи конкуренції. Пряма конкуренція полягає в змаганні між постачальниками газу, які безпосередньо конкурують один з одним на ринку. Серед таких постачальників можна відзначити НАК «Нафтогаз України» та приватні компанії, такі як ТОВ «Мет Україна», ТОВ «Еру </w:t>
      </w:r>
      <w:proofErr w:type="spellStart"/>
      <w:r>
        <w:rPr>
          <w:rFonts w:ascii="Times New Roman" w:eastAsia="Times New Roman" w:hAnsi="Times New Roman" w:cs="Times New Roman"/>
          <w:sz w:val="28"/>
          <w:szCs w:val="28"/>
          <w:highlight w:val="white"/>
        </w:rPr>
        <w:t>Трейдінг</w:t>
      </w:r>
      <w:proofErr w:type="spellEnd"/>
      <w:r>
        <w:rPr>
          <w:rFonts w:ascii="Times New Roman" w:eastAsia="Times New Roman" w:hAnsi="Times New Roman" w:cs="Times New Roman"/>
          <w:sz w:val="28"/>
          <w:szCs w:val="28"/>
          <w:highlight w:val="white"/>
        </w:rPr>
        <w:t>», ТОВ «</w:t>
      </w:r>
      <w:proofErr w:type="spellStart"/>
      <w:r>
        <w:rPr>
          <w:rFonts w:ascii="Times New Roman" w:eastAsia="Times New Roman" w:hAnsi="Times New Roman" w:cs="Times New Roman"/>
          <w:sz w:val="28"/>
          <w:szCs w:val="28"/>
          <w:highlight w:val="white"/>
        </w:rPr>
        <w:t>Скела</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терциум</w:t>
      </w:r>
      <w:proofErr w:type="spellEnd"/>
      <w:r>
        <w:rPr>
          <w:rFonts w:ascii="Times New Roman" w:eastAsia="Times New Roman" w:hAnsi="Times New Roman" w:cs="Times New Roman"/>
          <w:sz w:val="28"/>
          <w:szCs w:val="28"/>
          <w:highlight w:val="white"/>
        </w:rPr>
        <w:t xml:space="preserve">». Непряма конкуренція включає альтернативні джерела енергії, такі як електроенергія, біопаливо та інші. Монополістична конкуренція виникає в контексті різних видів газових продуктів, таких як скраплений природний газ, газ у балонах та інші.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НАК «Нафтогаз України» є лідером на ринку, займаючи більшу частку, ніж всі її конкуренти разом узяті. Змагання на ринку відбувається за ціною, тому </w:t>
      </w:r>
      <w:r>
        <w:rPr>
          <w:rFonts w:ascii="Times New Roman" w:eastAsia="Times New Roman" w:hAnsi="Times New Roman" w:cs="Times New Roman"/>
          <w:sz w:val="28"/>
          <w:szCs w:val="28"/>
          <w:highlight w:val="white"/>
        </w:rPr>
        <w:lastRenderedPageBreak/>
        <w:t xml:space="preserve">компанія намагається знизити ціни на газ і залишитися провідним гравцем у сфері. Крім того, НАК «Нафтогаз України» активно використовує новітні технології, що дозволяє їй ефективно видобувати газ та модернізувати родовища.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Оскільки компанія є основним постачальником природного газу, держава надає пільговим категоріям населення знижки на газ. Крім того, компанії, які постачають газ, надають знижки на вимогу держави. Проте, компанія зазнає проблем у своїй газотранспортній системі через застарілі газопроводи та споруди, що призводить до аварій. Також варто відзначити, що компанія була пов'язана з корупційними скандалами, що негативно впливає на довіру споживачів та інвесторів.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Отже, серед факторів мікросередовища, які є можливостями для компанії, можна відзначити невелику кількість конкурентів на ринку та зайняття більшої частки ринку. Однак серед загроз можна виділити появу конкурентів з альтернативними джерелами енергії. Порівняльний аналіз НАК «Нафтогаз </w:t>
      </w:r>
      <w:proofErr w:type="spellStart"/>
      <w:r>
        <w:rPr>
          <w:rFonts w:ascii="Times New Roman" w:eastAsia="Times New Roman" w:hAnsi="Times New Roman" w:cs="Times New Roman"/>
          <w:sz w:val="28"/>
          <w:szCs w:val="28"/>
          <w:highlight w:val="white"/>
        </w:rPr>
        <w:t>України»з</w:t>
      </w:r>
      <w:proofErr w:type="spellEnd"/>
      <w:r>
        <w:rPr>
          <w:rFonts w:ascii="Times New Roman" w:eastAsia="Times New Roman" w:hAnsi="Times New Roman" w:cs="Times New Roman"/>
          <w:sz w:val="28"/>
          <w:szCs w:val="28"/>
          <w:highlight w:val="white"/>
        </w:rPr>
        <w:t xml:space="preserve"> конкурентами наведений у таблиці 1.4. </w:t>
      </w:r>
    </w:p>
    <w:p w:rsidR="00BA76DF" w:rsidRDefault="00BA76DF">
      <w:pPr>
        <w:tabs>
          <w:tab w:val="center" w:pos="4530"/>
        </w:tabs>
        <w:spacing w:line="360" w:lineRule="auto"/>
        <w:ind w:right="-6" w:firstLine="720"/>
        <w:jc w:val="both"/>
        <w:rPr>
          <w:rFonts w:ascii="Times New Roman" w:eastAsia="Times New Roman" w:hAnsi="Times New Roman" w:cs="Times New Roman"/>
          <w:sz w:val="28"/>
          <w:szCs w:val="28"/>
          <w:highlight w:val="white"/>
        </w:rPr>
      </w:pPr>
    </w:p>
    <w:p w:rsidR="00BA76DF" w:rsidRDefault="00BA76DF">
      <w:pPr>
        <w:tabs>
          <w:tab w:val="center" w:pos="4530"/>
        </w:tabs>
        <w:spacing w:line="360" w:lineRule="auto"/>
        <w:ind w:right="-6" w:firstLine="720"/>
        <w:jc w:val="both"/>
        <w:rPr>
          <w:rFonts w:ascii="Times New Roman" w:eastAsia="Times New Roman" w:hAnsi="Times New Roman" w:cs="Times New Roman"/>
          <w:sz w:val="28"/>
          <w:szCs w:val="28"/>
          <w:highlight w:val="white"/>
        </w:rPr>
      </w:pPr>
    </w:p>
    <w:p w:rsidR="00BA76DF" w:rsidRDefault="00C33D3F">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Таблиця 1.4 – Порівняння НАК «Нафтогаз </w:t>
      </w:r>
      <w:proofErr w:type="spellStart"/>
      <w:r>
        <w:rPr>
          <w:rFonts w:ascii="Times New Roman" w:eastAsia="Times New Roman" w:hAnsi="Times New Roman" w:cs="Times New Roman"/>
          <w:sz w:val="28"/>
          <w:szCs w:val="28"/>
          <w:highlight w:val="white"/>
        </w:rPr>
        <w:t>України»з</w:t>
      </w:r>
      <w:proofErr w:type="spellEnd"/>
      <w:r>
        <w:rPr>
          <w:rFonts w:ascii="Times New Roman" w:eastAsia="Times New Roman" w:hAnsi="Times New Roman" w:cs="Times New Roman"/>
          <w:sz w:val="28"/>
          <w:szCs w:val="28"/>
          <w:highlight w:val="white"/>
        </w:rPr>
        <w:t xml:space="preserve"> конкурентами </w:t>
      </w:r>
    </w:p>
    <w:tbl>
      <w:tblPr>
        <w:tblStyle w:val="aa"/>
        <w:tblW w:w="978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05"/>
        <w:gridCol w:w="1875"/>
        <w:gridCol w:w="1350"/>
        <w:gridCol w:w="1515"/>
        <w:gridCol w:w="1605"/>
        <w:gridCol w:w="1530"/>
      </w:tblGrid>
      <w:tr w:rsidR="00BA76DF">
        <w:trPr>
          <w:trHeight w:val="480"/>
        </w:trPr>
        <w:tc>
          <w:tcPr>
            <w:tcW w:w="1905" w:type="dxa"/>
            <w:vMerge w:val="restart"/>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Показник</w:t>
            </w:r>
          </w:p>
        </w:tc>
        <w:tc>
          <w:tcPr>
            <w:tcW w:w="1875" w:type="dxa"/>
            <w:vMerge w:val="restart"/>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Одиниці вимірювання</w:t>
            </w:r>
          </w:p>
        </w:tc>
        <w:tc>
          <w:tcPr>
            <w:tcW w:w="1350" w:type="dxa"/>
            <w:vMerge w:val="restart"/>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НАК «Нафтогаз України»</w:t>
            </w:r>
          </w:p>
        </w:tc>
        <w:tc>
          <w:tcPr>
            <w:tcW w:w="4650" w:type="dxa"/>
            <w:gridSpan w:val="3"/>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Значення показника</w:t>
            </w:r>
          </w:p>
        </w:tc>
      </w:tr>
      <w:tr w:rsidR="00BA76DF">
        <w:trPr>
          <w:trHeight w:val="483"/>
        </w:trPr>
        <w:tc>
          <w:tcPr>
            <w:tcW w:w="1905" w:type="dxa"/>
            <w:vMerge/>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p>
        </w:tc>
        <w:tc>
          <w:tcPr>
            <w:tcW w:w="1875" w:type="dxa"/>
            <w:vMerge/>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p>
        </w:tc>
        <w:tc>
          <w:tcPr>
            <w:tcW w:w="1350" w:type="dxa"/>
            <w:vMerge/>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p>
        </w:tc>
        <w:tc>
          <w:tcPr>
            <w:tcW w:w="1515" w:type="dxa"/>
            <w:vMerge w:val="restart"/>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ТОВ «</w:t>
            </w:r>
            <w:proofErr w:type="spellStart"/>
            <w:r>
              <w:rPr>
                <w:rFonts w:ascii="Times New Roman" w:eastAsia="Times New Roman" w:hAnsi="Times New Roman" w:cs="Times New Roman"/>
                <w:sz w:val="24"/>
                <w:szCs w:val="24"/>
                <w:highlight w:val="white"/>
              </w:rPr>
              <w:t>Скела</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Терціум</w:t>
            </w:r>
            <w:proofErr w:type="spellEnd"/>
            <w:r>
              <w:rPr>
                <w:rFonts w:ascii="Times New Roman" w:eastAsia="Times New Roman" w:hAnsi="Times New Roman" w:cs="Times New Roman"/>
                <w:sz w:val="24"/>
                <w:szCs w:val="24"/>
                <w:highlight w:val="white"/>
              </w:rPr>
              <w:t>»</w:t>
            </w:r>
          </w:p>
        </w:tc>
        <w:tc>
          <w:tcPr>
            <w:tcW w:w="1605" w:type="dxa"/>
            <w:vMerge w:val="restart"/>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ТОВ «Мета Україна»</w:t>
            </w:r>
          </w:p>
        </w:tc>
        <w:tc>
          <w:tcPr>
            <w:tcW w:w="1530" w:type="dxa"/>
            <w:vMerge w:val="restart"/>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ТОВ «Еру </w:t>
            </w:r>
            <w:proofErr w:type="spellStart"/>
            <w:r>
              <w:rPr>
                <w:rFonts w:ascii="Times New Roman" w:eastAsia="Times New Roman" w:hAnsi="Times New Roman" w:cs="Times New Roman"/>
                <w:sz w:val="24"/>
                <w:szCs w:val="24"/>
                <w:highlight w:val="white"/>
              </w:rPr>
              <w:t>Трейдінг</w:t>
            </w:r>
            <w:proofErr w:type="spellEnd"/>
            <w:r>
              <w:rPr>
                <w:rFonts w:ascii="Times New Roman" w:eastAsia="Times New Roman" w:hAnsi="Times New Roman" w:cs="Times New Roman"/>
                <w:sz w:val="24"/>
                <w:szCs w:val="24"/>
                <w:highlight w:val="white"/>
              </w:rPr>
              <w:t>»</w:t>
            </w:r>
          </w:p>
        </w:tc>
      </w:tr>
      <w:tr w:rsidR="00BA76DF">
        <w:trPr>
          <w:trHeight w:val="483"/>
        </w:trPr>
        <w:tc>
          <w:tcPr>
            <w:tcW w:w="1905" w:type="dxa"/>
            <w:vMerge/>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p>
        </w:tc>
        <w:tc>
          <w:tcPr>
            <w:tcW w:w="1875" w:type="dxa"/>
            <w:vMerge/>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p>
        </w:tc>
        <w:tc>
          <w:tcPr>
            <w:tcW w:w="1350" w:type="dxa"/>
            <w:vMerge/>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p>
        </w:tc>
        <w:tc>
          <w:tcPr>
            <w:tcW w:w="1515" w:type="dxa"/>
            <w:vMerge/>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p>
        </w:tc>
        <w:tc>
          <w:tcPr>
            <w:tcW w:w="1605" w:type="dxa"/>
            <w:vMerge/>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p>
        </w:tc>
        <w:tc>
          <w:tcPr>
            <w:tcW w:w="1530" w:type="dxa"/>
            <w:vMerge/>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360" w:lineRule="auto"/>
              <w:jc w:val="both"/>
              <w:rPr>
                <w:rFonts w:ascii="Times New Roman" w:eastAsia="Times New Roman" w:hAnsi="Times New Roman" w:cs="Times New Roman"/>
                <w:sz w:val="28"/>
                <w:szCs w:val="28"/>
                <w:highlight w:val="white"/>
              </w:rPr>
            </w:pPr>
          </w:p>
        </w:tc>
      </w:tr>
      <w:tr w:rsidR="00BA76DF">
        <w:tc>
          <w:tcPr>
            <w:tcW w:w="190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Частка ринку</w:t>
            </w:r>
          </w:p>
        </w:tc>
        <w:tc>
          <w:tcPr>
            <w:tcW w:w="1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відсотки</w:t>
            </w:r>
          </w:p>
        </w:tc>
        <w:tc>
          <w:tcPr>
            <w:tcW w:w="135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73</w:t>
            </w:r>
          </w:p>
        </w:tc>
        <w:tc>
          <w:tcPr>
            <w:tcW w:w="151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c>
          <w:tcPr>
            <w:tcW w:w="160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153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r>
      <w:tr w:rsidR="00BA76DF">
        <w:tc>
          <w:tcPr>
            <w:tcW w:w="190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Ціна</w:t>
            </w:r>
          </w:p>
        </w:tc>
        <w:tc>
          <w:tcPr>
            <w:tcW w:w="1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грн</w:t>
            </w:r>
          </w:p>
        </w:tc>
        <w:tc>
          <w:tcPr>
            <w:tcW w:w="1350" w:type="dxa"/>
            <w:shd w:val="clear" w:color="auto" w:fill="auto"/>
            <w:tcMar>
              <w:top w:w="100" w:type="dxa"/>
              <w:left w:w="100" w:type="dxa"/>
              <w:bottom w:w="100" w:type="dxa"/>
              <w:right w:w="100" w:type="dxa"/>
            </w:tcMar>
          </w:tcPr>
          <w:p w:rsidR="00BA76DF" w:rsidRDefault="00C33D3F">
            <w:pPr>
              <w:tabs>
                <w:tab w:val="left" w:pos="8490"/>
              </w:tabs>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7,96</w:t>
            </w:r>
          </w:p>
        </w:tc>
        <w:tc>
          <w:tcPr>
            <w:tcW w:w="1515" w:type="dxa"/>
            <w:shd w:val="clear" w:color="auto" w:fill="auto"/>
            <w:tcMar>
              <w:top w:w="100" w:type="dxa"/>
              <w:left w:w="100" w:type="dxa"/>
              <w:bottom w:w="100" w:type="dxa"/>
              <w:right w:w="100" w:type="dxa"/>
            </w:tcMar>
          </w:tcPr>
          <w:p w:rsidR="00BA76DF" w:rsidRDefault="00C33D3F">
            <w:pPr>
              <w:tabs>
                <w:tab w:val="left" w:pos="7635"/>
              </w:tabs>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7,68</w:t>
            </w:r>
          </w:p>
        </w:tc>
        <w:tc>
          <w:tcPr>
            <w:tcW w:w="1605" w:type="dxa"/>
            <w:shd w:val="clear" w:color="auto" w:fill="auto"/>
            <w:tcMar>
              <w:top w:w="100" w:type="dxa"/>
              <w:left w:w="100" w:type="dxa"/>
              <w:bottom w:w="100" w:type="dxa"/>
              <w:right w:w="100" w:type="dxa"/>
            </w:tcMar>
          </w:tcPr>
          <w:p w:rsidR="00BA76DF" w:rsidRDefault="00C33D3F">
            <w:pPr>
              <w:tabs>
                <w:tab w:val="left" w:pos="7635"/>
              </w:tabs>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8,02</w:t>
            </w:r>
          </w:p>
        </w:tc>
        <w:tc>
          <w:tcPr>
            <w:tcW w:w="1530" w:type="dxa"/>
            <w:shd w:val="clear" w:color="auto" w:fill="auto"/>
            <w:tcMar>
              <w:top w:w="100" w:type="dxa"/>
              <w:left w:w="100" w:type="dxa"/>
              <w:bottom w:w="100" w:type="dxa"/>
              <w:right w:w="100" w:type="dxa"/>
            </w:tcMar>
          </w:tcPr>
          <w:p w:rsidR="00BA76DF" w:rsidRDefault="00C33D3F">
            <w:pPr>
              <w:tabs>
                <w:tab w:val="left" w:pos="7635"/>
              </w:tabs>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7,99 </w:t>
            </w:r>
          </w:p>
        </w:tc>
      </w:tr>
      <w:tr w:rsidR="00BA76DF">
        <w:tc>
          <w:tcPr>
            <w:tcW w:w="190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Фінансові ресурси</w:t>
            </w:r>
          </w:p>
        </w:tc>
        <w:tc>
          <w:tcPr>
            <w:tcW w:w="1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грн</w:t>
            </w:r>
          </w:p>
        </w:tc>
        <w:tc>
          <w:tcPr>
            <w:tcW w:w="135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190,797 мільярда</w:t>
            </w:r>
          </w:p>
        </w:tc>
        <w:tc>
          <w:tcPr>
            <w:tcW w:w="151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44 тисячі</w:t>
            </w:r>
          </w:p>
        </w:tc>
        <w:tc>
          <w:tcPr>
            <w:tcW w:w="160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 тисяча</w:t>
            </w:r>
          </w:p>
        </w:tc>
        <w:tc>
          <w:tcPr>
            <w:tcW w:w="153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 тисяч</w:t>
            </w:r>
          </w:p>
        </w:tc>
      </w:tr>
      <w:tr w:rsidR="00BA76DF">
        <w:tc>
          <w:tcPr>
            <w:tcW w:w="19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Лояльність</w:t>
            </w:r>
          </w:p>
        </w:tc>
        <w:tc>
          <w:tcPr>
            <w:tcW w:w="187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відносне значення</w:t>
            </w:r>
          </w:p>
        </w:tc>
        <w:tc>
          <w:tcPr>
            <w:tcW w:w="135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c>
          <w:tcPr>
            <w:tcW w:w="151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c>
          <w:tcPr>
            <w:tcW w:w="16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c>
          <w:tcPr>
            <w:tcW w:w="153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r>
      <w:tr w:rsidR="00BA76DF">
        <w:tc>
          <w:tcPr>
            <w:tcW w:w="19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Впізнаваність</w:t>
            </w:r>
            <w:proofErr w:type="spellEnd"/>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lastRenderedPageBreak/>
              <w:t>бренду</w:t>
            </w:r>
          </w:p>
        </w:tc>
        <w:tc>
          <w:tcPr>
            <w:tcW w:w="187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відносне </w:t>
            </w:r>
            <w:r>
              <w:rPr>
                <w:rFonts w:ascii="Times New Roman" w:eastAsia="Times New Roman" w:hAnsi="Times New Roman" w:cs="Times New Roman"/>
                <w:sz w:val="24"/>
                <w:szCs w:val="24"/>
                <w:highlight w:val="white"/>
              </w:rPr>
              <w:lastRenderedPageBreak/>
              <w:t>значення</w:t>
            </w:r>
          </w:p>
        </w:tc>
        <w:tc>
          <w:tcPr>
            <w:tcW w:w="135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9</w:t>
            </w:r>
          </w:p>
        </w:tc>
        <w:tc>
          <w:tcPr>
            <w:tcW w:w="151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c>
          <w:tcPr>
            <w:tcW w:w="16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c>
          <w:tcPr>
            <w:tcW w:w="153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r>
      <w:tr w:rsidR="00BA76DF">
        <w:tc>
          <w:tcPr>
            <w:tcW w:w="19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Асортимент</w:t>
            </w:r>
          </w:p>
        </w:tc>
        <w:tc>
          <w:tcPr>
            <w:tcW w:w="187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к-сть газових продуктів</w:t>
            </w:r>
          </w:p>
        </w:tc>
        <w:tc>
          <w:tcPr>
            <w:tcW w:w="135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c>
          <w:tcPr>
            <w:tcW w:w="151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160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153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r>
    </w:tbl>
    <w:p w:rsidR="00BA76DF" w:rsidRDefault="00C33D3F">
      <w:pPr>
        <w:spacing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 таблиці можемо бачити, що НАК «Нафтогаз України» має перевагу у багатьох показниках порівняно з конкурентами. Найбільш значущою перевагою є його частка ринку, яка становить 73%, що є значно вище, ніж у конкурентів. Також, НАК «Нафтогаз України» має найвищий рівень лояльності та </w:t>
      </w:r>
      <w:proofErr w:type="spellStart"/>
      <w:r>
        <w:rPr>
          <w:rFonts w:ascii="Times New Roman" w:eastAsia="Times New Roman" w:hAnsi="Times New Roman" w:cs="Times New Roman"/>
          <w:sz w:val="28"/>
          <w:szCs w:val="28"/>
          <w:highlight w:val="white"/>
        </w:rPr>
        <w:t>впізнаваність</w:t>
      </w:r>
      <w:proofErr w:type="spellEnd"/>
      <w:r>
        <w:rPr>
          <w:rFonts w:ascii="Times New Roman" w:eastAsia="Times New Roman" w:hAnsi="Times New Roman" w:cs="Times New Roman"/>
          <w:sz w:val="28"/>
          <w:szCs w:val="28"/>
          <w:highlight w:val="white"/>
        </w:rPr>
        <w:t xml:space="preserve"> бренду серед споживачів. Однак, є деякі слабкі сторони. Наприклад, цінова політика НАК «Нафтогаз України» може бути менш конкурентоспроможною, оскільки середні ціни на його продукцію трохи вищі, ніж у конкурентів. Також, асортимент продукції у НАК «Нафтогаз України» не набагато більший, ніж у інших компаній, що в подальшому може вплинути на його конкурентоспроможність на ринку.  Загалом, НАК «Нафтогаз України» демонструє високу конкурентоспроможність на ринку, проте варто акцентувати увагу на удосконаленні стратегії ціноутворення та розширенні асортименту продукції. У таблиці 1.5 представлені основні фактори мікросередовища, що впливають на діяльність НАК «Нафтогаз України».</w:t>
      </w:r>
    </w:p>
    <w:p w:rsidR="00BA76DF" w:rsidRDefault="00C33D3F">
      <w:pPr>
        <w:spacing w:before="240" w:after="24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Таблиця 1.5 – Таблиця факторів мікросередовища </w:t>
      </w:r>
    </w:p>
    <w:tbl>
      <w:tblPr>
        <w:tblStyle w:val="ab"/>
        <w:tblW w:w="9795" w:type="dxa"/>
        <w:tblInd w:w="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85"/>
        <w:gridCol w:w="4695"/>
        <w:gridCol w:w="2235"/>
        <w:gridCol w:w="2280"/>
      </w:tblGrid>
      <w:tr w:rsidR="00BA76DF">
        <w:tc>
          <w:tcPr>
            <w:tcW w:w="58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c>
          <w:tcPr>
            <w:tcW w:w="469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Фактор</w:t>
            </w:r>
          </w:p>
        </w:tc>
        <w:tc>
          <w:tcPr>
            <w:tcW w:w="223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Слабка сторона</w:t>
            </w:r>
          </w:p>
        </w:tc>
        <w:tc>
          <w:tcPr>
            <w:tcW w:w="228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Сильна сторона</w:t>
            </w:r>
          </w:p>
        </w:tc>
      </w:tr>
      <w:tr w:rsidR="00BA76DF">
        <w:tc>
          <w:tcPr>
            <w:tcW w:w="58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469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Ціна</w:t>
            </w:r>
          </w:p>
        </w:tc>
        <w:tc>
          <w:tcPr>
            <w:tcW w:w="2235" w:type="dxa"/>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c>
          <w:tcPr>
            <w:tcW w:w="228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r w:rsidR="00BA76DF">
        <w:tc>
          <w:tcPr>
            <w:tcW w:w="58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c>
          <w:tcPr>
            <w:tcW w:w="469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Частка ринку</w:t>
            </w:r>
          </w:p>
        </w:tc>
        <w:tc>
          <w:tcPr>
            <w:tcW w:w="2235" w:type="dxa"/>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c>
          <w:tcPr>
            <w:tcW w:w="228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r w:rsidR="00BA76DF">
        <w:tc>
          <w:tcPr>
            <w:tcW w:w="58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c>
          <w:tcPr>
            <w:tcW w:w="469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Асортимент газових продуктів</w:t>
            </w:r>
          </w:p>
        </w:tc>
        <w:tc>
          <w:tcPr>
            <w:tcW w:w="223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c>
          <w:tcPr>
            <w:tcW w:w="2280" w:type="dxa"/>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r>
      <w:tr w:rsidR="00BA76DF">
        <w:tc>
          <w:tcPr>
            <w:tcW w:w="58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c>
          <w:tcPr>
            <w:tcW w:w="469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Впізнаваність</w:t>
            </w:r>
            <w:proofErr w:type="spellEnd"/>
            <w:r>
              <w:rPr>
                <w:rFonts w:ascii="Times New Roman" w:eastAsia="Times New Roman" w:hAnsi="Times New Roman" w:cs="Times New Roman"/>
                <w:sz w:val="24"/>
                <w:szCs w:val="24"/>
                <w:highlight w:val="white"/>
              </w:rPr>
              <w:t xml:space="preserve"> бренду</w:t>
            </w:r>
          </w:p>
        </w:tc>
        <w:tc>
          <w:tcPr>
            <w:tcW w:w="2235" w:type="dxa"/>
            <w:shd w:val="clear" w:color="auto" w:fill="auto"/>
            <w:tcMar>
              <w:top w:w="100" w:type="dxa"/>
              <w:left w:w="100" w:type="dxa"/>
              <w:bottom w:w="100" w:type="dxa"/>
              <w:right w:w="100" w:type="dxa"/>
            </w:tcMar>
          </w:tcPr>
          <w:p w:rsidR="00BA76DF" w:rsidRDefault="00BA76D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
        </w:tc>
        <w:tc>
          <w:tcPr>
            <w:tcW w:w="228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r w:rsidR="00BA76DF">
        <w:tc>
          <w:tcPr>
            <w:tcW w:w="58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c>
          <w:tcPr>
            <w:tcW w:w="469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Наявність фінансових ресурсів</w:t>
            </w:r>
          </w:p>
        </w:tc>
        <w:tc>
          <w:tcPr>
            <w:tcW w:w="2235" w:type="dxa"/>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c>
          <w:tcPr>
            <w:tcW w:w="228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r w:rsidR="00BA76DF">
        <w:tc>
          <w:tcPr>
            <w:tcW w:w="58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w:t>
            </w:r>
          </w:p>
        </w:tc>
        <w:tc>
          <w:tcPr>
            <w:tcW w:w="469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Залежність від політичних рішень</w:t>
            </w:r>
          </w:p>
        </w:tc>
        <w:tc>
          <w:tcPr>
            <w:tcW w:w="223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c>
          <w:tcPr>
            <w:tcW w:w="2280" w:type="dxa"/>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r>
      <w:tr w:rsidR="00BA76DF">
        <w:tc>
          <w:tcPr>
            <w:tcW w:w="58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c>
          <w:tcPr>
            <w:tcW w:w="4695"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Наявність кваліфікованих робітників</w:t>
            </w:r>
          </w:p>
        </w:tc>
        <w:tc>
          <w:tcPr>
            <w:tcW w:w="2235" w:type="dxa"/>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c>
          <w:tcPr>
            <w:tcW w:w="228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w:t>
            </w:r>
          </w:p>
        </w:tc>
      </w:tr>
    </w:tbl>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Загалом, НАК «Нафтогаз України» демонструє високу конкурентоспроможність на ринку, проте для подальшого розвитку варто акцентувати увагу на розширенні асортименту продукції та зменшенні залежності від політичних рішень. </w:t>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p>
    <w:p w:rsidR="00BA76DF" w:rsidRDefault="00C33D3F">
      <w:pPr>
        <w:pStyle w:val="2"/>
        <w:spacing w:before="240" w:after="240" w:line="360" w:lineRule="auto"/>
        <w:ind w:firstLine="720"/>
        <w:jc w:val="left"/>
        <w:rPr>
          <w:highlight w:val="white"/>
        </w:rPr>
      </w:pPr>
      <w:bookmarkStart w:id="6" w:name="_w4idndb2px6u" w:colFirst="0" w:colLast="0"/>
      <w:bookmarkEnd w:id="6"/>
      <w:r>
        <w:rPr>
          <w:highlight w:val="white"/>
        </w:rPr>
        <w:t xml:space="preserve">1.3 Визначення </w:t>
      </w:r>
      <w:proofErr w:type="spellStart"/>
      <w:r>
        <w:rPr>
          <w:highlight w:val="white"/>
        </w:rPr>
        <w:t>маркетинговоі</w:t>
      </w:r>
      <w:proofErr w:type="spellEnd"/>
      <w:r>
        <w:rPr>
          <w:highlight w:val="white"/>
        </w:rPr>
        <w:t xml:space="preserve">̈ </w:t>
      </w:r>
      <w:proofErr w:type="spellStart"/>
      <w:r>
        <w:rPr>
          <w:highlight w:val="white"/>
        </w:rPr>
        <w:t>управлінськоі</w:t>
      </w:r>
      <w:proofErr w:type="spellEnd"/>
      <w:r>
        <w:rPr>
          <w:highlight w:val="white"/>
        </w:rPr>
        <w:t xml:space="preserve">̈ проблеми </w:t>
      </w:r>
    </w:p>
    <w:p w:rsidR="00BA76DF" w:rsidRDefault="00BA76DF"/>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Визначення маркетингової управлінської проблеми є важливим етапом у процесі розробки та реалізації маркетингових стратегій. Вона включає ідентифікацію ключових викликів, з якими стикається компанія, аналіз причин цих викликів та формулювання проблеми в чіткій і зрозумілій формі. На основі аналізу поточної ситуації було встановлено кілька ключових факторів, що впливають на лояльність клієнтів, а саме недостатня інформованість клієнтів про існуючі програми лояльності та їхні переваги, слабка персоналізація послуг і пропозицій для клієнтів, що знижує їхню зацікавленість та </w:t>
      </w:r>
      <w:proofErr w:type="spellStart"/>
      <w:r>
        <w:rPr>
          <w:rFonts w:ascii="Times New Roman" w:eastAsia="Times New Roman" w:hAnsi="Times New Roman" w:cs="Times New Roman"/>
          <w:sz w:val="28"/>
          <w:szCs w:val="28"/>
          <w:highlight w:val="white"/>
        </w:rPr>
        <w:t>залученість</w:t>
      </w:r>
      <w:proofErr w:type="spellEnd"/>
      <w:r>
        <w:rPr>
          <w:rFonts w:ascii="Times New Roman" w:eastAsia="Times New Roman" w:hAnsi="Times New Roman" w:cs="Times New Roman"/>
          <w:sz w:val="28"/>
          <w:szCs w:val="28"/>
          <w:highlight w:val="white"/>
        </w:rPr>
        <w:t>.</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 результаті аналізу внутрішнього та зовнішнього середовища НАК «Нафтогаз України» можна зробити висновок, що НАК «Нафтогаз України» має сильні фінансові ресурси та велику частку ринку, що свідчить про його високу конкурентоспроможність. Проте, слабкою стороною є недостатній асортимент газових продуктів та залежність від політичних рішень. Конкуренція на ринку висока, але НАК «Нафтогаз України» має високу лояльність споживачів та </w:t>
      </w:r>
      <w:proofErr w:type="spellStart"/>
      <w:r>
        <w:rPr>
          <w:rFonts w:ascii="Times New Roman" w:eastAsia="Times New Roman" w:hAnsi="Times New Roman" w:cs="Times New Roman"/>
          <w:sz w:val="28"/>
          <w:szCs w:val="28"/>
          <w:highlight w:val="white"/>
        </w:rPr>
        <w:t>впізнаваність</w:t>
      </w:r>
      <w:proofErr w:type="spellEnd"/>
      <w:r>
        <w:rPr>
          <w:rFonts w:ascii="Times New Roman" w:eastAsia="Times New Roman" w:hAnsi="Times New Roman" w:cs="Times New Roman"/>
          <w:sz w:val="28"/>
          <w:szCs w:val="28"/>
          <w:highlight w:val="white"/>
        </w:rPr>
        <w:t xml:space="preserve"> бренду. Проте, цінова політика та асортимент продукції можуть бути мінливими факторами.  Надалі розглянемо слабкі та сильні сторони підприємства за допомогою матриці «важливість-ефективність» для того, щоб зрозуміти не лише те, які переваги та недоліки є у компанії, а також які з них можуть бути підґрунтям для конкурентної переваги, а які, у свою чергу, суттєво знижують конкурентоспроможність. Згідно цього аналізу, можна виокремити важливість-ефективність факторів маркетингового середовища, що наведені у таблиці 1.6.</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Таблиця 1.6 - «Важливість - ефективність» факторів маркетингового середовища  </w:t>
      </w:r>
    </w:p>
    <w:tbl>
      <w:tblPr>
        <w:tblStyle w:val="ac"/>
        <w:tblW w:w="99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15"/>
        <w:gridCol w:w="4905"/>
        <w:gridCol w:w="2880"/>
      </w:tblGrid>
      <w:tr w:rsidR="00BA76DF">
        <w:trPr>
          <w:trHeight w:val="420"/>
        </w:trPr>
        <w:tc>
          <w:tcPr>
            <w:tcW w:w="2115" w:type="dxa"/>
            <w:vMerge w:val="restart"/>
            <w:shd w:val="clear" w:color="auto" w:fill="auto"/>
            <w:tcMar>
              <w:top w:w="100" w:type="dxa"/>
              <w:left w:w="100" w:type="dxa"/>
              <w:bottom w:w="100" w:type="dxa"/>
              <w:right w:w="100" w:type="dxa"/>
            </w:tcMar>
          </w:tcPr>
          <w:p w:rsidR="00BA76DF" w:rsidRDefault="00BA76DF">
            <w:pPr>
              <w:widowControl w:val="0"/>
              <w:spacing w:line="240" w:lineRule="auto"/>
              <w:jc w:val="both"/>
              <w:rPr>
                <w:rFonts w:ascii="Times New Roman" w:eastAsia="Times New Roman" w:hAnsi="Times New Roman" w:cs="Times New Roman"/>
                <w:b/>
                <w:sz w:val="24"/>
                <w:szCs w:val="24"/>
                <w:highlight w:val="white"/>
              </w:rPr>
            </w:pPr>
          </w:p>
          <w:p w:rsidR="00BA76DF" w:rsidRDefault="00C33D3F">
            <w:pPr>
              <w:widowControl w:val="0"/>
              <w:spacing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Ефективність</w:t>
            </w:r>
            <w:r>
              <w:rPr>
                <w:rFonts w:ascii="Times New Roman" w:eastAsia="Times New Roman" w:hAnsi="Times New Roman" w:cs="Times New Roman"/>
                <w:b/>
                <w:sz w:val="24"/>
                <w:szCs w:val="24"/>
                <w:highlight w:val="white"/>
              </w:rPr>
              <w:t xml:space="preserve"> </w:t>
            </w:r>
          </w:p>
        </w:tc>
        <w:tc>
          <w:tcPr>
            <w:tcW w:w="7785" w:type="dxa"/>
            <w:gridSpan w:val="2"/>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sz w:val="24"/>
                <w:szCs w:val="24"/>
                <w:highlight w:val="white"/>
              </w:rPr>
              <w:t>Важливість</w:t>
            </w:r>
            <w:r>
              <w:rPr>
                <w:rFonts w:ascii="Times New Roman" w:eastAsia="Times New Roman" w:hAnsi="Times New Roman" w:cs="Times New Roman"/>
                <w:b/>
                <w:sz w:val="24"/>
                <w:szCs w:val="24"/>
                <w:highlight w:val="white"/>
              </w:rPr>
              <w:t xml:space="preserve"> </w:t>
            </w:r>
          </w:p>
        </w:tc>
      </w:tr>
      <w:tr w:rsidR="00BA76DF">
        <w:trPr>
          <w:trHeight w:val="420"/>
        </w:trPr>
        <w:tc>
          <w:tcPr>
            <w:tcW w:w="2115" w:type="dxa"/>
            <w:vMerge/>
            <w:shd w:val="clear" w:color="auto" w:fill="auto"/>
            <w:tcMar>
              <w:top w:w="100" w:type="dxa"/>
              <w:left w:w="100" w:type="dxa"/>
              <w:bottom w:w="100" w:type="dxa"/>
              <w:right w:w="100" w:type="dxa"/>
            </w:tcMar>
          </w:tcPr>
          <w:p w:rsidR="00BA76DF" w:rsidRDefault="00BA76DF">
            <w:pPr>
              <w:widowControl w:val="0"/>
              <w:spacing w:line="360" w:lineRule="auto"/>
              <w:jc w:val="both"/>
              <w:rPr>
                <w:rFonts w:ascii="Times New Roman" w:eastAsia="Times New Roman" w:hAnsi="Times New Roman" w:cs="Times New Roman"/>
                <w:sz w:val="28"/>
                <w:szCs w:val="28"/>
                <w:highlight w:val="white"/>
              </w:rPr>
            </w:pPr>
          </w:p>
        </w:tc>
        <w:tc>
          <w:tcPr>
            <w:tcW w:w="490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Висока </w:t>
            </w:r>
          </w:p>
        </w:tc>
        <w:tc>
          <w:tcPr>
            <w:tcW w:w="28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Низька </w:t>
            </w:r>
          </w:p>
        </w:tc>
      </w:tr>
      <w:tr w:rsidR="00BA76DF">
        <w:trPr>
          <w:trHeight w:val="440"/>
        </w:trPr>
        <w:tc>
          <w:tcPr>
            <w:tcW w:w="211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Висока </w:t>
            </w:r>
          </w:p>
        </w:tc>
        <w:tc>
          <w:tcPr>
            <w:tcW w:w="4905" w:type="dxa"/>
            <w:vMerge w:val="restart"/>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 xml:space="preserve">Сильні сторони </w:t>
            </w:r>
          </w:p>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Глибокий асортимент продукції;</w:t>
            </w:r>
          </w:p>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Хороша цінова політика;</w:t>
            </w:r>
          </w:p>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Потужні фінансові ресурси;</w:t>
            </w:r>
          </w:p>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Кваліфікований персонал;</w:t>
            </w:r>
          </w:p>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Великий досвід роботи на ринку;</w:t>
            </w:r>
          </w:p>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Сертифікація продукції та </w:t>
            </w:r>
            <w:proofErr w:type="spellStart"/>
            <w:r>
              <w:rPr>
                <w:rFonts w:ascii="Times New Roman" w:eastAsia="Times New Roman" w:hAnsi="Times New Roman" w:cs="Times New Roman"/>
                <w:sz w:val="24"/>
                <w:szCs w:val="24"/>
                <w:highlight w:val="white"/>
              </w:rPr>
              <w:t>ліцензійність</w:t>
            </w:r>
            <w:proofErr w:type="spellEnd"/>
            <w:r>
              <w:rPr>
                <w:rFonts w:ascii="Times New Roman" w:eastAsia="Times New Roman" w:hAnsi="Times New Roman" w:cs="Times New Roman"/>
                <w:sz w:val="24"/>
                <w:szCs w:val="24"/>
                <w:highlight w:val="white"/>
              </w:rPr>
              <w:t xml:space="preserve"> діяльності;</w:t>
            </w:r>
          </w:p>
          <w:p w:rsidR="00BA76DF" w:rsidRDefault="00C33D3F">
            <w:pPr>
              <w:spacing w:line="240" w:lineRule="auto"/>
              <w:jc w:val="both"/>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t>Використання інноваційних програмних засобів.</w:t>
            </w:r>
          </w:p>
        </w:tc>
        <w:tc>
          <w:tcPr>
            <w:tcW w:w="288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Великий досвід роботи на ринку.</w:t>
            </w:r>
          </w:p>
          <w:p w:rsidR="00BA76DF" w:rsidRDefault="00BA76DF">
            <w:pPr>
              <w:widowControl w:val="0"/>
              <w:spacing w:line="240" w:lineRule="auto"/>
              <w:jc w:val="both"/>
              <w:rPr>
                <w:rFonts w:ascii="Times New Roman" w:eastAsia="Times New Roman" w:hAnsi="Times New Roman" w:cs="Times New Roman"/>
                <w:sz w:val="24"/>
                <w:szCs w:val="24"/>
                <w:highlight w:val="white"/>
              </w:rPr>
            </w:pPr>
          </w:p>
        </w:tc>
      </w:tr>
      <w:tr w:rsidR="00BA76DF">
        <w:trPr>
          <w:trHeight w:val="440"/>
        </w:trPr>
        <w:tc>
          <w:tcPr>
            <w:tcW w:w="2115" w:type="dxa"/>
            <w:shd w:val="clear" w:color="auto" w:fill="auto"/>
            <w:tcMar>
              <w:top w:w="100" w:type="dxa"/>
              <w:left w:w="100" w:type="dxa"/>
              <w:bottom w:w="100" w:type="dxa"/>
              <w:right w:w="100" w:type="dxa"/>
            </w:tcMar>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c>
          <w:tcPr>
            <w:tcW w:w="4905" w:type="dxa"/>
            <w:vMerge/>
            <w:shd w:val="clear" w:color="auto" w:fill="auto"/>
            <w:tcMar>
              <w:top w:w="100" w:type="dxa"/>
              <w:left w:w="100" w:type="dxa"/>
              <w:bottom w:w="100" w:type="dxa"/>
              <w:right w:w="100" w:type="dxa"/>
            </w:tcMar>
          </w:tcPr>
          <w:p w:rsidR="00BA76DF" w:rsidRDefault="00BA76DF">
            <w:pPr>
              <w:spacing w:line="240" w:lineRule="auto"/>
              <w:jc w:val="both"/>
              <w:rPr>
                <w:rFonts w:ascii="Times New Roman" w:eastAsia="Times New Roman" w:hAnsi="Times New Roman" w:cs="Times New Roman"/>
                <w:i/>
                <w:sz w:val="24"/>
                <w:szCs w:val="24"/>
                <w:highlight w:val="white"/>
              </w:rPr>
            </w:pPr>
          </w:p>
        </w:tc>
        <w:tc>
          <w:tcPr>
            <w:tcW w:w="2880" w:type="dxa"/>
            <w:shd w:val="clear" w:color="auto" w:fill="auto"/>
            <w:tcMar>
              <w:top w:w="100" w:type="dxa"/>
              <w:left w:w="100" w:type="dxa"/>
              <w:bottom w:w="100" w:type="dxa"/>
              <w:right w:w="100" w:type="dxa"/>
            </w:tcMar>
          </w:tcPr>
          <w:p w:rsidR="00BA76DF" w:rsidRDefault="00BA76DF">
            <w:pPr>
              <w:widowControl w:val="0"/>
              <w:spacing w:line="240" w:lineRule="auto"/>
              <w:jc w:val="both"/>
              <w:rPr>
                <w:rFonts w:ascii="Times New Roman" w:eastAsia="Times New Roman" w:hAnsi="Times New Roman" w:cs="Times New Roman"/>
                <w:sz w:val="24"/>
                <w:szCs w:val="24"/>
                <w:highlight w:val="white"/>
              </w:rPr>
            </w:pPr>
          </w:p>
        </w:tc>
      </w:tr>
      <w:tr w:rsidR="00BA76DF">
        <w:tc>
          <w:tcPr>
            <w:tcW w:w="2115" w:type="dxa"/>
            <w:shd w:val="clear" w:color="auto" w:fill="auto"/>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Низька</w:t>
            </w:r>
          </w:p>
        </w:tc>
        <w:tc>
          <w:tcPr>
            <w:tcW w:w="4905" w:type="dxa"/>
          </w:tcPr>
          <w:p w:rsidR="00BA76DF" w:rsidRDefault="00C33D3F">
            <w:pPr>
              <w:spacing w:line="240" w:lineRule="auto"/>
              <w:jc w:val="both"/>
              <w:rPr>
                <w:rFonts w:ascii="Times New Roman" w:eastAsia="Times New Roman" w:hAnsi="Times New Roman" w:cs="Times New Roman"/>
                <w:i/>
                <w:sz w:val="24"/>
                <w:szCs w:val="24"/>
                <w:highlight w:val="white"/>
              </w:rPr>
            </w:pPr>
            <w:r>
              <w:rPr>
                <w:rFonts w:ascii="Times New Roman" w:eastAsia="Times New Roman" w:hAnsi="Times New Roman" w:cs="Times New Roman"/>
                <w:i/>
                <w:sz w:val="24"/>
                <w:szCs w:val="24"/>
                <w:highlight w:val="white"/>
              </w:rPr>
              <w:t xml:space="preserve">Слабкі сторони </w:t>
            </w:r>
          </w:p>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Залежність від імпорту продукції;</w:t>
            </w:r>
          </w:p>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Залежність від економічної ситуація в країні.</w:t>
            </w:r>
          </w:p>
        </w:tc>
        <w:tc>
          <w:tcPr>
            <w:tcW w:w="288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Залежність від політичної ситуації в країні.</w:t>
            </w:r>
          </w:p>
        </w:tc>
      </w:tr>
    </w:tbl>
    <w:p w:rsidR="00BA76DF" w:rsidRDefault="00C33D3F">
      <w:pPr>
        <w:shd w:val="clear" w:color="auto" w:fill="FFFFFF"/>
        <w:spacing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hd w:val="clear" w:color="auto" w:fill="FFFFFF"/>
        <w:spacing w:line="360" w:lineRule="auto"/>
        <w:ind w:firstLine="720"/>
        <w:jc w:val="both"/>
        <w:rPr>
          <w:rFonts w:ascii="Times New Roman" w:eastAsia="Times New Roman" w:hAnsi="Times New Roman" w:cs="Times New Roman"/>
          <w:sz w:val="28"/>
          <w:szCs w:val="28"/>
          <w:highlight w:val="white"/>
        </w:rPr>
      </w:pPr>
    </w:p>
    <w:p w:rsidR="00BA76DF" w:rsidRDefault="00C33D3F">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основі аналізу сильних і слабких сторін компанії, ми можемо більш детально розглянути кожен з аспектів, що впливають на її діяльність.</w:t>
      </w:r>
    </w:p>
    <w:p w:rsidR="00BA76DF" w:rsidRDefault="00C33D3F">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Сильні сторони:</w:t>
      </w:r>
    </w:p>
    <w:p w:rsidR="00BA76DF" w:rsidRDefault="00C33D3F">
      <w:pPr>
        <w:numPr>
          <w:ilvl w:val="0"/>
          <w:numId w:val="4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Глибокий асортимент продукції. НАК «Нафтогаз України» пропонує широкий спектр продуктів і послуг, що дозволяє задовольнити різноманітні потреби клієнтів. Це включає постачання природного газу, його транспортування, зберігання та інші послуги, що сприяють підвищенню конкурентоспроможності компанії на ринку;</w:t>
      </w:r>
    </w:p>
    <w:p w:rsidR="00BA76DF" w:rsidRDefault="00C33D3F">
      <w:pPr>
        <w:numPr>
          <w:ilvl w:val="0"/>
          <w:numId w:val="4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Хороша цінова політика. Компанія здатна підтримувати конкурентоспроможні ціни на свої продукти завдяки ефективному управлінню витратами та оптимізації виробничих процесів. Це дозволяє залучати нових клієнтів та утримувати існуючих, що сприяє зростанню ринкової частки;</w:t>
      </w:r>
    </w:p>
    <w:p w:rsidR="00BA76DF" w:rsidRDefault="00C33D3F">
      <w:pPr>
        <w:numPr>
          <w:ilvl w:val="0"/>
          <w:numId w:val="4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Потужні фінансові ресурси. Завдяки значним фінансовим ресурсам, компанія може інвестувати в розвиток інфраструктури, модернізацію обладнання та </w:t>
      </w:r>
      <w:r>
        <w:rPr>
          <w:rFonts w:ascii="Times New Roman" w:eastAsia="Times New Roman" w:hAnsi="Times New Roman" w:cs="Times New Roman"/>
          <w:sz w:val="28"/>
          <w:szCs w:val="28"/>
          <w:highlight w:val="white"/>
        </w:rPr>
        <w:lastRenderedPageBreak/>
        <w:t>впровадження нових технологій. Це забезпечує стабільність та надійність її діяльності;</w:t>
      </w:r>
    </w:p>
    <w:p w:rsidR="00BA76DF" w:rsidRDefault="00C33D3F">
      <w:pPr>
        <w:numPr>
          <w:ilvl w:val="0"/>
          <w:numId w:val="4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Кваліфікований персонал. Висококваліфіковані фахівці є основою успіху компанії. Постійне підвищення кваліфікації працівників і розвиток їх професійних навичок сприяють підвищенню якості обслуговування клієнтів і ефективності внутрішніх процесів;</w:t>
      </w:r>
    </w:p>
    <w:p w:rsidR="00BA76DF" w:rsidRDefault="00C33D3F">
      <w:pPr>
        <w:numPr>
          <w:ilvl w:val="0"/>
          <w:numId w:val="4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Сертифікація продукції та </w:t>
      </w:r>
      <w:proofErr w:type="spellStart"/>
      <w:r>
        <w:rPr>
          <w:rFonts w:ascii="Times New Roman" w:eastAsia="Times New Roman" w:hAnsi="Times New Roman" w:cs="Times New Roman"/>
          <w:sz w:val="28"/>
          <w:szCs w:val="28"/>
          <w:highlight w:val="white"/>
        </w:rPr>
        <w:t>ліцензійність</w:t>
      </w:r>
      <w:proofErr w:type="spellEnd"/>
      <w:r>
        <w:rPr>
          <w:rFonts w:ascii="Times New Roman" w:eastAsia="Times New Roman" w:hAnsi="Times New Roman" w:cs="Times New Roman"/>
          <w:sz w:val="28"/>
          <w:szCs w:val="28"/>
          <w:highlight w:val="white"/>
        </w:rPr>
        <w:t xml:space="preserve"> діяльності. Відповідність високим стандартам якості та наявність всіх необхідних ліцензій гарантують надійність і безпеку продукції компанії. Це підвищує довіру клієнтів і партнерів;</w:t>
      </w:r>
    </w:p>
    <w:p w:rsidR="00BA76DF" w:rsidRDefault="00C33D3F">
      <w:pPr>
        <w:numPr>
          <w:ilvl w:val="0"/>
          <w:numId w:val="4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Використання інноваційних програмних засобів. Сучасні програмні рішення допомагають оптимізувати управлінські процеси, підвищити ефективність виробництва та знизити витрати. Впровадження цифрових технологій також сприяє покращенню взаємодії з клієнтами;</w:t>
      </w:r>
    </w:p>
    <w:p w:rsidR="00BA76DF" w:rsidRDefault="00C33D3F">
      <w:pPr>
        <w:numPr>
          <w:ilvl w:val="0"/>
          <w:numId w:val="46"/>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Великий досвід роботи на ринку. Багаторічний досвід роботи дозволяє компанії глибше розуміти потреби ринку та ефективно реагувати на його зміни. Це забезпечує стабільність та надійність діяльності.</w:t>
      </w:r>
    </w:p>
    <w:p w:rsidR="00BA76DF" w:rsidRDefault="00C33D3F">
      <w:p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Слабкі сторони:</w:t>
      </w:r>
    </w:p>
    <w:p w:rsidR="00BA76DF" w:rsidRDefault="00C33D3F">
      <w:pPr>
        <w:numPr>
          <w:ilvl w:val="0"/>
          <w:numId w:val="52"/>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Залежність від імпорту продукції. Значна частина обладнання та матеріалів, необхідних для діяльності компанії, імпортується з-за кордону. Це може призводити до зростання витрат та ускладнень у разі змін митного або валютного регулювання;</w:t>
      </w:r>
    </w:p>
    <w:p w:rsidR="00BA76DF" w:rsidRDefault="00C33D3F">
      <w:pPr>
        <w:numPr>
          <w:ilvl w:val="0"/>
          <w:numId w:val="52"/>
        </w:numPr>
        <w:shd w:val="clear" w:color="auto" w:fill="FFFFFF"/>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Нестабільна економічна ситуація та політичні ризики в країні можуть негативно впливати на діяльність компанії. Це включає коливання цін на енергоносії, зміни у законодавстві та інші фактори, що можуть призводити до непередбачуваних витрат та ризиків.</w:t>
      </w:r>
    </w:p>
    <w:p w:rsidR="00BA76DF" w:rsidRDefault="00C33D3F">
      <w:pPr>
        <w:shd w:val="clear" w:color="auto" w:fill="FFFFFF"/>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основі вищезазначених сильних і слабких сторін компанії, ми можемо сформувати SWOT-аналіз, який допоможе краще зрозуміти внутрішнє та зовнішнє середовище НАК «Нафтогаз України», який наведений у таблиці 1.7.</w:t>
      </w:r>
    </w:p>
    <w:p w:rsidR="00BA76DF" w:rsidRDefault="00BA76DF">
      <w:pPr>
        <w:shd w:val="clear" w:color="auto" w:fill="FFFFFF"/>
        <w:spacing w:line="360" w:lineRule="auto"/>
        <w:jc w:val="both"/>
        <w:rPr>
          <w:rFonts w:ascii="Times New Roman" w:eastAsia="Times New Roman" w:hAnsi="Times New Roman" w:cs="Times New Roman"/>
          <w:sz w:val="28"/>
          <w:szCs w:val="28"/>
          <w:highlight w:val="white"/>
        </w:rPr>
      </w:pPr>
    </w:p>
    <w:p w:rsidR="00BA76DF" w:rsidRDefault="00C33D3F">
      <w:pPr>
        <w:shd w:val="clear" w:color="auto" w:fill="FFFFFF"/>
        <w:spacing w:line="360" w:lineRule="auto"/>
        <w:ind w:firstLine="70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Таблиця 1.7 – SWOT аналіз</w:t>
      </w:r>
    </w:p>
    <w:tbl>
      <w:tblPr>
        <w:tblStyle w:val="ad"/>
        <w:tblW w:w="9735" w:type="dxa"/>
        <w:tblInd w:w="30" w:type="dxa"/>
        <w:tblBorders>
          <w:top w:val="nil"/>
          <w:left w:val="nil"/>
          <w:bottom w:val="nil"/>
          <w:right w:val="nil"/>
          <w:insideH w:val="nil"/>
          <w:insideV w:val="nil"/>
        </w:tblBorders>
        <w:tblLayout w:type="fixed"/>
        <w:tblLook w:val="0600" w:firstRow="0" w:lastRow="0" w:firstColumn="0" w:lastColumn="0" w:noHBand="1" w:noVBand="1"/>
      </w:tblPr>
      <w:tblGrid>
        <w:gridCol w:w="5520"/>
        <w:gridCol w:w="4215"/>
      </w:tblGrid>
      <w:tr w:rsidR="00BA76DF">
        <w:trPr>
          <w:trHeight w:val="2565"/>
        </w:trPr>
        <w:tc>
          <w:tcPr>
            <w:tcW w:w="552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Сильні сторони:</w:t>
            </w:r>
          </w:p>
          <w:p w:rsidR="00BA76DF" w:rsidRDefault="00C33D3F">
            <w:pPr>
              <w:numPr>
                <w:ilvl w:val="0"/>
                <w:numId w:val="29"/>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Глибокий асортимент товару.</w:t>
            </w:r>
          </w:p>
          <w:p w:rsidR="00BA76DF" w:rsidRDefault="00C33D3F">
            <w:pPr>
              <w:numPr>
                <w:ilvl w:val="0"/>
                <w:numId w:val="29"/>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Наявність кваліфікованого персоналу.</w:t>
            </w:r>
          </w:p>
          <w:p w:rsidR="00BA76DF" w:rsidRDefault="00C33D3F">
            <w:pPr>
              <w:numPr>
                <w:ilvl w:val="0"/>
                <w:numId w:val="29"/>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Розвинена інфраструктура для розподілу газу та партнерство з газорозподільними мережами.</w:t>
            </w:r>
          </w:p>
          <w:p w:rsidR="00BA76DF" w:rsidRDefault="00C33D3F">
            <w:pPr>
              <w:numPr>
                <w:ilvl w:val="0"/>
                <w:numId w:val="29"/>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Тісна співпраця з урядом (надання Нафтогазу пільг).</w:t>
            </w:r>
          </w:p>
          <w:p w:rsidR="00BA76DF" w:rsidRDefault="00C33D3F">
            <w:pPr>
              <w:numPr>
                <w:ilvl w:val="0"/>
                <w:numId w:val="29"/>
              </w:num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Сертифікація продукції, </w:t>
            </w:r>
            <w:proofErr w:type="spellStart"/>
            <w:r>
              <w:rPr>
                <w:rFonts w:ascii="Times New Roman" w:eastAsia="Times New Roman" w:hAnsi="Times New Roman" w:cs="Times New Roman"/>
                <w:sz w:val="24"/>
                <w:szCs w:val="24"/>
                <w:highlight w:val="white"/>
              </w:rPr>
              <w:t>ліцензійність</w:t>
            </w:r>
            <w:proofErr w:type="spellEnd"/>
            <w:r>
              <w:rPr>
                <w:rFonts w:ascii="Times New Roman" w:eastAsia="Times New Roman" w:hAnsi="Times New Roman" w:cs="Times New Roman"/>
                <w:sz w:val="24"/>
                <w:szCs w:val="24"/>
                <w:highlight w:val="white"/>
              </w:rPr>
              <w:t xml:space="preserve"> діяльності.</w:t>
            </w:r>
          </w:p>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Можливості:</w:t>
            </w:r>
          </w:p>
          <w:p w:rsidR="00BA76DF" w:rsidRDefault="00C33D3F">
            <w:pPr>
              <w:numPr>
                <w:ilvl w:val="0"/>
                <w:numId w:val="19"/>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 велика кількість конкурентів на ринку.</w:t>
            </w:r>
          </w:p>
          <w:p w:rsidR="00BA76DF" w:rsidRDefault="00C33D3F">
            <w:pPr>
              <w:numPr>
                <w:ilvl w:val="0"/>
                <w:numId w:val="19"/>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Велика частка ринку.</w:t>
            </w:r>
          </w:p>
          <w:p w:rsidR="00BA76DF" w:rsidRDefault="00C33D3F">
            <w:pPr>
              <w:numPr>
                <w:ilvl w:val="0"/>
                <w:numId w:val="19"/>
              </w:num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Розвиток автоматизації в Україні.</w:t>
            </w:r>
          </w:p>
        </w:tc>
        <w:tc>
          <w:tcPr>
            <w:tcW w:w="42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Слабкі сторони:</w:t>
            </w:r>
          </w:p>
          <w:p w:rsidR="00BA76DF" w:rsidRDefault="00C33D3F">
            <w:pPr>
              <w:numPr>
                <w:ilvl w:val="0"/>
                <w:numId w:val="20"/>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Висока залежність діяльності підприємств від газорозподільних мереж.</w:t>
            </w:r>
          </w:p>
          <w:p w:rsidR="00BA76DF" w:rsidRDefault="00C33D3F">
            <w:pPr>
              <w:numPr>
                <w:ilvl w:val="0"/>
                <w:numId w:val="20"/>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Залежність під політичної ситуації в країні.</w:t>
            </w:r>
          </w:p>
          <w:p w:rsidR="00BA76DF" w:rsidRDefault="00C33D3F">
            <w:pPr>
              <w:numPr>
                <w:ilvl w:val="0"/>
                <w:numId w:val="20"/>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Неоднозначна репутація у споживачів.</w:t>
            </w:r>
          </w:p>
          <w:p w:rsidR="00BA76DF" w:rsidRDefault="00BA76DF">
            <w:pPr>
              <w:spacing w:line="240" w:lineRule="auto"/>
              <w:jc w:val="both"/>
              <w:rPr>
                <w:rFonts w:ascii="Times New Roman" w:eastAsia="Times New Roman" w:hAnsi="Times New Roman" w:cs="Times New Roman"/>
                <w:sz w:val="24"/>
                <w:szCs w:val="24"/>
                <w:highlight w:val="white"/>
              </w:rPr>
            </w:pPr>
          </w:p>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Загрози:</w:t>
            </w:r>
          </w:p>
          <w:p w:rsidR="00BA76DF" w:rsidRDefault="00C33D3F">
            <w:pPr>
              <w:numPr>
                <w:ilvl w:val="0"/>
                <w:numId w:val="33"/>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Поява конкурентів, які пропонують альтернативні джерела. </w:t>
            </w:r>
          </w:p>
          <w:p w:rsidR="00BA76DF" w:rsidRDefault="00C33D3F">
            <w:pPr>
              <w:numPr>
                <w:ilvl w:val="0"/>
                <w:numId w:val="33"/>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Нестабільність в політичній та економічній сферах України. </w:t>
            </w:r>
          </w:p>
          <w:p w:rsidR="00BA76DF" w:rsidRDefault="00C33D3F">
            <w:pPr>
              <w:numPr>
                <w:ilvl w:val="0"/>
                <w:numId w:val="33"/>
              </w:num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Зростання рівня інфляції та поява нових учасників на ринку.</w:t>
            </w:r>
          </w:p>
        </w:tc>
      </w:tr>
    </w:tbl>
    <w:p w:rsidR="00BA76DF" w:rsidRDefault="00C33D3F">
      <w:pPr>
        <w:spacing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after="160" w:line="360" w:lineRule="auto"/>
        <w:jc w:val="both"/>
        <w:rPr>
          <w:rFonts w:ascii="Times New Roman" w:eastAsia="Times New Roman" w:hAnsi="Times New Roman" w:cs="Times New Roman"/>
          <w:sz w:val="28"/>
          <w:szCs w:val="28"/>
          <w:highlight w:val="white"/>
        </w:rPr>
      </w:pP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Наявність глибокого асортименту допомагає НАК «Нафтогаз України» зберегти свою позицію на ринку, навіть у разі появи конкурентів з альтернативними джерелами. Розвиток автоматизації є ключовим для зменшення залежності від газорозподільних мереж (ГРМ). Проте, для вирішення цього завдання необхідно активно впроваджувати відповідні технології.</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Велика частка ринку відкриває перед компанією широкі можливості для росту та розвитку. Для максимізації цих можливостей у компанії наявний кваліфікований персонал, який здатний впровадити необхідні зміни. Політична та економічна нестабільність може негативно вплинути на репутацію компанії серед споживачів. Це може спричинити втрату споживачів та зниження конкурентоспроможності.</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Проходячи практику на підприємстві, було виявлено, що у компанії присутній низький рівень задоволеності клієнтів, що відображається у збільшення кількості скарг та негативних відгуків про якість обслуговування. Це свідчить про потребу в покращенні сервісу та підвищенні якості послуг. Впровадження </w:t>
      </w:r>
      <w:r>
        <w:rPr>
          <w:rFonts w:ascii="Times New Roman" w:eastAsia="Times New Roman" w:hAnsi="Times New Roman" w:cs="Times New Roman"/>
          <w:sz w:val="28"/>
          <w:szCs w:val="28"/>
          <w:highlight w:val="white"/>
        </w:rPr>
        <w:lastRenderedPageBreak/>
        <w:t xml:space="preserve">мобільного застосунку може покращити доступність і якість обслуговування, що сприятиме підвищенню задоволеності клієнтів.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Окрім того, у компанії наявна недостатня реакція на ринкові тенденції, що супроводжується застарілим підходом до внесення  даних споживачами про обсяг споживання та оплату послуги з постачання,  що може спричинити в подальшому втрату ринкової частки. Мобільний застосунок може стати інструментом для швидкого реагування на зміни вимог споживачів та ринкових умов, що дозволить компанії залишатися конкурентоспроможною.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 появою конкурентів з альтернативними видами джерел та появою нових постачальників на ринку компанії важливо не тільки залучити нових споживачів, але й зберегти лояльність існуючих. Мобільний застосунок може стати ефективним інструментом для привертання нових клієнтів та утримання існуючих. Також, забезпечення доступності та інформації про компанію, її продукцію через мобільний застосунок може позитивно вплинути на сприйняття бренду споживачами та збільшити їхню лояльність.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Сутність маркетингової управлінської проблеми полягає в удосконаленні маркетингової діяльності НАК «Нафтогаз України» на ринку природного газу завдяки покращення сервісу компанії  шляхом впровадження мобільного застосунку з метою підвищення рівня лояльності. Причиною маркетингової управлінської проблеми є застарілий підхід до надання послуг клієнтам та управління їхніми даними, низький рівень </w:t>
      </w:r>
      <w:proofErr w:type="spellStart"/>
      <w:r>
        <w:rPr>
          <w:rFonts w:ascii="Times New Roman" w:eastAsia="Times New Roman" w:hAnsi="Times New Roman" w:cs="Times New Roman"/>
          <w:sz w:val="28"/>
          <w:szCs w:val="28"/>
          <w:highlight w:val="white"/>
        </w:rPr>
        <w:t>цифровізації</w:t>
      </w:r>
      <w:proofErr w:type="spellEnd"/>
      <w:r>
        <w:rPr>
          <w:rFonts w:ascii="Times New Roman" w:eastAsia="Times New Roman" w:hAnsi="Times New Roman" w:cs="Times New Roman"/>
          <w:sz w:val="28"/>
          <w:szCs w:val="28"/>
          <w:highlight w:val="white"/>
        </w:rPr>
        <w:t xml:space="preserve"> послуг компанії, що не відповідає сучасним ринковим трендам, відсутність інтегрованої стратегії для розвитку мобільних технологій та інноваційних рішень. </w:t>
      </w:r>
      <w:proofErr w:type="spellStart"/>
      <w:r>
        <w:rPr>
          <w:rFonts w:ascii="Times New Roman" w:eastAsia="Times New Roman" w:hAnsi="Times New Roman" w:cs="Times New Roman"/>
          <w:sz w:val="28"/>
          <w:szCs w:val="28"/>
          <w:highlight w:val="white"/>
        </w:rPr>
        <w:t>Цe</w:t>
      </w:r>
      <w:proofErr w:type="spellEnd"/>
      <w:r>
        <w:rPr>
          <w:rFonts w:ascii="Times New Roman" w:eastAsia="Times New Roman" w:hAnsi="Times New Roman" w:cs="Times New Roman"/>
          <w:sz w:val="28"/>
          <w:szCs w:val="28"/>
          <w:highlight w:val="white"/>
        </w:rPr>
        <w:t xml:space="preserve"> проблема, яка має серйозні наслідки для компанії:</w:t>
      </w:r>
    </w:p>
    <w:p w:rsidR="00BA76DF" w:rsidRDefault="00C33D3F">
      <w:pPr>
        <w:numPr>
          <w:ilvl w:val="0"/>
          <w:numId w:val="3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Зниження рівня лояльності клієнтів. Недостатня увага до потреб та очікувань клієнтів призводить до зниження рівня їхньої лояльності. Це означає, що споживачі не відчувають задоволення від співпраці з компанією та шукають альтернативні варіанти;</w:t>
      </w:r>
    </w:p>
    <w:p w:rsidR="00BA76DF" w:rsidRDefault="00C33D3F">
      <w:pPr>
        <w:numPr>
          <w:ilvl w:val="0"/>
          <w:numId w:val="3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Відтік клієнтів до конкурентів, оскільки незадоволені клієнти починають звертатися до інших постачальників природного газу, які пропонують </w:t>
      </w:r>
      <w:r>
        <w:rPr>
          <w:rFonts w:ascii="Times New Roman" w:eastAsia="Times New Roman" w:hAnsi="Times New Roman" w:cs="Times New Roman"/>
          <w:sz w:val="28"/>
          <w:szCs w:val="28"/>
          <w:highlight w:val="white"/>
        </w:rPr>
        <w:lastRenderedPageBreak/>
        <w:t>кращий сервіс або більш привабливі умови. Це призводить до втрати ринкової частки та зменшення бази постійних клієнтів;</w:t>
      </w:r>
    </w:p>
    <w:p w:rsidR="00BA76DF" w:rsidRDefault="00C33D3F">
      <w:pPr>
        <w:numPr>
          <w:ilvl w:val="0"/>
          <w:numId w:val="3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Втрата доходів через незадоволеність клієнтів, тому що споживачі, які не задоволені сервісом, менш схильні здійснювати повторні покупки або рекомендувати компанію іншим. Це призводить до втрати потенційних доходів та зниження прибутковості;</w:t>
      </w:r>
    </w:p>
    <w:p w:rsidR="00BA76DF" w:rsidRDefault="00C33D3F">
      <w:pPr>
        <w:numPr>
          <w:ilvl w:val="0"/>
          <w:numId w:val="3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Зниження ринкової частки компанії. У сучасному конкурентному середовищі нездатність адаптуватися до змінних умов ринку може призвести до втрати ринкової частки. Компанія, яка не реагує на нові вимоги клієнтів та не впроваджує інновації, ризикує бути витісненою більш гнучкими конкурентами.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вирішення цієї маркетингової управлінської проблеми пропонується впровадження мобільного застосунку, який забезпечить ряд переваг для споживачів та компанії. По-перше, це інформованість клієнтів, а саме мобільний застосунок буде надавати клієнтам всю необхідну інформацію про програми лояльності та їхні переваги. Завдяки зручному інтерфейсу, клієнти зможуть легко знаходити потрібну інформацію, що сприятиме підвищенню їхньої </w:t>
      </w:r>
      <w:proofErr w:type="spellStart"/>
      <w:r>
        <w:rPr>
          <w:rFonts w:ascii="Times New Roman" w:eastAsia="Times New Roman" w:hAnsi="Times New Roman" w:cs="Times New Roman"/>
          <w:sz w:val="28"/>
          <w:szCs w:val="28"/>
          <w:highlight w:val="white"/>
        </w:rPr>
        <w:t>залученості</w:t>
      </w:r>
      <w:proofErr w:type="spellEnd"/>
      <w:r>
        <w:rPr>
          <w:rFonts w:ascii="Times New Roman" w:eastAsia="Times New Roman" w:hAnsi="Times New Roman" w:cs="Times New Roman"/>
          <w:sz w:val="28"/>
          <w:szCs w:val="28"/>
          <w:highlight w:val="white"/>
        </w:rPr>
        <w:t xml:space="preserve"> та задоволеності. По-друге, зворотний зв’язок від клієнтів, оскільки застосунок </w:t>
      </w:r>
      <w:proofErr w:type="spellStart"/>
      <w:r>
        <w:rPr>
          <w:rFonts w:ascii="Times New Roman" w:eastAsia="Times New Roman" w:hAnsi="Times New Roman" w:cs="Times New Roman"/>
          <w:sz w:val="28"/>
          <w:szCs w:val="28"/>
          <w:highlight w:val="white"/>
        </w:rPr>
        <w:t>надасть</w:t>
      </w:r>
      <w:proofErr w:type="spellEnd"/>
      <w:r>
        <w:rPr>
          <w:rFonts w:ascii="Times New Roman" w:eastAsia="Times New Roman" w:hAnsi="Times New Roman" w:cs="Times New Roman"/>
          <w:sz w:val="28"/>
          <w:szCs w:val="28"/>
          <w:highlight w:val="white"/>
        </w:rPr>
        <w:t xml:space="preserve"> можливість клієнтам залишати відгуки та пропозиції щодо покращення сервісу. Це дозволить компанії </w:t>
      </w:r>
      <w:proofErr w:type="spellStart"/>
      <w:r>
        <w:rPr>
          <w:rFonts w:ascii="Times New Roman" w:eastAsia="Times New Roman" w:hAnsi="Times New Roman" w:cs="Times New Roman"/>
          <w:sz w:val="28"/>
          <w:szCs w:val="28"/>
          <w:highlight w:val="white"/>
        </w:rPr>
        <w:t>оперативно</w:t>
      </w:r>
      <w:proofErr w:type="spellEnd"/>
      <w:r>
        <w:rPr>
          <w:rFonts w:ascii="Times New Roman" w:eastAsia="Times New Roman" w:hAnsi="Times New Roman" w:cs="Times New Roman"/>
          <w:sz w:val="28"/>
          <w:szCs w:val="28"/>
          <w:highlight w:val="white"/>
        </w:rPr>
        <w:t xml:space="preserve"> реагувати на зауваження клієнтів та вдосконалювати свої послуги.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Перед впровадженням мобільного застосунку важливо провести маркетингове дослідження для оцінки його доцільності та ефективності. Це дослідження спрямоване на вивчення та аналіз можливостей впровадження мобільного застосунку для НАК «Нафтогаз України» з метою покращення її маркетингової діяльності та підвищення рівня лояльності клієнтів.  Дослідження має на меті:</w:t>
      </w:r>
    </w:p>
    <w:p w:rsidR="00BA76DF" w:rsidRDefault="00C33D3F">
      <w:pPr>
        <w:numPr>
          <w:ilvl w:val="0"/>
          <w:numId w:val="4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Оцінку попиту на мобільний застосунок. Проведення маркетингового дослідження дозволить визначити рівень зацікавленості клієнтів у використанні мобільного застосунку, а також виявити, які функції вони </w:t>
      </w:r>
      <w:r>
        <w:rPr>
          <w:rFonts w:ascii="Times New Roman" w:eastAsia="Times New Roman" w:hAnsi="Times New Roman" w:cs="Times New Roman"/>
          <w:sz w:val="28"/>
          <w:szCs w:val="28"/>
          <w:highlight w:val="white"/>
        </w:rPr>
        <w:lastRenderedPageBreak/>
        <w:t>вважають найбільш важливими. Така інформація є критично важливою для розробки застосунку, який максимально відповідатиме потребам споживачів;</w:t>
      </w:r>
    </w:p>
    <w:p w:rsidR="00BA76DF" w:rsidRDefault="00C33D3F">
      <w:pPr>
        <w:numPr>
          <w:ilvl w:val="0"/>
          <w:numId w:val="4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Визначення очікувань клієнтів. Аналіз відгуків та пропозицій клієнтів допоможе краще зрозуміти їхні потреби та очікування від мобільного застосунку. Це дозволить створити продукт, який буде не лише корисним, але й привабливим для користувачів; </w:t>
      </w:r>
    </w:p>
    <w:p w:rsidR="00BA76DF" w:rsidRDefault="00C33D3F">
      <w:pPr>
        <w:numPr>
          <w:ilvl w:val="0"/>
          <w:numId w:val="4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Оцінку конкурентного середовища. Дослідження дозволить оцінити, які аналогічні застосунки вже існують на ринку, та які функції вони пропонують. Це допоможе визначити конкурентні переваги та розробити унікальну пропозицію для клієнтів, що забезпечить конкурентоспроможність застосунку.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Впровадження мобільного застосунку повинно призвести до ряду позитивних результатів для компанії, а саме підвищення рівня лояльності клієнтів, збільшення доходів та підвищення конкурентоспроможності. Завдяки покращенню взаємодії з клієнтами через мобільний застосунок, рівень їхньої лояльності значно зросте.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Клієнти будуть більш задоволені сервісом, що зменшить їхню схильність до переходу до конкурентів. Підвищення рівня лояльності призведе до зниження відтоку клієнтів та залучення нових споживачів. Це, у свою чергу, сприятиме збільшенню доходів компанії, оскільки задоволені клієнти частіше робитимуть повторні покупки та рекомендуватимуть компанію іншим. А інноваційний підхід до обслуговування клієнтів через мобільний застосунок дозволить компанії виділитися на ринку природного газу та зміцнити свої позиції. Це створить додаткові переваги перед конкурентами та сприятиме залученню нових клієнтів.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Удосконалення маркетингової діяльності НАК «Нафтогаз України» через впровадження мобільного застосунку є стратегічно важливим кроком. Це дозволить компанії:</w:t>
      </w:r>
    </w:p>
    <w:p w:rsidR="00BA76DF" w:rsidRDefault="00C33D3F">
      <w:pPr>
        <w:numPr>
          <w:ilvl w:val="0"/>
          <w:numId w:val="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Задовольнити потреби сучасних споживачів. Сучасні клієнти очікують зручних цифрових рішень для взаємодії з постачальниками послуг. </w:t>
      </w:r>
      <w:r>
        <w:rPr>
          <w:rFonts w:ascii="Times New Roman" w:eastAsia="Times New Roman" w:hAnsi="Times New Roman" w:cs="Times New Roman"/>
          <w:sz w:val="28"/>
          <w:szCs w:val="28"/>
          <w:highlight w:val="white"/>
        </w:rPr>
        <w:lastRenderedPageBreak/>
        <w:t>Мобільний застосунок допоможе задовольнити ці очікування та забезпечити високий рівень задоволеності клієнтів;</w:t>
      </w:r>
    </w:p>
    <w:p w:rsidR="00BA76DF" w:rsidRDefault="00C33D3F">
      <w:pPr>
        <w:numPr>
          <w:ilvl w:val="0"/>
          <w:numId w:val="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Забезпечити сталий розвиток компанії. Впровадження інноваційних технологій сприятиме постійному вдосконаленню сервісу та підвищенню ефективності внутрішніх процесів. Це забезпечить стабільний розвиток компанії у довгостроковій перспективі, оскільки дозволить швидко адаптуватися до змінних умов ринку та вимог клієнтів.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Отже, впровадження мобільного застосунку для удосконалення маркетингової діяльності НАК «Нафтогаз України» є ключовим кроком для підвищення рівня лояльності клієнтів та зміцнення ринкових позицій компанії. Це дозволить не лише задовольнити потреби сучасних споживачів, але й забезпечити сталий розвиток компанії у довгостроковій перспективі.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Проведення маркетингового дослідження дозволить визначити доцільність та ефективність впровадження мобільного застосунку, що є важливим етапом у процесі реалізації цього стратегічного кроку.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Таке дослідження допоможе краще зрозуміти потреби клієнтів, оцінити конкурентне середовище та розробити продукт, який максимально відповідає очікуванням споживачів, забезпечуючи таким чином конкурентні переваги на ринку природного газу.</w:t>
      </w:r>
    </w:p>
    <w:p w:rsidR="00BA76DF" w:rsidRDefault="00C33D3F">
      <w:pPr>
        <w:pStyle w:val="2"/>
        <w:spacing w:line="360" w:lineRule="auto"/>
        <w:ind w:firstLine="720"/>
        <w:jc w:val="both"/>
        <w:rPr>
          <w:highlight w:val="white"/>
        </w:rPr>
      </w:pPr>
      <w:bookmarkStart w:id="7" w:name="_ym7i6jwhegyq" w:colFirst="0" w:colLast="0"/>
      <w:bookmarkEnd w:id="7"/>
      <w:r>
        <w:rPr>
          <w:highlight w:val="white"/>
        </w:rPr>
        <w:t xml:space="preserve">Висновки до розділу І </w:t>
      </w:r>
    </w:p>
    <w:p w:rsidR="00BA76DF" w:rsidRDefault="00BA76DF">
      <w:pPr>
        <w:spacing w:line="360" w:lineRule="auto"/>
        <w:jc w:val="both"/>
        <w:rPr>
          <w:rFonts w:ascii="Times New Roman" w:eastAsia="Times New Roman" w:hAnsi="Times New Roman" w:cs="Times New Roman"/>
          <w:sz w:val="28"/>
          <w:szCs w:val="28"/>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розділі 1 було проведено аналіз маркетингового середовища НАК «Нафтогаз України», що дозволило виявити ряд суттєвих висновків. З урахуванням факторів макросередовища, НАК «Нафтогаз України» має великий потенціал для розвитку та стабільності на ринку природного газу.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Серед сильних сторін компанії варто відзначити глибокий асортимент продукції, наявність кваліфікованого персоналу, розвинуту інфраструктуру з розподілу газу та тісну співпрацю з урядом, що надає пільги. Ці фактори створюють певні переваги для НАК «Нафтогаз України» на ринку. Однак, в умовах високої залежності від газорозподільних мереж, політичної ситуації в країні та </w:t>
      </w:r>
      <w:r>
        <w:rPr>
          <w:rFonts w:ascii="Times New Roman" w:eastAsia="Times New Roman" w:hAnsi="Times New Roman" w:cs="Times New Roman"/>
          <w:sz w:val="28"/>
          <w:szCs w:val="28"/>
          <w:highlight w:val="white"/>
        </w:rPr>
        <w:lastRenderedPageBreak/>
        <w:t>неоднозначної репутації серед споживачів, компанія має свої слабкі сторони, які потребують уваги та вдосконалення.</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 урахуванням факторів макросередовища, можна виділити деякі можливості та загрози для діяльності НАК «Нафтогаз України», такі як невелика кількість конкурентів на ринку та велика частка ринку створюють можливості для росту та розвитку компанії. Проте, поява конкурентів з альтернативними джерелами енергії, політична та економічна нестабільність в країні можуть стати загрозою для її діяльності.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цілому, розгляд сильних і слабких сторін, можливостей та загроз (SWOT-аналіз) для НАК «Нафтогаз України» є важливим кроком у розумінні її позиції на ринку та розробці стратегій подальшого розвитку. Тому, проведений аналіз дав змогу зрозуміти недоліки та переваги компанії порівняно з внутрішнім та зовнішнім середовищем.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Маркетингова управлінська проблема, що була виявлена у ході роботи, полягає в удосконаленні маркетингової діяльності НАК «Нафтогаз України» на ринку природного газу завдяки організації покращення сервісу компанії  шляхом впровадження мобільного застосунку з метою підвищення рівня лояльності. Вирішення цієї проблеми вимагатиме подальшого маркетингового дослідження та розроблення ефективної стратегії. </w:t>
      </w:r>
    </w:p>
    <w:p w:rsidR="00BA76DF" w:rsidRDefault="00C33D3F">
      <w:pPr>
        <w:pStyle w:val="1"/>
        <w:spacing w:before="240" w:after="240"/>
      </w:pPr>
      <w:bookmarkStart w:id="8" w:name="_5jb6864rdx9t" w:colFirst="0" w:colLast="0"/>
      <w:bookmarkEnd w:id="8"/>
      <w:r>
        <w:t xml:space="preserve">РОЗДІЛ 2. ПЛАНУВАННЯ МАРКЕТИНГОВОГО ДОСЛІДЖЕННЯ </w:t>
      </w:r>
    </w:p>
    <w:p w:rsidR="00BA76DF" w:rsidRDefault="00BA76DF">
      <w:pPr>
        <w:spacing w:line="360" w:lineRule="auto"/>
        <w:rPr>
          <w:rFonts w:ascii="Times New Roman" w:eastAsia="Times New Roman" w:hAnsi="Times New Roman" w:cs="Times New Roman"/>
          <w:sz w:val="28"/>
          <w:szCs w:val="28"/>
        </w:rPr>
      </w:pPr>
    </w:p>
    <w:p w:rsidR="00BA76DF" w:rsidRDefault="00C33D3F">
      <w:pPr>
        <w:spacing w:after="16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Надалі розглянемо питання, що стосуються планування та організації маркетингового дослідження для НАК «Нафтогаз України». Це дослідження спрямоване на отримання об'єктивних даних, які є основою для вдосконалення маркетингової діяльності підприємства.</w:t>
      </w:r>
      <w:r>
        <w:rPr>
          <w:rFonts w:ascii="Times New Roman" w:eastAsia="Times New Roman" w:hAnsi="Times New Roman" w:cs="Times New Roman"/>
          <w:sz w:val="28"/>
          <w:szCs w:val="28"/>
          <w:highlight w:val="white"/>
        </w:rPr>
        <w:tab/>
      </w:r>
    </w:p>
    <w:p w:rsidR="00BA76DF" w:rsidRDefault="00BA76DF">
      <w:pPr>
        <w:spacing w:after="160" w:line="360" w:lineRule="auto"/>
        <w:ind w:firstLine="720"/>
        <w:jc w:val="both"/>
        <w:rPr>
          <w:rFonts w:ascii="Times New Roman" w:eastAsia="Times New Roman" w:hAnsi="Times New Roman" w:cs="Times New Roman"/>
          <w:sz w:val="28"/>
          <w:szCs w:val="28"/>
          <w:highlight w:val="white"/>
        </w:rPr>
      </w:pPr>
    </w:p>
    <w:p w:rsidR="00BA76DF" w:rsidRDefault="00C33D3F">
      <w:pPr>
        <w:pStyle w:val="1"/>
        <w:ind w:firstLine="720"/>
        <w:jc w:val="both"/>
      </w:pPr>
      <w:bookmarkStart w:id="9" w:name="_psrfc5zdghmm" w:colFirst="0" w:colLast="0"/>
      <w:bookmarkEnd w:id="9"/>
      <w:r>
        <w:t xml:space="preserve">2.1 Методологія дослідження </w:t>
      </w:r>
    </w:p>
    <w:p w:rsidR="00BA76DF" w:rsidRDefault="00BA76DF">
      <w:pPr>
        <w:spacing w:line="360" w:lineRule="auto"/>
        <w:rPr>
          <w:rFonts w:ascii="Times New Roman" w:eastAsia="Times New Roman" w:hAnsi="Times New Roman" w:cs="Times New Roman"/>
          <w:sz w:val="28"/>
          <w:szCs w:val="28"/>
        </w:rPr>
      </w:pP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ab/>
        <w:t>Світова криза, спричинена пандемією у 2019 році, та воєнний напад Росії на Україну 24 лютого 2022 року створили надзвичайно складні умови для функціонування бізнесу. Підприємствам необхідно бути готовими до швидкого реагування на зміни потреб та поведінки споживачів для забезпечення сталого ведення своєї діяльності. Маркетингова діяльність підприємств в умовах воєнного стану країни стає надзвичайно важливою проблемою, оскільки попередня криза, викликана COVID-19, вже внесла певні зміни в роботу бізнесу та життя суспільства. Внаслідок військових дій значно скорочується комерційна активність та інтерес споживачів до покупок. У зв'язку з цим, для збереження та розвитку бізнесу, як важливої складової української економіки, виникає необхідність трансформації маркетингової діяльності підприємств в умовах кризи, розробки ефективних маркетингових рішень, які привертатимуть увагу та розширюватимуть коло потенційних споживачів, а також збільшуватимуть обсяги продажів.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Питанням розвитку маркетингової діяльності на підприємстві присвячено багато робіт як зарубіжних, так і вітчизняних вчених, таких як Ф. </w:t>
      </w:r>
      <w:proofErr w:type="spellStart"/>
      <w:r>
        <w:rPr>
          <w:rFonts w:ascii="Times New Roman" w:eastAsia="Times New Roman" w:hAnsi="Times New Roman" w:cs="Times New Roman"/>
          <w:sz w:val="28"/>
          <w:szCs w:val="28"/>
          <w:highlight w:val="white"/>
        </w:rPr>
        <w:t>Котлер</w:t>
      </w:r>
      <w:proofErr w:type="spellEnd"/>
      <w:r>
        <w:rPr>
          <w:rFonts w:ascii="Times New Roman" w:eastAsia="Times New Roman" w:hAnsi="Times New Roman" w:cs="Times New Roman"/>
          <w:sz w:val="28"/>
          <w:szCs w:val="28"/>
          <w:highlight w:val="white"/>
        </w:rPr>
        <w:t xml:space="preserve">, Р. </w:t>
      </w:r>
      <w:proofErr w:type="spellStart"/>
      <w:r>
        <w:rPr>
          <w:rFonts w:ascii="Times New Roman" w:eastAsia="Times New Roman" w:hAnsi="Times New Roman" w:cs="Times New Roman"/>
          <w:sz w:val="28"/>
          <w:szCs w:val="28"/>
          <w:highlight w:val="white"/>
        </w:rPr>
        <w:t>Ассель</w:t>
      </w:r>
      <w:proofErr w:type="spellEnd"/>
      <w:r>
        <w:rPr>
          <w:rFonts w:ascii="Times New Roman" w:eastAsia="Times New Roman" w:hAnsi="Times New Roman" w:cs="Times New Roman"/>
          <w:sz w:val="28"/>
          <w:szCs w:val="28"/>
          <w:highlight w:val="white"/>
        </w:rPr>
        <w:t xml:space="preserve">, Т. </w:t>
      </w:r>
      <w:proofErr w:type="spellStart"/>
      <w:r>
        <w:rPr>
          <w:rFonts w:ascii="Times New Roman" w:eastAsia="Times New Roman" w:hAnsi="Times New Roman" w:cs="Times New Roman"/>
          <w:sz w:val="28"/>
          <w:szCs w:val="28"/>
          <w:highlight w:val="white"/>
        </w:rPr>
        <w:t>Примак</w:t>
      </w:r>
      <w:proofErr w:type="spellEnd"/>
      <w:r>
        <w:rPr>
          <w:rFonts w:ascii="Times New Roman" w:eastAsia="Times New Roman" w:hAnsi="Times New Roman" w:cs="Times New Roman"/>
          <w:sz w:val="28"/>
          <w:szCs w:val="28"/>
          <w:highlight w:val="white"/>
        </w:rPr>
        <w:t xml:space="preserve">, Д. </w:t>
      </w:r>
      <w:proofErr w:type="spellStart"/>
      <w:r>
        <w:rPr>
          <w:rFonts w:ascii="Times New Roman" w:eastAsia="Times New Roman" w:hAnsi="Times New Roman" w:cs="Times New Roman"/>
          <w:sz w:val="28"/>
          <w:szCs w:val="28"/>
          <w:highlight w:val="white"/>
        </w:rPr>
        <w:t>Траут</w:t>
      </w:r>
      <w:proofErr w:type="spellEnd"/>
      <w:r>
        <w:rPr>
          <w:rFonts w:ascii="Times New Roman" w:eastAsia="Times New Roman" w:hAnsi="Times New Roman" w:cs="Times New Roman"/>
          <w:sz w:val="28"/>
          <w:szCs w:val="28"/>
          <w:highlight w:val="white"/>
        </w:rPr>
        <w:t xml:space="preserve">, Е. Райс, Д. </w:t>
      </w:r>
      <w:proofErr w:type="spellStart"/>
      <w:r>
        <w:rPr>
          <w:rFonts w:ascii="Times New Roman" w:eastAsia="Times New Roman" w:hAnsi="Times New Roman" w:cs="Times New Roman"/>
          <w:sz w:val="28"/>
          <w:szCs w:val="28"/>
          <w:highlight w:val="white"/>
        </w:rPr>
        <w:t>Еванс</w:t>
      </w:r>
      <w:proofErr w:type="spellEnd"/>
      <w:r>
        <w:rPr>
          <w:rFonts w:ascii="Times New Roman" w:eastAsia="Times New Roman" w:hAnsi="Times New Roman" w:cs="Times New Roman"/>
          <w:sz w:val="28"/>
          <w:szCs w:val="28"/>
          <w:highlight w:val="white"/>
        </w:rPr>
        <w:t xml:space="preserve">, Б. </w:t>
      </w:r>
      <w:proofErr w:type="spellStart"/>
      <w:r>
        <w:rPr>
          <w:rFonts w:ascii="Times New Roman" w:eastAsia="Times New Roman" w:hAnsi="Times New Roman" w:cs="Times New Roman"/>
          <w:sz w:val="28"/>
          <w:szCs w:val="28"/>
          <w:highlight w:val="white"/>
        </w:rPr>
        <w:t>Берман</w:t>
      </w:r>
      <w:proofErr w:type="spellEnd"/>
      <w:r>
        <w:rPr>
          <w:rFonts w:ascii="Times New Roman" w:eastAsia="Times New Roman" w:hAnsi="Times New Roman" w:cs="Times New Roman"/>
          <w:sz w:val="28"/>
          <w:szCs w:val="28"/>
          <w:highlight w:val="white"/>
        </w:rPr>
        <w:t xml:space="preserve">, А. О. </w:t>
      </w:r>
      <w:proofErr w:type="spellStart"/>
      <w:r>
        <w:rPr>
          <w:rFonts w:ascii="Times New Roman" w:eastAsia="Times New Roman" w:hAnsi="Times New Roman" w:cs="Times New Roman"/>
          <w:sz w:val="28"/>
          <w:szCs w:val="28"/>
          <w:highlight w:val="white"/>
        </w:rPr>
        <w:t>Старостіна</w:t>
      </w:r>
      <w:proofErr w:type="spellEnd"/>
      <w:r>
        <w:rPr>
          <w:rFonts w:ascii="Times New Roman" w:eastAsia="Times New Roman" w:hAnsi="Times New Roman" w:cs="Times New Roman"/>
          <w:sz w:val="28"/>
          <w:szCs w:val="28"/>
          <w:highlight w:val="white"/>
        </w:rPr>
        <w:t xml:space="preserve">, С. С. Гаркавенко, Л. В. </w:t>
      </w:r>
      <w:proofErr w:type="spellStart"/>
      <w:r>
        <w:rPr>
          <w:rFonts w:ascii="Times New Roman" w:eastAsia="Times New Roman" w:hAnsi="Times New Roman" w:cs="Times New Roman"/>
          <w:sz w:val="28"/>
          <w:szCs w:val="28"/>
          <w:highlight w:val="white"/>
        </w:rPr>
        <w:t>Балабанова</w:t>
      </w:r>
      <w:proofErr w:type="spellEnd"/>
      <w:r>
        <w:rPr>
          <w:rFonts w:ascii="Times New Roman" w:eastAsia="Times New Roman" w:hAnsi="Times New Roman" w:cs="Times New Roman"/>
          <w:sz w:val="28"/>
          <w:szCs w:val="28"/>
          <w:highlight w:val="white"/>
        </w:rPr>
        <w:t xml:space="preserve">, І. В. </w:t>
      </w:r>
      <w:proofErr w:type="spellStart"/>
      <w:r>
        <w:rPr>
          <w:rFonts w:ascii="Times New Roman" w:eastAsia="Times New Roman" w:hAnsi="Times New Roman" w:cs="Times New Roman"/>
          <w:sz w:val="28"/>
          <w:szCs w:val="28"/>
          <w:highlight w:val="white"/>
        </w:rPr>
        <w:t>Балабанова</w:t>
      </w:r>
      <w:proofErr w:type="spellEnd"/>
      <w:r>
        <w:rPr>
          <w:rFonts w:ascii="Times New Roman" w:eastAsia="Times New Roman" w:hAnsi="Times New Roman" w:cs="Times New Roman"/>
          <w:sz w:val="28"/>
          <w:szCs w:val="28"/>
          <w:highlight w:val="white"/>
        </w:rPr>
        <w:t xml:space="preserve">, Р. А. Муха, В. </w:t>
      </w:r>
      <w:proofErr w:type="spellStart"/>
      <w:r>
        <w:rPr>
          <w:rFonts w:ascii="Times New Roman" w:eastAsia="Times New Roman" w:hAnsi="Times New Roman" w:cs="Times New Roman"/>
          <w:sz w:val="28"/>
          <w:szCs w:val="28"/>
          <w:highlight w:val="white"/>
        </w:rPr>
        <w:t>Руделіус</w:t>
      </w:r>
      <w:proofErr w:type="spellEnd"/>
      <w:r>
        <w:rPr>
          <w:rFonts w:ascii="Times New Roman" w:eastAsia="Times New Roman" w:hAnsi="Times New Roman" w:cs="Times New Roman"/>
          <w:sz w:val="28"/>
          <w:szCs w:val="28"/>
          <w:highlight w:val="white"/>
        </w:rPr>
        <w:t xml:space="preserve">, О. </w:t>
      </w:r>
      <w:proofErr w:type="spellStart"/>
      <w:r>
        <w:rPr>
          <w:rFonts w:ascii="Times New Roman" w:eastAsia="Times New Roman" w:hAnsi="Times New Roman" w:cs="Times New Roman"/>
          <w:sz w:val="28"/>
          <w:szCs w:val="28"/>
          <w:highlight w:val="white"/>
        </w:rPr>
        <w:t>Азарян</w:t>
      </w:r>
      <w:proofErr w:type="spellEnd"/>
      <w:r>
        <w:rPr>
          <w:rFonts w:ascii="Times New Roman" w:eastAsia="Times New Roman" w:hAnsi="Times New Roman" w:cs="Times New Roman"/>
          <w:sz w:val="28"/>
          <w:szCs w:val="28"/>
          <w:highlight w:val="white"/>
        </w:rPr>
        <w:t xml:space="preserve">, О. Виноградов та інші. Однак, слід зазначити, що не існує єдиного розуміння сутності цього поняття, а також існує актуальна потреба в розвитку маркетингової діяльності підприємств в умовах воєнного стану.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Маркетингова діяльність є одним з ключових факторів, що забезпечують успішне функціонування підприємства, особливо в умовах кризових ситуацій. Вона відіграє важливу роль у підвищенні ефективності роботи підприємства та його рівня розвитку.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Водночас варто зазначити, що поняття маркетингової діяльності є предметом дискусій серед багатьох науковців. Це призводить до відсутності єдиного підходу до визначення сутності поняття «маркетингова діяльність» в умовах кризи [23]. Семантичний аналіз поняття «маркетингова діяльність підприємства» наведено у таблиці 2.1. </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spacing w:after="16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Таблиця 2.1 - Семантичний аналіз поняття «маркетингова діяльність підприємства»</w:t>
      </w:r>
    </w:p>
    <w:tbl>
      <w:tblPr>
        <w:tblStyle w:val="ae"/>
        <w:tblW w:w="9810" w:type="dxa"/>
        <w:tblInd w:w="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60"/>
        <w:gridCol w:w="5250"/>
      </w:tblGrid>
      <w:tr w:rsidR="00BA76DF">
        <w:tc>
          <w:tcPr>
            <w:tcW w:w="456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Автор визначення</w:t>
            </w:r>
          </w:p>
        </w:tc>
        <w:tc>
          <w:tcPr>
            <w:tcW w:w="525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Визначення</w:t>
            </w:r>
          </w:p>
        </w:tc>
      </w:tr>
      <w:tr w:rsidR="00BA76DF">
        <w:tc>
          <w:tcPr>
            <w:tcW w:w="456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Ф.Котлер</w:t>
            </w:r>
            <w:proofErr w:type="spellEnd"/>
          </w:p>
        </w:tc>
        <w:tc>
          <w:tcPr>
            <w:tcW w:w="525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управлінням попитом, механізм якого складається з певних коштів, інструментів та </w:t>
            </w:r>
            <w:proofErr w:type="spellStart"/>
            <w:r>
              <w:rPr>
                <w:rFonts w:ascii="Times New Roman" w:eastAsia="Times New Roman" w:hAnsi="Times New Roman" w:cs="Times New Roman"/>
                <w:sz w:val="24"/>
                <w:szCs w:val="24"/>
                <w:highlight w:val="white"/>
              </w:rPr>
              <w:t>зв'язків</w:t>
            </w:r>
            <w:proofErr w:type="spellEnd"/>
            <w:r>
              <w:rPr>
                <w:rFonts w:ascii="Times New Roman" w:eastAsia="Times New Roman" w:hAnsi="Times New Roman" w:cs="Times New Roman"/>
                <w:sz w:val="24"/>
                <w:szCs w:val="24"/>
                <w:highlight w:val="white"/>
              </w:rPr>
              <w:t>, до яких і належать складові маркетинг-</w:t>
            </w:r>
            <w:proofErr w:type="spellStart"/>
            <w:r>
              <w:rPr>
                <w:rFonts w:ascii="Times New Roman" w:eastAsia="Times New Roman" w:hAnsi="Times New Roman" w:cs="Times New Roman"/>
                <w:sz w:val="24"/>
                <w:szCs w:val="24"/>
                <w:highlight w:val="white"/>
              </w:rPr>
              <w:t>міксу</w:t>
            </w:r>
            <w:proofErr w:type="spellEnd"/>
            <w:r>
              <w:rPr>
                <w:rFonts w:ascii="Times New Roman" w:eastAsia="Times New Roman" w:hAnsi="Times New Roman" w:cs="Times New Roman"/>
                <w:sz w:val="24"/>
                <w:szCs w:val="24"/>
                <w:highlight w:val="white"/>
              </w:rPr>
              <w:t xml:space="preserve">: продукт, ціна, місце поширення та просування. До того ж, як показує практика, використання комплексу маркетингових заходів ефективно не тільки для використання можливостей, але й вимог ринку. </w:t>
            </w:r>
          </w:p>
        </w:tc>
      </w:tr>
      <w:tr w:rsidR="00BA76DF">
        <w:tc>
          <w:tcPr>
            <w:tcW w:w="456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М.О. </w:t>
            </w:r>
            <w:proofErr w:type="spellStart"/>
            <w:r>
              <w:rPr>
                <w:rFonts w:ascii="Times New Roman" w:eastAsia="Times New Roman" w:hAnsi="Times New Roman" w:cs="Times New Roman"/>
                <w:sz w:val="24"/>
                <w:szCs w:val="24"/>
                <w:highlight w:val="white"/>
              </w:rPr>
              <w:t>Турченюк</w:t>
            </w:r>
            <w:proofErr w:type="spellEnd"/>
          </w:p>
        </w:tc>
        <w:tc>
          <w:tcPr>
            <w:tcW w:w="525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це система поглядів, функція координації різних аспектів комерційної діяльності, філософія бізнесу, мета якої - пом'якшення криз виробництва, процес збалансування попиту та пропозиції.</w:t>
            </w:r>
          </w:p>
        </w:tc>
      </w:tr>
      <w:tr w:rsidR="00BA76DF">
        <w:tc>
          <w:tcPr>
            <w:tcW w:w="456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Т. </w:t>
            </w:r>
            <w:proofErr w:type="spellStart"/>
            <w:r>
              <w:rPr>
                <w:rFonts w:ascii="Times New Roman" w:eastAsia="Times New Roman" w:hAnsi="Times New Roman" w:cs="Times New Roman"/>
                <w:sz w:val="24"/>
                <w:szCs w:val="24"/>
                <w:highlight w:val="white"/>
              </w:rPr>
              <w:t>Примак</w:t>
            </w:r>
            <w:proofErr w:type="spellEnd"/>
          </w:p>
        </w:tc>
        <w:tc>
          <w:tcPr>
            <w:tcW w:w="525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управлінська діяльність, що вивчає всі види робіт, пов'язаних із спрямуванням потоку товарів і послуг від виробника через систему реалізації (у визначених умовах) до кінцевого споживача.</w:t>
            </w:r>
          </w:p>
        </w:tc>
      </w:tr>
      <w:tr w:rsidR="00BA76DF">
        <w:tc>
          <w:tcPr>
            <w:tcW w:w="456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Д.Траут</w:t>
            </w:r>
            <w:proofErr w:type="spellEnd"/>
            <w:r>
              <w:rPr>
                <w:rFonts w:ascii="Times New Roman" w:eastAsia="Times New Roman" w:hAnsi="Times New Roman" w:cs="Times New Roman"/>
                <w:sz w:val="24"/>
                <w:szCs w:val="24"/>
                <w:highlight w:val="white"/>
              </w:rPr>
              <w:t>, Е. Райс</w:t>
            </w:r>
          </w:p>
        </w:tc>
        <w:tc>
          <w:tcPr>
            <w:tcW w:w="5250"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війна конкурентів і основна ціль будь-якого підприємства – перемога у ній.</w:t>
            </w:r>
          </w:p>
        </w:tc>
      </w:tr>
    </w:tbl>
    <w:p w:rsidR="00BA76DF" w:rsidRDefault="00BA76DF">
      <w:pPr>
        <w:spacing w:after="160" w:line="360" w:lineRule="auto"/>
        <w:jc w:val="both"/>
        <w:rPr>
          <w:rFonts w:ascii="Times New Roman" w:eastAsia="Times New Roman" w:hAnsi="Times New Roman" w:cs="Times New Roman"/>
          <w:i/>
          <w:sz w:val="28"/>
          <w:szCs w:val="28"/>
          <w:highlight w:val="white"/>
        </w:rPr>
      </w:pPr>
    </w:p>
    <w:p w:rsidR="00BA76DF" w:rsidRDefault="00C33D3F">
      <w:pPr>
        <w:spacing w:after="16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Продовження таблиці 2.1</w:t>
      </w:r>
    </w:p>
    <w:tbl>
      <w:tblPr>
        <w:tblStyle w:val="af"/>
        <w:tblW w:w="987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0"/>
        <w:gridCol w:w="5220"/>
      </w:tblGrid>
      <w:tr w:rsidR="00BA76DF">
        <w:trPr>
          <w:jc w:val="center"/>
        </w:trPr>
        <w:tc>
          <w:tcPr>
            <w:tcW w:w="465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Автор визначення</w:t>
            </w:r>
          </w:p>
        </w:tc>
        <w:tc>
          <w:tcPr>
            <w:tcW w:w="522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Визначення</w:t>
            </w:r>
          </w:p>
        </w:tc>
      </w:tr>
      <w:tr w:rsidR="00BA76DF">
        <w:trPr>
          <w:jc w:val="center"/>
        </w:trPr>
        <w:tc>
          <w:tcPr>
            <w:tcW w:w="465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С.З. </w:t>
            </w:r>
            <w:proofErr w:type="spellStart"/>
            <w:r>
              <w:rPr>
                <w:rFonts w:ascii="Times New Roman" w:eastAsia="Times New Roman" w:hAnsi="Times New Roman" w:cs="Times New Roman"/>
                <w:sz w:val="24"/>
                <w:szCs w:val="24"/>
                <w:highlight w:val="white"/>
              </w:rPr>
              <w:t>Мошенський</w:t>
            </w:r>
            <w:proofErr w:type="spellEnd"/>
            <w:r>
              <w:rPr>
                <w:rFonts w:ascii="Times New Roman" w:eastAsia="Times New Roman" w:hAnsi="Times New Roman" w:cs="Times New Roman"/>
                <w:sz w:val="24"/>
                <w:szCs w:val="24"/>
                <w:highlight w:val="white"/>
              </w:rPr>
              <w:t>., О.В. Олійник</w:t>
            </w:r>
          </w:p>
        </w:tc>
        <w:tc>
          <w:tcPr>
            <w:tcW w:w="522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маркетингова діяльність розглядається як комплекс цілей і завдань контрольного характеру, що реалізуються службою маркетингу за вертикальними та горизонтальними зв'язками.</w:t>
            </w:r>
          </w:p>
        </w:tc>
      </w:tr>
      <w:tr w:rsidR="00BA76DF">
        <w:trPr>
          <w:jc w:val="center"/>
        </w:trPr>
        <w:tc>
          <w:tcPr>
            <w:tcW w:w="465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Л.В.Балабанова</w:t>
            </w:r>
            <w:proofErr w:type="spellEnd"/>
            <w:r>
              <w:rPr>
                <w:rFonts w:ascii="Times New Roman" w:eastAsia="Times New Roman" w:hAnsi="Times New Roman" w:cs="Times New Roman"/>
                <w:sz w:val="24"/>
                <w:szCs w:val="24"/>
                <w:highlight w:val="white"/>
              </w:rPr>
              <w:t xml:space="preserve"> , І.В. </w:t>
            </w:r>
            <w:proofErr w:type="spellStart"/>
            <w:r>
              <w:rPr>
                <w:rFonts w:ascii="Times New Roman" w:eastAsia="Times New Roman" w:hAnsi="Times New Roman" w:cs="Times New Roman"/>
                <w:sz w:val="24"/>
                <w:szCs w:val="24"/>
                <w:highlight w:val="white"/>
              </w:rPr>
              <w:t>Балабанова</w:t>
            </w:r>
            <w:proofErr w:type="spellEnd"/>
          </w:p>
        </w:tc>
        <w:tc>
          <w:tcPr>
            <w:tcW w:w="522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активні умови розвитку ринку, які сьогодні </w:t>
            </w:r>
          </w:p>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певною мірою втрачають хаотичність і підпадають під регулюючу дію заздалегідь встановлюваних господарських </w:t>
            </w:r>
            <w:proofErr w:type="spellStart"/>
            <w:r>
              <w:rPr>
                <w:rFonts w:ascii="Times New Roman" w:eastAsia="Times New Roman" w:hAnsi="Times New Roman" w:cs="Times New Roman"/>
                <w:sz w:val="24"/>
                <w:szCs w:val="24"/>
                <w:highlight w:val="white"/>
              </w:rPr>
              <w:t>зв’язків</w:t>
            </w:r>
            <w:proofErr w:type="spellEnd"/>
            <w:r>
              <w:rPr>
                <w:rFonts w:ascii="Times New Roman" w:eastAsia="Times New Roman" w:hAnsi="Times New Roman" w:cs="Times New Roman"/>
                <w:sz w:val="24"/>
                <w:szCs w:val="24"/>
                <w:highlight w:val="white"/>
              </w:rPr>
              <w:t>, де особлива роль відводиться споживачеві.</w:t>
            </w:r>
          </w:p>
        </w:tc>
      </w:tr>
      <w:tr w:rsidR="00BA76DF">
        <w:trPr>
          <w:jc w:val="center"/>
        </w:trPr>
        <w:tc>
          <w:tcPr>
            <w:tcW w:w="465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В.Руделіус</w:t>
            </w:r>
            <w:proofErr w:type="spellEnd"/>
            <w:r>
              <w:rPr>
                <w:rFonts w:ascii="Times New Roman" w:eastAsia="Times New Roman" w:hAnsi="Times New Roman" w:cs="Times New Roman"/>
                <w:sz w:val="24"/>
                <w:szCs w:val="24"/>
                <w:highlight w:val="white"/>
              </w:rPr>
              <w:t xml:space="preserve"> ,О. </w:t>
            </w:r>
            <w:proofErr w:type="spellStart"/>
            <w:r>
              <w:rPr>
                <w:rFonts w:ascii="Times New Roman" w:eastAsia="Times New Roman" w:hAnsi="Times New Roman" w:cs="Times New Roman"/>
                <w:sz w:val="24"/>
                <w:szCs w:val="24"/>
                <w:highlight w:val="white"/>
              </w:rPr>
              <w:t>Азарян</w:t>
            </w:r>
            <w:proofErr w:type="spellEnd"/>
            <w:r>
              <w:rPr>
                <w:rFonts w:ascii="Times New Roman" w:eastAsia="Times New Roman" w:hAnsi="Times New Roman" w:cs="Times New Roman"/>
                <w:sz w:val="24"/>
                <w:szCs w:val="24"/>
                <w:highlight w:val="white"/>
              </w:rPr>
              <w:t xml:space="preserve">, </w:t>
            </w:r>
            <w:proofErr w:type="spellStart"/>
            <w:r>
              <w:rPr>
                <w:rFonts w:ascii="Times New Roman" w:eastAsia="Times New Roman" w:hAnsi="Times New Roman" w:cs="Times New Roman"/>
                <w:sz w:val="24"/>
                <w:szCs w:val="24"/>
                <w:highlight w:val="white"/>
              </w:rPr>
              <w:t>О.Виноградов</w:t>
            </w:r>
            <w:proofErr w:type="spellEnd"/>
          </w:p>
        </w:tc>
        <w:tc>
          <w:tcPr>
            <w:tcW w:w="522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процес, який передбачає формування та реалізацію ідей, концепцій щодо створення товару, його ціноутворення, збуту, просування шляхом взаємодії суб’єктів у процесі обміну.</w:t>
            </w:r>
          </w:p>
        </w:tc>
      </w:tr>
      <w:tr w:rsidR="00BA76DF">
        <w:trPr>
          <w:jc w:val="center"/>
        </w:trPr>
        <w:tc>
          <w:tcPr>
            <w:tcW w:w="465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А.О. </w:t>
            </w:r>
            <w:proofErr w:type="spellStart"/>
            <w:r>
              <w:rPr>
                <w:rFonts w:ascii="Times New Roman" w:eastAsia="Times New Roman" w:hAnsi="Times New Roman" w:cs="Times New Roman"/>
                <w:sz w:val="24"/>
                <w:szCs w:val="24"/>
                <w:highlight w:val="white"/>
              </w:rPr>
              <w:t>Старостіна</w:t>
            </w:r>
            <w:proofErr w:type="spellEnd"/>
          </w:p>
        </w:tc>
        <w:tc>
          <w:tcPr>
            <w:tcW w:w="522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певний процес управління підприємством, який </w:t>
            </w:r>
            <w:proofErr w:type="spellStart"/>
            <w:r>
              <w:rPr>
                <w:rFonts w:ascii="Times New Roman" w:eastAsia="Times New Roman" w:hAnsi="Times New Roman" w:cs="Times New Roman"/>
                <w:sz w:val="24"/>
                <w:szCs w:val="24"/>
                <w:highlight w:val="white"/>
              </w:rPr>
              <w:t>ціленаправлений</w:t>
            </w:r>
            <w:proofErr w:type="spellEnd"/>
            <w:r>
              <w:rPr>
                <w:rFonts w:ascii="Times New Roman" w:eastAsia="Times New Roman" w:hAnsi="Times New Roman" w:cs="Times New Roman"/>
                <w:sz w:val="24"/>
                <w:szCs w:val="24"/>
                <w:highlight w:val="white"/>
              </w:rPr>
              <w:t xml:space="preserve"> на визначення потреб та вимог ринку з метою подальшого формування стратегії виробництва та конкурентного розвитку підприємства.</w:t>
            </w:r>
          </w:p>
        </w:tc>
      </w:tr>
    </w:tbl>
    <w:p w:rsidR="00BA76DF" w:rsidRDefault="00C33D3F">
      <w:pPr>
        <w:spacing w:after="160"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Джерело: складено автором на основі: [23] </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Отже, виходячи з таблиці вище, можна зробити висновок, що зазначені науковці у своїх працях питання розвитку маркетингової діяльності розглядають по-різному, що дає змогу виокремити основні напрями. Наприклад, Ф. </w:t>
      </w:r>
      <w:proofErr w:type="spellStart"/>
      <w:r>
        <w:rPr>
          <w:rFonts w:ascii="Times New Roman" w:eastAsia="Times New Roman" w:hAnsi="Times New Roman" w:cs="Times New Roman"/>
          <w:sz w:val="28"/>
          <w:szCs w:val="28"/>
          <w:highlight w:val="white"/>
        </w:rPr>
        <w:t>Котлер</w:t>
      </w:r>
      <w:proofErr w:type="spellEnd"/>
      <w:r>
        <w:rPr>
          <w:rFonts w:ascii="Times New Roman" w:eastAsia="Times New Roman" w:hAnsi="Times New Roman" w:cs="Times New Roman"/>
          <w:sz w:val="28"/>
          <w:szCs w:val="28"/>
          <w:highlight w:val="white"/>
        </w:rPr>
        <w:t xml:space="preserve">, Т. </w:t>
      </w:r>
      <w:proofErr w:type="spellStart"/>
      <w:r>
        <w:rPr>
          <w:rFonts w:ascii="Times New Roman" w:eastAsia="Times New Roman" w:hAnsi="Times New Roman" w:cs="Times New Roman"/>
          <w:sz w:val="28"/>
          <w:szCs w:val="28"/>
          <w:highlight w:val="white"/>
        </w:rPr>
        <w:t>Примак</w:t>
      </w:r>
      <w:proofErr w:type="spellEnd"/>
      <w:r>
        <w:rPr>
          <w:rFonts w:ascii="Times New Roman" w:eastAsia="Times New Roman" w:hAnsi="Times New Roman" w:cs="Times New Roman"/>
          <w:sz w:val="28"/>
          <w:szCs w:val="28"/>
          <w:highlight w:val="white"/>
        </w:rPr>
        <w:t xml:space="preserve"> та С. </w:t>
      </w:r>
      <w:proofErr w:type="spellStart"/>
      <w:r>
        <w:rPr>
          <w:rFonts w:ascii="Times New Roman" w:eastAsia="Times New Roman" w:hAnsi="Times New Roman" w:cs="Times New Roman"/>
          <w:sz w:val="28"/>
          <w:szCs w:val="28"/>
          <w:highlight w:val="white"/>
        </w:rPr>
        <w:t>З.Мошенський</w:t>
      </w:r>
      <w:proofErr w:type="spellEnd"/>
      <w:r>
        <w:rPr>
          <w:rFonts w:ascii="Times New Roman" w:eastAsia="Times New Roman" w:hAnsi="Times New Roman" w:cs="Times New Roman"/>
          <w:sz w:val="28"/>
          <w:szCs w:val="28"/>
          <w:highlight w:val="white"/>
        </w:rPr>
        <w:t xml:space="preserve"> вивчають маркетингову діяльність підприємства як управлінську діяльність. Д. </w:t>
      </w:r>
      <w:proofErr w:type="spellStart"/>
      <w:r>
        <w:rPr>
          <w:rFonts w:ascii="Times New Roman" w:eastAsia="Times New Roman" w:hAnsi="Times New Roman" w:cs="Times New Roman"/>
          <w:sz w:val="28"/>
          <w:szCs w:val="28"/>
          <w:highlight w:val="white"/>
        </w:rPr>
        <w:t>Траут</w:t>
      </w:r>
      <w:proofErr w:type="spellEnd"/>
      <w:r>
        <w:rPr>
          <w:rFonts w:ascii="Times New Roman" w:eastAsia="Times New Roman" w:hAnsi="Times New Roman" w:cs="Times New Roman"/>
          <w:sz w:val="28"/>
          <w:szCs w:val="28"/>
          <w:highlight w:val="white"/>
        </w:rPr>
        <w:t xml:space="preserve"> і Е. Райс розглядають її як конкурентну боротьбу. М. О. </w:t>
      </w:r>
      <w:proofErr w:type="spellStart"/>
      <w:r>
        <w:rPr>
          <w:rFonts w:ascii="Times New Roman" w:eastAsia="Times New Roman" w:hAnsi="Times New Roman" w:cs="Times New Roman"/>
          <w:sz w:val="28"/>
          <w:szCs w:val="28"/>
          <w:highlight w:val="white"/>
        </w:rPr>
        <w:t>Турченюк</w:t>
      </w:r>
      <w:proofErr w:type="spellEnd"/>
      <w:r>
        <w:rPr>
          <w:rFonts w:ascii="Times New Roman" w:eastAsia="Times New Roman" w:hAnsi="Times New Roman" w:cs="Times New Roman"/>
          <w:sz w:val="28"/>
          <w:szCs w:val="28"/>
          <w:highlight w:val="white"/>
        </w:rPr>
        <w:t xml:space="preserve">, В. </w:t>
      </w:r>
      <w:proofErr w:type="spellStart"/>
      <w:r>
        <w:rPr>
          <w:rFonts w:ascii="Times New Roman" w:eastAsia="Times New Roman" w:hAnsi="Times New Roman" w:cs="Times New Roman"/>
          <w:sz w:val="28"/>
          <w:szCs w:val="28"/>
          <w:highlight w:val="white"/>
        </w:rPr>
        <w:t>Руделіус</w:t>
      </w:r>
      <w:proofErr w:type="spellEnd"/>
      <w:r>
        <w:rPr>
          <w:rFonts w:ascii="Times New Roman" w:eastAsia="Times New Roman" w:hAnsi="Times New Roman" w:cs="Times New Roman"/>
          <w:sz w:val="28"/>
          <w:szCs w:val="28"/>
          <w:highlight w:val="white"/>
        </w:rPr>
        <w:t xml:space="preserve">, О. </w:t>
      </w:r>
      <w:proofErr w:type="spellStart"/>
      <w:r>
        <w:rPr>
          <w:rFonts w:ascii="Times New Roman" w:eastAsia="Times New Roman" w:hAnsi="Times New Roman" w:cs="Times New Roman"/>
          <w:sz w:val="28"/>
          <w:szCs w:val="28"/>
          <w:highlight w:val="white"/>
        </w:rPr>
        <w:t>Азарян</w:t>
      </w:r>
      <w:proofErr w:type="spellEnd"/>
      <w:r>
        <w:rPr>
          <w:rFonts w:ascii="Times New Roman" w:eastAsia="Times New Roman" w:hAnsi="Times New Roman" w:cs="Times New Roman"/>
          <w:sz w:val="28"/>
          <w:szCs w:val="28"/>
          <w:highlight w:val="white"/>
        </w:rPr>
        <w:t xml:space="preserve">, О. Виноградов та А. О. </w:t>
      </w:r>
      <w:proofErr w:type="spellStart"/>
      <w:r>
        <w:rPr>
          <w:rFonts w:ascii="Times New Roman" w:eastAsia="Times New Roman" w:hAnsi="Times New Roman" w:cs="Times New Roman"/>
          <w:sz w:val="28"/>
          <w:szCs w:val="28"/>
          <w:highlight w:val="white"/>
        </w:rPr>
        <w:t>Старостіна</w:t>
      </w:r>
      <w:proofErr w:type="spellEnd"/>
      <w:r>
        <w:rPr>
          <w:rFonts w:ascii="Times New Roman" w:eastAsia="Times New Roman" w:hAnsi="Times New Roman" w:cs="Times New Roman"/>
          <w:sz w:val="28"/>
          <w:szCs w:val="28"/>
          <w:highlight w:val="white"/>
        </w:rPr>
        <w:t xml:space="preserve"> трактують маркетингову діяльність як процес. Л. В. </w:t>
      </w:r>
      <w:proofErr w:type="spellStart"/>
      <w:r>
        <w:rPr>
          <w:rFonts w:ascii="Times New Roman" w:eastAsia="Times New Roman" w:hAnsi="Times New Roman" w:cs="Times New Roman"/>
          <w:sz w:val="28"/>
          <w:szCs w:val="28"/>
          <w:highlight w:val="white"/>
        </w:rPr>
        <w:t>Балабанова</w:t>
      </w:r>
      <w:proofErr w:type="spellEnd"/>
      <w:r>
        <w:rPr>
          <w:rFonts w:ascii="Times New Roman" w:eastAsia="Times New Roman" w:hAnsi="Times New Roman" w:cs="Times New Roman"/>
          <w:sz w:val="28"/>
          <w:szCs w:val="28"/>
          <w:highlight w:val="white"/>
        </w:rPr>
        <w:t xml:space="preserve"> та І. В. </w:t>
      </w:r>
      <w:proofErr w:type="spellStart"/>
      <w:r>
        <w:rPr>
          <w:rFonts w:ascii="Times New Roman" w:eastAsia="Times New Roman" w:hAnsi="Times New Roman" w:cs="Times New Roman"/>
          <w:sz w:val="28"/>
          <w:szCs w:val="28"/>
          <w:highlight w:val="white"/>
        </w:rPr>
        <w:t>Балабанова</w:t>
      </w:r>
      <w:proofErr w:type="spellEnd"/>
      <w:r>
        <w:rPr>
          <w:rFonts w:ascii="Times New Roman" w:eastAsia="Times New Roman" w:hAnsi="Times New Roman" w:cs="Times New Roman"/>
          <w:sz w:val="28"/>
          <w:szCs w:val="28"/>
          <w:highlight w:val="white"/>
        </w:rPr>
        <w:t xml:space="preserve"> сприймають її як стратегію і тактику, а також розвиток діяльності.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семантичний аналіз поняття «маркетингова діяльність підприємства» дозволяє запропонувати власне трактування. В умовах кризи, маркетингова діяльність підприємства повинна розглядатися як комплекс заходів, що забезпечують просування товарів та послуг через вивчення потреб та переваг споживачів, а також регулярне використання цих даних для ефективного функціонування підприємства в складних умовах.</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Слід зазначити, що сучасні українські підприємства вже мали досвід адаптації до кризових умов під час пандемії Covid-19 у 2019 році. У той час багато підприємств припинили свою діяльність, оскільки не змогли </w:t>
      </w:r>
      <w:proofErr w:type="spellStart"/>
      <w:r>
        <w:rPr>
          <w:rFonts w:ascii="Times New Roman" w:eastAsia="Times New Roman" w:hAnsi="Times New Roman" w:cs="Times New Roman"/>
          <w:sz w:val="28"/>
          <w:szCs w:val="28"/>
          <w:highlight w:val="white"/>
        </w:rPr>
        <w:t>оперативно</w:t>
      </w:r>
      <w:proofErr w:type="spellEnd"/>
      <w:r>
        <w:rPr>
          <w:rFonts w:ascii="Times New Roman" w:eastAsia="Times New Roman" w:hAnsi="Times New Roman" w:cs="Times New Roman"/>
          <w:sz w:val="28"/>
          <w:szCs w:val="28"/>
          <w:highlight w:val="white"/>
        </w:rPr>
        <w:t xml:space="preserve"> реагувати на зміну зовнішніх умов та ефективно застосувати маркетинговий комплекс заходів. Відмінність теперішньої ситуації від попередньої є значною. Під час пандемії деякі індустрії зупинилися, тоді як інші продовжували працювати. Крім того, змінилася поведінка середньостатистичного споживача, і багато індустрій, які раніше не були представлені онлайн, перейшли у цифровий формат.</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Сучасні умови вимагають від підприємств постійного моніторингу ринкової ситуації та швидкої адаптації до змін. Зокрема, значний акцент слід робити на </w:t>
      </w:r>
      <w:r>
        <w:rPr>
          <w:rFonts w:ascii="Times New Roman" w:eastAsia="Times New Roman" w:hAnsi="Times New Roman" w:cs="Times New Roman"/>
          <w:sz w:val="28"/>
          <w:szCs w:val="28"/>
          <w:highlight w:val="white"/>
        </w:rPr>
        <w:lastRenderedPageBreak/>
        <w:t xml:space="preserve">цифрові канали просування, оскільки вони дозволяють </w:t>
      </w:r>
      <w:proofErr w:type="spellStart"/>
      <w:r>
        <w:rPr>
          <w:rFonts w:ascii="Times New Roman" w:eastAsia="Times New Roman" w:hAnsi="Times New Roman" w:cs="Times New Roman"/>
          <w:sz w:val="28"/>
          <w:szCs w:val="28"/>
          <w:highlight w:val="white"/>
        </w:rPr>
        <w:t>оперативно</w:t>
      </w:r>
      <w:proofErr w:type="spellEnd"/>
      <w:r>
        <w:rPr>
          <w:rFonts w:ascii="Times New Roman" w:eastAsia="Times New Roman" w:hAnsi="Times New Roman" w:cs="Times New Roman"/>
          <w:sz w:val="28"/>
          <w:szCs w:val="28"/>
          <w:highlight w:val="white"/>
        </w:rPr>
        <w:t xml:space="preserve"> реагувати на зміни в поведінці споживачів та забезпечувати безперервність комунікацій. В умовах кризи важливою складовою маркетингової діяльності є дослідження ринку, яке повинно проводитися регулярно для виявлення нових трендів та змін у поведінці споживачів. Це дозволяє своєчасно коригувати маркетингову стратегію та адаптувати пропозиції до поточних потреб ринку.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Крім того, слід враховувати, що під час кризи особливо важливим є підтримання довіри та лояльності споживачів. Це може бути досягнуто через підвищення якості обслуговування, прозорість комунікацій та впровадження програм лояльності. Важливо забезпечити споживачам можливість отримувати оперативну та достовірну інформацію про товари та послуги, а також надавати їм можливість взаємодіяти з підприємством через зручні цифрові канали.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Сучасні українські підприємства повинні враховувати досвід адаптації до кризових умов під час пандемії та використовувати його для підвищення ефективності маркетингової діяльності в теперішній ситуації. Важливо не лише використовувати вже напрацьовані методи, але й постійно шукати нові підходи та інноваційні рішення для задоволення потреб споживачів. Це може включати використання сучасних технологій, таких як штучний інтелект, для аналізу даних та прогнозування поведінки споживачів, а також впровадження автоматизованих систем обслуговування клієнтів для підвищення оперативності та якості надання послуг.</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маркетингова діяльність підприємства в умовах кризи повинна бути орієнтована на гнучкість та адаптивність. Вона має включати вивчення потреб та переваг споживачів, використання сучасних технологій для аналізу ринку та прогнозування поведінки споживачів, а також забезпечення високої якості обслуговування та підтримання довіри споживачів. Це дозволить підприємствам ефективно функціонувати в складних умовах, зберігати конкурентоспроможність та забезпечувати стабільний розвиток навіть у періоди економічної нестабільності.</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Сьогодні підприємці щодня стикаються з новими викликами, спричиненими війною. Адаптація до них на засадах маркетингу є єдиним, хоча і складним, </w:t>
      </w:r>
      <w:r>
        <w:rPr>
          <w:rFonts w:ascii="Times New Roman" w:eastAsia="Times New Roman" w:hAnsi="Times New Roman" w:cs="Times New Roman"/>
          <w:sz w:val="28"/>
          <w:szCs w:val="28"/>
          <w:highlight w:val="white"/>
        </w:rPr>
        <w:lastRenderedPageBreak/>
        <w:t xml:space="preserve">способом продовжувати свою діяльність [23].  Реагування на зміни ринку, в свою чергу, надає компаніям можливість бути більш ближчими до своїх споживачів, а мобільні додатки забезпечують неперервну комунікацію з ними та надають швидкий доступ до інформації про послуги. Сучасні споживачі вимагають індивідуалізованого підходу від компаній. Використання технологій, що дозволяють збирати та аналізувати дані про клієнтів, дозволяє створювати персоналізовані пропозиції, рекомендації та послуги. Цей підхід сприяє покращенню взаємодії з клієнтами, збільшує їх лояльність та підвищує ефективність маркетингових зусиль. </w:t>
      </w:r>
      <w:proofErr w:type="spellStart"/>
      <w:r>
        <w:rPr>
          <w:rFonts w:ascii="Times New Roman" w:eastAsia="Times New Roman" w:hAnsi="Times New Roman" w:cs="Times New Roman"/>
          <w:sz w:val="28"/>
          <w:szCs w:val="28"/>
          <w:highlight w:val="white"/>
        </w:rPr>
        <w:t>Ф.Котлер</w:t>
      </w:r>
      <w:proofErr w:type="spellEnd"/>
      <w:r>
        <w:rPr>
          <w:rFonts w:ascii="Times New Roman" w:eastAsia="Times New Roman" w:hAnsi="Times New Roman" w:cs="Times New Roman"/>
          <w:sz w:val="28"/>
          <w:szCs w:val="28"/>
          <w:highlight w:val="white"/>
        </w:rPr>
        <w:t xml:space="preserve"> визначає лояльність як «Перевага споживача, яка формується внаслідок уособлення почуттів, емоцій, думок відносно організації та послуг» [12]. Тобто, споживач свідомо обирає товар саме у певної компанії згідно своєї думки про неї, почуттів, здійснює повторну купівлю. Науковці </w:t>
      </w:r>
      <w:proofErr w:type="spellStart"/>
      <w:r>
        <w:rPr>
          <w:rFonts w:ascii="Times New Roman" w:eastAsia="Times New Roman" w:hAnsi="Times New Roman" w:cs="Times New Roman"/>
          <w:sz w:val="28"/>
          <w:szCs w:val="28"/>
          <w:highlight w:val="white"/>
        </w:rPr>
        <w:t>Дж</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Хофмейер</w:t>
      </w:r>
      <w:proofErr w:type="spellEnd"/>
      <w:r>
        <w:rPr>
          <w:rFonts w:ascii="Times New Roman" w:eastAsia="Times New Roman" w:hAnsi="Times New Roman" w:cs="Times New Roman"/>
          <w:sz w:val="28"/>
          <w:szCs w:val="28"/>
          <w:highlight w:val="white"/>
        </w:rPr>
        <w:t>, Б. Райс вважають, що лояльність - це «стала поведінкова реакція щодо певного бренду, що виникла внаслідок психологічного процесу його оцінки» [18]. Лояльність означає довгострокову взаємодію споживача з підприємством. Лояльний споживач не шукає альтернатив та рекомендує підприємство іншим. Такий споживач стає стабільним джерелом прибутку для підприємства [13]. Основні компоненти, що впливають на задоволеність споживачів, включають:</w:t>
      </w:r>
    </w:p>
    <w:p w:rsidR="00BA76DF" w:rsidRDefault="00C33D3F">
      <w:pPr>
        <w:numPr>
          <w:ilvl w:val="0"/>
          <w:numId w:val="1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Очікувані споживачами основні характеристики послуги від усіх конкурентів підприємства;</w:t>
      </w:r>
    </w:p>
    <w:p w:rsidR="00BA76DF" w:rsidRDefault="00C33D3F">
      <w:pPr>
        <w:numPr>
          <w:ilvl w:val="0"/>
          <w:numId w:val="1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Система пропозиції основного послуги та її підтримка;</w:t>
      </w:r>
    </w:p>
    <w:p w:rsidR="00BA76DF" w:rsidRDefault="00C33D3F">
      <w:pPr>
        <w:numPr>
          <w:ilvl w:val="0"/>
          <w:numId w:val="1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Компенсація збитків підприємством;</w:t>
      </w:r>
    </w:p>
    <w:p w:rsidR="00BA76DF" w:rsidRDefault="00C33D3F">
      <w:pPr>
        <w:numPr>
          <w:ilvl w:val="0"/>
          <w:numId w:val="12"/>
        </w:numPr>
        <w:spacing w:after="16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Задоволення персональних запитів споживачів або диференціація послуги [14].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Різні моделі поведінки споживачів і ступінь їхнього задоволення від взаємодії з підприємством визначають різні форми лояльності: абсолютну, латентну, удавану або її відсутність. Абсолютна лояльність характеризується високим рівнем поведінкової та сприйманої лояльності споживача. Сприятливий розвиток подій для підприємства в цьому випадку полягає в тому, що споживачі з </w:t>
      </w:r>
      <w:r>
        <w:rPr>
          <w:rFonts w:ascii="Times New Roman" w:eastAsia="Times New Roman" w:hAnsi="Times New Roman" w:cs="Times New Roman"/>
          <w:sz w:val="28"/>
          <w:szCs w:val="28"/>
          <w:highlight w:val="white"/>
        </w:rPr>
        <w:lastRenderedPageBreak/>
        <w:t>абсолютною лояльністю є стійкими клієнтами, що регулярно користуються послугами підприємства. Це забезпечує стабільний потік доходів і дозволяє підприємству розраховувати на довгострокове партнерство.</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Латентна лояльність вказує на високий рівень сприйманої лояльності, але низьку поведінкову лояльність. У цьому випадку споживачі віддають перевагу конкретному підприємству, але не завжди здійснюють покупки від нього у великій кількості. Така ситуація може бути пов'язана з різними факторами, включаючи обмежений асортимент, цінові бар'єри або незручність в обслуговуванні.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підприємства важливо ідентифікувати ці фактори та розробити стратегії, які б сприяли перетворенню латентної лояльності в абсолютну. Це може включати розширення асортименту, покращення цінової політики або впровадження додаткових сервісів, які підвищать зручність для споживачів.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Удавана лояльність проявляється у випадку, коли споживач демонструє поведінкову лояльність, але насправді не має відчуття сприйманої лояльності. Ця ситуація є потенційно небезпечною для підприємства, оскільки такі споживачі можуть легко змінити свої вибори на користь конкурентів при першій зручній нагоді. Підприємству необхідно приділяти увагу цьому типу лояльності, працюючи над підвищенням емоційного зв'язку з клієнтами, вдосконаленням обслуговування та створенням додаткових цінностей, які будуть важливими для споживачів.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Найменші можливості для утримання споживачів мають підприємства у випадку, коли відсутня будь-яка лояльність. У такому разі підприємству слід або відмовитися від утримання цієї категорії споживачів, якщо вони не є вигідними, або розробляти спеціальні маркетингові стратегії для підвищення сприйманої лояльності. Це може включати проведення рекламних кампаній, впровадження програм лояльності, покращення якості продукції або послуг, а також активну роботу з зворотним зв'язком від клієнтів.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Вивчаючи і розуміючи типи лояльності, підприємство може оптимізувати свої програми лояльності для залучення та збереження споживачів. Це включає сегментацію клієнтської бази за рівнем лояльності, що дозволяє розробити більш </w:t>
      </w:r>
      <w:proofErr w:type="spellStart"/>
      <w:r>
        <w:rPr>
          <w:rFonts w:ascii="Times New Roman" w:eastAsia="Times New Roman" w:hAnsi="Times New Roman" w:cs="Times New Roman"/>
          <w:sz w:val="28"/>
          <w:szCs w:val="28"/>
          <w:highlight w:val="white"/>
        </w:rPr>
        <w:t>таргетовані</w:t>
      </w:r>
      <w:proofErr w:type="spellEnd"/>
      <w:r>
        <w:rPr>
          <w:rFonts w:ascii="Times New Roman" w:eastAsia="Times New Roman" w:hAnsi="Times New Roman" w:cs="Times New Roman"/>
          <w:sz w:val="28"/>
          <w:szCs w:val="28"/>
          <w:highlight w:val="white"/>
        </w:rPr>
        <w:t xml:space="preserve"> маркетингові заходи. Для клієнтів з абсолютною лояльністю можна </w:t>
      </w:r>
      <w:r>
        <w:rPr>
          <w:rFonts w:ascii="Times New Roman" w:eastAsia="Times New Roman" w:hAnsi="Times New Roman" w:cs="Times New Roman"/>
          <w:sz w:val="28"/>
          <w:szCs w:val="28"/>
          <w:highlight w:val="white"/>
        </w:rPr>
        <w:lastRenderedPageBreak/>
        <w:t>запровадити програми заохочення та вдячності, щоб ще більше зміцнити їхню прихильність. Для клієнтів з латентною лояльністю можуть бути ефективними програми, що стимулюють повторні покупки, знижки або спеціальні пропозиції. У випадку з удаваною лояльністю важливо зосередитися на створенні емоційного зв'язку та покращенні взаємодії з клієнтами.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Таким чином, розуміння різних моделей поведінки споживачів та типів лояльності є ключовим для ефективного управління відносинами з клієнтами. Це дозволяє не тільки підвищити рівень задоволення споживачів, але й забезпечити стабільний розвиток підприємства в умовах конкурентного ринку.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Оптимізація програм лояльності з урахуванням різних типів лояльності сприяє збереженню клієнтів та підвищенню їхньої цінності для підприємства [13].  Окрім того, формування лояльності клієнтів для компанії є важливим з таких причин:</w:t>
      </w:r>
    </w:p>
    <w:p w:rsidR="00BA76DF" w:rsidRDefault="00C33D3F">
      <w:pPr>
        <w:numPr>
          <w:ilvl w:val="0"/>
          <w:numId w:val="3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Накопичена база лояльних клієнтів є ключовим елементом для забезпечення прогнозованості діяльності компанії, оскільки вона дозволяє передбачити обсяги продажів, закупівлі та цикли бізнесу, а також реакцію споживачів на зміни в ринковій ситуації. Лояльні споживачі допомагають компанії стабілізувати свою діяльність під час негативних тенденцій на ринку, таких як низький сезон або зміна макросередовища [15];</w:t>
      </w:r>
    </w:p>
    <w:p w:rsidR="00BA76DF" w:rsidRDefault="00C33D3F">
      <w:pPr>
        <w:numPr>
          <w:ilvl w:val="0"/>
          <w:numId w:val="3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Залучення нових клієнтів та повернення загублених завжди вимагає більших витрат порівняно з утриманням існуючих клієнтів. За даними П. </w:t>
      </w:r>
      <w:proofErr w:type="spellStart"/>
      <w:r>
        <w:rPr>
          <w:rFonts w:ascii="Times New Roman" w:eastAsia="Times New Roman" w:hAnsi="Times New Roman" w:cs="Times New Roman"/>
          <w:sz w:val="28"/>
          <w:szCs w:val="28"/>
          <w:highlight w:val="white"/>
        </w:rPr>
        <w:t>Дойля</w:t>
      </w:r>
      <w:proofErr w:type="spellEnd"/>
      <w:r>
        <w:rPr>
          <w:rFonts w:ascii="Times New Roman" w:eastAsia="Times New Roman" w:hAnsi="Times New Roman" w:cs="Times New Roman"/>
          <w:sz w:val="28"/>
          <w:szCs w:val="28"/>
          <w:highlight w:val="white"/>
        </w:rPr>
        <w:t>, навіть невелике підвищення рівня лояльності може призвести до значного збільшення прибутку компанії, а іноді навіть зменшення витрат на залучення клієнтів [16];</w:t>
      </w:r>
    </w:p>
    <w:p w:rsidR="00BA76DF" w:rsidRDefault="00C33D3F">
      <w:pPr>
        <w:numPr>
          <w:ilvl w:val="0"/>
          <w:numId w:val="3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Лояльні клієнти менш схильні змінювати свої вибори та активно досліджувати конкуруючі пропозиції. Це зменшує ризик відтоку клієнтів і сприяє стабільності діяльності компанії;</w:t>
      </w:r>
    </w:p>
    <w:p w:rsidR="00BA76DF" w:rsidRDefault="00C33D3F">
      <w:pPr>
        <w:numPr>
          <w:ilvl w:val="0"/>
          <w:numId w:val="3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Лояльні клієнти сприяють позитивному іміджу компанії та привертають нових клієнтів, що дозволяє компанії зменшити витрати на маркетинг;</w:t>
      </w:r>
    </w:p>
    <w:p w:rsidR="00BA76DF" w:rsidRDefault="00C33D3F">
      <w:pPr>
        <w:numPr>
          <w:ilvl w:val="0"/>
          <w:numId w:val="3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Лояльні клієнти також допомагають зменшити витрати на повернення загублених клієнтів, оскільки створюють позитивний образ компанії та сприяють її здатності відновити втрачених клієнтів [17].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Підвищення лояльності споживачів у даній роботі розглядається завдяки вдосконаленню маркетингової діяльності НАК «Нафтогаз України». Основні напрями удосконалення маркетингової діяльності підприємств включають розробку нової маркетингової стратегії, створення більш ефективної рекламної кампанії (зміна засобів поширення реклами і/або змісту рекламних оголошень), правильний вибір цільової аудиторії, удосконалення конкретних маркетингових бізнес-процесів, впровадження маркетингових інновацій, детальне дослідження споживчого тренду, акцент на максимальному задоволенні потреб споживачів, оптимізація процесу надання послуги.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розв’язання проблеми удосконалення маркетингової діяльності НАК «Нафтогаз України» на ринку природного газу надалі буде розглядатися оптимізація процесу надання послуги завдяки покращенню сервісу компанії шляхом впровадження мобільного застосунку.  Необхідність проведення маркетингового дослідження полягає у визначенні доцільності та ефективності впровадження мобільного застосунку. </w:t>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p>
    <w:p w:rsidR="00BA76DF" w:rsidRDefault="00BA76DF">
      <w:pPr>
        <w:spacing w:after="160" w:line="360" w:lineRule="auto"/>
        <w:ind w:firstLine="720"/>
        <w:jc w:val="both"/>
        <w:rPr>
          <w:rFonts w:ascii="Times New Roman" w:eastAsia="Times New Roman" w:hAnsi="Times New Roman" w:cs="Times New Roman"/>
          <w:sz w:val="28"/>
          <w:szCs w:val="28"/>
          <w:highlight w:val="white"/>
        </w:rPr>
      </w:pPr>
    </w:p>
    <w:p w:rsidR="00BA76DF" w:rsidRDefault="00C33D3F">
      <w:pPr>
        <w:pStyle w:val="2"/>
        <w:spacing w:before="240" w:after="240" w:line="360" w:lineRule="auto"/>
        <w:ind w:firstLine="720"/>
        <w:jc w:val="both"/>
        <w:rPr>
          <w:highlight w:val="white"/>
        </w:rPr>
      </w:pPr>
      <w:bookmarkStart w:id="10" w:name="_xbu7bnfqmff2" w:colFirst="0" w:colLast="0"/>
      <w:bookmarkEnd w:id="10"/>
      <w:r>
        <w:rPr>
          <w:highlight w:val="white"/>
        </w:rPr>
        <w:t xml:space="preserve">2.2 Визначення </w:t>
      </w:r>
      <w:proofErr w:type="spellStart"/>
      <w:r>
        <w:rPr>
          <w:highlight w:val="white"/>
        </w:rPr>
        <w:t>цілеи</w:t>
      </w:r>
      <w:proofErr w:type="spellEnd"/>
      <w:r>
        <w:rPr>
          <w:highlight w:val="white"/>
        </w:rPr>
        <w:t xml:space="preserve">̆ та завдань дослідження </w:t>
      </w:r>
    </w:p>
    <w:p w:rsidR="00BA76DF" w:rsidRDefault="00BA76DF">
      <w:pPr>
        <w:spacing w:line="360" w:lineRule="auto"/>
        <w:rPr>
          <w:rFonts w:ascii="Times New Roman" w:eastAsia="Times New Roman" w:hAnsi="Times New Roman" w:cs="Times New Roman"/>
          <w:sz w:val="28"/>
          <w:szCs w:val="28"/>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Маркетингові дослідження мають вирішальне значення для будь-якої компанії, особливо для тієї, яка працює на такому стратегічно важливому ринку, як ринок природного газу. Вони дозволяють компаніям не лише оцінити поточний стан справ, але й визначити напрямки для покращення та розвитку.   У будь-якому дослідженні чітке визначення цілей та завдань є ключовим елементом, що дозволяє спрямувати дослідницький процес у потрібне русло та забезпечити досягнення очікуваних результатів. Цілі та завдання дослідження визначають, які саме аспекти необхідно вивчити, які методи застосувати, а також які дані потрібно зібрати та </w:t>
      </w:r>
      <w:r>
        <w:rPr>
          <w:rFonts w:ascii="Times New Roman" w:eastAsia="Times New Roman" w:hAnsi="Times New Roman" w:cs="Times New Roman"/>
          <w:sz w:val="28"/>
          <w:szCs w:val="28"/>
          <w:highlight w:val="white"/>
        </w:rPr>
        <w:lastRenderedPageBreak/>
        <w:t>проаналізувати. Це дозволяє систематизувати процес дослідження та забезпечити його ефективність і цілісність.</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даному дослідженні, ціллю проведення маркетингового дослідження є удосконалення маркетингової діяльності НАК «Нафтогаз України» на ринку природного газу шляхом впровадження мобільного застосунку. Мобільний застосунок має сприяти підвищенню рівня лояльності споживачів та задоволеності їх потреб, що в свою чергу допоможе компанії ефективніше функціонувати на конкурентному ринку.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Завдання маркетингового дослідження є конкретними кроками, які необхідно виконати для досягнення поставленої мети. Вони визначають, які саме аспекти будуть вивчатися, які дані потрібно зібрати, та які методи застосувати для їх аналізу. Завдання маркетингового дослідження для даної роботи: </w:t>
      </w:r>
    </w:p>
    <w:p w:rsidR="00BA76DF" w:rsidRDefault="00C33D3F">
      <w:pPr>
        <w:numPr>
          <w:ilvl w:val="0"/>
          <w:numId w:val="5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Проаналізувати маркетингову діяльність та програму лояльності НАК «Нафтогаз України»;</w:t>
      </w:r>
    </w:p>
    <w:p w:rsidR="00BA76DF" w:rsidRDefault="00C33D3F">
      <w:pPr>
        <w:numPr>
          <w:ilvl w:val="0"/>
          <w:numId w:val="5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Проаналізувати програму лояльності конкурентів;</w:t>
      </w:r>
    </w:p>
    <w:p w:rsidR="00BA76DF" w:rsidRDefault="00C33D3F">
      <w:pPr>
        <w:numPr>
          <w:ilvl w:val="0"/>
          <w:numId w:val="5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Проаналізувати рівень лояльності споживачів до компанії;</w:t>
      </w:r>
    </w:p>
    <w:p w:rsidR="00BA76DF" w:rsidRDefault="00C33D3F">
      <w:pPr>
        <w:numPr>
          <w:ilvl w:val="0"/>
          <w:numId w:val="5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Проаналізувати чи влаштовує споживачів наявний спосіб надання послуги постачання газу з підприємством та що вони хотіли б змінити;</w:t>
      </w:r>
    </w:p>
    <w:p w:rsidR="00BA76DF" w:rsidRDefault="00C33D3F">
      <w:pPr>
        <w:numPr>
          <w:ilvl w:val="0"/>
          <w:numId w:val="5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Визначення інструменту удосконалення маркетингової діяльності підприємства;</w:t>
      </w:r>
    </w:p>
    <w:p w:rsidR="00BA76DF" w:rsidRDefault="00C33D3F">
      <w:pPr>
        <w:numPr>
          <w:ilvl w:val="0"/>
          <w:numId w:val="54"/>
        </w:numPr>
        <w:spacing w:after="16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Визначення характеристик інструменту удосконалення маркетингової діяльності підприємства.</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Об’єктом дослідження у роботі виступає ринок природного газу України. Ринок природного газу є важливою складовою енергетичного сектору країни, оскільки він впливає на економічну стабільність, енергетичну безпеку та життєдіяльність населення. Вивчення ринку природного газу включає аналіз його структури, динаміки, ключових гравців та умов функціонування, що дозволяє виявити основні тенденції та проблеми у галузі. Цей аналіз є необхідним для формування стратегій розвитку та вдосконалення діяльності окремих компаній, що працюють на даному ринку.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Суб’єктом дослідження є НАК «Нафтогаз України». Це провідна нафтогазова компанія України, яка займає ключове місце на ринку природного газу країни. НАК «Нафтогаз України» виконує важливі функції у сфері видобутку, транспортування, зберігання та постачання природного газу. Аналіз діяльності компанії дозволяє оцінити її поточний стан, виявити можливості для вдосконалення та розробити рекомендації щодо підвищення ефективності роботи.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Предметом дослідження є маркетингова діяльність НАК «Нафтогаз України». Маркетингова діяльність охоплює комплекс заходів, спрямованих на задоволення потреб споживачів, підвищення їх лояльності та забезпечення конкурентоспроможності компанії на ринку. Дослідження маркетингової діяльності включає аналіз стратегій, програм лояльності та інструментів взаємодії з клієнтами. Це дозволяє виявити сильні та слабкі сторони маркетингових заходів компанії та розробити рекомендації для їх удосконалення.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Метод отримання інформації, який буде використаний в роботі - метод анкетування. Метою отримання інформації є впровадження результатів дослідження на підприємстві, удосконалення маркетингової діяльності компанії, тим самим підвищення рівня лояльності споживачів НАК «Нафтогаз України».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Результати анкетування дозволять виявити потреби та очікування споживачів щодо функціоналу та зручності мобільного застосунку. Це дозволить розробити застосунок, який буде максимально відповідати потребам споживачів, сприяючи їх задоволеності та лояльності.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Метод анкетування має ряд переваг, які роблять його ефективним інструментом для даного дослідження. По-перше, він дозволяє зібрати велику кількість даних за короткий час. Це особливо важливо у випадках, коли необхідно отримати інформацію від великої кількості респондентів. По-друге, анкетування забезпечує стандартизацію процесу збору даних, що підвищує достовірність та точність отриманої інформації. По-третє, анкетування дозволяє отримати зворотний зв'язок від споживачів, що є важливим для розуміння їхніх потреб та очікувань. Такий підхід є важливим для впровадження результатів дослідження на підприємстві та забезпечення підвищення рівня лояльності споживачів.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Проведення анкетування може бути сприйняте споживачами як засіб залучення їх до діяльності компанії, що в свою чергу може позитивно позначитися на їх лояльності. Залучення споживачів до процесу вдосконалення послуг компанії сприяє формуванню позитивного іміджу та підвищенню їхньої задоволеності. Це, у свою чергу, забезпечує зростання лояльності споживачів до компанії, що є важливим чинником її конкурентоспроможності на ринку.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Таким чином, визначення об'єкта, суб'єкта та предмета дослідження, а також вибір методу анкетування як основного інструменту збору інформації дозволяють забезпечити комплексний підхід до аналізу маркетингової діяльності НАК «Нафтогаз України». Це сприяє отриманню об'єктивних даних, необхідних для впровадження ефективних маркетингових стратегій та підвищення лояльності споживачів компанії. Запланований час проведення дослідження складає 90 днів, що відповідає трьом місяцям.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Проведення дослідження заплановано на території міста Києва, що є столицею та одним з найбільших міст України. Обрана територія дослідження обумовлена центральним розташуванням Києва та його значущістю як економічного, політичного та культурного центру країни. Крім того, Київ є центром прийняття стратегічних рішень та розробки стратегій розвитку для багатьох компаній, що діють на ринку природного газу України. План дослідження складається з наступних пунктів: </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Визначення цілі, мети, завдання та методів дослідження;</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Формулювання об’єкта, суб’єкта, предмета й границі дослідження;</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маркетингової діяльності та програми лояльності НАК «Нафтогаз України»;</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програми лояльності конкурентів;</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рівня лояльності споживачів НАК «Нафтогаз України»;</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існуючого процесу надання послуги споживачам;</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Визначення інструменту та його характеристик для удосконалення маркетингової діяльності підприємства;</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Використання методу анкетування споживачів;</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Збір даних згідно опитування, їх якісно-кількісний аналіз;</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Побудова графіків, що відображають результати анкетування;</w:t>
      </w:r>
    </w:p>
    <w:p w:rsidR="00BA76DF" w:rsidRDefault="00C33D3F">
      <w:pPr>
        <w:numPr>
          <w:ilvl w:val="0"/>
          <w:numId w:val="2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Підведення підсумків дослідження, обґрунтування впровадження  мобільного застосунку та розроблення рекомендацій щодо удосконалення маркетингової діяльності.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Проведення маркетингового дослідження для визначення доцільності та ефективності впровадження мобільного застосунку для НАК «Нафтогаз України» включає кілька етапів. Кожен з них має своє значення та спрямований на отримання максимально точних та релевантних даних для прийняття </w:t>
      </w:r>
      <w:proofErr w:type="spellStart"/>
      <w:r>
        <w:rPr>
          <w:rFonts w:ascii="Times New Roman" w:eastAsia="Times New Roman" w:hAnsi="Times New Roman" w:cs="Times New Roman"/>
          <w:sz w:val="28"/>
          <w:szCs w:val="28"/>
          <w:highlight w:val="white"/>
        </w:rPr>
        <w:t>обгрунтованих</w:t>
      </w:r>
      <w:proofErr w:type="spellEnd"/>
      <w:r>
        <w:rPr>
          <w:rFonts w:ascii="Times New Roman" w:eastAsia="Times New Roman" w:hAnsi="Times New Roman" w:cs="Times New Roman"/>
          <w:sz w:val="28"/>
          <w:szCs w:val="28"/>
          <w:highlight w:val="white"/>
        </w:rPr>
        <w:t xml:space="preserve"> управлінських рішень.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Хід маркетингового дослідження складається з декількох етапів, а саме аналіз вторинних зовнішніх джерел для визначення існуючої маркетингової діяльності та програми лояльності НАК «Нафтогаз України», аналіз вторинних зовнішніх джерел для визначення особливостей програм лояльності конкурентів, опитування споживачів для визначення рівня їх лояльності до підприємства, опитування споживачів щодо характеристик інструменту удосконалення маркетингової діяльності підприємства, опитування споживачів НАК «Нафтогаз України» для визначення рівня їх задоволеності процесом надання послуги підприємством, опитування споживачів щодо характеристик інструменту удосконалення маркетингової діяльності підприємства, виявлення гіпотез для доцільності та ефективності впровадження інструменту удосконалення маркетингової діяльності підприємства.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Етап 1: аналіз вторинних зовнішніх джерел для визначення існуючої маркетингової діяльності та програми лояльності НАК «Нафтогаз України». На першому етапі дослідження здійснюється ретельний аналіз наявної маркетингової діяльності компанії та існуючої програми лояльності. Для цього використовуються вторинні зовнішні джерела інформації, такі як офіційні звіти, публікації, аналітичні огляди, статистичні дані. Метою цього етапу є виявлення поточного стану маркетингових заходів, які реалізує компанія, та умов, які надаються споживачам </w:t>
      </w:r>
      <w:r>
        <w:rPr>
          <w:rFonts w:ascii="Times New Roman" w:eastAsia="Times New Roman" w:hAnsi="Times New Roman" w:cs="Times New Roman"/>
          <w:sz w:val="28"/>
          <w:szCs w:val="28"/>
          <w:highlight w:val="white"/>
        </w:rPr>
        <w:lastRenderedPageBreak/>
        <w:t>у рамках програми лояльності. Це дозволяє зрозуміти, які маркетингові стратегії вже застосовуються та наскільки вони є ефективними.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Етап 2: аналіз вторинних зовнішніх джерел для визначення особливостей програм лояльності конкурентів. На другому етапі дослідження проводиться аналіз програм лояльності основних конкурентів НАК «Нафтогаз України». Використовуються ті ж самі вторинні зовнішні джерела інформації, що й на першому етапі. Аналізуючи програми лояльності конкурентів, можна визначити їх сильні та слабкі сторони, а також виявити інноваційні підходи, які можуть бути застосовані у діяльності НАК «Нафтогаз України». Це дозволяє оцінити конкурентоспроможність власної програми лояльності та виявити можливості для її удосконалення.</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Етап 3: опитування споживачів для визначення рівня їх лояльності до підприємства. Третій етап дослідження передбачає проведення опитування споживачів з метою визначення рівня їх лояльності до НАК «Нафтогаз України». Опитування дозволяє отримати безпосередній зворотний зв’язок від споживачів, зрозуміти їхні ставлення до компанії, виявити чинники, які впливають на їхню лояльність, та визначити можливі напрями для поліпшення. Отримані дані слугують основою для формування обґрунтованих висновків та рекомендацій щодо підвищення лояльності споживачів.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Етап 4: опитування споживачів НАК «Нафтогаз України» для визначення рівня їх задоволеності процесом надання послуги підприємством. Четвертий етап дослідження передбачає проведення опитування споживачів з метою визначення рівня їх задоволеності процесом надання послуг НАК «Нафтогаз України». Це включає оцінку таких аспектів, як якість обслуговування, доступність інформації, швидкість реагування на запити та скарги, зручність існуючих каналів комунікації тощо. Аналіз отриманих даних дозволяє виявити основні проблеми та недоліки у процесі надання послуг, що потребують удосконалення.</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Етап 5: опитування споживачів щодо характеристик інструменту удосконалення маркетингової діяльності підприємства. На п’ятому етапі проводиться опитування споживачів для визначення характеристик, які має мати </w:t>
      </w:r>
      <w:r>
        <w:rPr>
          <w:rFonts w:ascii="Times New Roman" w:eastAsia="Times New Roman" w:hAnsi="Times New Roman" w:cs="Times New Roman"/>
          <w:sz w:val="28"/>
          <w:szCs w:val="28"/>
          <w:highlight w:val="white"/>
        </w:rPr>
        <w:lastRenderedPageBreak/>
        <w:t>мобільний застосунок для удосконалення маркетингової діяльності підприємства. Це дозволяє зібрати пропозиції та побажання споживачів щодо функціоналу, зручності використання, інтерфейсу та інших аспектів мобільного застосунку. Важливо, щоб мобільний застосунок відповідав реальним потребам та очікуванням споживачів, тому цей етап є критично важливим для успіху проекту.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Етап 6: виявлення гіпотез для доцільності та ефективності впровадження інструменту удосконалення маркетингової діяльності підприємства. На завершальному етапі дослідження </w:t>
      </w:r>
      <w:proofErr w:type="spellStart"/>
      <w:r>
        <w:rPr>
          <w:rFonts w:ascii="Times New Roman" w:eastAsia="Times New Roman" w:hAnsi="Times New Roman" w:cs="Times New Roman"/>
          <w:sz w:val="28"/>
          <w:szCs w:val="28"/>
          <w:highlight w:val="white"/>
        </w:rPr>
        <w:t>формулюються</w:t>
      </w:r>
      <w:proofErr w:type="spellEnd"/>
      <w:r>
        <w:rPr>
          <w:rFonts w:ascii="Times New Roman" w:eastAsia="Times New Roman" w:hAnsi="Times New Roman" w:cs="Times New Roman"/>
          <w:sz w:val="28"/>
          <w:szCs w:val="28"/>
          <w:highlight w:val="white"/>
        </w:rPr>
        <w:t xml:space="preserve"> та тестуються гіпотези щодо доцільності та ефективності впровадження мобільного застосунку. Це включає аналіз отриманих даних, виявлення основних тенденцій та закономірностей, а також формулювання висновків та рекомендацій. На основі цього етапу визначаються можливі сценарії впровадження мобільного застосунку та оцінюються їхні потенційні результати.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Потрібно скласти гіпотези, для того щоб оцінити їх значущість та вплив на маркетингову діяльність НАК «Нафтогаз України». Під час дослідження необхідно перевірити наступні гіпотези:</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H1: Маркетингова діяльність підприємства потребує удосконалення;</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H2: Програма лояльності НАК «Нафтогаз України» не відповідає очікуванням споживачів;</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H3: Споживачі потребують мобільного застосунку НАК «Нафтогаз України»;</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H4: Споживачі хочуть мати доступ до мобільного додатка цілодобово, онлайн та </w:t>
      </w:r>
      <w:proofErr w:type="spellStart"/>
      <w:r>
        <w:rPr>
          <w:rFonts w:ascii="Times New Roman" w:eastAsia="Times New Roman" w:hAnsi="Times New Roman" w:cs="Times New Roman"/>
          <w:sz w:val="28"/>
          <w:szCs w:val="28"/>
          <w:highlight w:val="white"/>
        </w:rPr>
        <w:t>офлайн</w:t>
      </w:r>
      <w:proofErr w:type="spellEnd"/>
      <w:r>
        <w:rPr>
          <w:rFonts w:ascii="Times New Roman" w:eastAsia="Times New Roman" w:hAnsi="Times New Roman" w:cs="Times New Roman"/>
          <w:sz w:val="28"/>
          <w:szCs w:val="28"/>
          <w:highlight w:val="white"/>
        </w:rPr>
        <w:t>;</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H5: Впровадження мобільного застосунку підвищить рівень лояльності та рівень задоволеності споживачів.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 процесі дослідження будуть застосовані розрахунки показників та індуктивна статистика для узагальнення даних для всієї генеральної сукупності. У таблиці 2.2 наведено блок пошукових питань для кожного завдання дослідження. </w:t>
      </w: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Таблиця 2.2 – Завдання дослідження</w:t>
      </w:r>
    </w:p>
    <w:tbl>
      <w:tblPr>
        <w:tblStyle w:val="af0"/>
        <w:tblW w:w="975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5"/>
        <w:gridCol w:w="2475"/>
        <w:gridCol w:w="3000"/>
        <w:gridCol w:w="2010"/>
        <w:gridCol w:w="1650"/>
      </w:tblGrid>
      <w:tr w:rsidR="00BA76DF">
        <w:tc>
          <w:tcPr>
            <w:tcW w:w="61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lastRenderedPageBreak/>
              <w:t>з/п</w:t>
            </w:r>
          </w:p>
        </w:tc>
        <w:tc>
          <w:tcPr>
            <w:tcW w:w="247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Завдання </w:t>
            </w:r>
            <w:r>
              <w:rPr>
                <w:rFonts w:ascii="Times New Roman" w:eastAsia="Times New Roman" w:hAnsi="Times New Roman" w:cs="Times New Roman"/>
                <w:sz w:val="24"/>
                <w:szCs w:val="24"/>
                <w:highlight w:val="white"/>
              </w:rPr>
              <w:lastRenderedPageBreak/>
              <w:t>дослідження</w:t>
            </w:r>
          </w:p>
        </w:tc>
        <w:tc>
          <w:tcPr>
            <w:tcW w:w="30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Пошукові питання</w:t>
            </w:r>
          </w:p>
        </w:tc>
        <w:tc>
          <w:tcPr>
            <w:tcW w:w="20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Джерело та метод </w:t>
            </w:r>
            <w:r>
              <w:rPr>
                <w:rFonts w:ascii="Times New Roman" w:eastAsia="Times New Roman" w:hAnsi="Times New Roman" w:cs="Times New Roman"/>
                <w:sz w:val="24"/>
                <w:szCs w:val="24"/>
                <w:highlight w:val="white"/>
              </w:rPr>
              <w:lastRenderedPageBreak/>
              <w:t>отримання інформації</w:t>
            </w:r>
          </w:p>
        </w:tc>
        <w:tc>
          <w:tcPr>
            <w:tcW w:w="165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Формат </w:t>
            </w:r>
            <w:r>
              <w:rPr>
                <w:rFonts w:ascii="Times New Roman" w:eastAsia="Times New Roman" w:hAnsi="Times New Roman" w:cs="Times New Roman"/>
                <w:sz w:val="24"/>
                <w:szCs w:val="24"/>
                <w:highlight w:val="white"/>
              </w:rPr>
              <w:lastRenderedPageBreak/>
              <w:t>отриманої інформації</w:t>
            </w:r>
          </w:p>
        </w:tc>
      </w:tr>
      <w:tr w:rsidR="00BA76DF">
        <w:trPr>
          <w:trHeight w:val="480"/>
        </w:trPr>
        <w:tc>
          <w:tcPr>
            <w:tcW w:w="61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1</w:t>
            </w:r>
          </w:p>
        </w:tc>
        <w:tc>
          <w:tcPr>
            <w:tcW w:w="2475" w:type="dxa"/>
            <w:shd w:val="clear" w:color="auto" w:fill="auto"/>
            <w:tcMar>
              <w:top w:w="100" w:type="dxa"/>
              <w:left w:w="100" w:type="dxa"/>
              <w:bottom w:w="100" w:type="dxa"/>
              <w:right w:w="10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Аналіз маркетингової  діяльності та  програми лояльності НАК «Нафтогаз України».</w:t>
            </w:r>
          </w:p>
        </w:tc>
        <w:tc>
          <w:tcPr>
            <w:tcW w:w="30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Як влаштована маркетингова діяльність у компанії та які умови надає програма лояльності споживачам НАК «Нафтогаз України»?</w:t>
            </w:r>
          </w:p>
        </w:tc>
        <w:tc>
          <w:tcPr>
            <w:tcW w:w="20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Зовнішня вторинна інформація</w:t>
            </w:r>
            <w:r>
              <w:rPr>
                <w:rFonts w:ascii="Times New Roman" w:eastAsia="Times New Roman" w:hAnsi="Times New Roman" w:cs="Times New Roman"/>
                <w:sz w:val="24"/>
                <w:szCs w:val="24"/>
                <w:highlight w:val="white"/>
              </w:rPr>
              <w:tab/>
            </w:r>
          </w:p>
        </w:tc>
        <w:tc>
          <w:tcPr>
            <w:tcW w:w="165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Перелік</w:t>
            </w:r>
          </w:p>
        </w:tc>
      </w:tr>
      <w:tr w:rsidR="00BA76DF">
        <w:trPr>
          <w:trHeight w:val="480"/>
        </w:trPr>
        <w:tc>
          <w:tcPr>
            <w:tcW w:w="61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c>
          <w:tcPr>
            <w:tcW w:w="2475" w:type="dxa"/>
            <w:shd w:val="clear" w:color="auto" w:fill="auto"/>
            <w:tcMar>
              <w:top w:w="100" w:type="dxa"/>
              <w:left w:w="100" w:type="dxa"/>
              <w:bottom w:w="100" w:type="dxa"/>
              <w:right w:w="10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Аналіз програми лояльності конкурентів.</w:t>
            </w:r>
          </w:p>
        </w:tc>
        <w:tc>
          <w:tcPr>
            <w:tcW w:w="300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Які програми лояльності мають конкуренти НАК </w:t>
            </w:r>
          </w:p>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«Нафтогаз України»?</w:t>
            </w:r>
          </w:p>
        </w:tc>
        <w:tc>
          <w:tcPr>
            <w:tcW w:w="20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Зовнішня вторинна інформація</w:t>
            </w:r>
            <w:r>
              <w:rPr>
                <w:rFonts w:ascii="Times New Roman" w:eastAsia="Times New Roman" w:hAnsi="Times New Roman" w:cs="Times New Roman"/>
                <w:sz w:val="24"/>
                <w:szCs w:val="24"/>
                <w:highlight w:val="white"/>
              </w:rPr>
              <w:tab/>
            </w:r>
          </w:p>
        </w:tc>
        <w:tc>
          <w:tcPr>
            <w:tcW w:w="165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Перелік</w:t>
            </w:r>
          </w:p>
          <w:p w:rsidR="00BA76DF" w:rsidRDefault="00BA76DF">
            <w:pPr>
              <w:widowControl w:val="0"/>
              <w:spacing w:line="240" w:lineRule="auto"/>
              <w:jc w:val="both"/>
              <w:rPr>
                <w:rFonts w:ascii="Times New Roman" w:eastAsia="Times New Roman" w:hAnsi="Times New Roman" w:cs="Times New Roman"/>
                <w:sz w:val="24"/>
                <w:szCs w:val="24"/>
                <w:highlight w:val="white"/>
              </w:rPr>
            </w:pPr>
          </w:p>
          <w:p w:rsidR="00BA76DF" w:rsidRDefault="00BA76DF">
            <w:pPr>
              <w:widowControl w:val="0"/>
              <w:spacing w:line="240" w:lineRule="auto"/>
              <w:jc w:val="both"/>
              <w:rPr>
                <w:rFonts w:ascii="Times New Roman" w:eastAsia="Times New Roman" w:hAnsi="Times New Roman" w:cs="Times New Roman"/>
                <w:sz w:val="24"/>
                <w:szCs w:val="24"/>
                <w:highlight w:val="white"/>
              </w:rPr>
            </w:pPr>
          </w:p>
        </w:tc>
      </w:tr>
      <w:tr w:rsidR="00BA76DF">
        <w:trPr>
          <w:trHeight w:val="480"/>
        </w:trPr>
        <w:tc>
          <w:tcPr>
            <w:tcW w:w="615"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c>
          <w:tcPr>
            <w:tcW w:w="2475" w:type="dxa"/>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Аналіз рівня лояльності споживачів до компанії.</w:t>
            </w:r>
          </w:p>
        </w:tc>
        <w:tc>
          <w:tcPr>
            <w:tcW w:w="300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Наскільки задоволені споживачі НАК «Нафтогаз України»?</w:t>
            </w:r>
          </w:p>
        </w:tc>
        <w:tc>
          <w:tcPr>
            <w:tcW w:w="201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Опитування</w:t>
            </w:r>
          </w:p>
        </w:tc>
        <w:tc>
          <w:tcPr>
            <w:tcW w:w="165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Перелік</w:t>
            </w:r>
          </w:p>
        </w:tc>
      </w:tr>
      <w:tr w:rsidR="00BA76DF">
        <w:trPr>
          <w:trHeight w:val="480"/>
        </w:trPr>
        <w:tc>
          <w:tcPr>
            <w:tcW w:w="615"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c>
          <w:tcPr>
            <w:tcW w:w="2475" w:type="dxa"/>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Проаналізувати чи влаштовує споживачів наявна комунікація з підприємством та що вони хотіли б змінити.</w:t>
            </w:r>
          </w:p>
        </w:tc>
        <w:tc>
          <w:tcPr>
            <w:tcW w:w="300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Як споживачі оцінюють наявну комунікацію з НАК «Нафтогаз України» та що вони хотіли б змінити?</w:t>
            </w:r>
          </w:p>
        </w:tc>
        <w:tc>
          <w:tcPr>
            <w:tcW w:w="201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Опитування</w:t>
            </w:r>
          </w:p>
        </w:tc>
        <w:tc>
          <w:tcPr>
            <w:tcW w:w="165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Перелік</w:t>
            </w:r>
          </w:p>
        </w:tc>
      </w:tr>
    </w:tbl>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spacing w:after="16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Продовження таблиці 2.2</w:t>
      </w:r>
    </w:p>
    <w:tbl>
      <w:tblPr>
        <w:tblStyle w:val="af1"/>
        <w:tblW w:w="975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15"/>
        <w:gridCol w:w="2955"/>
        <w:gridCol w:w="2610"/>
        <w:gridCol w:w="2070"/>
        <w:gridCol w:w="1500"/>
      </w:tblGrid>
      <w:tr w:rsidR="00BA76DF">
        <w:trPr>
          <w:trHeight w:val="480"/>
        </w:trPr>
        <w:tc>
          <w:tcPr>
            <w:tcW w:w="615" w:type="dxa"/>
            <w:shd w:val="clear" w:color="auto" w:fill="auto"/>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з/п</w:t>
            </w:r>
          </w:p>
        </w:tc>
        <w:tc>
          <w:tcPr>
            <w:tcW w:w="2955" w:type="dxa"/>
            <w:shd w:val="clear" w:color="auto" w:fill="auto"/>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Завдання дослідження</w:t>
            </w:r>
          </w:p>
        </w:tc>
        <w:tc>
          <w:tcPr>
            <w:tcW w:w="2610" w:type="dxa"/>
            <w:shd w:val="clear" w:color="auto" w:fill="auto"/>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Пошукові питання</w:t>
            </w:r>
          </w:p>
        </w:tc>
        <w:tc>
          <w:tcPr>
            <w:tcW w:w="2070" w:type="dxa"/>
            <w:shd w:val="clear" w:color="auto" w:fill="auto"/>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Джерело та метод отримання інформації</w:t>
            </w:r>
          </w:p>
        </w:tc>
        <w:tc>
          <w:tcPr>
            <w:tcW w:w="1500" w:type="dxa"/>
            <w:shd w:val="clear" w:color="auto" w:fill="auto"/>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Формат отриманої інформації</w:t>
            </w:r>
          </w:p>
        </w:tc>
      </w:tr>
      <w:tr w:rsidR="00BA76DF">
        <w:trPr>
          <w:trHeight w:val="480"/>
        </w:trPr>
        <w:tc>
          <w:tcPr>
            <w:tcW w:w="615"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c>
          <w:tcPr>
            <w:tcW w:w="2955" w:type="dxa"/>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Визначення інструменту удосконалення маркетингової діяльності підприємства.</w:t>
            </w:r>
          </w:p>
        </w:tc>
        <w:tc>
          <w:tcPr>
            <w:tcW w:w="261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Чи потрібний споживачам мобільний застосунок для поліпшення взаємодії з компанією?</w:t>
            </w:r>
          </w:p>
        </w:tc>
        <w:tc>
          <w:tcPr>
            <w:tcW w:w="207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Опитування</w:t>
            </w:r>
          </w:p>
        </w:tc>
        <w:tc>
          <w:tcPr>
            <w:tcW w:w="150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Перелік</w:t>
            </w:r>
          </w:p>
        </w:tc>
      </w:tr>
      <w:tr w:rsidR="00BA76DF">
        <w:trPr>
          <w:trHeight w:val="480"/>
        </w:trPr>
        <w:tc>
          <w:tcPr>
            <w:tcW w:w="615"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w:t>
            </w:r>
          </w:p>
        </w:tc>
        <w:tc>
          <w:tcPr>
            <w:tcW w:w="2955" w:type="dxa"/>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Визначення характеристик інструменту удосконалення маркетингової діяльності підприємства.</w:t>
            </w:r>
          </w:p>
        </w:tc>
        <w:tc>
          <w:tcPr>
            <w:tcW w:w="261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Які характеристики має мати мобільний застосунок для удосконалення маркетингової діяльності підприємства?</w:t>
            </w:r>
          </w:p>
        </w:tc>
        <w:tc>
          <w:tcPr>
            <w:tcW w:w="207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Опитування</w:t>
            </w:r>
          </w:p>
        </w:tc>
        <w:tc>
          <w:tcPr>
            <w:tcW w:w="1500" w:type="dxa"/>
          </w:tcPr>
          <w:p w:rsidR="00BA76DF" w:rsidRDefault="00C33D3F">
            <w:pPr>
              <w:spacing w:line="240" w:lineRule="auto"/>
              <w:jc w:val="both"/>
              <w:rPr>
                <w:rFonts w:ascii="Times New Roman" w:eastAsia="Times New Roman" w:hAnsi="Times New Roman" w:cs="Times New Roman"/>
                <w:sz w:val="24"/>
                <w:szCs w:val="24"/>
                <w:highlight w:val="white"/>
              </w:rPr>
            </w:pPr>
            <w:proofErr w:type="spellStart"/>
            <w:r>
              <w:rPr>
                <w:rFonts w:ascii="Times New Roman" w:eastAsia="Times New Roman" w:hAnsi="Times New Roman" w:cs="Times New Roman"/>
                <w:sz w:val="24"/>
                <w:szCs w:val="24"/>
                <w:highlight w:val="white"/>
              </w:rPr>
              <w:t>Проранжований</w:t>
            </w:r>
            <w:proofErr w:type="spellEnd"/>
            <w:r>
              <w:rPr>
                <w:rFonts w:ascii="Times New Roman" w:eastAsia="Times New Roman" w:hAnsi="Times New Roman" w:cs="Times New Roman"/>
                <w:sz w:val="24"/>
                <w:szCs w:val="24"/>
                <w:highlight w:val="white"/>
              </w:rPr>
              <w:t xml:space="preserve"> список</w:t>
            </w:r>
          </w:p>
        </w:tc>
      </w:tr>
    </w:tbl>
    <w:p w:rsidR="00BA76DF" w:rsidRDefault="00C33D3F">
      <w:pPr>
        <w:spacing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jc w:val="both"/>
        <w:rPr>
          <w:rFonts w:ascii="Times New Roman" w:eastAsia="Times New Roman" w:hAnsi="Times New Roman" w:cs="Times New Roman"/>
          <w:b/>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У таблиці 2.2 було наведено завдання дослідження з деталізацією пошукових питань, джерелами та методами отримання інформації і формат отриманої інформації.  На основі проведеного дослідження буде отримано комплексну картину маркетингової діяльності НАК «Нафтогаз України», що дозволить виявити як її сильні, так і слабкі сторони. Це допоможе зрозуміти, які аспекти потребують вдосконалення, зокрема в частині процесу надання послуги та програми лояльності. Отримані результати будуть використані для розробки мобільного застосунку, який стане важливим інструментом для підвищення рівня сервісу компанії. </w:t>
      </w:r>
      <w:r>
        <w:rPr>
          <w:rFonts w:ascii="Times New Roman" w:eastAsia="Times New Roman" w:hAnsi="Times New Roman" w:cs="Times New Roman"/>
          <w:sz w:val="28"/>
          <w:szCs w:val="28"/>
          <w:highlight w:val="white"/>
        </w:rPr>
        <w:tab/>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Впровадження цього застосунку дозволить НАК «Нафтогаз України» ефективніше функціонувати на ринку природного газу, адаптуючись до змін у споживчій поведінці та підвищуючи свою конкурентоспроможність. Мобільний застосунок, що відповідатиме потребам споживачів, сприятиме підвищенню їх задоволеності та лояльності, що в свою чергу позитивно вплине на загальну ефективність маркетингової діяльності компанії. Впровадження нових інструментів та підходів у маркетинговій діяльності дозволить НАК «Нафтогаз України» залишатися конкурентоспроможною та відповідати високим стандартам сучасного ринку.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подальшого проведення дослідження необхідно ретельно спланувати та організувати процес збору даних. На даному етапі важливо забезпечити дотримання всіх етичних норм і стандартів, а також врахувати можливі обмеження та ризики, пов'язані зі збором і обробкою даних. </w:t>
      </w: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pStyle w:val="2"/>
        <w:spacing w:line="360" w:lineRule="auto"/>
        <w:ind w:firstLine="720"/>
        <w:jc w:val="both"/>
        <w:rPr>
          <w:highlight w:val="white"/>
        </w:rPr>
      </w:pPr>
      <w:bookmarkStart w:id="11" w:name="_3irk3u8xk80j" w:colFirst="0" w:colLast="0"/>
      <w:bookmarkEnd w:id="11"/>
      <w:r>
        <w:rPr>
          <w:highlight w:val="white"/>
        </w:rPr>
        <w:t>2.3 Планування та організація збору даних</w:t>
      </w:r>
    </w:p>
    <w:p w:rsidR="00BA76DF" w:rsidRDefault="00BA76DF">
      <w:pPr>
        <w:spacing w:line="360" w:lineRule="auto"/>
        <w:jc w:val="both"/>
        <w:rPr>
          <w:rFonts w:ascii="Times New Roman" w:eastAsia="Times New Roman" w:hAnsi="Times New Roman" w:cs="Times New Roman"/>
          <w:b/>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Планування та організація збору даних є критично важливими етапами, що визначають успішність дослідження та забезпечують його наукову обґрунтованість і надійність отриманих результатів.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дослідженні буде застосовано якісний підхід до аналізу даних, що дозволяє більш детально та глибоко вивчити об'єкт і предмет дослідження. Для визначення </w:t>
      </w:r>
      <w:r>
        <w:rPr>
          <w:rFonts w:ascii="Times New Roman" w:eastAsia="Times New Roman" w:hAnsi="Times New Roman" w:cs="Times New Roman"/>
          <w:sz w:val="28"/>
          <w:szCs w:val="28"/>
          <w:highlight w:val="white"/>
        </w:rPr>
        <w:lastRenderedPageBreak/>
        <w:t>доцільності та ефективності впровадження мобільного застосунку для НАК «Нафтогаз України» на ринку природного газу України були сформульовані наступні пошукові питання:</w:t>
      </w:r>
    </w:p>
    <w:p w:rsidR="00BA76DF" w:rsidRDefault="00C33D3F">
      <w:pPr>
        <w:numPr>
          <w:ilvl w:val="0"/>
          <w:numId w:val="3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 влаштована маркетингова діяльність у компанії та які умови надає програма лояльності споживачам НАК «Нафтогаз України»? Це питання має на меті отримання детального огляду умов, що пропонує програма лояльності НАК «Нафтогаз України» з точки зору споживачів. Зовнішня вторинна інформація буде використана для аналізу існуючих маркетингових стратегій та програм лояльності, що дозволить виявити їх сильні та слабкі сторони. Аналіз зовнішніх вторинних джерел включає в себе вивчення документів, звітів, статей та іншої публікації, яка може надати цінну інформацію про маркетингову діяльність компанії та програми лояльності;</w:t>
      </w:r>
    </w:p>
    <w:p w:rsidR="00BA76DF" w:rsidRDefault="00C33D3F">
      <w:pPr>
        <w:numPr>
          <w:ilvl w:val="0"/>
          <w:numId w:val="3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Які програми лояльності мають конкуренти НАК «Нафтогаз України»? Метою цього питання є вивчення програм лояльності конкурентів НАК «Нафтогаз України». Аналіз зовнішньої вторинної інформації дозволить порівняти програми лояльності різних компаній та виявити ключові відмінності та переваги, які можуть бути використані для вдосконалення власної програми лояльності. Для цього буде зібрана інформація з відкритих джерел, таких як офіційні веб-сайти компаній, звіти про діяльність, маркетингові матеріали та інші релевантні ресурси;</w:t>
      </w:r>
    </w:p>
    <w:p w:rsidR="00BA76DF" w:rsidRDefault="00C33D3F">
      <w:pPr>
        <w:numPr>
          <w:ilvl w:val="0"/>
          <w:numId w:val="3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Наскільки задоволені споживачі НАК «Нафтогаз України»? Це питання спрямоване на визначення рівня лояльності споживачів до компанії. Для цього буде проведено опитування, яке дозволить отримати дані про ступінь задоволеності споживачів послугами, що надаються компанією, та визначити основні фактори, що впливають на їх лояльність. Опитування буде проводитися за допомогою анкети, яка включатиме запитання про якість обслуговування, ефективність комунікації, зручність використання послуг та інші аспекти взаємодії з компанією;</w:t>
      </w:r>
    </w:p>
    <w:p w:rsidR="00BA76DF" w:rsidRDefault="00C33D3F">
      <w:pPr>
        <w:numPr>
          <w:ilvl w:val="0"/>
          <w:numId w:val="3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Як споживачі оцінюють наявну комунікацію з НАК «Нафтогаз України» та що вони хотіли б змінити? За допомогою опитування споживачів буде </w:t>
      </w:r>
      <w:r>
        <w:rPr>
          <w:rFonts w:ascii="Times New Roman" w:eastAsia="Times New Roman" w:hAnsi="Times New Roman" w:cs="Times New Roman"/>
          <w:sz w:val="28"/>
          <w:szCs w:val="28"/>
          <w:highlight w:val="white"/>
        </w:rPr>
        <w:lastRenderedPageBreak/>
        <w:t>зібрана інформація про їхні відгуки щодо комунікації з компанією. Це дозволить визначити, наскільки ефективно компанія взаємодіє зі своїми клієнтами та які аспекти комунікації потребують покращення. Споживачів буде запитано про їхній досвід спілкування з компанією через різні канали, такі як телефонні дзвінки, електронна пошта, соціальні мережі тощо. Важливою частиною цього етапу є збирання конкретних пропозицій щодо покращення комунікації;</w:t>
      </w:r>
    </w:p>
    <w:p w:rsidR="00BA76DF" w:rsidRDefault="00C33D3F">
      <w:pPr>
        <w:numPr>
          <w:ilvl w:val="0"/>
          <w:numId w:val="3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потрібний споживачам мобільний застосунок для поліпшення взаємодії з компанією? Метою цього пошукового питання є визначення необхідності мобільного застосунку для споживачів. Опитування допоможе з'ясувати, чи існує потреба у мобільному застосунку та які саме функції та можливості споживачі очікують від нього. Споживачів буде запитано про їхню зацікавленість у використанні мобільного застосунку, а також про те, які функції вони вважають найбільш корисними, наприклад, можливість перегляду рахунків, здійснення платежів, отримання консультацій тощо;</w:t>
      </w:r>
    </w:p>
    <w:p w:rsidR="00BA76DF" w:rsidRDefault="00C33D3F">
      <w:pPr>
        <w:numPr>
          <w:ilvl w:val="0"/>
          <w:numId w:val="3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Які характеристики має мати мобільний застосунок для удосконалення маркетингової діяльності підприємства? Це питання спрямоване на визначення характеристик мобільного застосунку, що необхідні для удосконалення маркетингової діяльності підприємства. Після проведення опитування споживачів будуть визначені основні функціональні можливості, які повинні бути включені до мобільного застосунку для задоволення потреб споживачів. Опитування буде зосереджено на визначенні ключових характеристик, таких як зручність користування, швидкість роботи, можливість персоналізації, інтеграція з іншими сервісами та інші важливі аспекти. </w:t>
      </w: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Таким чином, проведене дослідження дозволить отримати всебічну картину маркетингової діяльності НАК «Нафтогаз України», виявити сильні та слабкі сторони існуючих програм лояльності, а також зрозуміти потреби та очікування споживачів. Виявлені дані стануть основою для розробки та впровадження </w:t>
      </w:r>
      <w:r>
        <w:rPr>
          <w:rFonts w:ascii="Times New Roman" w:eastAsia="Times New Roman" w:hAnsi="Times New Roman" w:cs="Times New Roman"/>
          <w:sz w:val="28"/>
          <w:szCs w:val="28"/>
          <w:highlight w:val="white"/>
        </w:rPr>
        <w:lastRenderedPageBreak/>
        <w:t>мобільного застосунку, який підвищить рівень сервісу компанії, сприятиме зростанню задоволеності споживачів і, як наслідок, підвищенню їх лояльності. Це, у свою чергу, дозволить компанії ефективніше функціонувати в умовах ринку природного газу України, адаптуючись до змін у споживчій поведінці та підвищуючи свою конкурентоспроможність. Крім того, впровадження мобільного застосунку може сприяти залученню нових клієнтів, оскільки сучасні споживачі все більше віддають перевагу цифровим каналам взаємодії з постачальниками послуг.</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Запланований час проведення дослідження складає 90 днів. Територія дослідження обмежена м. Київ, що дозволяє зосередити зусилля на основному регіоні діяльності компанії та отримати найбільш релевантні дані. На основі зібраної інформації буде розроблено рекомендації щодо покращення маркетингової діяльності НАК «Нафтогаз України», а також визначено стратегічні напрями розвитку програми лояльності та мобільного застосунку. Реалізація цих рекомендацій сприятиме підвищенню конкурентоспроможності компанії на ринку та забезпеченню високого рівня задоволеності споживачів. В цілому, дослідження має на меті не лише аналіз поточної ситуації, але й розробку конкретних заходів для покращення маркетингової діяльності компанії, що є важливим кроком до досягнення довгострокових стратегічних цілей НАК «Нафтогаз України».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проведення дослідження необхідна вторинна інформація, яка буде збиратись із внутрішніх та зовнішніх джерел. Внутрішні джерела включатимуть фінансові та статистичні звіти компанії, а також інші внутрішні дані підприємства. Це дозволить отримати детальну інформацію про діяльність НАК «Нафтогаз України», її фінансовий стан та основні показники ефективності. Зовнішні джерела інформації включатимуть офіційний сайт компанії [1], Закон України «Про нафту і газ» [19], а також веб-сайти конкурентів [20;21]. Зовнішня вторинна інформація </w:t>
      </w:r>
      <w:proofErr w:type="spellStart"/>
      <w:r>
        <w:rPr>
          <w:rFonts w:ascii="Times New Roman" w:eastAsia="Times New Roman" w:hAnsi="Times New Roman" w:cs="Times New Roman"/>
          <w:sz w:val="28"/>
          <w:szCs w:val="28"/>
          <w:highlight w:val="white"/>
        </w:rPr>
        <w:t>надасть</w:t>
      </w:r>
      <w:proofErr w:type="spellEnd"/>
      <w:r>
        <w:rPr>
          <w:rFonts w:ascii="Times New Roman" w:eastAsia="Times New Roman" w:hAnsi="Times New Roman" w:cs="Times New Roman"/>
          <w:sz w:val="28"/>
          <w:szCs w:val="28"/>
          <w:highlight w:val="white"/>
        </w:rPr>
        <w:t xml:space="preserve"> можливість отримати більш широку картину про ринок природного газу, його нормативно-правову базу, а також про діяльність та програми лояльності інших компаній на ринку. Це дозволить провести порівняльний аналіз та виявити ключові відмінності та переваги програм лояльності конкурентів. Збір вторинної </w:t>
      </w:r>
      <w:r>
        <w:rPr>
          <w:rFonts w:ascii="Times New Roman" w:eastAsia="Times New Roman" w:hAnsi="Times New Roman" w:cs="Times New Roman"/>
          <w:sz w:val="28"/>
          <w:szCs w:val="28"/>
          <w:highlight w:val="white"/>
        </w:rPr>
        <w:lastRenderedPageBreak/>
        <w:t xml:space="preserve">інформації буде здійснюватися шляхом кабінетних досліджень. Кабінетні дослідження передбачають аналіз наявних даних з різних джерел без виїзду на місце збору інформації. Це дозволяє економити час та ресурси, забезпечуючи при цьому високу якість отриманих даних. У якості первинної інформації будуть використані результати опитування споживачів НАК «Нафтогаз України». Метод, який буде застосований для збору первинної інформації, є метод анкетування. Анкетою слугуватиме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-форма, яка буде розроблена для збору даних від респондентів. Використання онлайн-анкети дозволяє швидко та ефективно зібрати необхідну інформацію, а також забезпечує зручність для респондентів.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Джерела отримання первинної інформації (респонденти) будуть споживачі НАК «Нафтогаз України», тобто домогосподарства. Цільова група включатиме осіб віком від 18 до 65 років, що дозволить охопити різні категорії споживачів. Планується залучити 60 респондентів для участі в опитуванні, що забезпечить достатню вибірку для аналізу.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Анкету буде розіслано на електронний поштовий адрес споживачам, а також через </w:t>
      </w:r>
      <w:proofErr w:type="spellStart"/>
      <w:r>
        <w:rPr>
          <w:rFonts w:ascii="Times New Roman" w:eastAsia="Times New Roman" w:hAnsi="Times New Roman" w:cs="Times New Roman"/>
          <w:sz w:val="28"/>
          <w:szCs w:val="28"/>
          <w:highlight w:val="white"/>
        </w:rPr>
        <w:t>Viber</w:t>
      </w:r>
      <w:proofErr w:type="spellEnd"/>
      <w:r>
        <w:rPr>
          <w:rFonts w:ascii="Times New Roman" w:eastAsia="Times New Roman" w:hAnsi="Times New Roman" w:cs="Times New Roman"/>
          <w:sz w:val="28"/>
          <w:szCs w:val="28"/>
          <w:highlight w:val="white"/>
        </w:rPr>
        <w:t>. Це дозволить охопити максимальну кількість споживачів та забезпечити високу відповідь на анкету. Одиниця дослідження – суцільне дослідження, що передбачає опитування всіх споживачів, які будуть згодні взяти участь у дослідженні.</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Анкета буде складатися з чітко сформульованих питань, які охоплюватимуть різні аспекти взаємодії споживачів з компанією. Вона міститиме питання з закритими і відкритими відповідями, що дозволить отримати як кількісні, так і якісні дані. Закриті питання </w:t>
      </w:r>
      <w:proofErr w:type="spellStart"/>
      <w:r>
        <w:rPr>
          <w:rFonts w:ascii="Times New Roman" w:eastAsia="Times New Roman" w:hAnsi="Times New Roman" w:cs="Times New Roman"/>
          <w:sz w:val="28"/>
          <w:szCs w:val="28"/>
          <w:highlight w:val="white"/>
        </w:rPr>
        <w:t>нададуть</w:t>
      </w:r>
      <w:proofErr w:type="spellEnd"/>
      <w:r>
        <w:rPr>
          <w:rFonts w:ascii="Times New Roman" w:eastAsia="Times New Roman" w:hAnsi="Times New Roman" w:cs="Times New Roman"/>
          <w:sz w:val="28"/>
          <w:szCs w:val="28"/>
          <w:highlight w:val="white"/>
        </w:rPr>
        <w:t xml:space="preserve"> можливість швидко отримати конкретні відповіді, а відкриті питання дозволять респондентам висловити свої думки та пропозиції більш детально. Контрольні питання в анкеті допоможуть забезпечити точність та надійність зібраних даних. Вони дозволять виявити несуперечливість відповідей респондентів та уникнути можливих помилок у даних.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Графік проведення дослідження включатиме всі етапи дослідження від підготовки анкети до аналізу отриманих даних та формулювання висновків. Чітке дотримання графіку забезпечує своєчасне виконання всіх запланованих заходів та </w:t>
      </w:r>
      <w:r>
        <w:rPr>
          <w:rFonts w:ascii="Times New Roman" w:eastAsia="Times New Roman" w:hAnsi="Times New Roman" w:cs="Times New Roman"/>
          <w:sz w:val="28"/>
          <w:szCs w:val="28"/>
          <w:highlight w:val="white"/>
        </w:rPr>
        <w:lastRenderedPageBreak/>
        <w:t>досягнення мети дослідження. Таким чином, проведене дослідження дозволить отримати всебічну картину маркетингової діяльності НАК «Нафтогаз України», виявити сильні та слабкі сторони існуючих програм лояльності, а також зрозуміти потреби та очікування споживачів. Виявлені дані стануть основою для розробки та впровадження мобільного застосунку, який підвищить рівень сервісу компанії, сприятиме зростанню задоволеності споживачів і, як наслідок, підвищенню їх лояльності. Це, у свою чергу, дозволить компанії ефективніше функціонувати в умовах ринку природного газу України, адаптуючись до змін у споживчій поведінці та підвищуючи свою конкурентоспроможність.</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Запланований час проведення дослідження складає 90 днів. Територія дослідження обмежена містом Київ, що дозволяє зосередити зусилля на основному регіоні діяльності компанії та отримати найбільш релевантні дані. На основі зібраної інформації буде розроблено рекомендації щодо покращення маркетингової діяльності НАК «Нафтогаз України», а також визначено стратегічні напрями розвитку програми лояльності та мобільного застосунку. Реалізація цих рекомендацій сприятиме підвищенню конкурентоспроможності компанії на ринку та забезпеченню високого рівня задоволеності споживачів. Розроблений графік проведення дослідження наведений у таблиці 2.3. </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Таблиця 2.3 – Графік проведення дослідження</w:t>
      </w:r>
    </w:p>
    <w:p w:rsidR="00BA76DF" w:rsidRDefault="00BA76DF">
      <w:pPr>
        <w:spacing w:line="360" w:lineRule="auto"/>
        <w:jc w:val="both"/>
        <w:rPr>
          <w:rFonts w:ascii="Times New Roman" w:eastAsia="Times New Roman" w:hAnsi="Times New Roman" w:cs="Times New Roman"/>
          <w:sz w:val="28"/>
          <w:szCs w:val="28"/>
          <w:highlight w:val="white"/>
        </w:rPr>
      </w:pPr>
    </w:p>
    <w:tbl>
      <w:tblPr>
        <w:tblStyle w:val="af2"/>
        <w:tblW w:w="9735"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85"/>
        <w:gridCol w:w="4410"/>
        <w:gridCol w:w="2340"/>
      </w:tblGrid>
      <w:tr w:rsidR="00BA76DF">
        <w:tc>
          <w:tcPr>
            <w:tcW w:w="29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Етап дослідження</w:t>
            </w:r>
          </w:p>
        </w:tc>
        <w:tc>
          <w:tcPr>
            <w:tcW w:w="44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Зміст етапу</w:t>
            </w:r>
          </w:p>
        </w:tc>
        <w:tc>
          <w:tcPr>
            <w:tcW w:w="234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Трудомісткість робіт (людино-дні)</w:t>
            </w:r>
          </w:p>
        </w:tc>
      </w:tr>
      <w:tr w:rsidR="00BA76DF">
        <w:tc>
          <w:tcPr>
            <w:tcW w:w="298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Підготовчий етап</w:t>
            </w:r>
            <w:r>
              <w:rPr>
                <w:rFonts w:ascii="Times New Roman" w:eastAsia="Times New Roman" w:hAnsi="Times New Roman" w:cs="Times New Roman"/>
                <w:sz w:val="24"/>
                <w:szCs w:val="24"/>
                <w:highlight w:val="white"/>
              </w:rPr>
              <w:tab/>
            </w:r>
          </w:p>
        </w:tc>
        <w:tc>
          <w:tcPr>
            <w:tcW w:w="441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Організаційно-технічна підготовка до проведення дослідження.</w:t>
            </w:r>
          </w:p>
        </w:tc>
        <w:tc>
          <w:tcPr>
            <w:tcW w:w="234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r>
      <w:tr w:rsidR="00BA76DF">
        <w:trPr>
          <w:trHeight w:val="480"/>
        </w:trPr>
        <w:tc>
          <w:tcPr>
            <w:tcW w:w="7395" w:type="dxa"/>
            <w:gridSpan w:val="2"/>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Всього</w:t>
            </w:r>
          </w:p>
        </w:tc>
        <w:tc>
          <w:tcPr>
            <w:tcW w:w="234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r>
      <w:tr w:rsidR="00BA76DF">
        <w:trPr>
          <w:trHeight w:val="480"/>
        </w:trPr>
        <w:tc>
          <w:tcPr>
            <w:tcW w:w="2985" w:type="dxa"/>
            <w:vMerge w:val="restart"/>
            <w:shd w:val="clear" w:color="auto" w:fill="auto"/>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Збір вихідної інформації</w:t>
            </w:r>
            <w:r>
              <w:rPr>
                <w:rFonts w:ascii="Times New Roman" w:eastAsia="Times New Roman" w:hAnsi="Times New Roman" w:cs="Times New Roman"/>
                <w:sz w:val="24"/>
                <w:szCs w:val="24"/>
                <w:highlight w:val="white"/>
              </w:rPr>
              <w:tab/>
            </w:r>
          </w:p>
        </w:tc>
        <w:tc>
          <w:tcPr>
            <w:tcW w:w="4410" w:type="dxa"/>
            <w:shd w:val="clear" w:color="auto" w:fill="auto"/>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Аналіз внутрішніх документів НАК «Нафтогаз України» та конкурентів.</w:t>
            </w:r>
          </w:p>
        </w:tc>
        <w:tc>
          <w:tcPr>
            <w:tcW w:w="234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w:t>
            </w:r>
          </w:p>
        </w:tc>
      </w:tr>
      <w:tr w:rsidR="00BA76DF">
        <w:trPr>
          <w:trHeight w:val="480"/>
        </w:trPr>
        <w:tc>
          <w:tcPr>
            <w:tcW w:w="2985" w:type="dxa"/>
            <w:vMerge/>
            <w:shd w:val="clear" w:color="auto" w:fill="auto"/>
            <w:tcMar>
              <w:top w:w="100" w:type="dxa"/>
              <w:left w:w="100" w:type="dxa"/>
              <w:bottom w:w="100" w:type="dxa"/>
              <w:right w:w="100" w:type="dxa"/>
            </w:tcMar>
          </w:tcPr>
          <w:p w:rsidR="00BA76DF" w:rsidRDefault="00BA76DF">
            <w:pPr>
              <w:spacing w:line="360" w:lineRule="auto"/>
              <w:jc w:val="both"/>
              <w:rPr>
                <w:rFonts w:ascii="Times New Roman" w:eastAsia="Times New Roman" w:hAnsi="Times New Roman" w:cs="Times New Roman"/>
                <w:sz w:val="28"/>
                <w:szCs w:val="28"/>
                <w:highlight w:val="white"/>
              </w:rPr>
            </w:pPr>
          </w:p>
        </w:tc>
        <w:tc>
          <w:tcPr>
            <w:tcW w:w="4410" w:type="dxa"/>
            <w:shd w:val="clear" w:color="auto" w:fill="auto"/>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Аналіз відкритої інформації про програми лояльності компаній-конкурентів.</w:t>
            </w:r>
          </w:p>
        </w:tc>
        <w:tc>
          <w:tcPr>
            <w:tcW w:w="234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w:t>
            </w:r>
          </w:p>
        </w:tc>
      </w:tr>
      <w:tr w:rsidR="00BA76DF">
        <w:trPr>
          <w:trHeight w:val="480"/>
        </w:trPr>
        <w:tc>
          <w:tcPr>
            <w:tcW w:w="2985" w:type="dxa"/>
            <w:vMerge/>
            <w:shd w:val="clear" w:color="auto" w:fill="auto"/>
            <w:tcMar>
              <w:top w:w="100" w:type="dxa"/>
              <w:left w:w="100" w:type="dxa"/>
              <w:bottom w:w="100" w:type="dxa"/>
              <w:right w:w="100" w:type="dxa"/>
            </w:tcMar>
          </w:tcPr>
          <w:p w:rsidR="00BA76DF" w:rsidRDefault="00BA76DF">
            <w:pPr>
              <w:spacing w:line="360" w:lineRule="auto"/>
              <w:jc w:val="both"/>
              <w:rPr>
                <w:rFonts w:ascii="Times New Roman" w:eastAsia="Times New Roman" w:hAnsi="Times New Roman" w:cs="Times New Roman"/>
                <w:sz w:val="28"/>
                <w:szCs w:val="28"/>
                <w:highlight w:val="white"/>
              </w:rPr>
            </w:pPr>
          </w:p>
        </w:tc>
        <w:tc>
          <w:tcPr>
            <w:tcW w:w="4410" w:type="dxa"/>
            <w:shd w:val="clear" w:color="auto" w:fill="auto"/>
            <w:tcMar>
              <w:top w:w="100" w:type="dxa"/>
              <w:left w:w="100" w:type="dxa"/>
              <w:bottom w:w="100" w:type="dxa"/>
              <w:right w:w="100" w:type="dxa"/>
            </w:tcMar>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Підготовка та попереднє тестування опитувальника.</w:t>
            </w:r>
          </w:p>
        </w:tc>
        <w:tc>
          <w:tcPr>
            <w:tcW w:w="2340"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r>
      <w:tr w:rsidR="00BA76DF">
        <w:trPr>
          <w:trHeight w:val="480"/>
        </w:trPr>
        <w:tc>
          <w:tcPr>
            <w:tcW w:w="7395" w:type="dxa"/>
            <w:gridSpan w:val="2"/>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Всього</w:t>
            </w:r>
          </w:p>
        </w:tc>
        <w:tc>
          <w:tcPr>
            <w:tcW w:w="234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31</w:t>
            </w:r>
          </w:p>
        </w:tc>
      </w:tr>
      <w:tr w:rsidR="00BA76DF">
        <w:trPr>
          <w:trHeight w:val="480"/>
        </w:trPr>
        <w:tc>
          <w:tcPr>
            <w:tcW w:w="2985" w:type="dxa"/>
            <w:vMerge w:val="restart"/>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Проведення опитування</w:t>
            </w:r>
            <w:r>
              <w:rPr>
                <w:rFonts w:ascii="Times New Roman" w:eastAsia="Times New Roman" w:hAnsi="Times New Roman" w:cs="Times New Roman"/>
                <w:sz w:val="24"/>
                <w:szCs w:val="24"/>
                <w:highlight w:val="white"/>
              </w:rPr>
              <w:tab/>
            </w:r>
          </w:p>
        </w:tc>
        <w:tc>
          <w:tcPr>
            <w:tcW w:w="441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Складання анкети</w:t>
            </w:r>
          </w:p>
        </w:tc>
        <w:tc>
          <w:tcPr>
            <w:tcW w:w="234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w:t>
            </w:r>
          </w:p>
        </w:tc>
      </w:tr>
      <w:tr w:rsidR="00BA76DF">
        <w:trPr>
          <w:trHeight w:val="480"/>
        </w:trPr>
        <w:tc>
          <w:tcPr>
            <w:tcW w:w="2985" w:type="dxa"/>
            <w:vMerge/>
          </w:tcPr>
          <w:p w:rsidR="00BA76DF" w:rsidRDefault="00BA76DF">
            <w:pPr>
              <w:spacing w:line="360" w:lineRule="auto"/>
              <w:jc w:val="both"/>
              <w:rPr>
                <w:rFonts w:ascii="Times New Roman" w:eastAsia="Times New Roman" w:hAnsi="Times New Roman" w:cs="Times New Roman"/>
                <w:sz w:val="28"/>
                <w:szCs w:val="28"/>
                <w:highlight w:val="white"/>
              </w:rPr>
            </w:pPr>
          </w:p>
        </w:tc>
        <w:tc>
          <w:tcPr>
            <w:tcW w:w="441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Пошук респондентів</w:t>
            </w:r>
          </w:p>
        </w:tc>
        <w:tc>
          <w:tcPr>
            <w:tcW w:w="234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w:t>
            </w:r>
          </w:p>
        </w:tc>
      </w:tr>
      <w:tr w:rsidR="00BA76DF">
        <w:trPr>
          <w:trHeight w:val="480"/>
        </w:trPr>
        <w:tc>
          <w:tcPr>
            <w:tcW w:w="2985" w:type="dxa"/>
            <w:vMerge/>
          </w:tcPr>
          <w:p w:rsidR="00BA76DF" w:rsidRDefault="00BA76DF">
            <w:pPr>
              <w:spacing w:line="360" w:lineRule="auto"/>
              <w:jc w:val="both"/>
              <w:rPr>
                <w:rFonts w:ascii="Times New Roman" w:eastAsia="Times New Roman" w:hAnsi="Times New Roman" w:cs="Times New Roman"/>
                <w:sz w:val="28"/>
                <w:szCs w:val="28"/>
                <w:highlight w:val="white"/>
              </w:rPr>
            </w:pPr>
          </w:p>
        </w:tc>
        <w:tc>
          <w:tcPr>
            <w:tcW w:w="441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Розсилка опитувальника та збір заповнених анкет.</w:t>
            </w:r>
          </w:p>
        </w:tc>
        <w:tc>
          <w:tcPr>
            <w:tcW w:w="2340" w:type="dxa"/>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w:t>
            </w:r>
          </w:p>
        </w:tc>
      </w:tr>
      <w:tr w:rsidR="00BA76DF">
        <w:trPr>
          <w:trHeight w:val="480"/>
        </w:trPr>
        <w:tc>
          <w:tcPr>
            <w:tcW w:w="7395" w:type="dxa"/>
            <w:gridSpan w:val="2"/>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Всього</w:t>
            </w:r>
          </w:p>
        </w:tc>
        <w:tc>
          <w:tcPr>
            <w:tcW w:w="234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w:t>
            </w:r>
          </w:p>
        </w:tc>
      </w:tr>
      <w:tr w:rsidR="00BA76DF">
        <w:trPr>
          <w:trHeight w:val="480"/>
        </w:trPr>
        <w:tc>
          <w:tcPr>
            <w:tcW w:w="2985" w:type="dxa"/>
            <w:vMerge w:val="restart"/>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Аналіз результатів опитування</w:t>
            </w:r>
            <w:r>
              <w:rPr>
                <w:rFonts w:ascii="Times New Roman" w:eastAsia="Times New Roman" w:hAnsi="Times New Roman" w:cs="Times New Roman"/>
                <w:sz w:val="24"/>
                <w:szCs w:val="24"/>
                <w:highlight w:val="white"/>
              </w:rPr>
              <w:tab/>
            </w:r>
          </w:p>
        </w:tc>
        <w:tc>
          <w:tcPr>
            <w:tcW w:w="441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Обробка отриманих даних</w:t>
            </w:r>
          </w:p>
        </w:tc>
        <w:tc>
          <w:tcPr>
            <w:tcW w:w="234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w:t>
            </w:r>
          </w:p>
        </w:tc>
      </w:tr>
      <w:tr w:rsidR="00BA76DF">
        <w:trPr>
          <w:trHeight w:val="480"/>
        </w:trPr>
        <w:tc>
          <w:tcPr>
            <w:tcW w:w="2985" w:type="dxa"/>
            <w:vMerge/>
          </w:tcPr>
          <w:p w:rsidR="00BA76DF" w:rsidRDefault="00BA76DF">
            <w:pPr>
              <w:spacing w:line="360" w:lineRule="auto"/>
              <w:jc w:val="both"/>
              <w:rPr>
                <w:rFonts w:ascii="Times New Roman" w:eastAsia="Times New Roman" w:hAnsi="Times New Roman" w:cs="Times New Roman"/>
                <w:sz w:val="28"/>
                <w:szCs w:val="28"/>
                <w:highlight w:val="white"/>
              </w:rPr>
            </w:pPr>
          </w:p>
        </w:tc>
        <w:tc>
          <w:tcPr>
            <w:tcW w:w="441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Формулювання висновків та рекомендацій на основі аналізу.</w:t>
            </w:r>
          </w:p>
        </w:tc>
        <w:tc>
          <w:tcPr>
            <w:tcW w:w="234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r>
      <w:tr w:rsidR="00BA76DF">
        <w:trPr>
          <w:trHeight w:val="480"/>
        </w:trPr>
        <w:tc>
          <w:tcPr>
            <w:tcW w:w="7395" w:type="dxa"/>
            <w:gridSpan w:val="2"/>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Всього</w:t>
            </w:r>
          </w:p>
        </w:tc>
        <w:tc>
          <w:tcPr>
            <w:tcW w:w="234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w:t>
            </w:r>
          </w:p>
        </w:tc>
      </w:tr>
      <w:tr w:rsidR="00BA76DF">
        <w:trPr>
          <w:trHeight w:val="480"/>
        </w:trPr>
        <w:tc>
          <w:tcPr>
            <w:tcW w:w="2985"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Підготовка звіту</w:t>
            </w:r>
            <w:r>
              <w:rPr>
                <w:rFonts w:ascii="Times New Roman" w:eastAsia="Times New Roman" w:hAnsi="Times New Roman" w:cs="Times New Roman"/>
                <w:sz w:val="24"/>
                <w:szCs w:val="24"/>
                <w:highlight w:val="white"/>
              </w:rPr>
              <w:tab/>
            </w:r>
          </w:p>
        </w:tc>
        <w:tc>
          <w:tcPr>
            <w:tcW w:w="441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Складання звітності щодо проведення дослідження</w:t>
            </w:r>
          </w:p>
        </w:tc>
        <w:tc>
          <w:tcPr>
            <w:tcW w:w="234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w:t>
            </w:r>
          </w:p>
        </w:tc>
      </w:tr>
      <w:tr w:rsidR="00BA76DF">
        <w:trPr>
          <w:trHeight w:val="480"/>
        </w:trPr>
        <w:tc>
          <w:tcPr>
            <w:tcW w:w="7395" w:type="dxa"/>
            <w:gridSpan w:val="2"/>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Всього</w:t>
            </w:r>
          </w:p>
        </w:tc>
        <w:tc>
          <w:tcPr>
            <w:tcW w:w="2340" w:type="dxa"/>
          </w:tcPr>
          <w:p w:rsidR="00BA76DF" w:rsidRDefault="00C33D3F">
            <w:pP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90</w:t>
            </w:r>
          </w:p>
        </w:tc>
      </w:tr>
    </w:tbl>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Отже, згідно графіку проведення дослідження, для визначення доцільності та ефективності впровадження мобільного застосунку для НАК «Нафтогаз України» необхідно 90 днів. Враховано, що один людино-день еквівалентний восьми годинам робочого часу.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цілому, дослідження має на меті не лише аналіз поточної ситуації, але й розробку конкретних заходів для покращення маркетингової діяльності компанії, що є важливим кроком до досягнення довгострокових стратегічних цілей НАК «Нафтогаз України». Проведення якісного маркетингового дослідження вимагає ретельного планування та врахування всіх можливих витрат. Нижче наведено деталізований бюджет, який враховує всі етапи проведення дослідження.</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вторинних досліджень передбачається збір та аналіз даних з внутрішніх та зовнішніх джерел інформації. Витрати на збір та аналіз даних з внутрішніх </w:t>
      </w:r>
      <w:r>
        <w:rPr>
          <w:rFonts w:ascii="Times New Roman" w:eastAsia="Times New Roman" w:hAnsi="Times New Roman" w:cs="Times New Roman"/>
          <w:sz w:val="28"/>
          <w:szCs w:val="28"/>
          <w:highlight w:val="white"/>
        </w:rPr>
        <w:lastRenderedPageBreak/>
        <w:t xml:space="preserve">джерел (фінансові та статистичні звіти компанії, внутрішні дані підприємства) складатимуть 0 гривень, оскільки ці дані доступні безпосередньо в межах компанії. Витрати на аналіз зовнішніх джерел інформації (офіційний сайт компанії, Закон України «Про нафту і газ», веб-сайти конкурентів) також складатимуть 0 гривень, оскільки вся необхідна інформація доступна вільно в Інтернеті та не потребує додаткових фінансових витрат.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збору первинних даних буде використано метод анкетування, для чого буде розроблена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-форма. Витрати на розробку та тестування анкети складатимуть 0 гривень, оскільки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-форми є безкоштовним інструментом для створення та розповсюдження опитувань. Це дозволяє зекономити на програмному забезпеченні та забезпечити зручність для респондентів.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залучення респондентів буде використано електронну пошту та соціальну мережу </w:t>
      </w:r>
      <w:proofErr w:type="spellStart"/>
      <w:r>
        <w:rPr>
          <w:rFonts w:ascii="Times New Roman" w:eastAsia="Times New Roman" w:hAnsi="Times New Roman" w:cs="Times New Roman"/>
          <w:sz w:val="28"/>
          <w:szCs w:val="28"/>
          <w:highlight w:val="white"/>
        </w:rPr>
        <w:t>Viber</w:t>
      </w:r>
      <w:proofErr w:type="spellEnd"/>
      <w:r>
        <w:rPr>
          <w:rFonts w:ascii="Times New Roman" w:eastAsia="Times New Roman" w:hAnsi="Times New Roman" w:cs="Times New Roman"/>
          <w:sz w:val="28"/>
          <w:szCs w:val="28"/>
          <w:highlight w:val="white"/>
        </w:rPr>
        <w:t>. З урахуванням можливих витрат на рекламу для залучення респондентів, витрати на розсилку анкет складуть 2 тисячі гривень. Ці кошти будуть використані для проведення рекламної кампанії, що сприятиме залученню необхідної кількості респондентів для участі в опитуванні.</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мотивації респондентів у проведенні опитування передбачається виплата за їх участь. Це важливий аспект дослідження, адже мотивуючі виплати сприятимуть підвищенню рівня </w:t>
      </w:r>
      <w:proofErr w:type="spellStart"/>
      <w:r>
        <w:rPr>
          <w:rFonts w:ascii="Times New Roman" w:eastAsia="Times New Roman" w:hAnsi="Times New Roman" w:cs="Times New Roman"/>
          <w:sz w:val="28"/>
          <w:szCs w:val="28"/>
          <w:highlight w:val="white"/>
        </w:rPr>
        <w:t>залученості</w:t>
      </w:r>
      <w:proofErr w:type="spellEnd"/>
      <w:r>
        <w:rPr>
          <w:rFonts w:ascii="Times New Roman" w:eastAsia="Times New Roman" w:hAnsi="Times New Roman" w:cs="Times New Roman"/>
          <w:sz w:val="28"/>
          <w:szCs w:val="28"/>
          <w:highlight w:val="white"/>
        </w:rPr>
        <w:t xml:space="preserve"> респондентів та забезпечать необхідну вибірку для подальшого аналізу.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Мотивуючі виплати складатимуть по 50 гривень за кожного респондента. Зважаючи на те, що планується залучити 60 респондентів, загальна сума виплат становитиме 3 тисячі гривень.</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Виплата за участь у опитуванні має декілька важливих переваг. По-перше, це дозволяє забезпечити більшу кількість охочих взяти участь у дослідженні, адже респонденти відчувають цінність своєї участі та витраченого часу. По-друге, фінансова мотивація сприяє підвищенню якості відповідей, оскільки респонденти будуть більш уважні та зосереджені під час заповнення анкети.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Загалом, 3 тисячі гривень, що витрачатимуться на мотивуючі виплати респондентам, є важливою інвестицією у забезпечення успішного проведення </w:t>
      </w:r>
      <w:r>
        <w:rPr>
          <w:rFonts w:ascii="Times New Roman" w:eastAsia="Times New Roman" w:hAnsi="Times New Roman" w:cs="Times New Roman"/>
          <w:sz w:val="28"/>
          <w:szCs w:val="28"/>
          <w:highlight w:val="white"/>
        </w:rPr>
        <w:lastRenderedPageBreak/>
        <w:t>дослідження. Це дозволить зібрати необхідні дані для аналізу, що, в свою чергу, сприятиме підготовці якісних висновків та рекомендацій. Отже, залучення респондентів за допомогою фінансових стимулів є ефективним методом забезпечення достатньої кількості та якості відповідей для проведення всебічного аналізу і досягнення мети дослідження.</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Обробка та аналіз даних з анкетування будуть здійснюватися за допомогою безкоштовного програмного забезпечення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-Таблиці. Це дозволяє зекономити кошти на програмному забезпеченні для аналізу даних, що також складатиме 0 гривень.</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забезпечення фінансової стійкості проекту передбачається резерв для покриття непередбачуваних витрат у розмірі 1 тисяча гривень. Цей резерв дозволить </w:t>
      </w:r>
      <w:proofErr w:type="spellStart"/>
      <w:r>
        <w:rPr>
          <w:rFonts w:ascii="Times New Roman" w:eastAsia="Times New Roman" w:hAnsi="Times New Roman" w:cs="Times New Roman"/>
          <w:sz w:val="28"/>
          <w:szCs w:val="28"/>
          <w:highlight w:val="white"/>
        </w:rPr>
        <w:t>оперативно</w:t>
      </w:r>
      <w:proofErr w:type="spellEnd"/>
      <w:r>
        <w:rPr>
          <w:rFonts w:ascii="Times New Roman" w:eastAsia="Times New Roman" w:hAnsi="Times New Roman" w:cs="Times New Roman"/>
          <w:sz w:val="28"/>
          <w:szCs w:val="28"/>
          <w:highlight w:val="white"/>
        </w:rPr>
        <w:t xml:space="preserve"> реагувати на можливі додаткові витрати, які можуть виникнути під час проведення дослідження. Зокрема, бюджет включає такі статті витрат:</w:t>
      </w:r>
    </w:p>
    <w:p w:rsidR="00BA76DF" w:rsidRDefault="00C33D3F">
      <w:pPr>
        <w:numPr>
          <w:ilvl w:val="0"/>
          <w:numId w:val="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Вторинні дослідження – 0 гривень;</w:t>
      </w:r>
    </w:p>
    <w:p w:rsidR="00BA76DF" w:rsidRDefault="00C33D3F">
      <w:pPr>
        <w:numPr>
          <w:ilvl w:val="0"/>
          <w:numId w:val="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Розробка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-форми та тестування анкети – 0 гривень;</w:t>
      </w:r>
    </w:p>
    <w:p w:rsidR="00BA76DF" w:rsidRDefault="00C33D3F">
      <w:pPr>
        <w:numPr>
          <w:ilvl w:val="0"/>
          <w:numId w:val="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Розсилка анкет через електронну пошту та </w:t>
      </w:r>
      <w:proofErr w:type="spellStart"/>
      <w:r>
        <w:rPr>
          <w:rFonts w:ascii="Times New Roman" w:eastAsia="Times New Roman" w:hAnsi="Times New Roman" w:cs="Times New Roman"/>
          <w:sz w:val="28"/>
          <w:szCs w:val="28"/>
          <w:highlight w:val="white"/>
        </w:rPr>
        <w:t>Viber</w:t>
      </w:r>
      <w:proofErr w:type="spellEnd"/>
      <w:r>
        <w:rPr>
          <w:rFonts w:ascii="Times New Roman" w:eastAsia="Times New Roman" w:hAnsi="Times New Roman" w:cs="Times New Roman"/>
          <w:sz w:val="28"/>
          <w:szCs w:val="28"/>
          <w:highlight w:val="white"/>
        </w:rPr>
        <w:t xml:space="preserve"> – 2 тисячі гривень;</w:t>
      </w:r>
    </w:p>
    <w:p w:rsidR="00BA76DF" w:rsidRDefault="00C33D3F">
      <w:pPr>
        <w:numPr>
          <w:ilvl w:val="0"/>
          <w:numId w:val="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Оплата респондентам – 3 тисячі гривень;</w:t>
      </w:r>
    </w:p>
    <w:p w:rsidR="00BA76DF" w:rsidRDefault="00C33D3F">
      <w:pPr>
        <w:numPr>
          <w:ilvl w:val="0"/>
          <w:numId w:val="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Обробка та аналіз даних з анкетування – 0 гривень;</w:t>
      </w:r>
    </w:p>
    <w:p w:rsidR="00BA76DF" w:rsidRDefault="00C33D3F">
      <w:pPr>
        <w:numPr>
          <w:ilvl w:val="0"/>
          <w:numId w:val="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Резерв для покриття непередбачуваних витрат – 1 тисяча гривень.</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Отже, загальна сума необхідна для проведення маркетингового дослідження становить 6 тисяч гривень. Цей бюджет дозволить забезпечити всі етапи проведення дослідження, включаючи збір та аналіз даних, а також підготовку звіту, що сприятиме успішному виконанню поставлених завдань.</w:t>
      </w: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pStyle w:val="2"/>
        <w:spacing w:line="360" w:lineRule="auto"/>
        <w:ind w:firstLine="720"/>
        <w:jc w:val="both"/>
        <w:rPr>
          <w:highlight w:val="white"/>
        </w:rPr>
      </w:pPr>
      <w:bookmarkStart w:id="12" w:name="_1sujy063mjcx" w:colFirst="0" w:colLast="0"/>
      <w:bookmarkEnd w:id="12"/>
      <w:r>
        <w:rPr>
          <w:highlight w:val="white"/>
        </w:rPr>
        <w:t>Висновки до розділу 2</w:t>
      </w:r>
    </w:p>
    <w:p w:rsidR="00BA76DF" w:rsidRDefault="00BA76DF">
      <w:pPr>
        <w:spacing w:line="360" w:lineRule="auto"/>
        <w:jc w:val="both"/>
        <w:rPr>
          <w:rFonts w:ascii="Times New Roman" w:eastAsia="Times New Roman" w:hAnsi="Times New Roman" w:cs="Times New Roman"/>
          <w:sz w:val="28"/>
          <w:szCs w:val="28"/>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ході роботи було визначено основні пункти плану, які включають аналіз програми лояльності НАК «Нафтогаз України», аналіз програми лояльності конкурентів, аналіз рівня лояльності споживачів НАК «Нафтогаз України», аналіз </w:t>
      </w:r>
      <w:r>
        <w:rPr>
          <w:rFonts w:ascii="Times New Roman" w:eastAsia="Times New Roman" w:hAnsi="Times New Roman" w:cs="Times New Roman"/>
          <w:sz w:val="28"/>
          <w:szCs w:val="28"/>
          <w:highlight w:val="white"/>
        </w:rPr>
        <w:lastRenderedPageBreak/>
        <w:t>існуючої комунікації підприємства зі споживачами та визначення інструменту і його характеристик для удосконалення маркетингової діяльності підприємства. Для збору необхідної інформації використовуватимуться внутрішні джерела компанії, такі як фінансові звіти та статистичні дані, а також зовнішні джерела, які включають опитування споживачів. Такий багатовекторний підхід дозволяє отримати всебічну та детальну картину поточного стану справ та виявити ключові напрями для покращення.</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Унікальні елементи новизни, представлені в даному дослідженні, включають інтеграцію сучасних цифрових технологій та комплексний аналіз програм лояльності. Впровадження мобільного застосунку як інструменту для підвищення рівня лояльності споживачів НАК «Нафтогаз України» є інноваційним підходом, що раніше не застосовувався в рамках цієї компанії. Дослідження спрямоване на визначення ключових характеристик та функціональних можливостей цього застосунку, що представляє новий напрямок у маркетинговій діяльності компанії.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Крім того, дослідження включає детальний аналіз існуючих програм лояльності як НАК «Нафтогаз України», так і її конкурентів. Такий підхід дозволяє не лише виявити переваги та недоліки поточних програм, але й розробити рекомендації щодо їх удосконалення на основі порівняльного аналізу.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процесі дослідження також проводиться опитування споживачів для оцінки їхньої задоволеності існуючими програмами лояльності та комунікаційними каналами. Це дозволяє сформувати практичні рекомендації для удосконалення маркетингової діяльності компанії.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Результати опитувань є надзвичайно важливими, оскільки вони відображають реальне ставлення споживачів до поточних маркетингових заходів, їхні очікування та побажання щодо можливих покращень. Це забезпечує високу актуальність та практичну значущість розроблених рекомендацій, спрямованих на підвищення ефективності маркетингової діяльності НАК «Нафтогаз України».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Таким чином, проведене дослідження не лише охоплює широкий спектр питань, пов'язаних із програмами лояльності та комунікацією зі споживачами, але й пропонує інноваційні рішення, які можуть суттєво підвищити рівень </w:t>
      </w:r>
      <w:r>
        <w:rPr>
          <w:rFonts w:ascii="Times New Roman" w:eastAsia="Times New Roman" w:hAnsi="Times New Roman" w:cs="Times New Roman"/>
          <w:sz w:val="28"/>
          <w:szCs w:val="28"/>
          <w:highlight w:val="white"/>
        </w:rPr>
        <w:lastRenderedPageBreak/>
        <w:t xml:space="preserve">задоволеності клієнтів та зміцнити ринкові позиції НАК «Нафтогаз України». Особлива увага приділяється впровадженню цифрових технологій, що відповідає сучасним тенденціям розвитку маркетингу та забезпечує компанії конкурентні переваги у динамічному ринковому середовищі. </w:t>
      </w:r>
    </w:p>
    <w:p w:rsidR="00BA76DF" w:rsidRDefault="00C33D3F">
      <w:pPr>
        <w:spacing w:line="360" w:lineRule="auto"/>
        <w:ind w:firstLine="720"/>
        <w:jc w:val="both"/>
        <w:rPr>
          <w:b/>
        </w:rPr>
      </w:pPr>
      <w:r>
        <w:rPr>
          <w:rFonts w:ascii="Times New Roman" w:eastAsia="Times New Roman" w:hAnsi="Times New Roman" w:cs="Times New Roman"/>
          <w:sz w:val="28"/>
          <w:szCs w:val="28"/>
          <w:highlight w:val="white"/>
        </w:rPr>
        <w:t xml:space="preserve">Впровадження мобільного застосунку, як одного з ключових інструментів підвищення рівня лояльності споживачів, дозволить НАК «Нафтогаз України» більш ефективно взаємодіяти зі своїми клієнтами, забезпечуючи їм зручний та сучасний спосіб управління своїм газопостачанням. Загалом, проведене дослідження не лише пропонує інноваційні рішення для підвищення рівня задоволеності споживачів та зміцнення ринкових позицій НАК «Нафтогаз України», але й створює основу для подальших наукових та практичних розробок у сфері маркетингової діяльності компанії. </w:t>
      </w:r>
    </w:p>
    <w:p w:rsidR="00BA76DF" w:rsidRDefault="00BA76DF">
      <w:pPr>
        <w:spacing w:line="360" w:lineRule="auto"/>
        <w:ind w:firstLine="720"/>
        <w:jc w:val="both"/>
        <w:rPr>
          <w:b/>
        </w:rPr>
      </w:pPr>
    </w:p>
    <w:p w:rsidR="00BA76DF" w:rsidRDefault="00BA76DF">
      <w:pPr>
        <w:spacing w:line="360" w:lineRule="auto"/>
        <w:ind w:firstLine="720"/>
        <w:jc w:val="both"/>
        <w:rPr>
          <w:b/>
        </w:rPr>
      </w:pPr>
    </w:p>
    <w:p w:rsidR="00BA76DF" w:rsidRDefault="00BA76DF">
      <w:pPr>
        <w:spacing w:line="360" w:lineRule="auto"/>
        <w:ind w:firstLine="720"/>
        <w:jc w:val="both"/>
        <w:rPr>
          <w:b/>
        </w:rPr>
      </w:pPr>
    </w:p>
    <w:p w:rsidR="00BA76DF" w:rsidRDefault="00C33D3F">
      <w:pPr>
        <w:pStyle w:val="1"/>
      </w:pPr>
      <w:bookmarkStart w:id="13" w:name="_6fip7bz4huqr" w:colFirst="0" w:colLast="0"/>
      <w:bookmarkEnd w:id="13"/>
      <w:r>
        <w:rPr>
          <w:b/>
        </w:rPr>
        <w:t>РОЗДІЛ 3. РЕАЛІЗАЦІЯ ДОСЛІДЖЕННЯ ТА ВЕРИФІКАЦІЯ РЕЗУЛЬТАТІВ</w:t>
      </w:r>
      <w:r>
        <w:tab/>
      </w:r>
      <w:r>
        <w:tab/>
      </w:r>
      <w:r>
        <w:tab/>
      </w:r>
      <w:r>
        <w:tab/>
      </w:r>
    </w:p>
    <w:p w:rsidR="00BA76DF" w:rsidRDefault="00BA76DF">
      <w:pPr>
        <w:pStyle w:val="2"/>
        <w:spacing w:before="240" w:after="240" w:line="360" w:lineRule="auto"/>
        <w:ind w:firstLine="720"/>
        <w:jc w:val="both"/>
        <w:rPr>
          <w:highlight w:val="white"/>
        </w:rPr>
      </w:pPr>
      <w:bookmarkStart w:id="14" w:name="_cdfg785b6rcf" w:colFirst="0" w:colLast="0"/>
      <w:bookmarkEnd w:id="14"/>
    </w:p>
    <w:p w:rsidR="00BA76DF" w:rsidRDefault="00C33D3F">
      <w:pPr>
        <w:pStyle w:val="2"/>
        <w:spacing w:before="240" w:after="240" w:line="360" w:lineRule="auto"/>
        <w:ind w:firstLine="720"/>
        <w:jc w:val="both"/>
        <w:rPr>
          <w:highlight w:val="white"/>
        </w:rPr>
      </w:pPr>
      <w:bookmarkStart w:id="15" w:name="_3m17rvi9b1lx" w:colFirst="0" w:colLast="0"/>
      <w:bookmarkEnd w:id="15"/>
      <w:r>
        <w:rPr>
          <w:highlight w:val="white"/>
        </w:rPr>
        <w:t>3.1 Збір та аналіз даних</w:t>
      </w:r>
    </w:p>
    <w:p w:rsidR="00BA76DF" w:rsidRDefault="00BA76DF">
      <w:pPr>
        <w:spacing w:line="360" w:lineRule="auto"/>
        <w:rPr>
          <w:rFonts w:ascii="Times New Roman" w:eastAsia="Times New Roman" w:hAnsi="Times New Roman" w:cs="Times New Roman"/>
          <w:sz w:val="28"/>
          <w:szCs w:val="28"/>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Вибір респондентів здійснювався за активної участі відділу маркетингу та відділу обслуговування клієнтів НАК «Нафтогаз України». Ці підрозділи надали контактні дані клієнтів, які були запрошені взяти участь в опитуванні. Загальна кількість заповнених анкет склала 60, що забезпечує достатній обсяг вибірки для проведення детального аналізу.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Під час проведення опитування респонденти виявили декілька важливих аспектів, які варто врахувати для підвищення ефективності подальших досліджень. Зокрема, було висловлено зауваження щодо типу запитань у анкеті. Респонденти зазначили, що для повнішого та глибшого аналізу даних необхідно зробити </w:t>
      </w:r>
      <w:r>
        <w:rPr>
          <w:rFonts w:ascii="Times New Roman" w:eastAsia="Times New Roman" w:hAnsi="Times New Roman" w:cs="Times New Roman"/>
          <w:sz w:val="28"/>
          <w:szCs w:val="28"/>
          <w:highlight w:val="white"/>
        </w:rPr>
        <w:lastRenderedPageBreak/>
        <w:t xml:space="preserve">запитання більш розгорнутими. Це дозволить отримати більш детальні відповіді від респондентів, що сприятиме точнішому розумінню їхніх потреб та очікувань.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Крім того, респонденти зазначили, що оптимальним часом для проведення опитування є ранковий період. Вранці вони більш схильні відповідати на запитання, що підвищує рівень </w:t>
      </w:r>
      <w:proofErr w:type="spellStart"/>
      <w:r>
        <w:rPr>
          <w:rFonts w:ascii="Times New Roman" w:eastAsia="Times New Roman" w:hAnsi="Times New Roman" w:cs="Times New Roman"/>
          <w:sz w:val="28"/>
          <w:szCs w:val="28"/>
          <w:highlight w:val="white"/>
        </w:rPr>
        <w:t>залученості</w:t>
      </w:r>
      <w:proofErr w:type="spellEnd"/>
      <w:r>
        <w:rPr>
          <w:rFonts w:ascii="Times New Roman" w:eastAsia="Times New Roman" w:hAnsi="Times New Roman" w:cs="Times New Roman"/>
          <w:sz w:val="28"/>
          <w:szCs w:val="28"/>
          <w:highlight w:val="white"/>
        </w:rPr>
        <w:t xml:space="preserve"> та якість зібраних даних.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Враховуючи ці рекомендації, після апробації анкети було </w:t>
      </w:r>
      <w:proofErr w:type="spellStart"/>
      <w:r>
        <w:rPr>
          <w:rFonts w:ascii="Times New Roman" w:eastAsia="Times New Roman" w:hAnsi="Times New Roman" w:cs="Times New Roman"/>
          <w:sz w:val="28"/>
          <w:szCs w:val="28"/>
          <w:highlight w:val="white"/>
        </w:rPr>
        <w:t>внесено</w:t>
      </w:r>
      <w:proofErr w:type="spellEnd"/>
      <w:r>
        <w:rPr>
          <w:rFonts w:ascii="Times New Roman" w:eastAsia="Times New Roman" w:hAnsi="Times New Roman" w:cs="Times New Roman"/>
          <w:sz w:val="28"/>
          <w:szCs w:val="28"/>
          <w:highlight w:val="white"/>
        </w:rPr>
        <w:t xml:space="preserve"> деякі зміни, а саме:</w:t>
      </w:r>
    </w:p>
    <w:p w:rsidR="00BA76DF" w:rsidRDefault="00C33D3F">
      <w:pPr>
        <w:numPr>
          <w:ilvl w:val="0"/>
          <w:numId w:val="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Опитування необхідно проводити у першій половині дня, оскільки споживачі більше готові давати відповіді у цей період часу;</w:t>
      </w:r>
    </w:p>
    <w:p w:rsidR="00BA76DF" w:rsidRDefault="00C33D3F">
      <w:pPr>
        <w:numPr>
          <w:ilvl w:val="0"/>
          <w:numId w:val="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 анкети були додані питання з розгорнутою відповіддю для того, щоб кожен респондент зміг </w:t>
      </w:r>
      <w:proofErr w:type="spellStart"/>
      <w:r>
        <w:rPr>
          <w:rFonts w:ascii="Times New Roman" w:eastAsia="Times New Roman" w:hAnsi="Times New Roman" w:cs="Times New Roman"/>
          <w:sz w:val="28"/>
          <w:szCs w:val="28"/>
          <w:highlight w:val="white"/>
        </w:rPr>
        <w:t>внести</w:t>
      </w:r>
      <w:proofErr w:type="spellEnd"/>
      <w:r>
        <w:rPr>
          <w:rFonts w:ascii="Times New Roman" w:eastAsia="Times New Roman" w:hAnsi="Times New Roman" w:cs="Times New Roman"/>
          <w:sz w:val="28"/>
          <w:szCs w:val="28"/>
          <w:highlight w:val="white"/>
        </w:rPr>
        <w:t xml:space="preserve"> власні побажання щодо наповнення мобільного застосунку та їх думка була в подальшому врахована.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Ці зміни дозволили підвищити ефективність дослідження та якість отриманих даних. Розгорнуті запитання забезпечили можливість глибшого аналізу відповідей, що сприятиме точнішому формулюванню висновків та рекомендацій. Зміна часу проведення опитування підвищила </w:t>
      </w:r>
      <w:proofErr w:type="spellStart"/>
      <w:r>
        <w:rPr>
          <w:rFonts w:ascii="Times New Roman" w:eastAsia="Times New Roman" w:hAnsi="Times New Roman" w:cs="Times New Roman"/>
          <w:sz w:val="28"/>
          <w:szCs w:val="28"/>
          <w:highlight w:val="white"/>
        </w:rPr>
        <w:t>залученість</w:t>
      </w:r>
      <w:proofErr w:type="spellEnd"/>
      <w:r>
        <w:rPr>
          <w:rFonts w:ascii="Times New Roman" w:eastAsia="Times New Roman" w:hAnsi="Times New Roman" w:cs="Times New Roman"/>
          <w:sz w:val="28"/>
          <w:szCs w:val="28"/>
          <w:highlight w:val="white"/>
        </w:rPr>
        <w:t xml:space="preserve"> респондентів, що позитивно вплинуло на кількість і якість відповідей. Таким чином, врахування зауважень респондентів дозволило удосконалити методику проведення опитування та забезпечити більш надійні результати дослідження.</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 xml:space="preserve">Для аналізу даних, зібраних за допомогою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Форми, використовувалося програмне забезпечення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Таблиця.  У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Таблицях процес редагування даних, для зменшення помилок, під час аналізу включає кілька етапів, таких як очищення даних та робота з відсутніми даними. Для форматування тексту використовувалась функція, така як TEXT для зміни формату тексту.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роботі з відсутніми даними використовуємо функцію FILTER для видалення порожніх рядків або стовпців. Для аналізу даних використовуємо функції, такі як AVERAGE та SUM, для створення аналітичного звіту та графіків. Також необхідні у роботі функції для обчислення статистичних показників AVERAGE, MEDIAN або STDEV, для аналізу даних. Для аналізу інформації з </w:t>
      </w:r>
      <w:r>
        <w:rPr>
          <w:rFonts w:ascii="Times New Roman" w:eastAsia="Times New Roman" w:hAnsi="Times New Roman" w:cs="Times New Roman"/>
          <w:sz w:val="28"/>
          <w:szCs w:val="28"/>
          <w:highlight w:val="white"/>
        </w:rPr>
        <w:lastRenderedPageBreak/>
        <w:t xml:space="preserve">розгорнутих відповідей використовуємо функцію COUNTIF, порахувати кількість повторень відповідей.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Процес редагування даних включав очищення даних, робота з порожніми рядками, аналіз однакових відповідей у питаннях з розгорнутою відповіддю.  Програмне забезпечення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Таблиця було обране через його ефективність та зручність у формуванні бази даних і проведенні аналізу.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Процес кодування даних включав кілька важливих етапів. На початковому етапі здійснювався збір даних, де відповіді з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Форми автоматично експортувалися в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Таблицю, що забезпечувало миттєвий доступ до даних. Наступним кроком була попередня обробка даних, під час якої перевірялися записи на наявність помилок, пропущених відповідей та дублікатів, з подальшим видаленням або коригуванням некоректних даних. Основним етапом було кодування даних, де кожному значенню відповідей присвоювався відповідний код. Для питань з відповідями «Так« або «Ні« використовувалися коди 1 і 0 відповідно. Відкриті відповіді кодувалися за допомогою категорій, які також отримували числові значення. Після цього проводилась перевірка правильності кодування, щоб гарантувати відповідність присвоєних кодів оригінальним відповідям. </w:t>
      </w:r>
    </w:p>
    <w:p w:rsidR="00BA76DF" w:rsidRDefault="00C33D3F">
      <w:pPr>
        <w:spacing w:line="360" w:lineRule="auto"/>
        <w:ind w:firstLine="720"/>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Таблиця була обрана для аналізу даних завдяки своїм численним перевагам. Насамперед, це доступність та інтеграція, оскільки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Таблиця є безкоштовним інструментом, доступним через інтернет, і інтегрується з іншими продуктами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що спрощує процес збору та переносу даних.</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Функціональність та гнучкість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Таблиці надають широкий спектр можливостей для аналізу даних, включаючи сортування, фільтрацію, використання формул та створення зведених таблиць. Вбудовані інструменти для створення графіків та діаграм забезпечують ефективну візуалізацію результатів аналізу, сприяючи кращому розумінню даних.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Безпека та збереження даних також є важливою перевагою, оскільки дані зберігаються в хмарі, забезпечуючи їх доступність з будь-якого пристрою, а автоматичне збереження змін мінімізує ризик втрати даних. Отже, використання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Таблиці для аналізу даних, зібраних за допомогою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 Форми, є </w:t>
      </w:r>
      <w:r>
        <w:rPr>
          <w:rFonts w:ascii="Times New Roman" w:eastAsia="Times New Roman" w:hAnsi="Times New Roman" w:cs="Times New Roman"/>
          <w:sz w:val="28"/>
          <w:szCs w:val="28"/>
          <w:highlight w:val="white"/>
        </w:rPr>
        <w:lastRenderedPageBreak/>
        <w:t xml:space="preserve">обґрунтованим вибором, що забезпечує ефективність та зручність проведення дослідження. </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завдання маркетингового дослідження, а саме аналізу програми лояльності НАК «Нафтогаз України» було сформовано пошукове питання «Які умови надає програма лояльності споживачам НАК «Нафтогаз України»?». Для проведення дослідження проаналізуємо вторинну інформацію, а саме офіційний сайт НАК «Нафтогаз України» та Закон України «Про нафту і газ« [1;19]. </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компанії діє програма «Запроси друга«, в рамках якої нові та поточні клієнти, які виконують всі умови, отримують знижку на природний газ у розмірі 50 гривень (з ПДВ). Основна умова - приєднання нового клієнта має відбутись за допомогою унікального посилання та споживанням ним не менше 5 м куб газу. Кількість нових клієнтів, яких може привести існуючий учасник за своїм унікальним посиланням, не обмежена. Крім цього, клієнтам, що сплачують до 15 числа поточного місяця нараховується знижка у розмірі 1% на сплату рахунку у наступному місяці. </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період з 1 по 30 листопада 2022 року компанія з постачання газу НАК «Нафтогаз України» спільно з соціально-важливою платіжною системою </w:t>
      </w:r>
      <w:proofErr w:type="spellStart"/>
      <w:r>
        <w:rPr>
          <w:rFonts w:ascii="Times New Roman" w:eastAsia="Times New Roman" w:hAnsi="Times New Roman" w:cs="Times New Roman"/>
          <w:sz w:val="28"/>
          <w:szCs w:val="28"/>
          <w:highlight w:val="white"/>
        </w:rPr>
        <w:t>EasyPay</w:t>
      </w:r>
      <w:proofErr w:type="spellEnd"/>
      <w:r>
        <w:rPr>
          <w:rFonts w:ascii="Times New Roman" w:eastAsia="Times New Roman" w:hAnsi="Times New Roman" w:cs="Times New Roman"/>
          <w:sz w:val="28"/>
          <w:szCs w:val="28"/>
          <w:highlight w:val="white"/>
        </w:rPr>
        <w:t xml:space="preserve"> проводили акцію «Газуй на всі сто!», у межах якої був проведений розіграш 100 гривень для всіх клієнтів, які оплатять рахунок за спожитий газ. Окрім цього, у період з 5 березня 2021 року до 30 квітня 2021 року (включно) споживачі, які перейшли від постачальника «останньої надії»  і які проживають на території Полтавської області, міста </w:t>
      </w:r>
      <w:proofErr w:type="spellStart"/>
      <w:r>
        <w:rPr>
          <w:rFonts w:ascii="Times New Roman" w:eastAsia="Times New Roman" w:hAnsi="Times New Roman" w:cs="Times New Roman"/>
          <w:sz w:val="28"/>
          <w:szCs w:val="28"/>
          <w:highlight w:val="white"/>
        </w:rPr>
        <w:t>Коростишів</w:t>
      </w:r>
      <w:proofErr w:type="spellEnd"/>
      <w:r>
        <w:rPr>
          <w:rFonts w:ascii="Times New Roman" w:eastAsia="Times New Roman" w:hAnsi="Times New Roman" w:cs="Times New Roman"/>
          <w:sz w:val="28"/>
          <w:szCs w:val="28"/>
          <w:highlight w:val="white"/>
        </w:rPr>
        <w:t xml:space="preserve"> (Житомирської області) та міста Мелітополь (Запорізької області) до НАК «Нафтогаз України» мали можливість взяти участь в акції та отримати 100 чи 50 кубів газу або сучасний смартфон – </w:t>
      </w:r>
      <w:proofErr w:type="spellStart"/>
      <w:r>
        <w:rPr>
          <w:rFonts w:ascii="Times New Roman" w:eastAsia="Times New Roman" w:hAnsi="Times New Roman" w:cs="Times New Roman"/>
          <w:sz w:val="28"/>
          <w:szCs w:val="28"/>
          <w:highlight w:val="white"/>
        </w:rPr>
        <w:t>iPhone</w:t>
      </w:r>
      <w:proofErr w:type="spellEnd"/>
      <w:r>
        <w:rPr>
          <w:rFonts w:ascii="Times New Roman" w:eastAsia="Times New Roman" w:hAnsi="Times New Roman" w:cs="Times New Roman"/>
          <w:sz w:val="28"/>
          <w:szCs w:val="28"/>
          <w:highlight w:val="white"/>
        </w:rPr>
        <w:t xml:space="preserve"> 12.</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 20 квітня по 31 травня 2021 року (включно) споживачі, які змінили постачальника «останньої надії» на ГК «Нафтогаз України» як ринкового постачальника, автоматично ставали учасниками акції «</w:t>
      </w:r>
      <w:proofErr w:type="spellStart"/>
      <w:r>
        <w:rPr>
          <w:rFonts w:ascii="Times New Roman" w:eastAsia="Times New Roman" w:hAnsi="Times New Roman" w:cs="Times New Roman"/>
          <w:sz w:val="28"/>
          <w:szCs w:val="28"/>
          <w:highlight w:val="white"/>
        </w:rPr>
        <w:t>Брендовані</w:t>
      </w:r>
      <w:proofErr w:type="spellEnd"/>
      <w:r>
        <w:rPr>
          <w:rFonts w:ascii="Times New Roman" w:eastAsia="Times New Roman" w:hAnsi="Times New Roman" w:cs="Times New Roman"/>
          <w:sz w:val="28"/>
          <w:szCs w:val="28"/>
          <w:highlight w:val="white"/>
        </w:rPr>
        <w:t xml:space="preserve"> подарунки за перехід від ПОН до НАК «Нафтогаз України» у </w:t>
      </w:r>
      <w:proofErr w:type="spellStart"/>
      <w:r>
        <w:rPr>
          <w:rFonts w:ascii="Times New Roman" w:eastAsia="Times New Roman" w:hAnsi="Times New Roman" w:cs="Times New Roman"/>
          <w:sz w:val="28"/>
          <w:szCs w:val="28"/>
          <w:highlight w:val="white"/>
        </w:rPr>
        <w:t>Кременці</w:t>
      </w:r>
      <w:proofErr w:type="spellEnd"/>
      <w:r>
        <w:rPr>
          <w:rFonts w:ascii="Times New Roman" w:eastAsia="Times New Roman" w:hAnsi="Times New Roman" w:cs="Times New Roman"/>
          <w:sz w:val="28"/>
          <w:szCs w:val="28"/>
          <w:highlight w:val="white"/>
        </w:rPr>
        <w:t xml:space="preserve">» та отримали </w:t>
      </w:r>
      <w:proofErr w:type="spellStart"/>
      <w:r>
        <w:rPr>
          <w:rFonts w:ascii="Times New Roman" w:eastAsia="Times New Roman" w:hAnsi="Times New Roman" w:cs="Times New Roman"/>
          <w:sz w:val="28"/>
          <w:szCs w:val="28"/>
          <w:highlight w:val="white"/>
        </w:rPr>
        <w:t>брендовані</w:t>
      </w:r>
      <w:proofErr w:type="spellEnd"/>
      <w:r>
        <w:rPr>
          <w:rFonts w:ascii="Times New Roman" w:eastAsia="Times New Roman" w:hAnsi="Times New Roman" w:cs="Times New Roman"/>
          <w:sz w:val="28"/>
          <w:szCs w:val="28"/>
          <w:highlight w:val="white"/>
        </w:rPr>
        <w:t xml:space="preserve"> призи від «Газопостачальної компанії «Нафтогаз України». Із 18.01.2021 до </w:t>
      </w:r>
      <w:r>
        <w:rPr>
          <w:rFonts w:ascii="Times New Roman" w:eastAsia="Times New Roman" w:hAnsi="Times New Roman" w:cs="Times New Roman"/>
          <w:sz w:val="28"/>
          <w:szCs w:val="28"/>
          <w:highlight w:val="white"/>
        </w:rPr>
        <w:lastRenderedPageBreak/>
        <w:t>31.05.2021 (включно) нові споживачі Газопостачальної компанії «Нафтогаз України» мали можливість взяти участь в акції «Тримайте Газ» та гарантовано отримати 100 кубічних метрів газу при купівлі газового котла в дилерських магазинах компанії «</w:t>
      </w:r>
      <w:proofErr w:type="spellStart"/>
      <w:r>
        <w:rPr>
          <w:rFonts w:ascii="Times New Roman" w:eastAsia="Times New Roman" w:hAnsi="Times New Roman" w:cs="Times New Roman"/>
          <w:sz w:val="28"/>
          <w:szCs w:val="28"/>
          <w:highlight w:val="white"/>
        </w:rPr>
        <w:t>Hot-Well</w:t>
      </w:r>
      <w:proofErr w:type="spellEnd"/>
      <w:r>
        <w:rPr>
          <w:rFonts w:ascii="Times New Roman" w:eastAsia="Times New Roman" w:hAnsi="Times New Roman" w:cs="Times New Roman"/>
          <w:sz w:val="28"/>
          <w:szCs w:val="28"/>
          <w:highlight w:val="white"/>
        </w:rPr>
        <w:t xml:space="preserve">« та на їхніх сайтах [1].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вирішення завдання з маркетингового дослідження з аналізу програми лояльності конкурентів було сформовано пошукове питання «Які програми лояльності мають конкуренти НАК «Нафтогаз України»?». Для проведення дослідження проаналізуємо вторинну інформацію, а саме офіційний сайт конкурентів ТОВ «Мета Україна та ТОВ «Еру </w:t>
      </w:r>
      <w:proofErr w:type="spellStart"/>
      <w:r>
        <w:rPr>
          <w:rFonts w:ascii="Times New Roman" w:eastAsia="Times New Roman" w:hAnsi="Times New Roman" w:cs="Times New Roman"/>
          <w:sz w:val="28"/>
          <w:szCs w:val="28"/>
          <w:highlight w:val="white"/>
        </w:rPr>
        <w:t>Трейдінг</w:t>
      </w:r>
      <w:proofErr w:type="spellEnd"/>
      <w:r>
        <w:rPr>
          <w:rFonts w:ascii="Times New Roman" w:eastAsia="Times New Roman" w:hAnsi="Times New Roman" w:cs="Times New Roman"/>
          <w:sz w:val="28"/>
          <w:szCs w:val="28"/>
          <w:highlight w:val="white"/>
        </w:rPr>
        <w:t xml:space="preserve">» [20;21].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 даний момент, ТОВ «МЕТ Україна« та ТОВ «ЕРУ </w:t>
      </w:r>
      <w:proofErr w:type="spellStart"/>
      <w:r>
        <w:rPr>
          <w:rFonts w:ascii="Times New Roman" w:eastAsia="Times New Roman" w:hAnsi="Times New Roman" w:cs="Times New Roman"/>
          <w:sz w:val="28"/>
          <w:szCs w:val="28"/>
          <w:highlight w:val="white"/>
        </w:rPr>
        <w:t>Трейдінг</w:t>
      </w:r>
      <w:proofErr w:type="spellEnd"/>
      <w:r>
        <w:rPr>
          <w:rFonts w:ascii="Times New Roman" w:eastAsia="Times New Roman" w:hAnsi="Times New Roman" w:cs="Times New Roman"/>
          <w:sz w:val="28"/>
          <w:szCs w:val="28"/>
          <w:highlight w:val="white"/>
        </w:rPr>
        <w:t xml:space="preserve">« не мають спеціальних програм лояльності для споживачів, подібних до тих, що зазвичай пропонують роздрібні компанії. Їх основний фокус спрямований на великомасштабні операції в енергетичному секторі.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ТОВ «MET Україна» зосереджена на наданні послуг з постачання природного газу, електроенергії, нафти та нафтопродуктів. Компанія пропонує своїм клієнтам вигідні комерційні умови та прагне надавати інноваційні рішення для управління енергетичними портфелями. Вони надають широкий спектр короткострокових і довгострокових варіантів постачання енергоресурсів в межах країни​ [20].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У свою чергу, ТОВ «ЕРУ </w:t>
      </w:r>
      <w:proofErr w:type="spellStart"/>
      <w:r>
        <w:rPr>
          <w:rFonts w:ascii="Times New Roman" w:eastAsia="Times New Roman" w:hAnsi="Times New Roman" w:cs="Times New Roman"/>
          <w:sz w:val="28"/>
          <w:szCs w:val="28"/>
          <w:highlight w:val="white"/>
        </w:rPr>
        <w:t>Трейдінг</w:t>
      </w:r>
      <w:proofErr w:type="spellEnd"/>
      <w:r>
        <w:rPr>
          <w:rFonts w:ascii="Times New Roman" w:eastAsia="Times New Roman" w:hAnsi="Times New Roman" w:cs="Times New Roman"/>
          <w:sz w:val="28"/>
          <w:szCs w:val="28"/>
          <w:highlight w:val="white"/>
        </w:rPr>
        <w:t xml:space="preserve">» є найбільшим приватним імпортером природного газу в Україні. Вони активно працюють над диверсифікацією джерел постачання газу, співпрацюючи з міжнародними партнерами, такими як польська компанія </w:t>
      </w:r>
      <w:proofErr w:type="spellStart"/>
      <w:r>
        <w:rPr>
          <w:rFonts w:ascii="Times New Roman" w:eastAsia="Times New Roman" w:hAnsi="Times New Roman" w:cs="Times New Roman"/>
          <w:sz w:val="28"/>
          <w:szCs w:val="28"/>
          <w:highlight w:val="white"/>
        </w:rPr>
        <w:t>PGNiG</w:t>
      </w:r>
      <w:proofErr w:type="spellEnd"/>
      <w:r>
        <w:rPr>
          <w:rFonts w:ascii="Times New Roman" w:eastAsia="Times New Roman" w:hAnsi="Times New Roman" w:cs="Times New Roman"/>
          <w:sz w:val="28"/>
          <w:szCs w:val="28"/>
          <w:highlight w:val="white"/>
        </w:rPr>
        <w:t xml:space="preserve">.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Компанія також займається експортом електроенергії, постачанням мазуту і вугілля, а також експортом сільськогосподарської та іншої сировини. Основна увага приділяється забезпеченню надійних та доступних поставок енергоресурсів для своїх клієнтів​ [22].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Отже, конкуренти НАК «Нафтогаз України» фокусуються на наданні високоякісних послуг та вигідних умовах для своїх клієнтів, але без конкретних програм лояльності, як це зазвичай прийнято в роздрібній торгівлі.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Для вирішення завдання з аналіз рівня лояльності споживачів до компанії було сформоване пошукове питання «Наскільки задоволені споживачі НАК «Нафтогаз України»?». Для проведення дослідження використовуємо метод опитування, а саме анкети у вигляді </w:t>
      </w:r>
      <w:proofErr w:type="spellStart"/>
      <w:r>
        <w:rPr>
          <w:rFonts w:ascii="Times New Roman" w:eastAsia="Times New Roman" w:hAnsi="Times New Roman" w:cs="Times New Roman"/>
          <w:sz w:val="28"/>
          <w:szCs w:val="28"/>
          <w:highlight w:val="white"/>
        </w:rPr>
        <w:t>Google</w:t>
      </w:r>
      <w:proofErr w:type="spellEnd"/>
      <w:r>
        <w:rPr>
          <w:rFonts w:ascii="Times New Roman" w:eastAsia="Times New Roman" w:hAnsi="Times New Roman" w:cs="Times New Roman"/>
          <w:sz w:val="28"/>
          <w:szCs w:val="28"/>
          <w:highlight w:val="white"/>
        </w:rPr>
        <w:t xml:space="preserve">-форми, яка наведено у додатку З.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Результати дослідження показали, що 38,3% опитаних респондентів були у віці 18-25 років, 28,3% - 26-35 років, 20% - 36-45 років, 6,7% респондентів у віці 46-55 років і 6,7% споживачів у віці 56+ років. На відповідь про рід занять більшість опитаних відповіли, що є працівниками (48,3%), інші є підприємці (20%) та студенти (20%), 6,7% респондентів наразі є безробітними, а інші 5% пенсіонерами. Питання анкети - Як довго ви є клієнтом НАК «Нафтогаз України»? Графічне зображення даних наведено на рисунку 3.1.</w:t>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drawing>
          <wp:inline distT="114300" distB="114300" distL="114300" distR="114300">
            <wp:extent cx="6296025" cy="4113938"/>
            <wp:effectExtent l="0" t="0" r="0" b="0"/>
            <wp:docPr id="33" name="image4.png" descr="Діаграма"/>
            <wp:cNvGraphicFramePr/>
            <a:graphic xmlns:a="http://schemas.openxmlformats.org/drawingml/2006/main">
              <a:graphicData uri="http://schemas.openxmlformats.org/drawingml/2006/picture">
                <pic:pic xmlns:pic="http://schemas.openxmlformats.org/drawingml/2006/picture">
                  <pic:nvPicPr>
                    <pic:cNvPr id="0" name="image4.png" descr="Діаграма"/>
                    <pic:cNvPicPr preferRelativeResize="0"/>
                  </pic:nvPicPr>
                  <pic:blipFill>
                    <a:blip r:embed="rId39"/>
                    <a:srcRect/>
                    <a:stretch>
                      <a:fillRect/>
                    </a:stretch>
                  </pic:blipFill>
                  <pic:spPr>
                    <a:xfrm>
                      <a:off x="0" y="0"/>
                      <a:ext cx="6296025" cy="4113938"/>
                    </a:xfrm>
                    <a:prstGeom prst="rect">
                      <a:avLst/>
                    </a:prstGeom>
                    <a:ln/>
                  </pic:spPr>
                </pic:pic>
              </a:graphicData>
            </a:graphic>
          </wp:inline>
        </w:drawing>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Рисунок 3.1 - Кількість значень для «Як довго ви є клієнтом НАК «Нафтогаз України?»</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Найбільша група споживачів (31,7%) користується послугами компанії протягом 1-3 років. 25% респондентів залишаються клієнтами компанії більше 6 років, 27,7% споживачів користуються послугами компанії протягом 4-6 років, ще 27,7% респондентів є клієнтами менше року. Це показує, що більшість споживачів є споживачами компанії протягом значного періоду часу, зокрема, більшість (включаючи ті, хто користуються послугами компанії більше 6 років) залишаються лояльними клієнтами.</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вирішення завдання з аналіз рівня лояльності споживачів до компанії  було сформоване питання анкети - наскільки ви задоволені якістю послуг, що надає НАК «Нафтогаз України»? Більшість респондентів задоволені або дуже задоволені якістю послуг, що становить 63,3% (38 осіб), нейтрально відносяться до якості послуг 21,7% опитаних (13 осіб), незадоволені якістю послуг НАК «Нафтогаз України» 11,7% (7 осіб), дуже незадоволені 3,3% (2 осіб).  Графічне зображення наведено на рисунку 3.2. </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before="30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drawing>
          <wp:inline distT="114300" distB="114300" distL="114300" distR="114300">
            <wp:extent cx="6296025" cy="3976830"/>
            <wp:effectExtent l="0" t="0" r="0" b="0"/>
            <wp:docPr id="34" name="image7.png" descr="Діаграма"/>
            <wp:cNvGraphicFramePr/>
            <a:graphic xmlns:a="http://schemas.openxmlformats.org/drawingml/2006/main">
              <a:graphicData uri="http://schemas.openxmlformats.org/drawingml/2006/picture">
                <pic:pic xmlns:pic="http://schemas.openxmlformats.org/drawingml/2006/picture">
                  <pic:nvPicPr>
                    <pic:cNvPr id="0" name="image7.png" descr="Діаграма"/>
                    <pic:cNvPicPr preferRelativeResize="0"/>
                  </pic:nvPicPr>
                  <pic:blipFill>
                    <a:blip r:embed="rId40"/>
                    <a:srcRect/>
                    <a:stretch>
                      <a:fillRect/>
                    </a:stretch>
                  </pic:blipFill>
                  <pic:spPr>
                    <a:xfrm>
                      <a:off x="0" y="0"/>
                      <a:ext cx="6296025" cy="3976830"/>
                    </a:xfrm>
                    <a:prstGeom prst="rect">
                      <a:avLst/>
                    </a:prstGeom>
                    <a:ln/>
                  </pic:spPr>
                </pic:pic>
              </a:graphicData>
            </a:graphic>
          </wp:inline>
        </w:drawing>
      </w:r>
      <w:r>
        <w:rPr>
          <w:rFonts w:ascii="Times New Roman" w:eastAsia="Times New Roman" w:hAnsi="Times New Roman" w:cs="Times New Roman"/>
          <w:sz w:val="28"/>
          <w:szCs w:val="28"/>
          <w:highlight w:val="white"/>
        </w:rPr>
        <w:t>Рисунок 3.2 - Задоволеність якістю послуг, що надає НАК «Нафтогаз України»?</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Ці дані свідчать про те, що загалом більшість споживачів мають позитивне або нейтральне ставлення до якості послуг НАК «Нафтогаз України». Однак, існують окремі випадки негативного сприйняття, які можуть виникати через різноманітні причини, такі як технічні недоліки, неефективна комунікація з операторами чи відсутність в повному обсязі інформації про послуги. Для того, щоб проаналізувати як споживачі оцінюють наявну комунікацію з НАК «Нафтогаз України» та що вони хотіли б змінити було сформоване питання анкети - Як часто ви </w:t>
      </w:r>
      <w:proofErr w:type="spellStart"/>
      <w:r>
        <w:rPr>
          <w:rFonts w:ascii="Times New Roman" w:eastAsia="Times New Roman" w:hAnsi="Times New Roman" w:cs="Times New Roman"/>
          <w:sz w:val="28"/>
          <w:szCs w:val="28"/>
          <w:highlight w:val="white"/>
        </w:rPr>
        <w:t>комунікуєте</w:t>
      </w:r>
      <w:proofErr w:type="spellEnd"/>
      <w:r>
        <w:rPr>
          <w:rFonts w:ascii="Times New Roman" w:eastAsia="Times New Roman" w:hAnsi="Times New Roman" w:cs="Times New Roman"/>
          <w:sz w:val="28"/>
          <w:szCs w:val="28"/>
          <w:highlight w:val="white"/>
        </w:rPr>
        <w:t xml:space="preserve"> з НАК «Нафтогаз України»? Графічна інтерпретація даних зображена на рисунку 3.3. </w:t>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drawing>
          <wp:inline distT="114300" distB="114300" distL="114300" distR="114300">
            <wp:extent cx="6048375" cy="3647213"/>
            <wp:effectExtent l="0" t="0" r="0" b="0"/>
            <wp:docPr id="29" name="image1.png" descr="Діаграма"/>
            <wp:cNvGraphicFramePr/>
            <a:graphic xmlns:a="http://schemas.openxmlformats.org/drawingml/2006/main">
              <a:graphicData uri="http://schemas.openxmlformats.org/drawingml/2006/picture">
                <pic:pic xmlns:pic="http://schemas.openxmlformats.org/drawingml/2006/picture">
                  <pic:nvPicPr>
                    <pic:cNvPr id="0" name="image1.png" descr="Діаграма"/>
                    <pic:cNvPicPr preferRelativeResize="0"/>
                  </pic:nvPicPr>
                  <pic:blipFill>
                    <a:blip r:embed="rId41"/>
                    <a:srcRect/>
                    <a:stretch>
                      <a:fillRect/>
                    </a:stretch>
                  </pic:blipFill>
                  <pic:spPr>
                    <a:xfrm>
                      <a:off x="0" y="0"/>
                      <a:ext cx="6048375" cy="3647213"/>
                    </a:xfrm>
                    <a:prstGeom prst="rect">
                      <a:avLst/>
                    </a:prstGeom>
                    <a:ln/>
                  </pic:spPr>
                </pic:pic>
              </a:graphicData>
            </a:graphic>
          </wp:inline>
        </w:drawing>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Рисунок 3.3 - Як часто ви </w:t>
      </w:r>
      <w:proofErr w:type="spellStart"/>
      <w:r>
        <w:rPr>
          <w:rFonts w:ascii="Times New Roman" w:eastAsia="Times New Roman" w:hAnsi="Times New Roman" w:cs="Times New Roman"/>
          <w:sz w:val="28"/>
          <w:szCs w:val="28"/>
          <w:highlight w:val="white"/>
        </w:rPr>
        <w:t>комунікуєте</w:t>
      </w:r>
      <w:proofErr w:type="spellEnd"/>
      <w:r>
        <w:rPr>
          <w:rFonts w:ascii="Times New Roman" w:eastAsia="Times New Roman" w:hAnsi="Times New Roman" w:cs="Times New Roman"/>
          <w:sz w:val="28"/>
          <w:szCs w:val="28"/>
          <w:highlight w:val="white"/>
        </w:rPr>
        <w:t xml:space="preserve"> з НАК «Нафтогаз України»?</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Аналіз отриманих відповідей показав, що щомісяця </w:t>
      </w:r>
      <w:proofErr w:type="spellStart"/>
      <w:r>
        <w:rPr>
          <w:rFonts w:ascii="Times New Roman" w:eastAsia="Times New Roman" w:hAnsi="Times New Roman" w:cs="Times New Roman"/>
          <w:sz w:val="28"/>
          <w:szCs w:val="28"/>
          <w:highlight w:val="white"/>
        </w:rPr>
        <w:t>комунікують</w:t>
      </w:r>
      <w:proofErr w:type="spellEnd"/>
      <w:r>
        <w:rPr>
          <w:rFonts w:ascii="Times New Roman" w:eastAsia="Times New Roman" w:hAnsi="Times New Roman" w:cs="Times New Roman"/>
          <w:sz w:val="28"/>
          <w:szCs w:val="28"/>
          <w:highlight w:val="white"/>
        </w:rPr>
        <w:t xml:space="preserve"> з НАК «Нафтогаз України» 33,3% респондентів, що становить 20 осіб, щодня </w:t>
      </w:r>
      <w:proofErr w:type="spellStart"/>
      <w:r>
        <w:rPr>
          <w:rFonts w:ascii="Times New Roman" w:eastAsia="Times New Roman" w:hAnsi="Times New Roman" w:cs="Times New Roman"/>
          <w:sz w:val="28"/>
          <w:szCs w:val="28"/>
          <w:highlight w:val="white"/>
        </w:rPr>
        <w:t>комунікують</w:t>
      </w:r>
      <w:proofErr w:type="spellEnd"/>
      <w:r>
        <w:rPr>
          <w:rFonts w:ascii="Times New Roman" w:eastAsia="Times New Roman" w:hAnsi="Times New Roman" w:cs="Times New Roman"/>
          <w:sz w:val="28"/>
          <w:szCs w:val="28"/>
          <w:highlight w:val="white"/>
        </w:rPr>
        <w:t xml:space="preserve"> також 33,3% респондентів, що відповідає 20 особам, щотижня мають </w:t>
      </w:r>
      <w:r>
        <w:rPr>
          <w:rFonts w:ascii="Times New Roman" w:eastAsia="Times New Roman" w:hAnsi="Times New Roman" w:cs="Times New Roman"/>
          <w:sz w:val="28"/>
          <w:szCs w:val="28"/>
          <w:highlight w:val="white"/>
        </w:rPr>
        <w:lastRenderedPageBreak/>
        <w:t xml:space="preserve">зв’язок з компанією 26,7% респондентів, що складає 16 осіб, рідше </w:t>
      </w:r>
      <w:proofErr w:type="spellStart"/>
      <w:r>
        <w:rPr>
          <w:rFonts w:ascii="Times New Roman" w:eastAsia="Times New Roman" w:hAnsi="Times New Roman" w:cs="Times New Roman"/>
          <w:sz w:val="28"/>
          <w:szCs w:val="28"/>
          <w:highlight w:val="white"/>
        </w:rPr>
        <w:t>комунікують</w:t>
      </w:r>
      <w:proofErr w:type="spellEnd"/>
      <w:r>
        <w:rPr>
          <w:rFonts w:ascii="Times New Roman" w:eastAsia="Times New Roman" w:hAnsi="Times New Roman" w:cs="Times New Roman"/>
          <w:sz w:val="28"/>
          <w:szCs w:val="28"/>
          <w:highlight w:val="white"/>
        </w:rPr>
        <w:t xml:space="preserve"> з підприємством 6,7% респондентів, що становить 4 особи.</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Таким чином, більшість респондентів (66,6%) </w:t>
      </w:r>
      <w:proofErr w:type="spellStart"/>
      <w:r>
        <w:rPr>
          <w:rFonts w:ascii="Times New Roman" w:eastAsia="Times New Roman" w:hAnsi="Times New Roman" w:cs="Times New Roman"/>
          <w:sz w:val="28"/>
          <w:szCs w:val="28"/>
          <w:highlight w:val="white"/>
        </w:rPr>
        <w:t>комунікують</w:t>
      </w:r>
      <w:proofErr w:type="spellEnd"/>
      <w:r>
        <w:rPr>
          <w:rFonts w:ascii="Times New Roman" w:eastAsia="Times New Roman" w:hAnsi="Times New Roman" w:cs="Times New Roman"/>
          <w:sz w:val="28"/>
          <w:szCs w:val="28"/>
          <w:highlight w:val="white"/>
        </w:rPr>
        <w:t xml:space="preserve"> з НАК «Нафтогаз України» з високою частотою (щодня або щомісяця). Ці дані свідчать про значну активність споживачів та важливість забезпечення ефективної комунікації між компанією та її клієнтами. Враховуючи ці результати, доцільно звернути увагу на покращення комунікаційних стратегій, щоб задовольнити потреби тих клієнтів, які регулярно взаємодіють з компанією. </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Окрім цього, було необхідно визначити рівень задоволеності споживачів комунікацією з НАК «Нафтогаз України» з метою аналізу їх лояльності. Для цього в анкету було включено питання: «Наскільки ви задоволені рівнем комунікації з НАК «Нафтогаз України»?». Результати дослідження показали наступний розподіл відповідей серед 60 респондентів:</w:t>
      </w:r>
    </w:p>
    <w:p w:rsidR="00BA76DF" w:rsidRDefault="00C33D3F">
      <w:pPr>
        <w:numPr>
          <w:ilvl w:val="0"/>
          <w:numId w:val="22"/>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Нейтрально оцінюють рівень комунікації 40% респондентів;</w:t>
      </w:r>
    </w:p>
    <w:p w:rsidR="00BA76DF" w:rsidRDefault="00C33D3F">
      <w:pPr>
        <w:numPr>
          <w:ilvl w:val="0"/>
          <w:numId w:val="22"/>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Задоволені комунікацією 31,7% респондентів;</w:t>
      </w:r>
    </w:p>
    <w:p w:rsidR="00BA76DF" w:rsidRDefault="00C33D3F">
      <w:pPr>
        <w:numPr>
          <w:ilvl w:val="0"/>
          <w:numId w:val="22"/>
        </w:numPr>
        <w:pBdr>
          <w:top w:val="none" w:sz="0" w:space="0" w:color="E3E3E3"/>
          <w:left w:val="none" w:sz="0" w:space="0" w:color="E3E3E3"/>
          <w:bottom w:val="none" w:sz="0" w:space="0" w:color="E3E3E3"/>
          <w:right w:val="none" w:sz="0" w:space="0" w:color="E3E3E3"/>
          <w:between w:val="none" w:sz="0" w:space="0" w:color="E3E3E3"/>
        </w:pBd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Незадоволені рівнем комунікації 28,3% респондентів.</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Дані відповіді респондентів дали змогу визначити ступінь задоволеності споживачів комунікацією з компанією. Графічне інтерпретація результатів наведена на рисунку 3.4. </w:t>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drawing>
          <wp:inline distT="114300" distB="114300" distL="114300" distR="114300">
            <wp:extent cx="5126085" cy="3106427"/>
            <wp:effectExtent l="0" t="0" r="0" b="0"/>
            <wp:docPr id="31" name="image5.png" descr="Діаграма"/>
            <wp:cNvGraphicFramePr/>
            <a:graphic xmlns:a="http://schemas.openxmlformats.org/drawingml/2006/main">
              <a:graphicData uri="http://schemas.openxmlformats.org/drawingml/2006/picture">
                <pic:pic xmlns:pic="http://schemas.openxmlformats.org/drawingml/2006/picture">
                  <pic:nvPicPr>
                    <pic:cNvPr id="0" name="image5.png" descr="Діаграма"/>
                    <pic:cNvPicPr preferRelativeResize="0"/>
                  </pic:nvPicPr>
                  <pic:blipFill>
                    <a:blip r:embed="rId42"/>
                    <a:srcRect/>
                    <a:stretch>
                      <a:fillRect/>
                    </a:stretch>
                  </pic:blipFill>
                  <pic:spPr>
                    <a:xfrm>
                      <a:off x="0" y="0"/>
                      <a:ext cx="5126085" cy="3106427"/>
                    </a:xfrm>
                    <a:prstGeom prst="rect">
                      <a:avLst/>
                    </a:prstGeom>
                    <a:ln/>
                  </pic:spPr>
                </pic:pic>
              </a:graphicData>
            </a:graphic>
          </wp:inline>
        </w:drawing>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Рисунок 3.4 - Наскільки ви задоволені рівнем комунікації з НАК «Нафтогаз України»?</w:t>
      </w:r>
    </w:p>
    <w:p w:rsidR="00BA76DF" w:rsidRDefault="00C33D3F">
      <w:pPr>
        <w:spacing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Таким чином, можна зробити висновок, що більшість респондентів мають нейтральне або позитивне ставлення до комунікації з НАК «Нафтогаз України», що складає 71,7% опитаних. Однак, значна частка незадоволених (28,3%) свідчить про наявність певних проблем у комунікаційних процесах компанії, що потребують уваги та вдосконалення.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Гіпотеза, що була сформована для аналізу «Програма лояльності НАК «Нафтогаз України» не відповідає очікуванням споживачів»  не підтверджується, оскільки більшість споживачів задоволенні програмою лояльності та є лояльними. Для визначення каналів комунікації, якими користуються споживачі НАК «Нафтогаз України» для зв’язку з компанією було сформоване питання анкети - Якими каналами комунікації ви зазвичай користуєтеся для зв'язку з НАК «Нафтогаз України»?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Результати опитування показали, що для більшості опитуваних є доцільним використання офіційного сайту компанії 53,4% (32 особи), другим каналом комунікації серед споживачів є телефон, тобто гаряча лінія компанії 28,3% (17 осіб), інші респонденти  11,7% (7 осіб) використовують електронну пошту і тільки 6,7% мають зв’язок з компанією завдяки соціальним мережам 6,7% опитаних (4 особи). Графік, що відображає основні канали комунікації для зв’язку з НАК «Нафтогаз України» наведений на рисунку 3.5. </w:t>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lastRenderedPageBreak/>
        <w:drawing>
          <wp:inline distT="114300" distB="114300" distL="114300" distR="114300">
            <wp:extent cx="5762625" cy="3824690"/>
            <wp:effectExtent l="0" t="0" r="0" b="0"/>
            <wp:docPr id="32" name="image6.png" descr="Діаграма"/>
            <wp:cNvGraphicFramePr/>
            <a:graphic xmlns:a="http://schemas.openxmlformats.org/drawingml/2006/main">
              <a:graphicData uri="http://schemas.openxmlformats.org/drawingml/2006/picture">
                <pic:pic xmlns:pic="http://schemas.openxmlformats.org/drawingml/2006/picture">
                  <pic:nvPicPr>
                    <pic:cNvPr id="0" name="image6.png" descr="Діаграма"/>
                    <pic:cNvPicPr preferRelativeResize="0"/>
                  </pic:nvPicPr>
                  <pic:blipFill>
                    <a:blip r:embed="rId43"/>
                    <a:srcRect/>
                    <a:stretch>
                      <a:fillRect/>
                    </a:stretch>
                  </pic:blipFill>
                  <pic:spPr>
                    <a:xfrm>
                      <a:off x="0" y="0"/>
                      <a:ext cx="5762625" cy="3824690"/>
                    </a:xfrm>
                    <a:prstGeom prst="rect">
                      <a:avLst/>
                    </a:prstGeom>
                    <a:ln/>
                  </pic:spPr>
                </pic:pic>
              </a:graphicData>
            </a:graphic>
          </wp:inline>
        </w:drawing>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Рисунок 3.5 - Якими каналами комунікації ви зазвичай користуєтеся для зв'язку з НАК «Нафтогаз України»?</w:t>
      </w:r>
    </w:p>
    <w:p w:rsidR="00BA76DF" w:rsidRDefault="00C33D3F">
      <w:pPr>
        <w:spacing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Ці результати вказують на те, що офіційний сайт та гаряча лінія є основними каналами комунікації для споживачів НАК «Нафтогаз України». Для підвищення ефективності комунікаційної стратегії компанії доцільно зосередитися на покращенні функціональності та зручності цих каналів, а також розглянути можливість розширення та активного використання інших каналів комунікації, таких як соціальні мережі та електронна пошта, для забезпечення всебічного та зручного зв'язку зі споживачами.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визначення труднощів комунікації з компанією було сформоване питання анкети - Чи виникали у вас труднощі при комунікації з НАК «Нафтогаз України»? Результати опитування свідчать про те, що у більшості респондентів 68,3% виникали певні труднощі у комунікації з компанією, а у інших 31,7% не виникало проблем з комунікацію.  Графічна інтерпретація даних опитування </w:t>
      </w:r>
      <w:r>
        <w:rPr>
          <w:rFonts w:ascii="Times New Roman" w:eastAsia="Times New Roman" w:hAnsi="Times New Roman" w:cs="Times New Roman"/>
          <w:sz w:val="28"/>
          <w:szCs w:val="28"/>
          <w:highlight w:val="white"/>
        </w:rPr>
        <w:lastRenderedPageBreak/>
        <w:t>наведена на рисунку 3.6.</w:t>
      </w:r>
      <w:r>
        <w:rPr>
          <w:rFonts w:ascii="Times New Roman" w:eastAsia="Times New Roman" w:hAnsi="Times New Roman" w:cs="Times New Roman"/>
          <w:noProof/>
          <w:sz w:val="28"/>
          <w:szCs w:val="28"/>
          <w:highlight w:val="white"/>
          <w:lang w:val="en-US"/>
        </w:rPr>
        <w:drawing>
          <wp:inline distT="114300" distB="114300" distL="114300" distR="114300">
            <wp:extent cx="6077063" cy="3781425"/>
            <wp:effectExtent l="0" t="0" r="0" b="0"/>
            <wp:docPr id="39" name="image15.png" descr="Діаграма"/>
            <wp:cNvGraphicFramePr/>
            <a:graphic xmlns:a="http://schemas.openxmlformats.org/drawingml/2006/main">
              <a:graphicData uri="http://schemas.openxmlformats.org/drawingml/2006/picture">
                <pic:pic xmlns:pic="http://schemas.openxmlformats.org/drawingml/2006/picture">
                  <pic:nvPicPr>
                    <pic:cNvPr id="0" name="image15.png" descr="Діаграма"/>
                    <pic:cNvPicPr preferRelativeResize="0"/>
                  </pic:nvPicPr>
                  <pic:blipFill>
                    <a:blip r:embed="rId44"/>
                    <a:srcRect/>
                    <a:stretch>
                      <a:fillRect/>
                    </a:stretch>
                  </pic:blipFill>
                  <pic:spPr>
                    <a:xfrm>
                      <a:off x="0" y="0"/>
                      <a:ext cx="6077063" cy="3781425"/>
                    </a:xfrm>
                    <a:prstGeom prst="rect">
                      <a:avLst/>
                    </a:prstGeom>
                    <a:ln/>
                  </pic:spPr>
                </pic:pic>
              </a:graphicData>
            </a:graphic>
          </wp:inline>
        </w:drawing>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Рисунок 3.6 - Чи виникали у вас труднощі при комунікації з НАК «Нафтогаз України»?</w:t>
      </w:r>
    </w:p>
    <w:p w:rsidR="00BA76DF" w:rsidRDefault="00C33D3F">
      <w:pPr>
        <w:spacing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jc w:val="center"/>
        <w:rPr>
          <w:rFonts w:ascii="Times New Roman" w:eastAsia="Times New Roman" w:hAnsi="Times New Roman" w:cs="Times New Roman"/>
          <w:i/>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Отже, виходячи з того, що більшість респондентів віддає перевагу онлайн формі комунікації з компанією, а саме офіційний сайт НАК «Нафтогаз України» та мають труднощі у комунікації з компанією, доцільно проаналізувати інший канал комунікації, такий як мобільний застосунок. Тому, було сформоване питання анкети - Чи вважаєте ви корисним мати мобільний застосунок для взаємодії з НАК «Нафтогаз України»? Результати показали, що 91,7% респондентів (55 осіб) вважають корисним мати мобільний застосунок, інші 8,3% (5 осіб) не вважають за доцільне. Отже, </w:t>
      </w:r>
      <w:proofErr w:type="spellStart"/>
      <w:r>
        <w:rPr>
          <w:rFonts w:ascii="Times New Roman" w:eastAsia="Times New Roman" w:hAnsi="Times New Roman" w:cs="Times New Roman"/>
          <w:sz w:val="28"/>
          <w:szCs w:val="28"/>
          <w:highlight w:val="white"/>
        </w:rPr>
        <w:t>гіпеза</w:t>
      </w:r>
      <w:proofErr w:type="spellEnd"/>
      <w:r>
        <w:rPr>
          <w:rFonts w:ascii="Times New Roman" w:eastAsia="Times New Roman" w:hAnsi="Times New Roman" w:cs="Times New Roman"/>
          <w:sz w:val="28"/>
          <w:szCs w:val="28"/>
          <w:highlight w:val="white"/>
        </w:rPr>
        <w:t xml:space="preserve"> про те, що споживачі потребують мобільного застосунку НАК «Нафтогаз України» є підтвердженою.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визначення характеристик мобільного застосунку, які хочуть мати споживачі було сформоване питання анкети - Які функції ви хотіли б бачити в мобільному застосунку НАК «Нафтогаз України»? Респондентам була надана </w:t>
      </w:r>
      <w:r>
        <w:rPr>
          <w:rFonts w:ascii="Times New Roman" w:eastAsia="Times New Roman" w:hAnsi="Times New Roman" w:cs="Times New Roman"/>
          <w:sz w:val="28"/>
          <w:szCs w:val="28"/>
          <w:highlight w:val="white"/>
        </w:rPr>
        <w:lastRenderedPageBreak/>
        <w:t xml:space="preserve">можливість вибрати всі відповіді, що їм підходять. Відповіді анкети були наступними: оплата рахунків онлайн, моніторинг споживання газу, отримання консультацій через чат, подача заявок на обслуговування, отримання новин та повідомлень від компанії, Інше (вкажіть, яке). Результати дослідження наведені на рисунку 3.7. </w:t>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drawing>
          <wp:inline distT="114300" distB="114300" distL="114300" distR="114300">
            <wp:extent cx="6296025" cy="2522357"/>
            <wp:effectExtent l="0" t="0" r="0" b="0"/>
            <wp:docPr id="35"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45"/>
                    <a:srcRect/>
                    <a:stretch>
                      <a:fillRect/>
                    </a:stretch>
                  </pic:blipFill>
                  <pic:spPr>
                    <a:xfrm>
                      <a:off x="0" y="0"/>
                      <a:ext cx="6296025" cy="2522357"/>
                    </a:xfrm>
                    <a:prstGeom prst="rect">
                      <a:avLst/>
                    </a:prstGeom>
                    <a:ln/>
                  </pic:spPr>
                </pic:pic>
              </a:graphicData>
            </a:graphic>
          </wp:inline>
        </w:drawing>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Рисунок 3.7 - Які функції ви хотіли б бачити в мобільному застосунку НАК «Нафтогаз України»?</w:t>
      </w:r>
    </w:p>
    <w:p w:rsidR="00BA76DF" w:rsidRDefault="00C33D3F">
      <w:pPr>
        <w:spacing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jc w:val="center"/>
        <w:rPr>
          <w:rFonts w:ascii="Times New Roman" w:eastAsia="Times New Roman" w:hAnsi="Times New Roman" w:cs="Times New Roman"/>
          <w:i/>
          <w:sz w:val="28"/>
          <w:szCs w:val="28"/>
          <w:highlight w:val="white"/>
        </w:rPr>
      </w:pP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отриманих відповідей показав наступний розподіл серед 60 респондентів:</w:t>
      </w:r>
    </w:p>
    <w:p w:rsidR="00BA76DF" w:rsidRDefault="00C33D3F">
      <w:pPr>
        <w:numPr>
          <w:ilvl w:val="0"/>
          <w:numId w:val="16"/>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Оплата рахунків онлайн  вибрали 80% респондентів (48 осіб);</w:t>
      </w:r>
    </w:p>
    <w:p w:rsidR="00BA76DF" w:rsidRDefault="00C33D3F">
      <w:pPr>
        <w:numPr>
          <w:ilvl w:val="0"/>
          <w:numId w:val="16"/>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Моніторинг споживання газу: вибрали 55% респондентів (33 особа);</w:t>
      </w:r>
    </w:p>
    <w:p w:rsidR="00BA76DF" w:rsidRDefault="00C33D3F">
      <w:pPr>
        <w:numPr>
          <w:ilvl w:val="0"/>
          <w:numId w:val="16"/>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Отримання консультацій через чат: вибрали 66,7% респондентів (40 осіб);</w:t>
      </w:r>
    </w:p>
    <w:p w:rsidR="00BA76DF" w:rsidRDefault="00C33D3F">
      <w:pPr>
        <w:numPr>
          <w:ilvl w:val="0"/>
          <w:numId w:val="16"/>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Подача заявок на обслуговування: вибрали 43,3% респондентів (26 осіб);</w:t>
      </w:r>
    </w:p>
    <w:p w:rsidR="00BA76DF" w:rsidRDefault="00C33D3F">
      <w:pPr>
        <w:numPr>
          <w:ilvl w:val="0"/>
          <w:numId w:val="16"/>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Отримання новин та повідомлень від компанії: вибрали 33,3% респондентів (20 осіб).</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Таким чином, найбільш популярною функцією, яку споживачі хотіли б бачити в мобільному застосунку НАК «Нафтогаз України», є оплата рахунків онлайн (80%). Це свідчить про високу потребу в зручному способі здійснення платежів. Другою за популярністю є функція моніторингу споживання газу (55%), що вказує на важливість для споживачів мати доступ до актуальної інформації про </w:t>
      </w:r>
      <w:r>
        <w:rPr>
          <w:rFonts w:ascii="Times New Roman" w:eastAsia="Times New Roman" w:hAnsi="Times New Roman" w:cs="Times New Roman"/>
          <w:sz w:val="28"/>
          <w:szCs w:val="28"/>
          <w:highlight w:val="white"/>
        </w:rPr>
        <w:lastRenderedPageBreak/>
        <w:t xml:space="preserve">своє споживання. Отримання консультацій через чат (66,7%) також є значним пріоритетом, що підкреслює необхідність забезпечення оперативної підтримки клієнтів. Подача заявок на обслуговування (43,3%) та отримання новин і повідомлень від компанії (33,3%) також є важливими функціями, які споживачі хотіли б мати в мобільному застосунку. Ці результати свідчать про те, що споживачі очікують від застосунку комплексного підходу до взаємодії з компанією, який включає фінансові операції, інформаційні послуги та підтримку клієнтів. </w:t>
      </w:r>
    </w:p>
    <w:p w:rsidR="00BA76DF" w:rsidRDefault="00C33D3F">
      <w:pPr>
        <w:spacing w:after="16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вирішення завдання з визначення характеристик інструменту удосконалення маркетингової діяльності підприємства, а саме мобільного застосунку, було сформульовано питання анкети: «Наскільки важливою для вас є можливість отримувати сповіщення про новини та акції компанії через мобільний застосунок?« Це питання було розроблене з огляду на те, що основний засіб комунікації більшості споживачів з компанією, а саме сайт НАК «Нафтогаз України», не має функціональної можливості надсилати сповіщення про новини та акції компанії, нагадуючи про компанію споживачам. Результати дослідження наведені на рисунку 3.8.</w:t>
      </w:r>
    </w:p>
    <w:p w:rsidR="00BA76DF" w:rsidRDefault="00C33D3F">
      <w:pPr>
        <w:spacing w:after="160" w:line="360" w:lineRule="auto"/>
        <w:ind w:firstLine="720"/>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w:t>
      </w:r>
      <w:r>
        <w:rPr>
          <w:rFonts w:ascii="Times New Roman" w:eastAsia="Times New Roman" w:hAnsi="Times New Roman" w:cs="Times New Roman"/>
          <w:noProof/>
          <w:sz w:val="28"/>
          <w:szCs w:val="28"/>
          <w:highlight w:val="white"/>
          <w:lang w:val="en-US"/>
        </w:rPr>
        <w:drawing>
          <wp:inline distT="114300" distB="114300" distL="114300" distR="114300">
            <wp:extent cx="6019800" cy="3645334"/>
            <wp:effectExtent l="0" t="0" r="0" b="0"/>
            <wp:docPr id="38" name="image25.png" descr="Діаграма"/>
            <wp:cNvGraphicFramePr/>
            <a:graphic xmlns:a="http://schemas.openxmlformats.org/drawingml/2006/main">
              <a:graphicData uri="http://schemas.openxmlformats.org/drawingml/2006/picture">
                <pic:pic xmlns:pic="http://schemas.openxmlformats.org/drawingml/2006/picture">
                  <pic:nvPicPr>
                    <pic:cNvPr id="0" name="image25.png" descr="Діаграма"/>
                    <pic:cNvPicPr preferRelativeResize="0"/>
                  </pic:nvPicPr>
                  <pic:blipFill>
                    <a:blip r:embed="rId46"/>
                    <a:srcRect/>
                    <a:stretch>
                      <a:fillRect/>
                    </a:stretch>
                  </pic:blipFill>
                  <pic:spPr>
                    <a:xfrm>
                      <a:off x="0" y="0"/>
                      <a:ext cx="6019800" cy="3645334"/>
                    </a:xfrm>
                    <a:prstGeom prst="rect">
                      <a:avLst/>
                    </a:prstGeom>
                    <a:ln/>
                  </pic:spPr>
                </pic:pic>
              </a:graphicData>
            </a:graphic>
          </wp:inline>
        </w:drawing>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Рисунок 3.8 - Наскільки важливою для вас є можливість отримувати сповіщення про новини та акції компанії через мобільний застосунок?</w:t>
      </w:r>
    </w:p>
    <w:p w:rsidR="00BA76DF" w:rsidRDefault="00C33D3F">
      <w:pPr>
        <w:spacing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C33D3F">
      <w:pPr>
        <w:spacing w:after="16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Результати опитування показали, що для більшості респондентів 65% (39 осіб) важливо отримувати сповіщення через мобільний застосунок, для 21,7% (13 осіб) нейтрально ставляться до цього, а для 13,3% опитаних (8 осіб)  надсилання повідомлень про новини та акції є неважливим. Це свідчить про значну зацікавленість споживачів у сучасних засобах комунікації, що забезпечують оперативний доступ до інформації та підвищують рівень взаємодії з компанією.</w:t>
      </w:r>
    </w:p>
    <w:p w:rsidR="00BA76DF" w:rsidRDefault="00C33D3F">
      <w:pPr>
        <w:spacing w:after="16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t xml:space="preserve"> </w:t>
      </w:r>
      <w:r>
        <w:rPr>
          <w:rFonts w:ascii="Times New Roman" w:eastAsia="Times New Roman" w:hAnsi="Times New Roman" w:cs="Times New Roman"/>
          <w:sz w:val="28"/>
          <w:szCs w:val="28"/>
          <w:highlight w:val="white"/>
        </w:rPr>
        <w:tab/>
        <w:t xml:space="preserve"> </w:t>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p>
    <w:p w:rsidR="00BA76DF" w:rsidRDefault="00C33D3F">
      <w:pPr>
        <w:pStyle w:val="2"/>
        <w:spacing w:before="240" w:after="240" w:line="360" w:lineRule="auto"/>
        <w:ind w:firstLine="720"/>
        <w:jc w:val="both"/>
        <w:rPr>
          <w:highlight w:val="white"/>
        </w:rPr>
      </w:pPr>
      <w:bookmarkStart w:id="16" w:name="_y6zl1iiz4btl" w:colFirst="0" w:colLast="0"/>
      <w:bookmarkEnd w:id="16"/>
      <w:r>
        <w:rPr>
          <w:highlight w:val="white"/>
        </w:rPr>
        <w:t xml:space="preserve">3.2 </w:t>
      </w:r>
      <w:proofErr w:type="spellStart"/>
      <w:r>
        <w:rPr>
          <w:highlight w:val="white"/>
        </w:rPr>
        <w:t>Пропозиціі</w:t>
      </w:r>
      <w:proofErr w:type="spellEnd"/>
      <w:r>
        <w:rPr>
          <w:highlight w:val="white"/>
        </w:rPr>
        <w:t xml:space="preserve">̈ щодо удосконалення </w:t>
      </w:r>
      <w:proofErr w:type="spellStart"/>
      <w:r>
        <w:rPr>
          <w:highlight w:val="white"/>
        </w:rPr>
        <w:t>маркетинговоі</w:t>
      </w:r>
      <w:proofErr w:type="spellEnd"/>
      <w:r>
        <w:rPr>
          <w:highlight w:val="white"/>
        </w:rPr>
        <w:t xml:space="preserve">̈ діяльності підприємства </w:t>
      </w:r>
    </w:p>
    <w:p w:rsidR="00BA76DF" w:rsidRDefault="00BA76DF">
      <w:pPr>
        <w:spacing w:line="360" w:lineRule="auto"/>
        <w:rPr>
          <w:rFonts w:ascii="Times New Roman" w:eastAsia="Times New Roman" w:hAnsi="Times New Roman" w:cs="Times New Roman"/>
          <w:sz w:val="28"/>
          <w:szCs w:val="28"/>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Виходячи з маркетингової управлінської проблеми підприємства, компанії необхідно удосконалити маркетингову діяльність на ринку природного газу </w:t>
      </w:r>
      <w:r>
        <w:rPr>
          <w:rFonts w:ascii="Times New Roman" w:eastAsia="Times New Roman" w:hAnsi="Times New Roman" w:cs="Times New Roman"/>
          <w:sz w:val="28"/>
          <w:szCs w:val="28"/>
          <w:highlight w:val="white"/>
        </w:rPr>
        <w:lastRenderedPageBreak/>
        <w:t>завдяки покращенню сервісу шляхом впровадження мобільного застосунку з метою підвищення рівня лояльності. Покращення сервісу є важливим аспектом в удосконаленні маркетингової діяльності підприємства. Висока якість обслуговування споживачів є ключовим фактором успіху на ринку. Покращення сервісу може бути досягнуте за допомогою різних стратегій та підходів:</w:t>
      </w:r>
    </w:p>
    <w:p w:rsidR="00BA76DF" w:rsidRDefault="00C33D3F">
      <w:pPr>
        <w:numPr>
          <w:ilvl w:val="0"/>
          <w:numId w:val="1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Персоналізація сервісу. Адаптація сервісу до індивідуальних потреб та побажань кожного клієнта. Це може бути досягнуто шляхом збору та аналізу інформації про клієнтів, їхніх попередніх покупок та взаємодій з компанією;</w:t>
      </w:r>
    </w:p>
    <w:p w:rsidR="00BA76DF" w:rsidRDefault="00C33D3F">
      <w:pPr>
        <w:numPr>
          <w:ilvl w:val="0"/>
          <w:numId w:val="1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Підвищення доступності. Забезпечення зручних способів зв'язку та отримання інформації для клієнтів, таких як мобільні додатки, онлайн-консультації та чати;</w:t>
      </w:r>
    </w:p>
    <w:p w:rsidR="00BA76DF" w:rsidRDefault="00C33D3F">
      <w:pPr>
        <w:numPr>
          <w:ilvl w:val="0"/>
          <w:numId w:val="1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Постійне навчання персоналу. Навчання співробітників новим технологіям та методам обслуговування, щоб забезпечити високу якість обслуговування.</w:t>
      </w:r>
    </w:p>
    <w:p w:rsidR="00BA76DF" w:rsidRDefault="00C33D3F">
      <w:pPr>
        <w:numPr>
          <w:ilvl w:val="0"/>
          <w:numId w:val="1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Створення позитивного клієнтського досвіду. Необхідно зробити, щоб кожна взаємодія клієнта з компанією була приємною та ефективною;</w:t>
      </w:r>
    </w:p>
    <w:p w:rsidR="00BA76DF" w:rsidRDefault="00C33D3F">
      <w:pPr>
        <w:numPr>
          <w:ilvl w:val="0"/>
          <w:numId w:val="1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Впровадження програм лояльності. Створення </w:t>
      </w:r>
      <w:proofErr w:type="spellStart"/>
      <w:r>
        <w:rPr>
          <w:rFonts w:ascii="Times New Roman" w:eastAsia="Times New Roman" w:hAnsi="Times New Roman" w:cs="Times New Roman"/>
          <w:sz w:val="28"/>
          <w:szCs w:val="28"/>
          <w:highlight w:val="white"/>
        </w:rPr>
        <w:t>інцентивів</w:t>
      </w:r>
      <w:proofErr w:type="spellEnd"/>
      <w:r>
        <w:rPr>
          <w:rFonts w:ascii="Times New Roman" w:eastAsia="Times New Roman" w:hAnsi="Times New Roman" w:cs="Times New Roman"/>
          <w:sz w:val="28"/>
          <w:szCs w:val="28"/>
          <w:highlight w:val="white"/>
        </w:rPr>
        <w:t xml:space="preserve"> для клієнтів повертатися до компанії та використовувати її послуги чи товари знову;</w:t>
      </w:r>
    </w:p>
    <w:p w:rsidR="00BA76DF" w:rsidRDefault="00C33D3F">
      <w:pPr>
        <w:numPr>
          <w:ilvl w:val="0"/>
          <w:numId w:val="1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Забезпечення якості продукції та послуг. Постійний контроль за якістю продукції та послуг, щоб вони відповідали вимогам та очікуванням клієнтів.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Загальна мета покращення сервісу полягає в тому, щоб зробити взаємодію з компанією як найбільш зручною та ефективною для клієнтів. Це дозволить не лише збільшити рівень лояльності клієнтів, а й покращити репутацію компанії та забезпечити її конкурентоспроможність на ринку.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 сучасних умовах ринкової економіки маркетингова діяльність підприємств відіграє важливу роль у забезпеченні їх конкурентоспроможності та сталого розвитку. Вона включає комплекс заходів, спрямованих на вивчення ринку, потреб споживачів, розробку та просування товарів і послуг, а також побудову ефективної комунікації з клієнтами. Одним із ключових аспектів успішної маркетингової стратегії є здатність підприємства швидко адаптуватися до змін у зовнішньому </w:t>
      </w:r>
      <w:r>
        <w:rPr>
          <w:rFonts w:ascii="Times New Roman" w:eastAsia="Times New Roman" w:hAnsi="Times New Roman" w:cs="Times New Roman"/>
          <w:sz w:val="28"/>
          <w:szCs w:val="28"/>
          <w:highlight w:val="white"/>
        </w:rPr>
        <w:lastRenderedPageBreak/>
        <w:t>середовищі та впроваджувати інноваційні рішення, які відповідають вимогам сучасного споживача.</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Один із таких інноваційних підходів – це </w:t>
      </w:r>
      <w:proofErr w:type="spellStart"/>
      <w:r>
        <w:rPr>
          <w:rFonts w:ascii="Times New Roman" w:eastAsia="Times New Roman" w:hAnsi="Times New Roman" w:cs="Times New Roman"/>
          <w:sz w:val="28"/>
          <w:szCs w:val="28"/>
          <w:highlight w:val="white"/>
        </w:rPr>
        <w:t>цифровізація</w:t>
      </w:r>
      <w:proofErr w:type="spellEnd"/>
      <w:r>
        <w:rPr>
          <w:rFonts w:ascii="Times New Roman" w:eastAsia="Times New Roman" w:hAnsi="Times New Roman" w:cs="Times New Roman"/>
          <w:sz w:val="28"/>
          <w:szCs w:val="28"/>
          <w:highlight w:val="white"/>
        </w:rPr>
        <w:t xml:space="preserve"> маркетингової діяльності, яка включає використання мобільних додатків, соціальних мереж, веб-сайтів та інших цифрових платформ для взаємодії з клієнтами. Мобільні додатки, зокрема, стають все більш популярними серед підприємств, оскільки вони дозволяють забезпечити високий рівень зручності та доступності послуг для клієнтів, а також оптимізувати внутрішні процеси компанії.</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НАК «Нафтогаз України» є провідним підприємством на ринку природного газу України. Компанія постійно працює над покращенням своїх маркетингових стратегій для задоволення потреб споживачів та підтримки конкурентоспроможності. Основною рекомендацією щодо удосконалення маркетингової діяльності підприємства є впровадження мобільного застосунку, що дозволить суттєво підвищити якість обслуговування клієнтів та оптимізувати внутрішні процеси. Основними аспектами маркетингової діяльності компанії є:</w:t>
      </w:r>
    </w:p>
    <w:p w:rsidR="00BA76DF" w:rsidRDefault="00C33D3F">
      <w:pPr>
        <w:numPr>
          <w:ilvl w:val="0"/>
          <w:numId w:val="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НАК «Нафтогаз України» пропонує своїм клієнтам різні програми лояльності, спрямовані на заохочення постійного використання послуг компанії. Споживачі можуть отримувати знижки, бонуси та інші переваги за участь у програмі;</w:t>
      </w:r>
    </w:p>
    <w:p w:rsidR="00BA76DF" w:rsidRDefault="00C33D3F">
      <w:pPr>
        <w:numPr>
          <w:ilvl w:val="0"/>
          <w:numId w:val="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Компанія активно використовує рекламні кампанії для інформування споживачів про нові послуги, акції та пропозиції. Основні канали реклами включають телебачення, радіо, Інтернет та соціальні мережі;</w:t>
      </w:r>
    </w:p>
    <w:p w:rsidR="00BA76DF" w:rsidRDefault="00C33D3F">
      <w:pPr>
        <w:numPr>
          <w:ilvl w:val="0"/>
          <w:numId w:val="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НАК «Нафтогаз України» прагне забезпечити високий рівень обслуговування клієнтів через різні канали комунікації, включаючи телефонні лінії, електронну пошту та соціальні мережі.</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Програма лояльності НАК «Нафтогаз України» має на меті підвищити рівень задоволеності клієнтів та їхню довіру до компанії. Основні умови програми лояльності включають:</w:t>
      </w:r>
    </w:p>
    <w:p w:rsidR="00BA76DF" w:rsidRDefault="00C33D3F">
      <w:pPr>
        <w:numPr>
          <w:ilvl w:val="0"/>
          <w:numId w:val="50"/>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Нарахування </w:t>
      </w:r>
      <w:proofErr w:type="spellStart"/>
      <w:r>
        <w:rPr>
          <w:rFonts w:ascii="Times New Roman" w:eastAsia="Times New Roman" w:hAnsi="Times New Roman" w:cs="Times New Roman"/>
          <w:sz w:val="28"/>
          <w:szCs w:val="28"/>
          <w:highlight w:val="white"/>
        </w:rPr>
        <w:t>бонусних</w:t>
      </w:r>
      <w:proofErr w:type="spellEnd"/>
      <w:r>
        <w:rPr>
          <w:rFonts w:ascii="Times New Roman" w:eastAsia="Times New Roman" w:hAnsi="Times New Roman" w:cs="Times New Roman"/>
          <w:sz w:val="28"/>
          <w:szCs w:val="28"/>
          <w:highlight w:val="white"/>
        </w:rPr>
        <w:t xml:space="preserve"> балів за кожний сплачений рахунок, які можуть бути використані для отримання знижок на майбутні платежі;</w:t>
      </w:r>
    </w:p>
    <w:p w:rsidR="00BA76DF" w:rsidRDefault="00C33D3F">
      <w:pPr>
        <w:numPr>
          <w:ilvl w:val="0"/>
          <w:numId w:val="50"/>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Спеціальні пропозиції та акції для постійних клієнтів;</w:t>
      </w:r>
    </w:p>
    <w:p w:rsidR="00BA76DF" w:rsidRDefault="00C33D3F">
      <w:pPr>
        <w:numPr>
          <w:ilvl w:val="0"/>
          <w:numId w:val="50"/>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участі в розіграшах та конкурсах з цінними призами.</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Ці заходи спрямовані на стимулювання клієнтів до регулярного користування послугами компанії та підтримання високого рівня їхньої задоволеності. Для визначення рівня задоволеності споживачів послугами НАК «Нафтогаз України» було проведено анкетування, результати якого показали, що більшість клієнтів задоволені якістю обслуговування, проте виявили деякі проблеми та побажання щодо покращення. Основні потреби та очікування споживачів включають:</w:t>
      </w:r>
    </w:p>
    <w:p w:rsidR="00BA76DF" w:rsidRDefault="00C33D3F">
      <w:pPr>
        <w:numPr>
          <w:ilvl w:val="0"/>
          <w:numId w:val="3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Більш оперативна та зручна комунікація з компанією;</w:t>
      </w:r>
    </w:p>
    <w:p w:rsidR="00BA76DF" w:rsidRDefault="00C33D3F">
      <w:pPr>
        <w:numPr>
          <w:ilvl w:val="0"/>
          <w:numId w:val="3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швидкого отримання консультацій та підтримки;</w:t>
      </w:r>
    </w:p>
    <w:p w:rsidR="00BA76DF" w:rsidRDefault="00C33D3F">
      <w:pPr>
        <w:numPr>
          <w:ilvl w:val="0"/>
          <w:numId w:val="3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Доступ до актуальної інформації про стан рахунків та споживання газу.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У результаті дослідження було підтверджено, що споживачі НАК «Нафтогаз України» виявляють високий інтерес до використання мобільного застосунку компанії для взаємодії та отримання необхідної інформації. Результати дослідження показали, що 91,7% респондентів вважають корисним мати мобільний застосунок для взаємодії з НАК «Нафтогаз України». Найбільш популярними функціями, які вони хотіли б бачити в застосунку, є:</w:t>
      </w:r>
    </w:p>
    <w:p w:rsidR="00BA76DF" w:rsidRDefault="00C33D3F">
      <w:pPr>
        <w:numPr>
          <w:ilvl w:val="0"/>
          <w:numId w:val="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Оплата рахунків онлайн (80%);</w:t>
      </w:r>
    </w:p>
    <w:p w:rsidR="00BA76DF" w:rsidRDefault="00C33D3F">
      <w:pPr>
        <w:numPr>
          <w:ilvl w:val="0"/>
          <w:numId w:val="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Моніторинг споживання газу (55%);</w:t>
      </w:r>
    </w:p>
    <w:p w:rsidR="00BA76DF" w:rsidRDefault="00C33D3F">
      <w:pPr>
        <w:numPr>
          <w:ilvl w:val="0"/>
          <w:numId w:val="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Отримання консультацій через чат (66,7%).</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Результати дослідження чітко окреслили потреби та очікування споживачів щодо мобільного застосунку. На основі отриманих даних з дослідження, можна виділити основні функції, які повинні бути включені до мобільного застосунку:</w:t>
      </w:r>
    </w:p>
    <w:p w:rsidR="00BA76DF" w:rsidRDefault="00C33D3F">
      <w:pPr>
        <w:numPr>
          <w:ilvl w:val="0"/>
          <w:numId w:val="2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Забезпечення можливості швидкої та зручної оплати рахунків за допомогою мобільного застосунку;</w:t>
      </w:r>
    </w:p>
    <w:p w:rsidR="00BA76DF" w:rsidRDefault="00C33D3F">
      <w:pPr>
        <w:numPr>
          <w:ilvl w:val="0"/>
          <w:numId w:val="2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Надання інформації про обсяг споживання газу в режимі реального часу;</w:t>
      </w:r>
    </w:p>
    <w:p w:rsidR="00BA76DF" w:rsidRDefault="00C33D3F">
      <w:pPr>
        <w:numPr>
          <w:ilvl w:val="0"/>
          <w:numId w:val="2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Можливість отримання консультацій від фахівців компанії через чат у застосунку;</w:t>
      </w:r>
    </w:p>
    <w:p w:rsidR="00BA76DF" w:rsidRDefault="00C33D3F">
      <w:pPr>
        <w:numPr>
          <w:ilvl w:val="0"/>
          <w:numId w:val="2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Забезпечення можливості подачі заявок на технічне обслуговування та отримання інформації про статус виконання заявок;</w:t>
      </w:r>
    </w:p>
    <w:p w:rsidR="00BA76DF" w:rsidRDefault="00C33D3F">
      <w:pPr>
        <w:numPr>
          <w:ilvl w:val="0"/>
          <w:numId w:val="2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Надсилання новин та акційних пропозицій, а саме інформування споживачів про новини компанії, акції та спеціальні пропозиції.</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Впровадження мобільного застосунку має ряд переваг для НАК «Нафтогаз України». По-перше, це підвищення рівня задоволеності клієнтів. Мобільний застосунок забезпечить споживачам зручний інструмент для взаємодії з компанією, що сприятиме підвищенню їхньої задоволеності обслуговуванням. По-друге, зміцнення лояльності до бренду, а саме забезпечення якісного та зручного обслуговування сприятиме підвищенню лояльності клієнтів до компанії. По-третє, зменшення витрат на обслуговування. Використання мобільного застосунку дозволить зменшити витрати на обслуговування клієнтів шляхом автоматизації процесів та зменшення потреби в ручному обслуговуванні.</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Також, однією з переваг для компанії є покращення маркетингової діяльності, оскільки мобільний застосунок дозволить компанії ефективніше взаємодіяти зі споживачами, інформувати їх про новини, акції та спеціальні пропозиції. Використання сучасних цифрових технологій дозволить компанії підтримувати постійний зв'язок з клієнтами, </w:t>
      </w:r>
      <w:proofErr w:type="spellStart"/>
      <w:r>
        <w:rPr>
          <w:rFonts w:ascii="Times New Roman" w:eastAsia="Times New Roman" w:hAnsi="Times New Roman" w:cs="Times New Roman"/>
          <w:sz w:val="28"/>
          <w:szCs w:val="28"/>
          <w:highlight w:val="white"/>
        </w:rPr>
        <w:t>оперативно</w:t>
      </w:r>
      <w:proofErr w:type="spellEnd"/>
      <w:r>
        <w:rPr>
          <w:rFonts w:ascii="Times New Roman" w:eastAsia="Times New Roman" w:hAnsi="Times New Roman" w:cs="Times New Roman"/>
          <w:sz w:val="28"/>
          <w:szCs w:val="28"/>
          <w:highlight w:val="white"/>
        </w:rPr>
        <w:t xml:space="preserve"> реагувати на їхні потреби та пропозиції, що, в свою чергу, сприятиме підвищенню рівня задоволеності та лояльності споживачів. На основі результатів дослідження було розроблено наступні рекомендації щодо розробки та впровадження мобільного застосунку для НАК «Нафтогаз України»:</w:t>
      </w:r>
    </w:p>
    <w:p w:rsidR="00BA76DF" w:rsidRDefault="00C33D3F">
      <w:pPr>
        <w:numPr>
          <w:ilvl w:val="0"/>
          <w:numId w:val="5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Розробити зручний та інтуїтивно зрозумілий інтерфейс. Мобільний застосунок повинен бути легким у використанні, з інтуїтивно зрозумілим інтерфейсом, що дозволить користувачам легко знаходити необхідну інформацію та функції;</w:t>
      </w:r>
    </w:p>
    <w:p w:rsidR="00BA76DF" w:rsidRDefault="00C33D3F">
      <w:pPr>
        <w:numPr>
          <w:ilvl w:val="0"/>
          <w:numId w:val="5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Оскільки застосунок буде використовуватись для оплати рахунків та доступу до особистих даних користувачів, необхідно забезпечити високий рівень безпеки для захисту конфіденційної інформації;</w:t>
      </w:r>
    </w:p>
    <w:p w:rsidR="00BA76DF" w:rsidRDefault="00C33D3F">
      <w:pPr>
        <w:numPr>
          <w:ilvl w:val="0"/>
          <w:numId w:val="5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Мобільний застосунок повинен бути інтегрований з існуючими інформаційними системами НАК «Нафтогаз України», що дозволить забезпечити актуальність даних та зручність використання;</w:t>
      </w:r>
    </w:p>
    <w:p w:rsidR="00BA76DF" w:rsidRDefault="00C33D3F">
      <w:pPr>
        <w:numPr>
          <w:ilvl w:val="0"/>
          <w:numId w:val="5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Забезпечити регулярне оновлення та підтримку. Після впровадження мобільного застосунку необхідно забезпечити його регулярне оновлення та підтримку, що дозволить враховувати потреби користувачів та впроваджувати нові функції;</w:t>
      </w:r>
    </w:p>
    <w:p w:rsidR="00BA76DF" w:rsidRDefault="00C33D3F">
      <w:pPr>
        <w:numPr>
          <w:ilvl w:val="0"/>
          <w:numId w:val="5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Забезпечити зворотний зв'язок з користувачами.  Важливо забезпечити можливість зворотного зв'язку з користувачами мобільного застосунку, що дозволить отримувати їхні відгуки та пропозиції.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Впровадження мобільного застосунку також дозволить компанії зменшити витрати на обслуговування клієнтів. Використання цифрових технологій для автоматизації процесів взаємодії з клієнтами дозволить зменшити потребу в ручному обслуговуванні та знизити навантаження на </w:t>
      </w:r>
      <w:proofErr w:type="spellStart"/>
      <w:r>
        <w:rPr>
          <w:rFonts w:ascii="Times New Roman" w:eastAsia="Times New Roman" w:hAnsi="Times New Roman" w:cs="Times New Roman"/>
          <w:sz w:val="28"/>
          <w:szCs w:val="28"/>
          <w:highlight w:val="white"/>
        </w:rPr>
        <w:t>кол</w:t>
      </w:r>
      <w:proofErr w:type="spellEnd"/>
      <w:r>
        <w:rPr>
          <w:rFonts w:ascii="Times New Roman" w:eastAsia="Times New Roman" w:hAnsi="Times New Roman" w:cs="Times New Roman"/>
          <w:sz w:val="28"/>
          <w:szCs w:val="28"/>
          <w:highlight w:val="white"/>
        </w:rPr>
        <w:t>-центри. Це, в свою чергу, сприятиме зниженню витрат на обслуговування та підвищенню ефективності роботи компанії.</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впровадження мобільного застосунку для НАК «Нафтогаз України» є важливим кроком до покращення маркетингової діяльності підприємства. Це дозволить забезпечити споживачам зручний інструмент для взаємодії з компанією, підвищити їхню задоволеність обслуговуванням та зміцнити лояльність до бренду. Впровадження мобільного застосунку також сприятиме зниженню витрат на обслуговування, покращенню маркетингової діяльності та забезпеченню конкурентоспроможності компанії на ринку природного газу України.</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Варто також зазначити, що впровадження мобільного застосунку може мати додаткові позитивні ефекти на різні аспекти діяльності компанії. Зокрема, мобільний застосунок може стати ефективним інструментом для збору та аналізу даних про споживання газу, що дозволить компанії краще розуміти потреби та поведінку споживачів. Це, в свою чергу, сприятиме розробці більш </w:t>
      </w:r>
      <w:r>
        <w:rPr>
          <w:rFonts w:ascii="Times New Roman" w:eastAsia="Times New Roman" w:hAnsi="Times New Roman" w:cs="Times New Roman"/>
          <w:sz w:val="28"/>
          <w:szCs w:val="28"/>
          <w:highlight w:val="white"/>
        </w:rPr>
        <w:lastRenderedPageBreak/>
        <w:t>цілеспрямованих маркетингових кампаній та покращенню загальної стратегії управління відносинами з клієнтами (CRM).</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Крім того, мобільний застосунок може сприяти підвищенню прозорості та довіри до компанії з боку споживачів. Забезпечення доступу до детальної інформації про тарифи, споживання та рахунки дозволить споживачам краще розуміти, за що вони платять, та уникати непорозумінь. Це може сприяти зменшенню кількості скарг та підвищенню задоволеності клієнтів.</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Ще одним важливим аспектом є можливість інтеграції мобільного застосунку з іншими цифровими платформами та сервісами, що надаються компанією. Це дозволить створити єдину екосистему для споживачів, де вони зможуть зручно користуватися різними послугами та отримувати підтримку в одному місці. Такий підхід сприятиме підвищенню лояльності клієнтів та залученню нових користувачів.</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Впровадження мобільного застосунку також відкриває можливості для розвитку нових бізнес-моделей та послуг. Наприклад, компанія може пропонувати додаткові платні сервіси через застосунок, такі як розширені консультації, підключення до систем «розумного будинку», або послуги з енергоефективності. Це дозволить диверсифікувати джерела доходів та збільшити прибутковість компанії.</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основі проведеного дослідження та аналізу можна зробити висновок, що впровадження мобільного застосунку для НАК «Нафтогаз України» є стратегічно важливим кроком для покращення маркетингової діяльності підприємства. Мобільний застосунок забезпечить споживачам зручний та ефективний інструмент для взаємодії з компанією, що сприятиме підвищенню їхньої задоволеності та лояльності.</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Основними рекомендаціями щодо впровадження мобільного застосунку є: розробка інтуїтивно зрозумілого інтерфейсу, забезпечення високого рівня безпеки даних, інтеграція з існуючими системами компанії, регулярне оновлення та підтримка, а також забезпечення зворотного зв'язку з користувачами. Важливо </w:t>
      </w:r>
      <w:r>
        <w:rPr>
          <w:rFonts w:ascii="Times New Roman" w:eastAsia="Times New Roman" w:hAnsi="Times New Roman" w:cs="Times New Roman"/>
          <w:sz w:val="28"/>
          <w:szCs w:val="28"/>
          <w:highlight w:val="white"/>
        </w:rPr>
        <w:lastRenderedPageBreak/>
        <w:t>також враховувати можливості для збору та аналізу даних, підвищення прозорості та довіри, інтеграції з іншими сервісами та розвитку нових бізнес-моделей.</w:t>
      </w:r>
    </w:p>
    <w:p w:rsidR="00BA76DF" w:rsidRDefault="00C33D3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Впровадження мобільного застосунку дозволить НАК «Нафтогаз України» покращити обслуговування клієнтів, зменшити витрати на обслуговування, підвищити ефективність маркетингової діяльності та забезпечити конкурентоспроможність на ринку природного газу України.</w:t>
      </w:r>
    </w:p>
    <w:p w:rsidR="00BA76DF" w:rsidRDefault="00BA76DF">
      <w:pPr>
        <w:pBdr>
          <w:top w:val="none" w:sz="0" w:space="0" w:color="E3E3E3"/>
          <w:left w:val="none" w:sz="0" w:space="0" w:color="E3E3E3"/>
          <w:bottom w:val="none" w:sz="0" w:space="0" w:color="E3E3E3"/>
          <w:right w:val="none" w:sz="0" w:space="0" w:color="E3E3E3"/>
          <w:between w:val="none" w:sz="0" w:space="0" w:color="E3E3E3"/>
        </w:pBdr>
        <w:spacing w:line="360" w:lineRule="auto"/>
        <w:ind w:firstLine="720"/>
        <w:jc w:val="both"/>
        <w:rPr>
          <w:rFonts w:ascii="Times New Roman" w:eastAsia="Times New Roman" w:hAnsi="Times New Roman" w:cs="Times New Roman"/>
          <w:sz w:val="28"/>
          <w:szCs w:val="28"/>
          <w:highlight w:val="white"/>
        </w:rPr>
      </w:pPr>
    </w:p>
    <w:p w:rsidR="00BA76DF" w:rsidRDefault="00C33D3F">
      <w:pPr>
        <w:pStyle w:val="2"/>
        <w:spacing w:before="240" w:after="240" w:line="360" w:lineRule="auto"/>
        <w:ind w:firstLine="720"/>
        <w:jc w:val="both"/>
        <w:rPr>
          <w:highlight w:val="white"/>
        </w:rPr>
      </w:pPr>
      <w:bookmarkStart w:id="17" w:name="_em49n1yfl1rd" w:colFirst="0" w:colLast="0"/>
      <w:bookmarkEnd w:id="17"/>
      <w:r>
        <w:rPr>
          <w:highlight w:val="white"/>
        </w:rPr>
        <w:t xml:space="preserve">3.3 Економічне обґрунтування ефективності маркетингових заходів </w:t>
      </w:r>
    </w:p>
    <w:p w:rsidR="00BA76DF" w:rsidRDefault="00BA76DF">
      <w:pPr>
        <w:spacing w:line="360" w:lineRule="auto"/>
        <w:jc w:val="both"/>
        <w:rPr>
          <w:rFonts w:ascii="Times New Roman" w:eastAsia="Times New Roman" w:hAnsi="Times New Roman" w:cs="Times New Roman"/>
          <w:sz w:val="28"/>
          <w:szCs w:val="28"/>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 сучасному світі мобільні застосунки стають все більш популярними серед підприємств у зв'язку з швидким розвитком технологій та зміною споживчих уподобань. Впровадження мобільного застосунку для підприємств, як НАК «Нафтогаз України», може мати значний вплив на їх діяльність та конкурентоспроможність. Однак, перед впровадженням необхідно ретельно проаналізувати всі аспекти цього процесу, включаючи економічну доцільність та очікувані результати.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Метою економічного обґрунтування ефективності маркетингових заходів є визначення чи є фінансово доцільним для компанії впровадження мобільного застосунку та який вплив він може мати на її діяльність. Додатково до оцінки фінансової доцільності впровадження мобільного застосунку, економічне обґрунтування також допомагає виявити потенційні ризики та можливості, пов'язані з проектом.</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проведення аналізу економічної ефективності необхідно врахувати не лише прямі витрати на розробку та впровадження мобільного застосунку, але й очікувані вигоди та прибутки, які можуть бути отримані в результаті його використання. Для проведення розрахунку економічної ефективності маркетингових заходів для НАК «Нафтогаз України», врахуємо наступні дані:</w:t>
      </w:r>
    </w:p>
    <w:p w:rsidR="00BA76DF" w:rsidRDefault="00C33D3F">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Річний дохід компанії: 23,1 млрд грн;</w:t>
      </w:r>
    </w:p>
    <w:p w:rsidR="00BA76DF" w:rsidRDefault="00C33D3F">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Поточні витрати на обслуговування клієнтів: 15,000,000 грн;</w:t>
      </w:r>
    </w:p>
    <w:p w:rsidR="00BA76DF" w:rsidRDefault="00C33D3F">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Поточний рівень відтоку клієнтів: 10%;</w:t>
      </w:r>
    </w:p>
    <w:p w:rsidR="00BA76DF" w:rsidRDefault="00C33D3F">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Поточна кількість клієнтів: 1,000,000;</w:t>
      </w:r>
    </w:p>
    <w:p w:rsidR="00BA76DF" w:rsidRDefault="00C33D3F">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Очікуване зростання лояльності клієнтів на 5%;</w:t>
      </w:r>
    </w:p>
    <w:p w:rsidR="00BA76DF" w:rsidRDefault="00C33D3F">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Очікуване зменшення витрат на обслуговування клієнтів на 20%;</w:t>
      </w:r>
    </w:p>
    <w:p w:rsidR="00BA76DF" w:rsidRDefault="00C33D3F">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Очікуване підвищення рівня </w:t>
      </w:r>
      <w:proofErr w:type="spellStart"/>
      <w:r>
        <w:rPr>
          <w:rFonts w:ascii="Times New Roman" w:eastAsia="Times New Roman" w:hAnsi="Times New Roman" w:cs="Times New Roman"/>
          <w:sz w:val="28"/>
          <w:szCs w:val="28"/>
          <w:highlight w:val="white"/>
        </w:rPr>
        <w:t>залученості</w:t>
      </w:r>
      <w:proofErr w:type="spellEnd"/>
      <w:r>
        <w:rPr>
          <w:rFonts w:ascii="Times New Roman" w:eastAsia="Times New Roman" w:hAnsi="Times New Roman" w:cs="Times New Roman"/>
          <w:sz w:val="28"/>
          <w:szCs w:val="28"/>
          <w:highlight w:val="white"/>
        </w:rPr>
        <w:t xml:space="preserve"> клієнтів на 10%;</w:t>
      </w:r>
    </w:p>
    <w:p w:rsidR="00BA76DF" w:rsidRDefault="00C33D3F">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Очікуване зростання доходів від нових клієнтів на 10%;</w:t>
      </w:r>
    </w:p>
    <w:p w:rsidR="00BA76DF" w:rsidRDefault="00C33D3F">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Очікуване зменшення відтоку клієнтів на 5%.</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Економічна оцінка впровадження мобільного застосунку є важливим етапом дослідження, що дозволяє оцінити його доцільність. Витрати на впровадження мобільного застосунку для НАК «Нафтогаз України» наведено у таблиці 3.2. </w:t>
      </w:r>
    </w:p>
    <w:p w:rsidR="00BA76DF" w:rsidRDefault="00BA76DF">
      <w:pPr>
        <w:spacing w:after="160" w:line="360" w:lineRule="auto"/>
        <w:jc w:val="both"/>
        <w:rPr>
          <w:rFonts w:ascii="Times New Roman" w:eastAsia="Times New Roman" w:hAnsi="Times New Roman" w:cs="Times New Roman"/>
          <w:sz w:val="28"/>
          <w:szCs w:val="28"/>
          <w:highlight w:val="white"/>
        </w:rPr>
      </w:pPr>
    </w:p>
    <w:p w:rsidR="00BA76DF" w:rsidRDefault="00C33D3F">
      <w:pPr>
        <w:spacing w:after="160"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Таблиця 3.2 - Витрати на впровадження мобільного застосунку для НАК «Нафтогаз України»</w:t>
      </w:r>
    </w:p>
    <w:tbl>
      <w:tblPr>
        <w:tblStyle w:val="af3"/>
        <w:tblW w:w="9810" w:type="dxa"/>
        <w:tblInd w:w="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75"/>
        <w:gridCol w:w="4935"/>
      </w:tblGrid>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Категорія витрат</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Сума (грн)</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Аналіз та проектування</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100,000</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Розробка застосунку</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1,500,000</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Тестування та контроль якості</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200,000 </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Розгортання та впровадження</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100,000</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Реклама та маркетингова кампанія</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500,000</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Створення рекламних матеріалів</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100,000</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Технічна підтримка (1 рік)</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200,000</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Оновлення та вдосконалення (1 рік)</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300,000</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Юридичні витрати</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50,000</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Непередбачувані витрати</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150,000</w:t>
            </w:r>
          </w:p>
        </w:tc>
      </w:tr>
      <w:tr w:rsidR="00BA76DF">
        <w:tc>
          <w:tcPr>
            <w:tcW w:w="4875" w:type="dxa"/>
            <w:shd w:val="clear" w:color="auto" w:fill="auto"/>
            <w:tcMar>
              <w:top w:w="100" w:type="dxa"/>
              <w:left w:w="100" w:type="dxa"/>
              <w:bottom w:w="100" w:type="dxa"/>
              <w:right w:w="100" w:type="dxa"/>
            </w:tcMar>
          </w:tcPr>
          <w:p w:rsidR="00BA76DF" w:rsidRDefault="00C33D3F">
            <w:pPr>
              <w:widowControl w:val="0"/>
              <w:pBdr>
                <w:top w:val="nil"/>
                <w:left w:val="nil"/>
                <w:bottom w:val="nil"/>
                <w:right w:val="nil"/>
                <w:between w:val="nil"/>
              </w:pBdr>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Загальна сума</w:t>
            </w:r>
            <w:r>
              <w:rPr>
                <w:rFonts w:ascii="Times New Roman" w:eastAsia="Times New Roman" w:hAnsi="Times New Roman" w:cs="Times New Roman"/>
                <w:sz w:val="24"/>
                <w:szCs w:val="24"/>
                <w:highlight w:val="white"/>
              </w:rPr>
              <w:tab/>
            </w:r>
          </w:p>
        </w:tc>
        <w:tc>
          <w:tcPr>
            <w:tcW w:w="4935" w:type="dxa"/>
            <w:shd w:val="clear" w:color="auto" w:fill="auto"/>
            <w:tcMar>
              <w:top w:w="100" w:type="dxa"/>
              <w:left w:w="100" w:type="dxa"/>
              <w:bottom w:w="100" w:type="dxa"/>
              <w:right w:w="100" w:type="dxa"/>
            </w:tcMar>
          </w:tcPr>
          <w:p w:rsidR="00BA76DF" w:rsidRDefault="00C33D3F">
            <w:pPr>
              <w:widowControl w:val="0"/>
              <w:spacing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3,200,000</w:t>
            </w:r>
          </w:p>
        </w:tc>
      </w:tr>
    </w:tbl>
    <w:p w:rsidR="00BA76DF" w:rsidRDefault="00C33D3F">
      <w:pPr>
        <w:spacing w:after="160"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складено автором самостійно</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Витрати на впровадження мобільного застосунку для НАК «Нафтогаз України» можна розподілити за категоріями, які включають: </w:t>
      </w:r>
    </w:p>
    <w:p w:rsidR="00BA76DF" w:rsidRDefault="00C33D3F">
      <w:pPr>
        <w:numPr>
          <w:ilvl w:val="0"/>
          <w:numId w:val="1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Аналіз та проектування (100,000 грн). Ці витрати охоплюють вивчення потреб користувачів, аналіз ринку та конкурентів, розробку концепції застосунку та його функціональності. Цей етап дозволить належним чином підготуватися до розробки та впровадження застосунку, враховуючи всі вимоги та потреби користувачів;</w:t>
      </w:r>
    </w:p>
    <w:p w:rsidR="00BA76DF" w:rsidRDefault="00C33D3F">
      <w:pPr>
        <w:numPr>
          <w:ilvl w:val="0"/>
          <w:numId w:val="5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Розробка застосунку (1,500,000 грн). Ця категорія витрат включає всі витрати, пов'язані з розробкою самого мобільного застосунку, включаючи оплату розробників, придбання програмних ресурсів та інше. Цей етап є критично важливим, оскільки від якості розробки залежить подальше використання та успішність застосунку на ринку;</w:t>
      </w:r>
    </w:p>
    <w:p w:rsidR="00BA76DF" w:rsidRDefault="00C33D3F">
      <w:pPr>
        <w:numPr>
          <w:ilvl w:val="0"/>
          <w:numId w:val="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Тестування та контроль якості (200,000 грн). Витрати на цей етап включають в себе витрати на проведення тестування застосунку на різних пристроях та платформах, а також на контроль якості розроблених функцій. Це необхідний етап для впевненості в тому, що застосунок працює </w:t>
      </w:r>
      <w:proofErr w:type="spellStart"/>
      <w:r>
        <w:rPr>
          <w:rFonts w:ascii="Times New Roman" w:eastAsia="Times New Roman" w:hAnsi="Times New Roman" w:cs="Times New Roman"/>
          <w:sz w:val="28"/>
          <w:szCs w:val="28"/>
          <w:highlight w:val="white"/>
        </w:rPr>
        <w:t>коректно</w:t>
      </w:r>
      <w:proofErr w:type="spellEnd"/>
      <w:r>
        <w:rPr>
          <w:rFonts w:ascii="Times New Roman" w:eastAsia="Times New Roman" w:hAnsi="Times New Roman" w:cs="Times New Roman"/>
          <w:sz w:val="28"/>
          <w:szCs w:val="28"/>
          <w:highlight w:val="white"/>
        </w:rPr>
        <w:t xml:space="preserve"> та задовольняє усі вимоги користувачів;</w:t>
      </w:r>
    </w:p>
    <w:p w:rsidR="00BA76DF" w:rsidRDefault="00C33D3F">
      <w:pPr>
        <w:numPr>
          <w:ilvl w:val="0"/>
          <w:numId w:val="2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Розгортання та впровадження (100,000 грн). Ці витрати включають в себе витрати на налаштування та впровадження застосунку на серверах, а також на підготовку користувачів до використання нового застосунку. Впровадження застосунку є важливим етапом, що вимагає уваги до деталей та координації дій для успішного запуску продукту;</w:t>
      </w:r>
    </w:p>
    <w:p w:rsidR="00BA76DF" w:rsidRDefault="00C33D3F">
      <w:pPr>
        <w:numPr>
          <w:ilvl w:val="0"/>
          <w:numId w:val="39"/>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Реклама та маркетингова кампанія (500,000 грн). Витрати на цю категорію включають в себе рекламу в медіа, рекламу в інтернеті, участь в виставках та конференціях, а також інші маркетингові заходи для просування застосунку на ринку. Реклама та маркетинг є ключовими складовими успішного запуску продукту на ринок та забезпечення його відомості серед цільової аудиторії; </w:t>
      </w:r>
    </w:p>
    <w:p w:rsidR="00BA76DF" w:rsidRDefault="00C33D3F">
      <w:pPr>
        <w:numPr>
          <w:ilvl w:val="0"/>
          <w:numId w:val="40"/>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Створення рекламних матеріалів (100,000 грн). Витрати на цей пункт охоплюють витрати на розробку рекламного контенту. Якісний рекламний контент допомагає привернути увагу цільової аудиторії та підвищити відомість про продукт; </w:t>
      </w:r>
    </w:p>
    <w:p w:rsidR="00BA76DF" w:rsidRDefault="00C33D3F">
      <w:pPr>
        <w:numPr>
          <w:ilvl w:val="0"/>
          <w:numId w:val="5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Технічна підтримка (1 рік) (200,000 грн). Ця категорія витрат включає в себе витрати на підтримку користувачів у випадку виникнення проблем та запитань стосовно роботи застосунку. Важливо забезпечити високий рівень сервісу для користувачів, щоб зберегти їхню лояльність та задоволеність від використання застосунку;</w:t>
      </w:r>
    </w:p>
    <w:p w:rsidR="00BA76DF" w:rsidRDefault="00C33D3F">
      <w:pPr>
        <w:numPr>
          <w:ilvl w:val="0"/>
          <w:numId w:val="30"/>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Оновлення та вдосконалення (1 рік) (300,000 грн). Витрати на цей пункт охоплюють витрати на постійне оновлення та вдосконалення функціоналу застосунку для забезпечення його актуальності та конкурентоспроможності на ринку. Постійні оновлення дозволять вам реагувати на зміни у вимогах користувачів та ринкових умовах;</w:t>
      </w:r>
    </w:p>
    <w:p w:rsidR="00BA76DF" w:rsidRDefault="00C33D3F">
      <w:pPr>
        <w:numPr>
          <w:ilvl w:val="0"/>
          <w:numId w:val="26"/>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Юридичні витрати (50,000 грн). Ці витрати включають в себе витрати на юридичну підтримку проекту, укладення угод та документування процесів. Важливо мати правову підтримку для уникнення можливих юридичних проблем у майбутньому;</w:t>
      </w:r>
    </w:p>
    <w:p w:rsidR="00BA76DF" w:rsidRDefault="00C33D3F">
      <w:pPr>
        <w:numPr>
          <w:ilvl w:val="0"/>
          <w:numId w:val="1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Непередбачені витрати (150,000 грн). Ця категорія витрат включає в себе резервні кошти на випадок непередбачених обставин та витрат, які можуть виникнути під час впровадження проекту. Важливо мати додатковий фінансовий резерв для вирішення непередбачуваних ситуацій та забезпечення успішного завершення проекту.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Ці витрати необхідно ретельно розглянути та врахувати при плануванні впровадження мобільного застосунку для НАК «Нафтогаз України», оскільки вони впливають на його загальну ефективність та успішність на ринку. Розрахування показників ефективності впровадження мобільного застосунку для НАК «Нафтогаз України» важливе для оцінки рентабельності цього проекту.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Витрати на впровадження застосунку, які оцінені в 3,200,000 грн, включають розробку, тестування, маркетинг, підтримку та інші пов'язані витрати. Однак, для повного розуміння впливу цього проекту на фінансові показники підприємства, потрібно врахувати також додаткові доходи та витрати, пов'язані з впровадженням мобільного застосунку.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Очікується, що впровадження мобільного застосунку сприятиме підвищенню лояльності клієнтів, зменшенню витрат на обслуговування та збільшенню доходів компанії. Одним з ключових показників, який варто розрахувати, є </w:t>
      </w:r>
      <w:proofErr w:type="spellStart"/>
      <w:r>
        <w:rPr>
          <w:rFonts w:ascii="Times New Roman" w:eastAsia="Times New Roman" w:hAnsi="Times New Roman" w:cs="Times New Roman"/>
          <w:sz w:val="28"/>
          <w:szCs w:val="28"/>
          <w:highlight w:val="white"/>
        </w:rPr>
        <w:t>Return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Advertising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Spend</w:t>
      </w:r>
      <w:proofErr w:type="spellEnd"/>
      <w:r>
        <w:rPr>
          <w:rFonts w:ascii="Times New Roman" w:eastAsia="Times New Roman" w:hAnsi="Times New Roman" w:cs="Times New Roman"/>
          <w:sz w:val="28"/>
          <w:szCs w:val="28"/>
          <w:highlight w:val="white"/>
        </w:rPr>
        <w:t xml:space="preserve"> (ROAS). Цей показник вимірює ефективність рекламних витрат, відображаючи, скільки доходу приносить кожна гривня, витрачена на рекламу.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Впровадження мобільного застосунку може мати значний позитивний вплив на фінансові показники компанії. Одним з головних джерел додаткових доходів є збільшення продажів завдяки покращенню доступності та зручності для клієнтів. Мобільний застосунок може стати потужним інструментом для залучення нових клієнтів та збереження існуючих, що призведе до збільшення обсягів продажів та покращення фінансових показників компанії.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Однак важливо розуміти, що впровадження та підтримка мобільного застосунку потребує значних витрат. Витрати на розробку, тестування, підтримку та вдосконалення застосунку можуть бути значними, особливо в перший рік експлуатації. Крім того, для успішного впровадження застосунку необхідно проводити маркетингові заходи та рекламні кампанії для просування його серед цільової аудиторії.</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Таким чином, впровадження мобільного застосунку для НАК «Нафтогаз України» може призвести до значного зростання доходів компанії за рахунок збільшення продажів та поліпшення відносин з клієнтами. Однак, для досягнення успіху необхідно не лише інвестувати в розробку та підтримку застосунку, а й активно просувати його серед цільової аудиторії.</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Розрахунок </w:t>
      </w:r>
      <w:proofErr w:type="spellStart"/>
      <w:r>
        <w:rPr>
          <w:rFonts w:ascii="Times New Roman" w:eastAsia="Times New Roman" w:hAnsi="Times New Roman" w:cs="Times New Roman"/>
          <w:sz w:val="28"/>
          <w:szCs w:val="28"/>
          <w:highlight w:val="white"/>
        </w:rPr>
        <w:t>Net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Present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Value</w:t>
      </w:r>
      <w:proofErr w:type="spellEnd"/>
      <w:r>
        <w:rPr>
          <w:rFonts w:ascii="Times New Roman" w:eastAsia="Times New Roman" w:hAnsi="Times New Roman" w:cs="Times New Roman"/>
          <w:sz w:val="28"/>
          <w:szCs w:val="28"/>
          <w:highlight w:val="white"/>
        </w:rPr>
        <w:t xml:space="preserve"> (NPV), </w:t>
      </w:r>
      <w:proofErr w:type="spellStart"/>
      <w:r>
        <w:rPr>
          <w:rFonts w:ascii="Times New Roman" w:eastAsia="Times New Roman" w:hAnsi="Times New Roman" w:cs="Times New Roman"/>
          <w:sz w:val="28"/>
          <w:szCs w:val="28"/>
          <w:highlight w:val="white"/>
        </w:rPr>
        <w:t>Profitability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Index</w:t>
      </w:r>
      <w:proofErr w:type="spellEnd"/>
      <w:r>
        <w:rPr>
          <w:rFonts w:ascii="Times New Roman" w:eastAsia="Times New Roman" w:hAnsi="Times New Roman" w:cs="Times New Roman"/>
          <w:sz w:val="28"/>
          <w:szCs w:val="28"/>
          <w:highlight w:val="white"/>
        </w:rPr>
        <w:t xml:space="preserve"> (PI) та </w:t>
      </w:r>
      <w:proofErr w:type="spellStart"/>
      <w:r>
        <w:rPr>
          <w:rFonts w:ascii="Times New Roman" w:eastAsia="Times New Roman" w:hAnsi="Times New Roman" w:cs="Times New Roman"/>
          <w:sz w:val="28"/>
          <w:szCs w:val="28"/>
          <w:highlight w:val="white"/>
        </w:rPr>
        <w:t>Payback</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Period</w:t>
      </w:r>
      <w:proofErr w:type="spellEnd"/>
      <w:r>
        <w:rPr>
          <w:rFonts w:ascii="Times New Roman" w:eastAsia="Times New Roman" w:hAnsi="Times New Roman" w:cs="Times New Roman"/>
          <w:sz w:val="28"/>
          <w:szCs w:val="28"/>
          <w:highlight w:val="white"/>
        </w:rPr>
        <w:t xml:space="preserve"> (PBP) допоможе визначити фінансову привабливість цього проекту та його вплив на загальні фінансові показники НАК «Нафтогаз України». Розрахунки цих показників дозволять прийняти обґрунтоване рішення щодо впровадження мобільного застосунку та оцінити його вплив на діяльність компанії. Додатковий дохід від реклами: 10% зростання доходів від нових клієнтів: </w:t>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23,100,000,000 грн × 0.10 = 2,310,000,000 грн</w:t>
      </w:r>
    </w:p>
    <w:p w:rsidR="00BA76DF" w:rsidRDefault="00C33D3F">
      <w:pPr>
        <w:spacing w:after="16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Витрати на рекламу: 500,000 грн. Отже, </w:t>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ROAS= 500,000 грн /2,310,000,000 грн  =4,620</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NPV (чиста присутня вартість) є одним з ключових показників для оцінки фінансової ефективності </w:t>
      </w:r>
      <w:proofErr w:type="spellStart"/>
      <w:r>
        <w:rPr>
          <w:rFonts w:ascii="Times New Roman" w:eastAsia="Times New Roman" w:hAnsi="Times New Roman" w:cs="Times New Roman"/>
          <w:sz w:val="28"/>
          <w:szCs w:val="28"/>
          <w:highlight w:val="white"/>
        </w:rPr>
        <w:t>проєкту</w:t>
      </w:r>
      <w:proofErr w:type="spellEnd"/>
      <w:r>
        <w:rPr>
          <w:rFonts w:ascii="Times New Roman" w:eastAsia="Times New Roman" w:hAnsi="Times New Roman" w:cs="Times New Roman"/>
          <w:sz w:val="28"/>
          <w:szCs w:val="28"/>
          <w:highlight w:val="white"/>
        </w:rPr>
        <w:t xml:space="preserve">. Вона враховує часову вартість грошей, дозволяючи порівняти суму майбутніх доходів та витрат з їхньою сьогоднішньою вартістю.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При розрахунку NPV для впровадження мобільного застосунку для НАК «Нафтогаз України» необхідно врахувати початкові інвестиції у розробку та впровадження застосунку, які становлять 3,200,000 грн. Для цього розрахунку також використовується дисконтна ставка, яка в даному випадку складає 10%.</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Розрахунок NPV проводиться шляхом дисконтування майбутніх потоків доходів та витрат на початковий момент часу. Якщо NPV є позитивним, це означає, що </w:t>
      </w:r>
      <w:proofErr w:type="spellStart"/>
      <w:r>
        <w:rPr>
          <w:rFonts w:ascii="Times New Roman" w:eastAsia="Times New Roman" w:hAnsi="Times New Roman" w:cs="Times New Roman"/>
          <w:sz w:val="28"/>
          <w:szCs w:val="28"/>
          <w:highlight w:val="white"/>
        </w:rPr>
        <w:t>проєкт</w:t>
      </w:r>
      <w:proofErr w:type="spellEnd"/>
      <w:r>
        <w:rPr>
          <w:rFonts w:ascii="Times New Roman" w:eastAsia="Times New Roman" w:hAnsi="Times New Roman" w:cs="Times New Roman"/>
          <w:sz w:val="28"/>
          <w:szCs w:val="28"/>
          <w:highlight w:val="white"/>
        </w:rPr>
        <w:t xml:space="preserve"> вигідний, оскільки сума дисконтованих доходів перевищує початкові витрати. В разі від'ємного NPV </w:t>
      </w:r>
      <w:proofErr w:type="spellStart"/>
      <w:r>
        <w:rPr>
          <w:rFonts w:ascii="Times New Roman" w:eastAsia="Times New Roman" w:hAnsi="Times New Roman" w:cs="Times New Roman"/>
          <w:sz w:val="28"/>
          <w:szCs w:val="28"/>
          <w:highlight w:val="white"/>
        </w:rPr>
        <w:t>проєкт</w:t>
      </w:r>
      <w:proofErr w:type="spellEnd"/>
      <w:r>
        <w:rPr>
          <w:rFonts w:ascii="Times New Roman" w:eastAsia="Times New Roman" w:hAnsi="Times New Roman" w:cs="Times New Roman"/>
          <w:sz w:val="28"/>
          <w:szCs w:val="28"/>
          <w:highlight w:val="white"/>
        </w:rPr>
        <w:t xml:space="preserve"> може бути неефективним з фінансової точки зору. Такий аналіз дозволяє прийняти обґрунтоване рішення щодо інвестування в </w:t>
      </w:r>
      <w:proofErr w:type="spellStart"/>
      <w:r>
        <w:rPr>
          <w:rFonts w:ascii="Times New Roman" w:eastAsia="Times New Roman" w:hAnsi="Times New Roman" w:cs="Times New Roman"/>
          <w:sz w:val="28"/>
          <w:szCs w:val="28"/>
          <w:highlight w:val="white"/>
        </w:rPr>
        <w:t>проєкт</w:t>
      </w:r>
      <w:proofErr w:type="spellEnd"/>
      <w:r>
        <w:rPr>
          <w:rFonts w:ascii="Times New Roman" w:eastAsia="Times New Roman" w:hAnsi="Times New Roman" w:cs="Times New Roman"/>
          <w:sz w:val="28"/>
          <w:szCs w:val="28"/>
          <w:highlight w:val="white"/>
        </w:rPr>
        <w:t xml:space="preserve"> та оцінити його вплив на фінансову діяльність компанії.</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Додатковий дохід компанії за рік 16,173,000,000 грн. Для спрощення розрахунку, припустимо, що додатковий дохід буде отримано щорічно протягом 5 років. Розрахунок NPV на 5 років: </w:t>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NPV = </w:t>
      </w:r>
      <m:oMath>
        <m:nary>
          <m:naryPr>
            <m:chr m:val="∑"/>
            <m:ctrlPr>
              <w:rPr>
                <w:rFonts w:ascii="Times New Roman" w:eastAsia="Times New Roman" w:hAnsi="Times New Roman" w:cs="Times New Roman"/>
                <w:sz w:val="28"/>
                <w:szCs w:val="28"/>
                <w:highlight w:val="white"/>
              </w:rPr>
            </m:ctrlPr>
          </m:naryPr>
          <m:sub>
            <m:r>
              <w:rPr>
                <w:rFonts w:ascii="Times New Roman" w:eastAsia="Times New Roman" w:hAnsi="Times New Roman" w:cs="Times New Roman"/>
                <w:sz w:val="28"/>
                <w:szCs w:val="28"/>
                <w:highlight w:val="white"/>
              </w:rPr>
              <m:t>t=1</m:t>
            </m:r>
          </m:sub>
          <m:sup>
            <m:r>
              <w:rPr>
                <w:rFonts w:ascii="Times New Roman" w:eastAsia="Times New Roman" w:hAnsi="Times New Roman" w:cs="Times New Roman"/>
                <w:sz w:val="28"/>
                <w:szCs w:val="28"/>
                <w:highlight w:val="white"/>
              </w:rPr>
              <m:t>5</m:t>
            </m:r>
          </m:sup>
          <m:e/>
        </m:nary>
        <m:f>
          <m:fPr>
            <m:ctrlPr>
              <w:rPr>
                <w:rFonts w:ascii="Times New Roman" w:eastAsia="Times New Roman" w:hAnsi="Times New Roman" w:cs="Times New Roman"/>
                <w:sz w:val="28"/>
                <w:szCs w:val="28"/>
                <w:highlight w:val="white"/>
              </w:rPr>
            </m:ctrlPr>
          </m:fPr>
          <m:num>
            <m:r>
              <w:rPr>
                <w:rFonts w:ascii="Times New Roman" w:eastAsia="Times New Roman" w:hAnsi="Times New Roman" w:cs="Times New Roman"/>
                <w:color w:val="ECECEC"/>
                <w:sz w:val="28"/>
                <w:szCs w:val="28"/>
                <w:shd w:val="clear" w:color="auto" w:fill="212121"/>
              </w:rPr>
              <m:t>16,173,000,000</m:t>
            </m:r>
          </m:num>
          <m:den>
            <m:r>
              <w:rPr>
                <w:rFonts w:ascii="Times New Roman" w:eastAsia="Times New Roman" w:hAnsi="Times New Roman" w:cs="Times New Roman"/>
                <w:sz w:val="28"/>
                <w:szCs w:val="28"/>
                <w:highlight w:val="white"/>
              </w:rPr>
              <m:t>(1+0.10)</m:t>
            </m:r>
            <m:sSup>
              <m:sSupPr>
                <m:ctrlPr>
                  <w:rPr>
                    <w:rFonts w:ascii="Times New Roman" w:eastAsia="Times New Roman" w:hAnsi="Times New Roman" w:cs="Times New Roman"/>
                    <w:sz w:val="28"/>
                    <w:szCs w:val="28"/>
                    <w:highlight w:val="white"/>
                  </w:rPr>
                </m:ctrlPr>
              </m:sSupPr>
              <m:e>
                <m:r>
                  <w:rPr>
                    <w:rFonts w:ascii="Times New Roman" w:eastAsia="Times New Roman" w:hAnsi="Times New Roman" w:cs="Times New Roman"/>
                    <w:sz w:val="28"/>
                    <w:szCs w:val="28"/>
                    <w:highlight w:val="white"/>
                  </w:rPr>
                  <m:t>t</m:t>
                </m:r>
              </m:e>
              <m:sup/>
            </m:sSup>
          </m:den>
        </m:f>
      </m:oMath>
      <w:r>
        <w:rPr>
          <w:rFonts w:ascii="Times New Roman" w:eastAsia="Times New Roman" w:hAnsi="Times New Roman" w:cs="Times New Roman"/>
          <w:sz w:val="28"/>
          <w:szCs w:val="28"/>
          <w:highlight w:val="white"/>
        </w:rPr>
        <w:t xml:space="preserve"> - 3,200,000 = 61,412,426,052 - 3,200,000 = 61,409,226,052(грн) </w:t>
      </w:r>
    </w:p>
    <w:p w:rsidR="00BA76DF" w:rsidRDefault="00C33D3F">
      <w:pPr>
        <w:spacing w:line="360" w:lineRule="auto"/>
        <w:ind w:firstLine="72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Отже, з розрахунку можемо побачити, що показник NPV додатній. У випадку впровадження мобільного застосунку для НАК «Нафтогаз України» позитивне значення NPV свідчить про те, що витрати на розробку та підтримку застосунку варто здійснити, оскільки вони принесуть більше прибутку, ніж коштуватимуть.  </w:t>
      </w:r>
    </w:p>
    <w:p w:rsidR="00BA76DF" w:rsidRDefault="00C33D3F">
      <w:pPr>
        <w:spacing w:line="360" w:lineRule="auto"/>
        <w:ind w:firstLine="720"/>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Profitability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Index</w:t>
      </w:r>
      <w:proofErr w:type="spellEnd"/>
      <w:r>
        <w:rPr>
          <w:rFonts w:ascii="Times New Roman" w:eastAsia="Times New Roman" w:hAnsi="Times New Roman" w:cs="Times New Roman"/>
          <w:sz w:val="28"/>
          <w:szCs w:val="28"/>
          <w:highlight w:val="white"/>
        </w:rPr>
        <w:t xml:space="preserve"> (PI) є ще одним важливим показником для оцінки ефективності інвестиційного проекту. Цей показник вимірює відношення чистого дисконтованого доходу (NPV) до суми початкових інвестицій. </w:t>
      </w:r>
    </w:p>
    <w:p w:rsidR="00BA76DF" w:rsidRDefault="00C33D3F">
      <w:pPr>
        <w:spacing w:line="360" w:lineRule="auto"/>
        <w:ind w:firstLine="72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Для впровадження мобільного застосунку для НАК «Нафтогаз України» PI дозволяє визначити, наскільки ефективно витрати на </w:t>
      </w:r>
      <w:proofErr w:type="spellStart"/>
      <w:r>
        <w:rPr>
          <w:rFonts w:ascii="Times New Roman" w:eastAsia="Times New Roman" w:hAnsi="Times New Roman" w:cs="Times New Roman"/>
          <w:sz w:val="28"/>
          <w:szCs w:val="28"/>
          <w:highlight w:val="white"/>
        </w:rPr>
        <w:t>проєкт</w:t>
      </w:r>
      <w:proofErr w:type="spellEnd"/>
      <w:r>
        <w:rPr>
          <w:rFonts w:ascii="Times New Roman" w:eastAsia="Times New Roman" w:hAnsi="Times New Roman" w:cs="Times New Roman"/>
          <w:sz w:val="28"/>
          <w:szCs w:val="28"/>
          <w:highlight w:val="white"/>
        </w:rPr>
        <w:t xml:space="preserve"> повернуться у вигляді прибутку. Якщо значення PI більше 1, це означає, що </w:t>
      </w:r>
      <w:proofErr w:type="spellStart"/>
      <w:r>
        <w:rPr>
          <w:rFonts w:ascii="Times New Roman" w:eastAsia="Times New Roman" w:hAnsi="Times New Roman" w:cs="Times New Roman"/>
          <w:sz w:val="28"/>
          <w:szCs w:val="28"/>
          <w:highlight w:val="white"/>
        </w:rPr>
        <w:t>проєкт</w:t>
      </w:r>
      <w:proofErr w:type="spellEnd"/>
      <w:r>
        <w:rPr>
          <w:rFonts w:ascii="Times New Roman" w:eastAsia="Times New Roman" w:hAnsi="Times New Roman" w:cs="Times New Roman"/>
          <w:sz w:val="28"/>
          <w:szCs w:val="28"/>
          <w:highlight w:val="white"/>
        </w:rPr>
        <w:t xml:space="preserve"> вигідний, оскільки він генерує більше прибутку, ніж коштує. Якщо PI менше 1, це свідчить про те, що </w:t>
      </w:r>
      <w:proofErr w:type="spellStart"/>
      <w:r>
        <w:rPr>
          <w:rFonts w:ascii="Times New Roman" w:eastAsia="Times New Roman" w:hAnsi="Times New Roman" w:cs="Times New Roman"/>
          <w:sz w:val="28"/>
          <w:szCs w:val="28"/>
          <w:highlight w:val="white"/>
        </w:rPr>
        <w:t>проєкт</w:t>
      </w:r>
      <w:proofErr w:type="spellEnd"/>
      <w:r>
        <w:rPr>
          <w:rFonts w:ascii="Times New Roman" w:eastAsia="Times New Roman" w:hAnsi="Times New Roman" w:cs="Times New Roman"/>
          <w:sz w:val="28"/>
          <w:szCs w:val="28"/>
          <w:highlight w:val="white"/>
        </w:rPr>
        <w:t xml:space="preserve"> може бути неефективним з фінансової точки зору.. Розрахунок PI: </w:t>
      </w: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PI = </w:t>
      </w:r>
      <m:oMath>
        <m:f>
          <m:fPr>
            <m:ctrlPr>
              <w:rPr>
                <w:rFonts w:ascii="Times New Roman" w:eastAsia="Times New Roman" w:hAnsi="Times New Roman" w:cs="Times New Roman"/>
                <w:color w:val="ECECEC"/>
                <w:sz w:val="28"/>
                <w:szCs w:val="28"/>
                <w:shd w:val="clear" w:color="auto" w:fill="212121"/>
              </w:rPr>
            </m:ctrlPr>
          </m:fPr>
          <m:num>
            <m:r>
              <w:rPr>
                <w:rFonts w:ascii="Times New Roman" w:eastAsia="Times New Roman" w:hAnsi="Times New Roman" w:cs="Times New Roman"/>
                <w:sz w:val="28"/>
                <w:szCs w:val="28"/>
                <w:highlight w:val="white"/>
              </w:rPr>
              <m:t>61,412,426,052</m:t>
            </m:r>
          </m:num>
          <m:den>
            <m:r>
              <w:rPr>
                <w:rFonts w:ascii="Times New Roman" w:eastAsia="Times New Roman" w:hAnsi="Times New Roman" w:cs="Times New Roman"/>
                <w:color w:val="ECECEC"/>
                <w:sz w:val="28"/>
                <w:szCs w:val="28"/>
                <w:shd w:val="clear" w:color="auto" w:fill="212121"/>
              </w:rPr>
              <m:t>3,200,000</m:t>
            </m:r>
          </m:den>
        </m:f>
        <m:r>
          <w:rPr>
            <w:rFonts w:ascii="Times New Roman" w:eastAsia="Times New Roman" w:hAnsi="Times New Roman" w:cs="Times New Roman"/>
            <w:color w:val="ECECEC"/>
            <w:sz w:val="28"/>
            <w:szCs w:val="28"/>
            <w:shd w:val="clear" w:color="auto" w:fill="212121"/>
          </w:rPr>
          <m:t>≈</m:t>
        </m:r>
        <m:r>
          <w:rPr>
            <w:rFonts w:ascii="Times New Roman" w:eastAsia="Times New Roman" w:hAnsi="Times New Roman" w:cs="Times New Roman"/>
            <w:sz w:val="28"/>
            <w:szCs w:val="28"/>
            <w:highlight w:val="white"/>
          </w:rPr>
          <m:t>19,191.38</m:t>
        </m:r>
      </m:oMath>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Отже, з розрахунку PI для НАК «Нафтогаз України» можемо побачити, що показник більше 1, що свідчить про те, що проект є вигідним для впровадження. Впровадження мобільного застосунку для НАК «Нафтогаз України» має високу економічну ефективність та доцільність, що підтверджується різноманітними фінансовими показниками. Впровадження мобільного застосунку для НАК «Нафтогаз України» є важливим кроком у покращенні маркетингової діяльності та підвищенні рівня лояльності клієнтів.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Розглянемо фінансові показники, які свідчать про економічну ефективність цього проекту. Перш за все, показник ROAS (</w:t>
      </w:r>
      <w:proofErr w:type="spellStart"/>
      <w:r>
        <w:rPr>
          <w:rFonts w:ascii="Times New Roman" w:eastAsia="Times New Roman" w:hAnsi="Times New Roman" w:cs="Times New Roman"/>
          <w:sz w:val="28"/>
          <w:szCs w:val="28"/>
          <w:highlight w:val="white"/>
        </w:rPr>
        <w:t>Return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Advertising</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Spend</w:t>
      </w:r>
      <w:proofErr w:type="spellEnd"/>
      <w:r>
        <w:rPr>
          <w:rFonts w:ascii="Times New Roman" w:eastAsia="Times New Roman" w:hAnsi="Times New Roman" w:cs="Times New Roman"/>
          <w:sz w:val="28"/>
          <w:szCs w:val="28"/>
          <w:highlight w:val="white"/>
        </w:rPr>
        <w:t>) свідчить про те, що кожна гривня, витрачена на рекламні заходи, приносить 4,620 гривень додаткового доходу. Такий високий коефіцієнт віддачі на інвестиції в рекламу свідчить про надзвичайну ефективність витрат на маркетинг та потенціал значного збільшення доходів компанії за рахунок залучення нових клієнтів.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Додатково, показник чистої теперішньої вартості (NPV, </w:t>
      </w:r>
      <w:proofErr w:type="spellStart"/>
      <w:r>
        <w:rPr>
          <w:rFonts w:ascii="Times New Roman" w:eastAsia="Times New Roman" w:hAnsi="Times New Roman" w:cs="Times New Roman"/>
          <w:sz w:val="28"/>
          <w:szCs w:val="28"/>
          <w:highlight w:val="white"/>
        </w:rPr>
        <w:t>Net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Present</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Value</w:t>
      </w:r>
      <w:proofErr w:type="spellEnd"/>
      <w:r>
        <w:rPr>
          <w:rFonts w:ascii="Times New Roman" w:eastAsia="Times New Roman" w:hAnsi="Times New Roman" w:cs="Times New Roman"/>
          <w:sz w:val="28"/>
          <w:szCs w:val="28"/>
          <w:highlight w:val="white"/>
        </w:rPr>
        <w:t xml:space="preserve">) проекту становить 61,409,226,052 грн. Цей показник відображає загальну теперішню вартість очікуваних майбутніх грошових потоків, дисконтованих за певною ставкою, мінус початкові інвестиції.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Високе значення NPV вказує на те, що проект впровадження мобільного застосунку значно перевищує витрати на його реалізацію, забезпечуючи значний чистий дохід для компанії в довгостроковій перспективі. Це свідчить про суттєву фінансову вигоду та доцільність проекту з економічної точки зору.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Крім того, показник рентабельності інвестицій (PI, </w:t>
      </w:r>
      <w:proofErr w:type="spellStart"/>
      <w:r>
        <w:rPr>
          <w:rFonts w:ascii="Times New Roman" w:eastAsia="Times New Roman" w:hAnsi="Times New Roman" w:cs="Times New Roman"/>
          <w:sz w:val="28"/>
          <w:szCs w:val="28"/>
          <w:highlight w:val="white"/>
        </w:rPr>
        <w:t>Profitability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Index</w:t>
      </w:r>
      <w:proofErr w:type="spellEnd"/>
      <w:r>
        <w:rPr>
          <w:rFonts w:ascii="Times New Roman" w:eastAsia="Times New Roman" w:hAnsi="Times New Roman" w:cs="Times New Roman"/>
          <w:sz w:val="28"/>
          <w:szCs w:val="28"/>
          <w:highlight w:val="white"/>
        </w:rPr>
        <w:t>) дорівнює 19,191.38. Це означає, що на кожну гривню, вкладену в проект, компанія отримує майже 19,191 гривень доходу. Такий високий показник PI підкреслює надзвичайно високу рентабельність інвестицій у мобільний застосунок, що свідчить про ефективність використання фінансових ресурсів і доцільність впровадження такого інструменту.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Впровадження мобільного застосунку для НАК «Нафтогаз України» є ключовим кроком для забезпечення її економічного розвитку та зміцнення позицій на ринку. Результати розрахунків показують, що </w:t>
      </w:r>
      <w:proofErr w:type="spellStart"/>
      <w:r>
        <w:rPr>
          <w:rFonts w:ascii="Times New Roman" w:eastAsia="Times New Roman" w:hAnsi="Times New Roman" w:cs="Times New Roman"/>
          <w:sz w:val="28"/>
          <w:szCs w:val="28"/>
          <w:highlight w:val="white"/>
        </w:rPr>
        <w:t>проєкт</w:t>
      </w:r>
      <w:proofErr w:type="spellEnd"/>
      <w:r>
        <w:rPr>
          <w:rFonts w:ascii="Times New Roman" w:eastAsia="Times New Roman" w:hAnsi="Times New Roman" w:cs="Times New Roman"/>
          <w:sz w:val="28"/>
          <w:szCs w:val="28"/>
          <w:highlight w:val="white"/>
        </w:rPr>
        <w:t xml:space="preserve"> може принести значний економічний ефект.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Одним із ключових факторів, який підтверджує цю тенденцію, є збільшення доходів компанії. Мобільний застосунок сприятиме збільшенню продажів через покращену доступність та зручність для клієнтів.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Крім того, впровадження застосунку дозволить знизити витрати на обслуговування клієнтів через ефективнішу комунікацію та автоматизацію деяких процесів. Це дозволить компанії заощадити значні кошти, які можна буде використати для розвитку та модернізації інших напрямків діяльності.</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Окрім цього, впровадження мобільного застосунку сприятиме підвищенню рівня </w:t>
      </w:r>
      <w:proofErr w:type="spellStart"/>
      <w:r>
        <w:rPr>
          <w:rFonts w:ascii="Times New Roman" w:eastAsia="Times New Roman" w:hAnsi="Times New Roman" w:cs="Times New Roman"/>
          <w:sz w:val="28"/>
          <w:szCs w:val="28"/>
          <w:highlight w:val="white"/>
        </w:rPr>
        <w:t>залученості</w:t>
      </w:r>
      <w:proofErr w:type="spellEnd"/>
      <w:r>
        <w:rPr>
          <w:rFonts w:ascii="Times New Roman" w:eastAsia="Times New Roman" w:hAnsi="Times New Roman" w:cs="Times New Roman"/>
          <w:sz w:val="28"/>
          <w:szCs w:val="28"/>
          <w:highlight w:val="white"/>
        </w:rPr>
        <w:t xml:space="preserve"> та лояльності клієнтів. Клієнти отримають доступ до більшого спектру послуг та можливість оперативного отримання інформації про новини та акції компанії. Це дозволить підвищити задоволеність клієнтів та збільшити їх відданість бренду.</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Загалом, впровадження мобільного застосунку дозволить НАК «Нафтогаз України» зміцнити свої позиції на ринку, підвищити конкурентоспроможність та забезпечити довгострокову фінансову стабільність та ріст компанії.</w:t>
      </w: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BA76DF">
      <w:pPr>
        <w:spacing w:line="360" w:lineRule="auto"/>
        <w:ind w:firstLine="720"/>
        <w:jc w:val="both"/>
        <w:rPr>
          <w:rFonts w:ascii="Times New Roman" w:eastAsia="Times New Roman" w:hAnsi="Times New Roman" w:cs="Times New Roman"/>
          <w:sz w:val="28"/>
          <w:szCs w:val="28"/>
          <w:highlight w:val="white"/>
        </w:rPr>
      </w:pPr>
    </w:p>
    <w:p w:rsidR="00BA76DF" w:rsidRDefault="00C33D3F">
      <w:pPr>
        <w:pStyle w:val="2"/>
        <w:spacing w:line="360" w:lineRule="auto"/>
        <w:ind w:firstLine="720"/>
        <w:jc w:val="both"/>
        <w:rPr>
          <w:highlight w:val="white"/>
        </w:rPr>
      </w:pPr>
      <w:bookmarkStart w:id="18" w:name="_66vgamym3qsp" w:colFirst="0" w:colLast="0"/>
      <w:bookmarkEnd w:id="18"/>
      <w:r>
        <w:rPr>
          <w:highlight w:val="white"/>
        </w:rPr>
        <w:t xml:space="preserve">Висновки до розділу 3 </w:t>
      </w:r>
    </w:p>
    <w:p w:rsidR="00BA76DF" w:rsidRDefault="00BA76DF"/>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На основі проведеного дослідження було розроблено кілька рекомендацій, спрямованих на покращення маркетингової діяльності НАК «Нафтогаз України». Основною рекомендацією є розробка та впровадження мобільного застосунку. Цей застосунок повинен забезпечувати можливість швидкої та зручної оплати рахунків онлайн, що значно зменшить час і зусилля, які витрачають споживачі на оплату послуг.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Крім того, мобільний застосунок повинен надавати споживачам можливість відслідковувати своє споживання газу в режимі реального часу, що допоможе їм краще контролювати витрати та споживання ресурсів. Однією з важливих функцій мобільного застосунку має бути можливість отримання консультацій через чат. Це дозволить споживачам </w:t>
      </w:r>
      <w:proofErr w:type="spellStart"/>
      <w:r>
        <w:rPr>
          <w:rFonts w:ascii="Times New Roman" w:eastAsia="Times New Roman" w:hAnsi="Times New Roman" w:cs="Times New Roman"/>
          <w:sz w:val="28"/>
          <w:szCs w:val="28"/>
          <w:highlight w:val="white"/>
        </w:rPr>
        <w:t>оперативно</w:t>
      </w:r>
      <w:proofErr w:type="spellEnd"/>
      <w:r>
        <w:rPr>
          <w:rFonts w:ascii="Times New Roman" w:eastAsia="Times New Roman" w:hAnsi="Times New Roman" w:cs="Times New Roman"/>
          <w:sz w:val="28"/>
          <w:szCs w:val="28"/>
          <w:highlight w:val="white"/>
        </w:rPr>
        <w:t xml:space="preserve"> отримувати відповіді на свої запитання, підвищуючи рівень обслуговування та загальну задоволеність клієнтів.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Також мобільний застосунок повинен включати функціонал для подачі заявок на обслуговування, що полегшить процес надання послуги компанією та зробить його більш ефективним. Для підвищення рівня комунікації з клієнтами та надання оперативної підтримки рекомендується активно використовувати нові технології та підходи. Це дозволить оптимізувати витрати на обслуговування клієнтів і підвищити ефективність маркетингової діяльності. Важливим аспектом є також залучення нових клієнтів та підвищення доходів від існуючих споживачів за допомогою різних маркетингових інструментів та програм лояльності.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Результати дослідження підтвердили, що впровадження мобільного застосунку та інших запропонованих заходів може значно підвищити задоволеність клієнтів і збільшити їхню лояльність. Аналіз економічної доцільності впровадження мобільного застосунку показав, що такі заходи є не лише доцільними, але й ефективними для підприємства. Реалізація цих рекомендацій дозволить НАК «Нафтогаз України» ефективніше функціонувати в умовах сучасного ринку природного газу України, підвищуючи свою конкурентоспроможність та задовольняючи потреби своїх споживачів.</w:t>
      </w:r>
    </w:p>
    <w:p w:rsidR="00BA76DF" w:rsidRDefault="00C33D3F">
      <w:pPr>
        <w:pStyle w:val="1"/>
      </w:pPr>
      <w:bookmarkStart w:id="19" w:name="_r5z9j1vgidzw" w:colFirst="0" w:colLast="0"/>
      <w:bookmarkEnd w:id="19"/>
      <w:r>
        <w:lastRenderedPageBreak/>
        <w:t xml:space="preserve">ВИСНОВКИ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Дипломна робота на тему «Удосконалення маркетингової діяльності НАК «Нафтогаз України»» спрямована на дослідження та аналіз маркетингової діяльності підприємства з метою її подальшого вдосконалення. На основі проведених досліджень було виявлено ряд важливих аспектів, які потребують уваги для підвищення ефективності маркетингової діяльності компанії. Було виявлено, що НАК «Нафтогаз України» має певні слабкі сторони у комунікації зі споживачами, зокрема відсутність сучасних інструментів для зручного взаємозв'язку. Поточні методи збору даних про споживання газу та оплати рахунків є застарілими і потребують модернізації. </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Результати опитування показали високий інтерес споживачів до використання мобільного застосунку для взаємодії з компанією, а найбільш бажаними функціями мобільного застосунку виявилися оплата рахунків онлайн, моніторинг споживання газу та отримання консультацій через чат.  Розроблено конкретні рекомендації щодо впровадження мобільного застосунку, який включатиме функціонал оплати рахунків онлайн, моніторингу споживання газу, консультацій через чат, подачі заявок на обслуговування, а також надсилання новин та акційних пропозицій. Впровадження такого застосунку сприятиме підвищенню рівня задоволеності споживачів та їх лояльності до компанії. Розрахунки показали, що впровадження мобільного застосунку може значно підвищити економічну ефективність компанії, зменшити витрати на обслуговування клієнтів та збільшити прибуток завдяки зростанню лояльності та </w:t>
      </w:r>
      <w:proofErr w:type="spellStart"/>
      <w:r>
        <w:rPr>
          <w:rFonts w:ascii="Times New Roman" w:eastAsia="Times New Roman" w:hAnsi="Times New Roman" w:cs="Times New Roman"/>
          <w:sz w:val="28"/>
          <w:szCs w:val="28"/>
          <w:highlight w:val="white"/>
        </w:rPr>
        <w:t>залученості</w:t>
      </w:r>
      <w:proofErr w:type="spellEnd"/>
      <w:r>
        <w:rPr>
          <w:rFonts w:ascii="Times New Roman" w:eastAsia="Times New Roman" w:hAnsi="Times New Roman" w:cs="Times New Roman"/>
          <w:sz w:val="28"/>
          <w:szCs w:val="28"/>
          <w:highlight w:val="white"/>
        </w:rPr>
        <w:t xml:space="preserve"> клієнтів.</w:t>
      </w:r>
    </w:p>
    <w:p w:rsidR="00BA76DF" w:rsidRDefault="00C33D3F">
      <w:pPr>
        <w:spacing w:line="36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Загалом, виконана робота підтвердила доцільність запланованих маркетингових заходів та їх ефективність для удосконалення маркетингової діяльності НАК «Нафтогаз України». Впровадження запропонованих рекомендацій дозволить компанії залишатися конкурентоспроможною на ринку, підвищити рівень задоволеності споживачів та зміцнити свою позицію в галузі.</w:t>
      </w:r>
    </w:p>
    <w:p w:rsidR="00BA76DF" w:rsidRDefault="00C33D3F">
      <w:pPr>
        <w:pStyle w:val="1"/>
      </w:pPr>
      <w:bookmarkStart w:id="20" w:name="_sbxqv343ealq" w:colFirst="0" w:colLast="0"/>
      <w:bookmarkEnd w:id="20"/>
      <w:r>
        <w:lastRenderedPageBreak/>
        <w:t>СПИСОК ВИКОРИСТАНИХ ДЖЕРЕЛ</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Нафтогаз. </w:t>
      </w:r>
      <w:r>
        <w:rPr>
          <w:rFonts w:ascii="Times New Roman" w:eastAsia="Times New Roman" w:hAnsi="Times New Roman" w:cs="Times New Roman"/>
          <w:i/>
          <w:sz w:val="28"/>
          <w:szCs w:val="28"/>
          <w:highlight w:val="white"/>
        </w:rPr>
        <w:t>Про Групу Нафтогаз.</w:t>
      </w:r>
      <w:r>
        <w:rPr>
          <w:rFonts w:ascii="Times New Roman" w:eastAsia="Times New Roman" w:hAnsi="Times New Roman" w:cs="Times New Roman"/>
          <w:sz w:val="28"/>
          <w:szCs w:val="28"/>
          <w:highlight w:val="white"/>
        </w:rPr>
        <w:t xml:space="preserve"> Веб сайт URL:</w:t>
      </w:r>
      <w:hyperlink r:id="rId47">
        <w:r>
          <w:rPr>
            <w:rFonts w:ascii="Times New Roman" w:eastAsia="Times New Roman" w:hAnsi="Times New Roman" w:cs="Times New Roman"/>
            <w:sz w:val="28"/>
            <w:szCs w:val="28"/>
            <w:highlight w:val="white"/>
          </w:rPr>
          <w:t xml:space="preserve"> </w:t>
        </w:r>
      </w:hyperlink>
      <w:hyperlink r:id="rId48">
        <w:r>
          <w:rPr>
            <w:rFonts w:ascii="Times New Roman" w:eastAsia="Times New Roman" w:hAnsi="Times New Roman" w:cs="Times New Roman"/>
            <w:sz w:val="28"/>
            <w:szCs w:val="28"/>
            <w:highlight w:val="white"/>
            <w:u w:val="single"/>
          </w:rPr>
          <w:t>https://www.naftogaz.com/about-naftogaz</w:t>
        </w:r>
      </w:hyperlink>
      <w:r>
        <w:rPr>
          <w:rFonts w:ascii="Times New Roman" w:eastAsia="Times New Roman" w:hAnsi="Times New Roman" w:cs="Times New Roman"/>
          <w:sz w:val="28"/>
          <w:szCs w:val="28"/>
          <w:highlight w:val="white"/>
        </w:rPr>
        <w:t xml:space="preserve">  (дата звернення: 09.02.2024)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YouControl</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 xml:space="preserve">Акціонерне товариство Національна </w:t>
      </w:r>
      <w:proofErr w:type="spellStart"/>
      <w:r>
        <w:rPr>
          <w:rFonts w:ascii="Times New Roman" w:eastAsia="Times New Roman" w:hAnsi="Times New Roman" w:cs="Times New Roman"/>
          <w:i/>
          <w:sz w:val="28"/>
          <w:szCs w:val="28"/>
          <w:highlight w:val="white"/>
        </w:rPr>
        <w:t>Акціонеран</w:t>
      </w:r>
      <w:proofErr w:type="spellEnd"/>
      <w:r>
        <w:rPr>
          <w:rFonts w:ascii="Times New Roman" w:eastAsia="Times New Roman" w:hAnsi="Times New Roman" w:cs="Times New Roman"/>
          <w:i/>
          <w:sz w:val="28"/>
          <w:szCs w:val="28"/>
          <w:highlight w:val="white"/>
        </w:rPr>
        <w:t xml:space="preserve"> Компанія Нафтогаз України</w:t>
      </w:r>
      <w:r>
        <w:rPr>
          <w:rFonts w:ascii="Times New Roman" w:eastAsia="Times New Roman" w:hAnsi="Times New Roman" w:cs="Times New Roman"/>
          <w:sz w:val="28"/>
          <w:szCs w:val="28"/>
          <w:highlight w:val="white"/>
        </w:rPr>
        <w:t xml:space="preserve">, веб-сайт URL: </w:t>
      </w:r>
      <w:hyperlink r:id="rId49">
        <w:r>
          <w:rPr>
            <w:rFonts w:ascii="Times New Roman" w:eastAsia="Times New Roman" w:hAnsi="Times New Roman" w:cs="Times New Roman"/>
            <w:sz w:val="28"/>
            <w:szCs w:val="28"/>
            <w:highlight w:val="white"/>
            <w:u w:val="single"/>
          </w:rPr>
          <w:t>https://youcontrol.com.ua/catalog/company_details/20077720/</w:t>
        </w:r>
      </w:hyperlink>
      <w:r>
        <w:rPr>
          <w:rFonts w:ascii="Times New Roman" w:eastAsia="Times New Roman" w:hAnsi="Times New Roman" w:cs="Times New Roman"/>
          <w:sz w:val="28"/>
          <w:szCs w:val="28"/>
          <w:highlight w:val="white"/>
        </w:rPr>
        <w:t xml:space="preserve"> (дата звернення: 05.04.2024)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Мішкур</w:t>
      </w:r>
      <w:proofErr w:type="spellEnd"/>
      <w:r>
        <w:rPr>
          <w:rFonts w:ascii="Times New Roman" w:eastAsia="Times New Roman" w:hAnsi="Times New Roman" w:cs="Times New Roman"/>
          <w:sz w:val="28"/>
          <w:szCs w:val="28"/>
          <w:highlight w:val="white"/>
        </w:rPr>
        <w:t xml:space="preserve"> О. В. Курсова робота з дисципліни маркетингова товарна політика</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Вікіпедія</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Нафтогаз України,</w:t>
      </w:r>
      <w:r>
        <w:rPr>
          <w:rFonts w:ascii="Times New Roman" w:eastAsia="Times New Roman" w:hAnsi="Times New Roman" w:cs="Times New Roman"/>
          <w:sz w:val="28"/>
          <w:szCs w:val="28"/>
          <w:highlight w:val="white"/>
        </w:rPr>
        <w:t xml:space="preserve"> веб-сайт URL: </w:t>
      </w:r>
      <w:hyperlink r:id="rId50" w:anchor="2020-%D1%82%D1%96">
        <w:r>
          <w:rPr>
            <w:rFonts w:ascii="Times New Roman" w:eastAsia="Times New Roman" w:hAnsi="Times New Roman" w:cs="Times New Roman"/>
            <w:sz w:val="28"/>
            <w:szCs w:val="28"/>
            <w:highlight w:val="white"/>
            <w:u w:val="single"/>
          </w:rPr>
          <w:t>https://uk.wikipedia.org/wiki/Нафтогаз_України#2020-ті</w:t>
        </w:r>
      </w:hyperlink>
      <w:r>
        <w:rPr>
          <w:rFonts w:ascii="Times New Roman" w:eastAsia="Times New Roman" w:hAnsi="Times New Roman" w:cs="Times New Roman"/>
          <w:sz w:val="28"/>
          <w:szCs w:val="28"/>
          <w:highlight w:val="white"/>
        </w:rPr>
        <w:t xml:space="preserve"> (дата звернення: 01.05.2024) </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Zakon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Rada</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Указ Президента України про відзначення державними нагородами України працівників Національної акціонерної компанії  "Нафтогаз України"</w:t>
      </w:r>
      <w:r>
        <w:rPr>
          <w:rFonts w:ascii="Times New Roman" w:eastAsia="Times New Roman" w:hAnsi="Times New Roman" w:cs="Times New Roman"/>
          <w:sz w:val="28"/>
          <w:szCs w:val="28"/>
          <w:highlight w:val="white"/>
        </w:rPr>
        <w:t xml:space="preserve">, веб-сайт URL: </w:t>
      </w:r>
      <w:hyperlink r:id="rId51" w:anchor="Text">
        <w:r>
          <w:rPr>
            <w:rFonts w:ascii="Times New Roman" w:eastAsia="Times New Roman" w:hAnsi="Times New Roman" w:cs="Times New Roman"/>
            <w:sz w:val="28"/>
            <w:szCs w:val="28"/>
            <w:highlight w:val="white"/>
            <w:u w:val="single"/>
          </w:rPr>
          <w:t>https://zakon.rada.gov.ua/laws/show/467/2008#Text</w:t>
        </w:r>
      </w:hyperlink>
      <w:r>
        <w:rPr>
          <w:rFonts w:ascii="Times New Roman" w:eastAsia="Times New Roman" w:hAnsi="Times New Roman" w:cs="Times New Roman"/>
          <w:sz w:val="28"/>
          <w:szCs w:val="28"/>
          <w:highlight w:val="white"/>
        </w:rPr>
        <w:t xml:space="preserve"> (дата звернення: 04.05.2024)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Liga</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Zakon</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Наказ, Методика від 26.02.2004 № 116,</w:t>
      </w:r>
      <w:r>
        <w:rPr>
          <w:rFonts w:ascii="Times New Roman" w:eastAsia="Times New Roman" w:hAnsi="Times New Roman" w:cs="Times New Roman"/>
          <w:sz w:val="28"/>
          <w:szCs w:val="28"/>
          <w:highlight w:val="white"/>
        </w:rPr>
        <w:t xml:space="preserve"> веб-сайт URL: </w:t>
      </w:r>
      <w:hyperlink r:id="rId52">
        <w:r>
          <w:rPr>
            <w:rFonts w:ascii="Times New Roman" w:eastAsia="Times New Roman" w:hAnsi="Times New Roman" w:cs="Times New Roman"/>
            <w:sz w:val="28"/>
            <w:szCs w:val="28"/>
            <w:highlight w:val="white"/>
            <w:u w:val="single"/>
          </w:rPr>
          <w:t>https://ips.ligazakon.net/document/TM021100</w:t>
        </w:r>
      </w:hyperlink>
      <w:r>
        <w:rPr>
          <w:rFonts w:ascii="Times New Roman" w:eastAsia="Times New Roman" w:hAnsi="Times New Roman" w:cs="Times New Roman"/>
          <w:sz w:val="28"/>
          <w:szCs w:val="28"/>
          <w:highlight w:val="white"/>
        </w:rPr>
        <w:t xml:space="preserve"> (дата звернення: 06.05.2024)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Expro</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Consulting</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 xml:space="preserve">Нові технології і </w:t>
      </w:r>
      <w:proofErr w:type="spellStart"/>
      <w:r>
        <w:rPr>
          <w:rFonts w:ascii="Times New Roman" w:eastAsia="Times New Roman" w:hAnsi="Times New Roman" w:cs="Times New Roman"/>
          <w:i/>
          <w:sz w:val="28"/>
          <w:szCs w:val="28"/>
          <w:highlight w:val="white"/>
        </w:rPr>
        <w:t>діджиталізація</w:t>
      </w:r>
      <w:proofErr w:type="spellEnd"/>
      <w:r>
        <w:rPr>
          <w:rFonts w:ascii="Times New Roman" w:eastAsia="Times New Roman" w:hAnsi="Times New Roman" w:cs="Times New Roman"/>
          <w:i/>
          <w:sz w:val="28"/>
          <w:szCs w:val="28"/>
          <w:highlight w:val="white"/>
        </w:rPr>
        <w:t xml:space="preserve"> процесів приведе до стабілізації у видобутку в Нафтогазі - Калугін,</w:t>
      </w:r>
      <w:r>
        <w:rPr>
          <w:rFonts w:ascii="Times New Roman" w:eastAsia="Times New Roman" w:hAnsi="Times New Roman" w:cs="Times New Roman"/>
          <w:sz w:val="28"/>
          <w:szCs w:val="28"/>
          <w:highlight w:val="white"/>
        </w:rPr>
        <w:t xml:space="preserve"> веб-сайт URL: </w:t>
      </w:r>
      <w:hyperlink r:id="rId53">
        <w:r>
          <w:rPr>
            <w:rFonts w:ascii="Times New Roman" w:eastAsia="Times New Roman" w:hAnsi="Times New Roman" w:cs="Times New Roman"/>
            <w:sz w:val="28"/>
            <w:szCs w:val="28"/>
            <w:highlight w:val="white"/>
            <w:u w:val="single"/>
          </w:rPr>
          <w:t>https://expro.com.ua/novini/nov-tehnolog--ddjitalzacya-procesv-privede-do-stablzac-u-vidobutku-v-naftogaz-kalugn</w:t>
        </w:r>
      </w:hyperlink>
      <w:r>
        <w:rPr>
          <w:rFonts w:ascii="Times New Roman" w:eastAsia="Times New Roman" w:hAnsi="Times New Roman" w:cs="Times New Roman"/>
          <w:sz w:val="28"/>
          <w:szCs w:val="28"/>
          <w:highlight w:val="white"/>
        </w:rPr>
        <w:t xml:space="preserve"> (дата звернення: 09.05.2024)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Мішкур</w:t>
      </w:r>
      <w:proofErr w:type="spellEnd"/>
      <w:r>
        <w:rPr>
          <w:rFonts w:ascii="Times New Roman" w:eastAsia="Times New Roman" w:hAnsi="Times New Roman" w:cs="Times New Roman"/>
          <w:sz w:val="28"/>
          <w:szCs w:val="28"/>
          <w:highlight w:val="white"/>
        </w:rPr>
        <w:t xml:space="preserve"> О. В. Курсова робота з дисципліни Маркетинг: </w:t>
      </w:r>
      <w:proofErr w:type="spellStart"/>
      <w:r>
        <w:rPr>
          <w:rFonts w:ascii="Times New Roman" w:eastAsia="Times New Roman" w:hAnsi="Times New Roman" w:cs="Times New Roman"/>
          <w:sz w:val="28"/>
          <w:szCs w:val="28"/>
          <w:highlight w:val="white"/>
        </w:rPr>
        <w:t>Фундаментальнии</w:t>
      </w:r>
      <w:proofErr w:type="spellEnd"/>
      <w:r>
        <w:rPr>
          <w:rFonts w:ascii="Times New Roman" w:eastAsia="Times New Roman" w:hAnsi="Times New Roman" w:cs="Times New Roman"/>
          <w:sz w:val="28"/>
          <w:szCs w:val="28"/>
          <w:highlight w:val="white"/>
        </w:rPr>
        <w:t>̆ маркетинг</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Interfax</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Кількість співробітників "Нафтогазу" за рахунок інтеграції інших підприємств до кінця року зросте вдвічі - Чернишов</w:t>
      </w:r>
      <w:r>
        <w:rPr>
          <w:rFonts w:ascii="Times New Roman" w:eastAsia="Times New Roman" w:hAnsi="Times New Roman" w:cs="Times New Roman"/>
          <w:sz w:val="28"/>
          <w:szCs w:val="28"/>
          <w:highlight w:val="white"/>
        </w:rPr>
        <w:t xml:space="preserve">, веб-сайт URL: </w:t>
      </w:r>
      <w:hyperlink r:id="rId54">
        <w:r>
          <w:rPr>
            <w:rFonts w:ascii="Times New Roman" w:eastAsia="Times New Roman" w:hAnsi="Times New Roman" w:cs="Times New Roman"/>
            <w:sz w:val="28"/>
            <w:szCs w:val="28"/>
            <w:highlight w:val="white"/>
            <w:u w:val="single"/>
          </w:rPr>
          <w:t>https://interfax.com.ua/news/economic/947261.html</w:t>
        </w:r>
      </w:hyperlink>
      <w:r>
        <w:rPr>
          <w:rFonts w:ascii="Times New Roman" w:eastAsia="Times New Roman" w:hAnsi="Times New Roman" w:cs="Times New Roman"/>
          <w:sz w:val="28"/>
          <w:szCs w:val="28"/>
          <w:highlight w:val="white"/>
        </w:rPr>
        <w:t xml:space="preserve"> (дата звернення: 15.05.2024)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Мішкур</w:t>
      </w:r>
      <w:proofErr w:type="spellEnd"/>
      <w:r>
        <w:rPr>
          <w:rFonts w:ascii="Times New Roman" w:eastAsia="Times New Roman" w:hAnsi="Times New Roman" w:cs="Times New Roman"/>
          <w:sz w:val="28"/>
          <w:szCs w:val="28"/>
          <w:highlight w:val="white"/>
        </w:rPr>
        <w:t xml:space="preserve"> О. В. Курсова робота з дисципліни маркетингові комунікації</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Національна комісія, що здійснює державне регулювання у сферах енергетики та комунальних послуг. </w:t>
      </w:r>
      <w:r>
        <w:rPr>
          <w:rFonts w:ascii="Times New Roman" w:eastAsia="Times New Roman" w:hAnsi="Times New Roman" w:cs="Times New Roman"/>
          <w:i/>
          <w:sz w:val="28"/>
          <w:szCs w:val="28"/>
          <w:highlight w:val="white"/>
        </w:rPr>
        <w:t>Результати моніторингу функціонування ринку природного газу за І квартал 2023 року,</w:t>
      </w:r>
      <w:r>
        <w:rPr>
          <w:rFonts w:ascii="Times New Roman" w:eastAsia="Times New Roman" w:hAnsi="Times New Roman" w:cs="Times New Roman"/>
          <w:sz w:val="28"/>
          <w:szCs w:val="28"/>
          <w:highlight w:val="white"/>
        </w:rPr>
        <w:t xml:space="preserve"> веб-сайт URL: </w:t>
      </w:r>
      <w:hyperlink r:id="rId55">
        <w:r>
          <w:rPr>
            <w:rFonts w:ascii="Times New Roman" w:eastAsia="Times New Roman" w:hAnsi="Times New Roman" w:cs="Times New Roman"/>
            <w:sz w:val="28"/>
            <w:szCs w:val="28"/>
            <w:highlight w:val="white"/>
            <w:u w:val="single"/>
          </w:rPr>
          <w:t>https://www.nerc.gov.ua/storage/app/sites/1/Docs/Sfery_Gaz/Monitoring_rynku_gaz/2023/monitoryng_gaz_I-2023.pdf</w:t>
        </w:r>
      </w:hyperlink>
      <w:r>
        <w:rPr>
          <w:rFonts w:ascii="Times New Roman" w:eastAsia="Times New Roman" w:hAnsi="Times New Roman" w:cs="Times New Roman"/>
          <w:sz w:val="28"/>
          <w:szCs w:val="28"/>
          <w:highlight w:val="white"/>
        </w:rPr>
        <w:t xml:space="preserve"> (дата звернення: 16.05.2024)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Котлер</w:t>
      </w:r>
      <w:proofErr w:type="spellEnd"/>
      <w:r>
        <w:rPr>
          <w:rFonts w:ascii="Times New Roman" w:eastAsia="Times New Roman" w:hAnsi="Times New Roman" w:cs="Times New Roman"/>
          <w:sz w:val="28"/>
          <w:szCs w:val="28"/>
          <w:highlight w:val="white"/>
        </w:rPr>
        <w:t xml:space="preserve"> Ф. </w:t>
      </w:r>
      <w:proofErr w:type="spellStart"/>
      <w:r>
        <w:rPr>
          <w:rFonts w:ascii="Times New Roman" w:eastAsia="Times New Roman" w:hAnsi="Times New Roman" w:cs="Times New Roman"/>
          <w:sz w:val="28"/>
          <w:szCs w:val="28"/>
          <w:highlight w:val="white"/>
        </w:rPr>
        <w:t>Основы</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маркетинга</w:t>
      </w:r>
      <w:proofErr w:type="spellEnd"/>
      <w:r>
        <w:rPr>
          <w:rFonts w:ascii="Times New Roman" w:eastAsia="Times New Roman" w:hAnsi="Times New Roman" w:cs="Times New Roman"/>
          <w:sz w:val="28"/>
          <w:szCs w:val="28"/>
          <w:highlight w:val="white"/>
        </w:rPr>
        <w:t xml:space="preserve"> : пер. с </w:t>
      </w:r>
      <w:proofErr w:type="spellStart"/>
      <w:r>
        <w:rPr>
          <w:rFonts w:ascii="Times New Roman" w:eastAsia="Times New Roman" w:hAnsi="Times New Roman" w:cs="Times New Roman"/>
          <w:sz w:val="28"/>
          <w:szCs w:val="28"/>
          <w:highlight w:val="white"/>
        </w:rPr>
        <w:t>англ</w:t>
      </w:r>
      <w:proofErr w:type="spellEnd"/>
      <w:r>
        <w:rPr>
          <w:rFonts w:ascii="Times New Roman" w:eastAsia="Times New Roman" w:hAnsi="Times New Roman" w:cs="Times New Roman"/>
          <w:sz w:val="28"/>
          <w:szCs w:val="28"/>
          <w:highlight w:val="white"/>
        </w:rPr>
        <w:t xml:space="preserve">. / Ф. </w:t>
      </w:r>
      <w:proofErr w:type="spellStart"/>
      <w:r>
        <w:rPr>
          <w:rFonts w:ascii="Times New Roman" w:eastAsia="Times New Roman" w:hAnsi="Times New Roman" w:cs="Times New Roman"/>
          <w:sz w:val="28"/>
          <w:szCs w:val="28"/>
          <w:highlight w:val="white"/>
        </w:rPr>
        <w:t>Котлер</w:t>
      </w:r>
      <w:proofErr w:type="spellEnd"/>
      <w:r>
        <w:rPr>
          <w:rFonts w:ascii="Times New Roman" w:eastAsia="Times New Roman" w:hAnsi="Times New Roman" w:cs="Times New Roman"/>
          <w:sz w:val="28"/>
          <w:szCs w:val="28"/>
          <w:highlight w:val="white"/>
        </w:rPr>
        <w:t xml:space="preserve">, Г. </w:t>
      </w:r>
      <w:proofErr w:type="spellStart"/>
      <w:r>
        <w:rPr>
          <w:rFonts w:ascii="Times New Roman" w:eastAsia="Times New Roman" w:hAnsi="Times New Roman" w:cs="Times New Roman"/>
          <w:sz w:val="28"/>
          <w:szCs w:val="28"/>
          <w:highlight w:val="white"/>
        </w:rPr>
        <w:t>Армстронг</w:t>
      </w:r>
      <w:proofErr w:type="spellEnd"/>
      <w:r>
        <w:rPr>
          <w:rFonts w:ascii="Times New Roman" w:eastAsia="Times New Roman" w:hAnsi="Times New Roman" w:cs="Times New Roman"/>
          <w:sz w:val="28"/>
          <w:szCs w:val="28"/>
          <w:highlight w:val="white"/>
        </w:rPr>
        <w:t xml:space="preserve">. – </w:t>
      </w:r>
      <w:proofErr w:type="spellStart"/>
      <w:r>
        <w:rPr>
          <w:rFonts w:ascii="Times New Roman" w:eastAsia="Times New Roman" w:hAnsi="Times New Roman" w:cs="Times New Roman"/>
          <w:sz w:val="28"/>
          <w:szCs w:val="28"/>
          <w:highlight w:val="white"/>
        </w:rPr>
        <w:t>Изд</w:t>
      </w:r>
      <w:proofErr w:type="spellEnd"/>
      <w:r>
        <w:rPr>
          <w:rFonts w:ascii="Times New Roman" w:eastAsia="Times New Roman" w:hAnsi="Times New Roman" w:cs="Times New Roman"/>
          <w:sz w:val="28"/>
          <w:szCs w:val="28"/>
          <w:highlight w:val="white"/>
        </w:rPr>
        <w:t>. 2-ое, [</w:t>
      </w:r>
      <w:proofErr w:type="spellStart"/>
      <w:r>
        <w:rPr>
          <w:rFonts w:ascii="Times New Roman" w:eastAsia="Times New Roman" w:hAnsi="Times New Roman" w:cs="Times New Roman"/>
          <w:sz w:val="28"/>
          <w:szCs w:val="28"/>
          <w:highlight w:val="white"/>
        </w:rPr>
        <w:t>перераб</w:t>
      </w:r>
      <w:proofErr w:type="spellEnd"/>
      <w:r>
        <w:rPr>
          <w:rFonts w:ascii="Times New Roman" w:eastAsia="Times New Roman" w:hAnsi="Times New Roman" w:cs="Times New Roman"/>
          <w:sz w:val="28"/>
          <w:szCs w:val="28"/>
          <w:highlight w:val="white"/>
        </w:rPr>
        <w:t xml:space="preserve">. и </w:t>
      </w:r>
      <w:proofErr w:type="spellStart"/>
      <w:r>
        <w:rPr>
          <w:rFonts w:ascii="Times New Roman" w:eastAsia="Times New Roman" w:hAnsi="Times New Roman" w:cs="Times New Roman"/>
          <w:sz w:val="28"/>
          <w:szCs w:val="28"/>
          <w:highlight w:val="white"/>
        </w:rPr>
        <w:t>доп</w:t>
      </w:r>
      <w:proofErr w:type="spellEnd"/>
      <w:r>
        <w:rPr>
          <w:rFonts w:ascii="Times New Roman" w:eastAsia="Times New Roman" w:hAnsi="Times New Roman" w:cs="Times New Roman"/>
          <w:sz w:val="28"/>
          <w:szCs w:val="28"/>
          <w:highlight w:val="white"/>
        </w:rPr>
        <w:t xml:space="preserve">.]. – М. : </w:t>
      </w:r>
      <w:proofErr w:type="spellStart"/>
      <w:r>
        <w:rPr>
          <w:rFonts w:ascii="Times New Roman" w:eastAsia="Times New Roman" w:hAnsi="Times New Roman" w:cs="Times New Roman"/>
          <w:sz w:val="28"/>
          <w:szCs w:val="28"/>
          <w:highlight w:val="white"/>
        </w:rPr>
        <w:t>Изд</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дом</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Вильямс</w:t>
      </w:r>
      <w:proofErr w:type="spellEnd"/>
      <w:r>
        <w:rPr>
          <w:rFonts w:ascii="Times New Roman" w:eastAsia="Times New Roman" w:hAnsi="Times New Roman" w:cs="Times New Roman"/>
          <w:sz w:val="28"/>
          <w:szCs w:val="28"/>
          <w:highlight w:val="white"/>
        </w:rPr>
        <w:t xml:space="preserve">«, 1998. – 1056 с.  </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Науковий вісник НЛТУ України. – 2013. – </w:t>
      </w:r>
      <w:proofErr w:type="spellStart"/>
      <w:r>
        <w:rPr>
          <w:rFonts w:ascii="Times New Roman" w:eastAsia="Times New Roman" w:hAnsi="Times New Roman" w:cs="Times New Roman"/>
          <w:sz w:val="28"/>
          <w:szCs w:val="28"/>
          <w:highlight w:val="white"/>
        </w:rPr>
        <w:t>Вип</w:t>
      </w:r>
      <w:proofErr w:type="spellEnd"/>
      <w:r>
        <w:rPr>
          <w:rFonts w:ascii="Times New Roman" w:eastAsia="Times New Roman" w:hAnsi="Times New Roman" w:cs="Times New Roman"/>
          <w:sz w:val="28"/>
          <w:szCs w:val="28"/>
          <w:highlight w:val="white"/>
        </w:rPr>
        <w:t>. 23.7.</w:t>
      </w:r>
      <w:r>
        <w:rPr>
          <w:rFonts w:ascii="Times New Roman" w:eastAsia="Times New Roman" w:hAnsi="Times New Roman" w:cs="Times New Roman"/>
          <w:i/>
          <w:sz w:val="28"/>
          <w:szCs w:val="28"/>
          <w:highlight w:val="white"/>
        </w:rPr>
        <w:t xml:space="preserve"> Лояльність споживачів та формування їх видів на споживчому ринку,</w:t>
      </w:r>
      <w:r>
        <w:rPr>
          <w:rFonts w:ascii="Times New Roman" w:eastAsia="Times New Roman" w:hAnsi="Times New Roman" w:cs="Times New Roman"/>
          <w:sz w:val="28"/>
          <w:szCs w:val="28"/>
          <w:highlight w:val="white"/>
        </w:rPr>
        <w:t xml:space="preserve"> веб-сайт URL: </w:t>
      </w:r>
      <w:hyperlink r:id="rId56">
        <w:r>
          <w:rPr>
            <w:rFonts w:ascii="Times New Roman" w:eastAsia="Times New Roman" w:hAnsi="Times New Roman" w:cs="Times New Roman"/>
            <w:sz w:val="28"/>
            <w:szCs w:val="28"/>
            <w:highlight w:val="white"/>
            <w:u w:val="single"/>
          </w:rPr>
          <w:t>https://nv.nltu.edu.ua/Archive/2013/23_7/164_Iwa.pdf</w:t>
        </w:r>
      </w:hyperlink>
      <w:r>
        <w:rPr>
          <w:rFonts w:ascii="Times New Roman" w:eastAsia="Times New Roman" w:hAnsi="Times New Roman" w:cs="Times New Roman"/>
          <w:sz w:val="28"/>
          <w:szCs w:val="28"/>
          <w:highlight w:val="white"/>
        </w:rPr>
        <w:t xml:space="preserve"> (дата звернення: 16.05.2024)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Хлебович</w:t>
      </w:r>
      <w:proofErr w:type="spellEnd"/>
      <w:r>
        <w:rPr>
          <w:rFonts w:ascii="Times New Roman" w:eastAsia="Times New Roman" w:hAnsi="Times New Roman" w:cs="Times New Roman"/>
          <w:sz w:val="28"/>
          <w:szCs w:val="28"/>
          <w:highlight w:val="white"/>
        </w:rPr>
        <w:t xml:space="preserve"> Д.И. Сфера услуг: маркетинг : </w:t>
      </w:r>
      <w:proofErr w:type="spellStart"/>
      <w:r>
        <w:rPr>
          <w:rFonts w:ascii="Times New Roman" w:eastAsia="Times New Roman" w:hAnsi="Times New Roman" w:cs="Times New Roman"/>
          <w:sz w:val="28"/>
          <w:szCs w:val="28"/>
          <w:highlight w:val="white"/>
        </w:rPr>
        <w:t>учебн</w:t>
      </w:r>
      <w:proofErr w:type="spellEnd"/>
      <w:r>
        <w:rPr>
          <w:rFonts w:ascii="Times New Roman" w:eastAsia="Times New Roman" w:hAnsi="Times New Roman" w:cs="Times New Roman"/>
          <w:sz w:val="28"/>
          <w:szCs w:val="28"/>
          <w:highlight w:val="white"/>
        </w:rPr>
        <w:t xml:space="preserve">. пособ. / Д.И. </w:t>
      </w:r>
      <w:proofErr w:type="spellStart"/>
      <w:r>
        <w:rPr>
          <w:rFonts w:ascii="Times New Roman" w:eastAsia="Times New Roman" w:hAnsi="Times New Roman" w:cs="Times New Roman"/>
          <w:sz w:val="28"/>
          <w:szCs w:val="28"/>
          <w:highlight w:val="white"/>
        </w:rPr>
        <w:t>Хлебович</w:t>
      </w:r>
      <w:proofErr w:type="spellEnd"/>
      <w:r>
        <w:rPr>
          <w:rFonts w:ascii="Times New Roman" w:eastAsia="Times New Roman" w:hAnsi="Times New Roman" w:cs="Times New Roman"/>
          <w:sz w:val="28"/>
          <w:szCs w:val="28"/>
          <w:highlight w:val="white"/>
        </w:rPr>
        <w:t xml:space="preserve"> / </w:t>
      </w:r>
      <w:proofErr w:type="spellStart"/>
      <w:r>
        <w:rPr>
          <w:rFonts w:ascii="Times New Roman" w:eastAsia="Times New Roman" w:hAnsi="Times New Roman" w:cs="Times New Roman"/>
          <w:sz w:val="28"/>
          <w:szCs w:val="28"/>
          <w:highlight w:val="white"/>
        </w:rPr>
        <w:t>под</w:t>
      </w:r>
      <w:proofErr w:type="spellEnd"/>
      <w:r>
        <w:rPr>
          <w:rFonts w:ascii="Times New Roman" w:eastAsia="Times New Roman" w:hAnsi="Times New Roman" w:cs="Times New Roman"/>
          <w:sz w:val="28"/>
          <w:szCs w:val="28"/>
          <w:highlight w:val="white"/>
        </w:rPr>
        <w:t xml:space="preserve"> ред. Т.Д. </w:t>
      </w:r>
      <w:proofErr w:type="spellStart"/>
      <w:r>
        <w:rPr>
          <w:rFonts w:ascii="Times New Roman" w:eastAsia="Times New Roman" w:hAnsi="Times New Roman" w:cs="Times New Roman"/>
          <w:sz w:val="28"/>
          <w:szCs w:val="28"/>
          <w:highlight w:val="white"/>
        </w:rPr>
        <w:t>Бурменко</w:t>
      </w:r>
      <w:proofErr w:type="spellEnd"/>
      <w:r>
        <w:rPr>
          <w:rFonts w:ascii="Times New Roman" w:eastAsia="Times New Roman" w:hAnsi="Times New Roman" w:cs="Times New Roman"/>
          <w:sz w:val="28"/>
          <w:szCs w:val="28"/>
          <w:highlight w:val="white"/>
        </w:rPr>
        <w:t xml:space="preserve">. – М. : </w:t>
      </w:r>
      <w:proofErr w:type="spellStart"/>
      <w:r>
        <w:rPr>
          <w:rFonts w:ascii="Times New Roman" w:eastAsia="Times New Roman" w:hAnsi="Times New Roman" w:cs="Times New Roman"/>
          <w:sz w:val="28"/>
          <w:szCs w:val="28"/>
          <w:highlight w:val="white"/>
        </w:rPr>
        <w:t>Изд</w:t>
      </w:r>
      <w:proofErr w:type="spellEnd"/>
      <w:r>
        <w:rPr>
          <w:rFonts w:ascii="Times New Roman" w:eastAsia="Times New Roman" w:hAnsi="Times New Roman" w:cs="Times New Roman"/>
          <w:sz w:val="28"/>
          <w:szCs w:val="28"/>
          <w:highlight w:val="white"/>
        </w:rPr>
        <w:t>-во «</w:t>
      </w:r>
      <w:proofErr w:type="spellStart"/>
      <w:r>
        <w:rPr>
          <w:rFonts w:ascii="Times New Roman" w:eastAsia="Times New Roman" w:hAnsi="Times New Roman" w:cs="Times New Roman"/>
          <w:sz w:val="28"/>
          <w:szCs w:val="28"/>
          <w:highlight w:val="white"/>
        </w:rPr>
        <w:t>Кнорус</w:t>
      </w:r>
      <w:proofErr w:type="spellEnd"/>
      <w:r>
        <w:rPr>
          <w:rFonts w:ascii="Times New Roman" w:eastAsia="Times New Roman" w:hAnsi="Times New Roman" w:cs="Times New Roman"/>
          <w:sz w:val="28"/>
          <w:szCs w:val="28"/>
          <w:highlight w:val="white"/>
        </w:rPr>
        <w:t xml:space="preserve">«. – 2007. – 284 с. </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Димшіц</w:t>
      </w:r>
      <w:proofErr w:type="spellEnd"/>
      <w:r>
        <w:rPr>
          <w:rFonts w:ascii="Times New Roman" w:eastAsia="Times New Roman" w:hAnsi="Times New Roman" w:cs="Times New Roman"/>
          <w:sz w:val="28"/>
          <w:szCs w:val="28"/>
          <w:highlight w:val="white"/>
        </w:rPr>
        <w:t xml:space="preserve"> М. Споживацька лояльність: механізми повторної купівлі. Вершина, 2007. 200с.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Дойль</w:t>
      </w:r>
      <w:proofErr w:type="spellEnd"/>
      <w:r>
        <w:rPr>
          <w:rFonts w:ascii="Times New Roman" w:eastAsia="Times New Roman" w:hAnsi="Times New Roman" w:cs="Times New Roman"/>
          <w:sz w:val="28"/>
          <w:szCs w:val="28"/>
          <w:highlight w:val="white"/>
        </w:rPr>
        <w:t xml:space="preserve"> П. Менеджмент: Стратегія і тактика. / пер. з </w:t>
      </w:r>
      <w:proofErr w:type="spellStart"/>
      <w:r>
        <w:rPr>
          <w:rFonts w:ascii="Times New Roman" w:eastAsia="Times New Roman" w:hAnsi="Times New Roman" w:cs="Times New Roman"/>
          <w:sz w:val="28"/>
          <w:szCs w:val="28"/>
          <w:highlight w:val="white"/>
        </w:rPr>
        <w:t>англ</w:t>
      </w:r>
      <w:proofErr w:type="spellEnd"/>
      <w:r>
        <w:rPr>
          <w:rFonts w:ascii="Times New Roman" w:eastAsia="Times New Roman" w:hAnsi="Times New Roman" w:cs="Times New Roman"/>
          <w:sz w:val="28"/>
          <w:szCs w:val="28"/>
          <w:highlight w:val="white"/>
        </w:rPr>
        <w:t xml:space="preserve">.. СПб.: </w:t>
      </w:r>
      <w:proofErr w:type="spellStart"/>
      <w:r>
        <w:rPr>
          <w:rFonts w:ascii="Times New Roman" w:eastAsia="Times New Roman" w:hAnsi="Times New Roman" w:cs="Times New Roman"/>
          <w:sz w:val="28"/>
          <w:szCs w:val="28"/>
          <w:highlight w:val="white"/>
        </w:rPr>
        <w:t>Питер</w:t>
      </w:r>
      <w:proofErr w:type="spellEnd"/>
      <w:r>
        <w:rPr>
          <w:rFonts w:ascii="Times New Roman" w:eastAsia="Times New Roman" w:hAnsi="Times New Roman" w:cs="Times New Roman"/>
          <w:sz w:val="28"/>
          <w:szCs w:val="28"/>
          <w:highlight w:val="white"/>
        </w:rPr>
        <w:t>, 2004. 560с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Сіньковська</w:t>
      </w:r>
      <w:proofErr w:type="spellEnd"/>
      <w:r>
        <w:rPr>
          <w:rFonts w:ascii="Times New Roman" w:eastAsia="Times New Roman" w:hAnsi="Times New Roman" w:cs="Times New Roman"/>
          <w:sz w:val="28"/>
          <w:szCs w:val="28"/>
          <w:highlight w:val="white"/>
        </w:rPr>
        <w:t xml:space="preserve"> В.М. </w:t>
      </w:r>
      <w:r>
        <w:rPr>
          <w:rFonts w:ascii="Times New Roman" w:eastAsia="Times New Roman" w:hAnsi="Times New Roman" w:cs="Times New Roman"/>
          <w:i/>
          <w:sz w:val="28"/>
          <w:szCs w:val="28"/>
          <w:highlight w:val="white"/>
        </w:rPr>
        <w:t>Вимірювання лояльності споживачів в умовах конкуренції</w:t>
      </w:r>
      <w:r>
        <w:rPr>
          <w:rFonts w:ascii="Times New Roman" w:eastAsia="Times New Roman" w:hAnsi="Times New Roman" w:cs="Times New Roman"/>
          <w:sz w:val="28"/>
          <w:szCs w:val="28"/>
          <w:highlight w:val="white"/>
        </w:rPr>
        <w:t xml:space="preserve">, веб-сайт URL: </w:t>
      </w:r>
      <w:hyperlink r:id="rId57">
        <w:r>
          <w:rPr>
            <w:rFonts w:ascii="Times New Roman" w:eastAsia="Times New Roman" w:hAnsi="Times New Roman" w:cs="Times New Roman"/>
            <w:sz w:val="28"/>
            <w:szCs w:val="28"/>
            <w:highlight w:val="white"/>
            <w:u w:val="single"/>
          </w:rPr>
          <w:t>http://dspace.opu.ua/jspui/bitstream/123456789/11240/1/document.pdf</w:t>
        </w:r>
      </w:hyperlink>
      <w:r>
        <w:rPr>
          <w:rFonts w:ascii="Times New Roman" w:eastAsia="Times New Roman" w:hAnsi="Times New Roman" w:cs="Times New Roman"/>
          <w:sz w:val="28"/>
          <w:szCs w:val="28"/>
          <w:highlight w:val="white"/>
        </w:rPr>
        <w:t xml:space="preserve">  (дата звернення: 17.05.2024)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t>Hofmeyr</w:t>
      </w:r>
      <w:proofErr w:type="spellEnd"/>
      <w:r>
        <w:rPr>
          <w:rFonts w:ascii="Times New Roman" w:eastAsia="Times New Roman" w:hAnsi="Times New Roman" w:cs="Times New Roman"/>
          <w:sz w:val="28"/>
          <w:szCs w:val="28"/>
          <w:highlight w:val="white"/>
        </w:rPr>
        <w:t xml:space="preserve"> J. </w:t>
      </w:r>
      <w:proofErr w:type="spellStart"/>
      <w:r>
        <w:rPr>
          <w:rFonts w:ascii="Times New Roman" w:eastAsia="Times New Roman" w:hAnsi="Times New Roman" w:cs="Times New Roman"/>
          <w:sz w:val="28"/>
          <w:szCs w:val="28"/>
          <w:highlight w:val="white"/>
        </w:rPr>
        <w:t>Commitment-Led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Marketing</w:t>
      </w:r>
      <w:proofErr w:type="spellEnd"/>
      <w:r>
        <w:rPr>
          <w:rFonts w:ascii="Times New Roman" w:eastAsia="Times New Roman" w:hAnsi="Times New Roman" w:cs="Times New Roman"/>
          <w:sz w:val="28"/>
          <w:szCs w:val="28"/>
          <w:highlight w:val="white"/>
        </w:rPr>
        <w:t xml:space="preserve"> / J. </w:t>
      </w:r>
      <w:proofErr w:type="spellStart"/>
      <w:r>
        <w:rPr>
          <w:rFonts w:ascii="Times New Roman" w:eastAsia="Times New Roman" w:hAnsi="Times New Roman" w:cs="Times New Roman"/>
          <w:sz w:val="28"/>
          <w:szCs w:val="28"/>
          <w:highlight w:val="white"/>
        </w:rPr>
        <w:t>Hofmeyr</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B-</w:t>
      </w:r>
      <w:proofErr w:type="spellStart"/>
      <w:r>
        <w:rPr>
          <w:rFonts w:ascii="Times New Roman" w:eastAsia="Times New Roman" w:hAnsi="Times New Roman" w:cs="Times New Roman"/>
          <w:sz w:val="28"/>
          <w:szCs w:val="28"/>
          <w:highlight w:val="white"/>
        </w:rPr>
        <w:t>John</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Wiley</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Rice</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and</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Sons</w:t>
      </w:r>
      <w:proofErr w:type="spellEnd"/>
      <w:r>
        <w:rPr>
          <w:rFonts w:ascii="Times New Roman" w:eastAsia="Times New Roman" w:hAnsi="Times New Roman" w:cs="Times New Roman"/>
          <w:sz w:val="28"/>
          <w:szCs w:val="28"/>
          <w:highlight w:val="white"/>
        </w:rPr>
        <w:t xml:space="preserve">. – 2000. – </w:t>
      </w:r>
      <w:proofErr w:type="spellStart"/>
      <w:r>
        <w:rPr>
          <w:rFonts w:ascii="Times New Roman" w:eastAsia="Times New Roman" w:hAnsi="Times New Roman" w:cs="Times New Roman"/>
          <w:sz w:val="28"/>
          <w:szCs w:val="28"/>
          <w:highlight w:val="white"/>
        </w:rPr>
        <w:t>Pp</w:t>
      </w:r>
      <w:proofErr w:type="spellEnd"/>
      <w:r>
        <w:rPr>
          <w:rFonts w:ascii="Times New Roman" w:eastAsia="Times New Roman" w:hAnsi="Times New Roman" w:cs="Times New Roman"/>
          <w:sz w:val="28"/>
          <w:szCs w:val="28"/>
          <w:highlight w:val="white"/>
        </w:rPr>
        <w:t xml:space="preserve">. 85. </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Zakon.Rada.UA. </w:t>
      </w:r>
      <w:r>
        <w:rPr>
          <w:rFonts w:ascii="Times New Roman" w:eastAsia="Times New Roman" w:hAnsi="Times New Roman" w:cs="Times New Roman"/>
          <w:i/>
          <w:sz w:val="28"/>
          <w:szCs w:val="28"/>
          <w:highlight w:val="white"/>
        </w:rPr>
        <w:t xml:space="preserve">Закон України «Про нафту і газ», </w:t>
      </w:r>
      <w:r>
        <w:rPr>
          <w:rFonts w:ascii="Times New Roman" w:eastAsia="Times New Roman" w:hAnsi="Times New Roman" w:cs="Times New Roman"/>
          <w:sz w:val="28"/>
          <w:szCs w:val="28"/>
          <w:highlight w:val="white"/>
        </w:rPr>
        <w:t xml:space="preserve">веб-сайт URL: </w:t>
      </w:r>
      <w:hyperlink r:id="rId58" w:anchor="Text">
        <w:r>
          <w:rPr>
            <w:rFonts w:ascii="Times New Roman" w:eastAsia="Times New Roman" w:hAnsi="Times New Roman" w:cs="Times New Roman"/>
            <w:sz w:val="28"/>
            <w:szCs w:val="28"/>
            <w:highlight w:val="white"/>
            <w:u w:val="single"/>
          </w:rPr>
          <w:t>https://zakon.rada.gov.ua/laws/show/2665-14#Text</w:t>
        </w:r>
      </w:hyperlink>
      <w:r>
        <w:rPr>
          <w:rFonts w:ascii="Times New Roman" w:eastAsia="Times New Roman" w:hAnsi="Times New Roman" w:cs="Times New Roman"/>
          <w:sz w:val="28"/>
          <w:szCs w:val="28"/>
          <w:highlight w:val="white"/>
        </w:rPr>
        <w:t xml:space="preserve"> (дата звернення: 17.05.2024)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МЕТ Україна. </w:t>
      </w:r>
      <w:r>
        <w:rPr>
          <w:rFonts w:ascii="Times New Roman" w:eastAsia="Times New Roman" w:hAnsi="Times New Roman" w:cs="Times New Roman"/>
          <w:i/>
          <w:sz w:val="28"/>
          <w:szCs w:val="28"/>
          <w:highlight w:val="white"/>
        </w:rPr>
        <w:t>Головна сторінка</w:t>
      </w:r>
      <w:r>
        <w:rPr>
          <w:rFonts w:ascii="Times New Roman" w:eastAsia="Times New Roman" w:hAnsi="Times New Roman" w:cs="Times New Roman"/>
          <w:sz w:val="28"/>
          <w:szCs w:val="28"/>
          <w:highlight w:val="white"/>
        </w:rPr>
        <w:t xml:space="preserve">, веб-сайт URL: </w:t>
      </w:r>
      <w:hyperlink r:id="rId59">
        <w:r>
          <w:rPr>
            <w:rFonts w:ascii="Times New Roman" w:eastAsia="Times New Roman" w:hAnsi="Times New Roman" w:cs="Times New Roman"/>
            <w:sz w:val="28"/>
            <w:szCs w:val="28"/>
            <w:highlight w:val="white"/>
            <w:u w:val="single"/>
          </w:rPr>
          <w:t>https://ua.met.com/uk</w:t>
        </w:r>
      </w:hyperlink>
      <w:r>
        <w:rPr>
          <w:rFonts w:ascii="Times New Roman" w:eastAsia="Times New Roman" w:hAnsi="Times New Roman" w:cs="Times New Roman"/>
          <w:sz w:val="28"/>
          <w:szCs w:val="28"/>
          <w:highlight w:val="white"/>
        </w:rPr>
        <w:t xml:space="preserve"> (дата звернення: 17.05.2024)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Еру </w:t>
      </w:r>
      <w:proofErr w:type="spellStart"/>
      <w:r>
        <w:rPr>
          <w:rFonts w:ascii="Times New Roman" w:eastAsia="Times New Roman" w:hAnsi="Times New Roman" w:cs="Times New Roman"/>
          <w:sz w:val="28"/>
          <w:szCs w:val="28"/>
          <w:highlight w:val="white"/>
        </w:rPr>
        <w:t>Трейдінг</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Головна сторінка,</w:t>
      </w:r>
      <w:r>
        <w:rPr>
          <w:rFonts w:ascii="Times New Roman" w:eastAsia="Times New Roman" w:hAnsi="Times New Roman" w:cs="Times New Roman"/>
          <w:sz w:val="28"/>
          <w:szCs w:val="28"/>
          <w:highlight w:val="white"/>
        </w:rPr>
        <w:t xml:space="preserve"> веб-сайт URL: </w:t>
      </w:r>
      <w:hyperlink r:id="rId60">
        <w:r>
          <w:rPr>
            <w:rFonts w:ascii="Times New Roman" w:eastAsia="Times New Roman" w:hAnsi="Times New Roman" w:cs="Times New Roman"/>
            <w:sz w:val="28"/>
            <w:szCs w:val="28"/>
            <w:highlight w:val="white"/>
            <w:u w:val="single"/>
          </w:rPr>
          <w:t>https://www.eru.com.ua/</w:t>
        </w:r>
      </w:hyperlink>
      <w:r>
        <w:rPr>
          <w:rFonts w:ascii="Times New Roman" w:eastAsia="Times New Roman" w:hAnsi="Times New Roman" w:cs="Times New Roman"/>
          <w:sz w:val="28"/>
          <w:szCs w:val="28"/>
          <w:highlight w:val="white"/>
        </w:rPr>
        <w:t xml:space="preserve"> (дата звернення: 17.05.2024)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proofErr w:type="spellStart"/>
      <w:r>
        <w:rPr>
          <w:rFonts w:ascii="Times New Roman" w:eastAsia="Times New Roman" w:hAnsi="Times New Roman" w:cs="Times New Roman"/>
          <w:sz w:val="28"/>
          <w:szCs w:val="28"/>
          <w:highlight w:val="white"/>
        </w:rPr>
        <w:lastRenderedPageBreak/>
        <w:t>Eru</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Trading</w:t>
      </w:r>
      <w:proofErr w:type="spellEnd"/>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 xml:space="preserve">ERU </w:t>
      </w:r>
      <w:proofErr w:type="spellStart"/>
      <w:r>
        <w:rPr>
          <w:rFonts w:ascii="Times New Roman" w:eastAsia="Times New Roman" w:hAnsi="Times New Roman" w:cs="Times New Roman"/>
          <w:i/>
          <w:sz w:val="28"/>
          <w:szCs w:val="28"/>
          <w:highlight w:val="white"/>
        </w:rPr>
        <w:t>Trading’s</w:t>
      </w:r>
      <w:proofErr w:type="spellEnd"/>
      <w:r>
        <w:rPr>
          <w:rFonts w:ascii="Times New Roman" w:eastAsia="Times New Roman" w:hAnsi="Times New Roman" w:cs="Times New Roman"/>
          <w:i/>
          <w:sz w:val="28"/>
          <w:szCs w:val="28"/>
          <w:highlight w:val="white"/>
        </w:rPr>
        <w:t xml:space="preserve"> </w:t>
      </w:r>
      <w:proofErr w:type="spellStart"/>
      <w:r>
        <w:rPr>
          <w:rFonts w:ascii="Times New Roman" w:eastAsia="Times New Roman" w:hAnsi="Times New Roman" w:cs="Times New Roman"/>
          <w:i/>
          <w:sz w:val="28"/>
          <w:szCs w:val="28"/>
          <w:highlight w:val="white"/>
        </w:rPr>
        <w:t>First</w:t>
      </w:r>
      <w:proofErr w:type="spellEnd"/>
      <w:r>
        <w:rPr>
          <w:rFonts w:ascii="Times New Roman" w:eastAsia="Times New Roman" w:hAnsi="Times New Roman" w:cs="Times New Roman"/>
          <w:i/>
          <w:sz w:val="28"/>
          <w:szCs w:val="28"/>
          <w:highlight w:val="white"/>
        </w:rPr>
        <w:t xml:space="preserve"> </w:t>
      </w:r>
      <w:proofErr w:type="spellStart"/>
      <w:r>
        <w:rPr>
          <w:rFonts w:ascii="Times New Roman" w:eastAsia="Times New Roman" w:hAnsi="Times New Roman" w:cs="Times New Roman"/>
          <w:i/>
          <w:sz w:val="28"/>
          <w:szCs w:val="28"/>
          <w:highlight w:val="white"/>
        </w:rPr>
        <w:t>Billion</w:t>
      </w:r>
      <w:proofErr w:type="spellEnd"/>
      <w:r>
        <w:rPr>
          <w:rFonts w:ascii="Times New Roman" w:eastAsia="Times New Roman" w:hAnsi="Times New Roman" w:cs="Times New Roman"/>
          <w:sz w:val="28"/>
          <w:szCs w:val="28"/>
          <w:highlight w:val="white"/>
        </w:rPr>
        <w:t xml:space="preserve">, веб-сайт URL: </w:t>
      </w:r>
      <w:hyperlink r:id="rId61">
        <w:r>
          <w:rPr>
            <w:rFonts w:ascii="Times New Roman" w:eastAsia="Times New Roman" w:hAnsi="Times New Roman" w:cs="Times New Roman"/>
            <w:sz w:val="28"/>
            <w:szCs w:val="28"/>
            <w:highlight w:val="white"/>
            <w:u w:val="single"/>
          </w:rPr>
          <w:t>https://eru.com.ua/en/press_centr/news/eru_trading_s_first_billion/</w:t>
        </w:r>
      </w:hyperlink>
      <w:r>
        <w:rPr>
          <w:rFonts w:ascii="Times New Roman" w:eastAsia="Times New Roman" w:hAnsi="Times New Roman" w:cs="Times New Roman"/>
          <w:sz w:val="28"/>
          <w:szCs w:val="28"/>
          <w:highlight w:val="white"/>
        </w:rPr>
        <w:t xml:space="preserve"> (дата звернення: 17.05.2024)</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Золотухіна</w:t>
      </w:r>
      <w:proofErr w:type="spellEnd"/>
      <w:r>
        <w:rPr>
          <w:rFonts w:ascii="Times New Roman" w:eastAsia="Times New Roman" w:hAnsi="Times New Roman" w:cs="Times New Roman"/>
          <w:sz w:val="28"/>
          <w:szCs w:val="28"/>
          <w:highlight w:val="white"/>
        </w:rPr>
        <w:t xml:space="preserve"> А. О. Уточнення сутності поняття «маркетингова діяльність підприємства» в умовах кризи [Електронний ресурс] / А. О. </w:t>
      </w:r>
      <w:proofErr w:type="spellStart"/>
      <w:r>
        <w:rPr>
          <w:rFonts w:ascii="Times New Roman" w:eastAsia="Times New Roman" w:hAnsi="Times New Roman" w:cs="Times New Roman"/>
          <w:sz w:val="28"/>
          <w:szCs w:val="28"/>
          <w:highlight w:val="white"/>
        </w:rPr>
        <w:t>Золотухіна</w:t>
      </w:r>
      <w:proofErr w:type="spellEnd"/>
      <w:r>
        <w:rPr>
          <w:rFonts w:ascii="Times New Roman" w:eastAsia="Times New Roman" w:hAnsi="Times New Roman" w:cs="Times New Roman"/>
          <w:sz w:val="28"/>
          <w:szCs w:val="28"/>
          <w:highlight w:val="white"/>
        </w:rPr>
        <w:t xml:space="preserve">, О. А. Небилиця // УДК 339.138 – Режим доступу до ресурсу: </w:t>
      </w:r>
      <w:hyperlink r:id="rId62">
        <w:r>
          <w:rPr>
            <w:rFonts w:ascii="Times New Roman" w:eastAsia="Times New Roman" w:hAnsi="Times New Roman" w:cs="Times New Roman"/>
            <w:sz w:val="28"/>
            <w:szCs w:val="28"/>
            <w:highlight w:val="white"/>
            <w:u w:val="single"/>
          </w:rPr>
          <w:t>http://repository.hneu.edu.ua/bitstream/123456789/28653/1/%D0%A2%D0%B5%D0%B7%D0%B0_%D0%97%D0%BE%D0%BB%D0%BE%D1%82%D1%83%D1%85%D1%96%D0%BD%D0%B0%20%D0%90%D0%BD%D0%B3%D0%B5%D0%BB%D1%96%D0%BD%D0%B0%20%282%29.pdf</w:t>
        </w:r>
      </w:hyperlink>
      <w:r>
        <w:rPr>
          <w:rFonts w:ascii="Times New Roman" w:eastAsia="Times New Roman" w:hAnsi="Times New Roman" w:cs="Times New Roman"/>
          <w:sz w:val="28"/>
          <w:szCs w:val="28"/>
          <w:highlight w:val="white"/>
        </w:rPr>
        <w:t xml:space="preserve">. </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Виконання та оформлення дипломних робіт бакалаврів [Електронний ресурс] : </w:t>
      </w:r>
      <w:proofErr w:type="spellStart"/>
      <w:r>
        <w:rPr>
          <w:rFonts w:ascii="Times New Roman" w:eastAsia="Times New Roman" w:hAnsi="Times New Roman" w:cs="Times New Roman"/>
          <w:sz w:val="28"/>
          <w:szCs w:val="28"/>
          <w:highlight w:val="white"/>
        </w:rPr>
        <w:t>навч</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посіб</w:t>
      </w:r>
      <w:proofErr w:type="spellEnd"/>
      <w:r>
        <w:rPr>
          <w:rFonts w:ascii="Times New Roman" w:eastAsia="Times New Roman" w:hAnsi="Times New Roman" w:cs="Times New Roman"/>
          <w:sz w:val="28"/>
          <w:szCs w:val="28"/>
          <w:highlight w:val="white"/>
        </w:rPr>
        <w:t xml:space="preserve">. для </w:t>
      </w:r>
      <w:proofErr w:type="spellStart"/>
      <w:r>
        <w:rPr>
          <w:rFonts w:ascii="Times New Roman" w:eastAsia="Times New Roman" w:hAnsi="Times New Roman" w:cs="Times New Roman"/>
          <w:sz w:val="28"/>
          <w:szCs w:val="28"/>
          <w:highlight w:val="white"/>
        </w:rPr>
        <w:t>студ</w:t>
      </w:r>
      <w:proofErr w:type="spellEnd"/>
      <w:r>
        <w:rPr>
          <w:rFonts w:ascii="Times New Roman" w:eastAsia="Times New Roman" w:hAnsi="Times New Roman" w:cs="Times New Roman"/>
          <w:sz w:val="28"/>
          <w:szCs w:val="28"/>
          <w:highlight w:val="white"/>
        </w:rPr>
        <w:t xml:space="preserve">. спеціальності 075 «Маркетинг», освітньо-професійна програма «Промисловий маркетинг» / КПІ ім. Ігоря Сікорського ; уклад.: С.О. </w:t>
      </w:r>
      <w:proofErr w:type="spellStart"/>
      <w:r>
        <w:rPr>
          <w:rFonts w:ascii="Times New Roman" w:eastAsia="Times New Roman" w:hAnsi="Times New Roman" w:cs="Times New Roman"/>
          <w:sz w:val="28"/>
          <w:szCs w:val="28"/>
          <w:highlight w:val="white"/>
        </w:rPr>
        <w:t>Солнцев</w:t>
      </w:r>
      <w:proofErr w:type="spellEnd"/>
      <w:r>
        <w:rPr>
          <w:rFonts w:ascii="Times New Roman" w:eastAsia="Times New Roman" w:hAnsi="Times New Roman" w:cs="Times New Roman"/>
          <w:sz w:val="28"/>
          <w:szCs w:val="28"/>
          <w:highlight w:val="white"/>
        </w:rPr>
        <w:t xml:space="preserve">, О.В. </w:t>
      </w:r>
      <w:proofErr w:type="spellStart"/>
      <w:r>
        <w:rPr>
          <w:rFonts w:ascii="Times New Roman" w:eastAsia="Times New Roman" w:hAnsi="Times New Roman" w:cs="Times New Roman"/>
          <w:sz w:val="28"/>
          <w:szCs w:val="28"/>
          <w:highlight w:val="white"/>
        </w:rPr>
        <w:t>Зозульов</w:t>
      </w:r>
      <w:proofErr w:type="spellEnd"/>
      <w:r>
        <w:rPr>
          <w:rFonts w:ascii="Times New Roman" w:eastAsia="Times New Roman" w:hAnsi="Times New Roman" w:cs="Times New Roman"/>
          <w:sz w:val="28"/>
          <w:szCs w:val="28"/>
          <w:highlight w:val="white"/>
        </w:rPr>
        <w:t xml:space="preserve">, К. В. </w:t>
      </w:r>
      <w:proofErr w:type="spellStart"/>
      <w:r>
        <w:rPr>
          <w:rFonts w:ascii="Times New Roman" w:eastAsia="Times New Roman" w:hAnsi="Times New Roman" w:cs="Times New Roman"/>
          <w:sz w:val="28"/>
          <w:szCs w:val="28"/>
          <w:highlight w:val="white"/>
        </w:rPr>
        <w:t>Бажеріна</w:t>
      </w:r>
      <w:proofErr w:type="spellEnd"/>
      <w:r>
        <w:rPr>
          <w:rFonts w:ascii="Times New Roman" w:eastAsia="Times New Roman" w:hAnsi="Times New Roman" w:cs="Times New Roman"/>
          <w:sz w:val="28"/>
          <w:szCs w:val="28"/>
          <w:highlight w:val="white"/>
        </w:rPr>
        <w:t xml:space="preserve">, О. В. Черненко – Електронні текстові дані (1 файл: 0,1 </w:t>
      </w:r>
      <w:proofErr w:type="spellStart"/>
      <w:r>
        <w:rPr>
          <w:rFonts w:ascii="Times New Roman" w:eastAsia="Times New Roman" w:hAnsi="Times New Roman" w:cs="Times New Roman"/>
          <w:sz w:val="28"/>
          <w:szCs w:val="28"/>
          <w:highlight w:val="white"/>
        </w:rPr>
        <w:t>Мбайт</w:t>
      </w:r>
      <w:proofErr w:type="spellEnd"/>
      <w:r>
        <w:rPr>
          <w:rFonts w:ascii="Times New Roman" w:eastAsia="Times New Roman" w:hAnsi="Times New Roman" w:cs="Times New Roman"/>
          <w:sz w:val="28"/>
          <w:szCs w:val="28"/>
          <w:highlight w:val="white"/>
        </w:rPr>
        <w:t xml:space="preserve">). – Київ : КПІ ім. Ігоря Сікорського, 2020. – 62 с. </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Маркетингові дослідження: навчально-методичний комплекс [Електронний ресурс] : </w:t>
      </w:r>
      <w:proofErr w:type="spellStart"/>
      <w:r>
        <w:rPr>
          <w:rFonts w:ascii="Times New Roman" w:eastAsia="Times New Roman" w:hAnsi="Times New Roman" w:cs="Times New Roman"/>
          <w:sz w:val="28"/>
          <w:szCs w:val="28"/>
          <w:highlight w:val="white"/>
        </w:rPr>
        <w:t>навч</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посіб</w:t>
      </w:r>
      <w:proofErr w:type="spellEnd"/>
      <w:r>
        <w:rPr>
          <w:rFonts w:ascii="Times New Roman" w:eastAsia="Times New Roman" w:hAnsi="Times New Roman" w:cs="Times New Roman"/>
          <w:sz w:val="28"/>
          <w:szCs w:val="28"/>
          <w:highlight w:val="white"/>
        </w:rPr>
        <w:t xml:space="preserve">. для студентів спеціальності 075 «Маркетинг», освітня програма «Промисловий маркетинг» / </w:t>
      </w:r>
      <w:proofErr w:type="spellStart"/>
      <w:r>
        <w:rPr>
          <w:rFonts w:ascii="Times New Roman" w:eastAsia="Times New Roman" w:hAnsi="Times New Roman" w:cs="Times New Roman"/>
          <w:sz w:val="28"/>
          <w:szCs w:val="28"/>
          <w:highlight w:val="white"/>
        </w:rPr>
        <w:t>Солнцев</w:t>
      </w:r>
      <w:proofErr w:type="spellEnd"/>
      <w:r>
        <w:rPr>
          <w:rFonts w:ascii="Times New Roman" w:eastAsia="Times New Roman" w:hAnsi="Times New Roman" w:cs="Times New Roman"/>
          <w:sz w:val="28"/>
          <w:szCs w:val="28"/>
          <w:highlight w:val="white"/>
        </w:rPr>
        <w:t xml:space="preserve"> С. О., Черненко О. В. Київ : КПІ ім. Ігоря Сікорського, 2020. 118 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Маркетингові комунікації: навчально-методичний комплекс дисципліни [Електронний ресурс]: </w:t>
      </w:r>
      <w:proofErr w:type="spellStart"/>
      <w:r>
        <w:rPr>
          <w:rFonts w:ascii="Times New Roman" w:eastAsia="Times New Roman" w:hAnsi="Times New Roman" w:cs="Times New Roman"/>
          <w:sz w:val="28"/>
          <w:szCs w:val="28"/>
          <w:highlight w:val="white"/>
        </w:rPr>
        <w:t>навч</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посіб</w:t>
      </w:r>
      <w:proofErr w:type="spellEnd"/>
      <w:r>
        <w:rPr>
          <w:rFonts w:ascii="Times New Roman" w:eastAsia="Times New Roman" w:hAnsi="Times New Roman" w:cs="Times New Roman"/>
          <w:sz w:val="28"/>
          <w:szCs w:val="28"/>
          <w:highlight w:val="white"/>
        </w:rPr>
        <w:t xml:space="preserve">. для студентів освітнього ступеня бакалавр, галузі знань 07 – управління та адміністрування, спеціальності 075 «Маркетинг», освітньої програми «Промисловий маркетинг» / К. В. </w:t>
      </w:r>
      <w:proofErr w:type="spellStart"/>
      <w:r>
        <w:rPr>
          <w:rFonts w:ascii="Times New Roman" w:eastAsia="Times New Roman" w:hAnsi="Times New Roman" w:cs="Times New Roman"/>
          <w:sz w:val="28"/>
          <w:szCs w:val="28"/>
          <w:highlight w:val="white"/>
        </w:rPr>
        <w:t>Бажеріна</w:t>
      </w:r>
      <w:proofErr w:type="spellEnd"/>
      <w:r>
        <w:rPr>
          <w:rFonts w:ascii="Times New Roman" w:eastAsia="Times New Roman" w:hAnsi="Times New Roman" w:cs="Times New Roman"/>
          <w:sz w:val="28"/>
          <w:szCs w:val="28"/>
          <w:highlight w:val="white"/>
        </w:rPr>
        <w:t xml:space="preserve">; КПІ ім. Ігоря Сікорського. – Електронні текстові дані (1 файл: 440 </w:t>
      </w:r>
      <w:proofErr w:type="spellStart"/>
      <w:r>
        <w:rPr>
          <w:rFonts w:ascii="Times New Roman" w:eastAsia="Times New Roman" w:hAnsi="Times New Roman" w:cs="Times New Roman"/>
          <w:sz w:val="28"/>
          <w:szCs w:val="28"/>
          <w:highlight w:val="white"/>
        </w:rPr>
        <w:t>Кбайт</w:t>
      </w:r>
      <w:proofErr w:type="spellEnd"/>
      <w:r>
        <w:rPr>
          <w:rFonts w:ascii="Times New Roman" w:eastAsia="Times New Roman" w:hAnsi="Times New Roman" w:cs="Times New Roman"/>
          <w:sz w:val="28"/>
          <w:szCs w:val="28"/>
          <w:highlight w:val="white"/>
        </w:rPr>
        <w:t>). – Київ : КПІ ім. Ігоря Сікорського, 2020. – 61 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Маркетингове ціноутворення: Навчально-методичний комплекс дисципліни [Електронний ресурс]: </w:t>
      </w:r>
      <w:proofErr w:type="spellStart"/>
      <w:r>
        <w:rPr>
          <w:rFonts w:ascii="Times New Roman" w:eastAsia="Times New Roman" w:hAnsi="Times New Roman" w:cs="Times New Roman"/>
          <w:sz w:val="28"/>
          <w:szCs w:val="28"/>
          <w:highlight w:val="white"/>
        </w:rPr>
        <w:t>навч</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посіб</w:t>
      </w:r>
      <w:proofErr w:type="spellEnd"/>
      <w:r>
        <w:rPr>
          <w:rFonts w:ascii="Times New Roman" w:eastAsia="Times New Roman" w:hAnsi="Times New Roman" w:cs="Times New Roman"/>
          <w:sz w:val="28"/>
          <w:szCs w:val="28"/>
          <w:highlight w:val="white"/>
        </w:rPr>
        <w:t xml:space="preserve">. для студентів освітнього ступеня бакалавр, галузі знань 07 – управління та адміністрування, спеціальності 075 «Маркетинг», освітньої програми «Промисловий маркетинг» / К. В. </w:t>
      </w:r>
      <w:proofErr w:type="spellStart"/>
      <w:r>
        <w:rPr>
          <w:rFonts w:ascii="Times New Roman" w:eastAsia="Times New Roman" w:hAnsi="Times New Roman" w:cs="Times New Roman"/>
          <w:sz w:val="28"/>
          <w:szCs w:val="28"/>
          <w:highlight w:val="white"/>
        </w:rPr>
        <w:lastRenderedPageBreak/>
        <w:t>Бажеріна</w:t>
      </w:r>
      <w:proofErr w:type="spellEnd"/>
      <w:r>
        <w:rPr>
          <w:rFonts w:ascii="Times New Roman" w:eastAsia="Times New Roman" w:hAnsi="Times New Roman" w:cs="Times New Roman"/>
          <w:sz w:val="28"/>
          <w:szCs w:val="28"/>
          <w:highlight w:val="white"/>
        </w:rPr>
        <w:t xml:space="preserve">; КПІ ім. Ігоря Сікорського. – Електронні текстові дані (1 файл: 440 </w:t>
      </w:r>
      <w:proofErr w:type="spellStart"/>
      <w:r>
        <w:rPr>
          <w:rFonts w:ascii="Times New Roman" w:eastAsia="Times New Roman" w:hAnsi="Times New Roman" w:cs="Times New Roman"/>
          <w:sz w:val="28"/>
          <w:szCs w:val="28"/>
          <w:highlight w:val="white"/>
        </w:rPr>
        <w:t>Кбайт</w:t>
      </w:r>
      <w:proofErr w:type="spellEnd"/>
      <w:r>
        <w:rPr>
          <w:rFonts w:ascii="Times New Roman" w:eastAsia="Times New Roman" w:hAnsi="Times New Roman" w:cs="Times New Roman"/>
          <w:sz w:val="28"/>
          <w:szCs w:val="28"/>
          <w:highlight w:val="white"/>
        </w:rPr>
        <w:t>). – Київ : КПІ ім. Ігоря Сікорського, 2020. – 57 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Кубишина</w:t>
      </w:r>
      <w:proofErr w:type="spellEnd"/>
      <w:r>
        <w:rPr>
          <w:rFonts w:ascii="Times New Roman" w:eastAsia="Times New Roman" w:hAnsi="Times New Roman" w:cs="Times New Roman"/>
          <w:sz w:val="28"/>
          <w:szCs w:val="28"/>
          <w:highlight w:val="white"/>
        </w:rPr>
        <w:t xml:space="preserve"> Н.С.. Маркетингова товарна політика: Конспект лекцій [Електронний ресурс] : </w:t>
      </w:r>
      <w:proofErr w:type="spellStart"/>
      <w:r>
        <w:rPr>
          <w:rFonts w:ascii="Times New Roman" w:eastAsia="Times New Roman" w:hAnsi="Times New Roman" w:cs="Times New Roman"/>
          <w:sz w:val="28"/>
          <w:szCs w:val="28"/>
          <w:highlight w:val="white"/>
        </w:rPr>
        <w:t>навч</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посіб</w:t>
      </w:r>
      <w:proofErr w:type="spellEnd"/>
      <w:r>
        <w:rPr>
          <w:rFonts w:ascii="Times New Roman" w:eastAsia="Times New Roman" w:hAnsi="Times New Roman" w:cs="Times New Roman"/>
          <w:sz w:val="28"/>
          <w:szCs w:val="28"/>
          <w:highlight w:val="white"/>
        </w:rPr>
        <w:t xml:space="preserve">. для здобувачів ступеня бакалавра за </w:t>
      </w:r>
      <w:proofErr w:type="spellStart"/>
      <w:r>
        <w:rPr>
          <w:rFonts w:ascii="Times New Roman" w:eastAsia="Times New Roman" w:hAnsi="Times New Roman" w:cs="Times New Roman"/>
          <w:sz w:val="28"/>
          <w:szCs w:val="28"/>
          <w:highlight w:val="white"/>
        </w:rPr>
        <w:t>спеціальностю</w:t>
      </w:r>
      <w:proofErr w:type="spellEnd"/>
      <w:r>
        <w:rPr>
          <w:rFonts w:ascii="Times New Roman" w:eastAsia="Times New Roman" w:hAnsi="Times New Roman" w:cs="Times New Roman"/>
          <w:sz w:val="28"/>
          <w:szCs w:val="28"/>
          <w:highlight w:val="white"/>
        </w:rPr>
        <w:t xml:space="preserve"> 075 «Маркетинг», освітньої програма «Промисловий маркетинг» / КПІ ім. Ігоря Сікорського ; </w:t>
      </w:r>
      <w:proofErr w:type="spellStart"/>
      <w:r>
        <w:rPr>
          <w:rFonts w:ascii="Times New Roman" w:eastAsia="Times New Roman" w:hAnsi="Times New Roman" w:cs="Times New Roman"/>
          <w:sz w:val="28"/>
          <w:szCs w:val="28"/>
          <w:highlight w:val="white"/>
        </w:rPr>
        <w:t>уклад.:Н.С</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Кубишина</w:t>
      </w:r>
      <w:proofErr w:type="spellEnd"/>
      <w:r>
        <w:rPr>
          <w:rFonts w:ascii="Times New Roman" w:eastAsia="Times New Roman" w:hAnsi="Times New Roman" w:cs="Times New Roman"/>
          <w:sz w:val="28"/>
          <w:szCs w:val="28"/>
          <w:highlight w:val="white"/>
        </w:rPr>
        <w:t xml:space="preserve">, – Електронні текстові дані (1 файл: 2.10 </w:t>
      </w:r>
      <w:proofErr w:type="spellStart"/>
      <w:r>
        <w:rPr>
          <w:rFonts w:ascii="Times New Roman" w:eastAsia="Times New Roman" w:hAnsi="Times New Roman" w:cs="Times New Roman"/>
          <w:sz w:val="28"/>
          <w:szCs w:val="28"/>
          <w:highlight w:val="white"/>
        </w:rPr>
        <w:t>Кбайт</w:t>
      </w:r>
      <w:proofErr w:type="spellEnd"/>
      <w:r>
        <w:rPr>
          <w:rFonts w:ascii="Times New Roman" w:eastAsia="Times New Roman" w:hAnsi="Times New Roman" w:cs="Times New Roman"/>
          <w:sz w:val="28"/>
          <w:szCs w:val="28"/>
          <w:highlight w:val="white"/>
        </w:rPr>
        <w:t>). – Київ : КПІ ім. Ігоря Сікорського, 2020. – 82 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Діджитал</w:t>
      </w:r>
      <w:proofErr w:type="spellEnd"/>
      <w:r>
        <w:rPr>
          <w:rFonts w:ascii="Times New Roman" w:eastAsia="Times New Roman" w:hAnsi="Times New Roman" w:cs="Times New Roman"/>
          <w:sz w:val="28"/>
          <w:szCs w:val="28"/>
          <w:highlight w:val="white"/>
        </w:rPr>
        <w:t xml:space="preserve"> маркетинг. Навчально-методичний комплекс дисципліни: [Електронний ресурс] : </w:t>
      </w:r>
      <w:proofErr w:type="spellStart"/>
      <w:r>
        <w:rPr>
          <w:rFonts w:ascii="Times New Roman" w:eastAsia="Times New Roman" w:hAnsi="Times New Roman" w:cs="Times New Roman"/>
          <w:sz w:val="28"/>
          <w:szCs w:val="28"/>
          <w:highlight w:val="white"/>
        </w:rPr>
        <w:t>навч</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посіб</w:t>
      </w:r>
      <w:proofErr w:type="spellEnd"/>
      <w:r>
        <w:rPr>
          <w:rFonts w:ascii="Times New Roman" w:eastAsia="Times New Roman" w:hAnsi="Times New Roman" w:cs="Times New Roman"/>
          <w:sz w:val="28"/>
          <w:szCs w:val="28"/>
          <w:highlight w:val="white"/>
        </w:rPr>
        <w:t xml:space="preserve">. для </w:t>
      </w:r>
      <w:proofErr w:type="spellStart"/>
      <w:r>
        <w:rPr>
          <w:rFonts w:ascii="Times New Roman" w:eastAsia="Times New Roman" w:hAnsi="Times New Roman" w:cs="Times New Roman"/>
          <w:sz w:val="28"/>
          <w:szCs w:val="28"/>
          <w:highlight w:val="white"/>
        </w:rPr>
        <w:t>студ</w:t>
      </w:r>
      <w:proofErr w:type="spellEnd"/>
      <w:r>
        <w:rPr>
          <w:rFonts w:ascii="Times New Roman" w:eastAsia="Times New Roman" w:hAnsi="Times New Roman" w:cs="Times New Roman"/>
          <w:sz w:val="28"/>
          <w:szCs w:val="28"/>
          <w:highlight w:val="white"/>
        </w:rPr>
        <w:t xml:space="preserve">. спеціальності 075 «Маркетинг», перший (бакалаврський) рівень вищої освіти / КПІ ім. Ігоря Сікорського ; автори: Н.Л. Писаренко, Електронні текстові дані (1 файл: 5.993 </w:t>
      </w:r>
      <w:proofErr w:type="spellStart"/>
      <w:r>
        <w:rPr>
          <w:rFonts w:ascii="Times New Roman" w:eastAsia="Times New Roman" w:hAnsi="Times New Roman" w:cs="Times New Roman"/>
          <w:sz w:val="28"/>
          <w:szCs w:val="28"/>
          <w:highlight w:val="white"/>
        </w:rPr>
        <w:t>Кбайт</w:t>
      </w:r>
      <w:proofErr w:type="spellEnd"/>
      <w:r>
        <w:rPr>
          <w:rFonts w:ascii="Times New Roman" w:eastAsia="Times New Roman" w:hAnsi="Times New Roman" w:cs="Times New Roman"/>
          <w:sz w:val="28"/>
          <w:szCs w:val="28"/>
          <w:highlight w:val="white"/>
        </w:rPr>
        <w:t>). Київ : КПІ ім. Ігоря Сікорського, 2020. 74 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Міжнародний маркетинг: навчально-методичний комплекс дисципліни [Електронний ресурс] : навчальний посібник для студентів спеціальності 075 «Маркетинг» / Царьова Т.О., </w:t>
      </w:r>
      <w:proofErr w:type="spellStart"/>
      <w:r>
        <w:rPr>
          <w:rFonts w:ascii="Times New Roman" w:eastAsia="Times New Roman" w:hAnsi="Times New Roman" w:cs="Times New Roman"/>
          <w:sz w:val="28"/>
          <w:szCs w:val="28"/>
          <w:highlight w:val="white"/>
        </w:rPr>
        <w:t>Співаковська</w:t>
      </w:r>
      <w:proofErr w:type="spellEnd"/>
      <w:r>
        <w:rPr>
          <w:rFonts w:ascii="Times New Roman" w:eastAsia="Times New Roman" w:hAnsi="Times New Roman" w:cs="Times New Roman"/>
          <w:sz w:val="28"/>
          <w:szCs w:val="28"/>
          <w:highlight w:val="white"/>
        </w:rPr>
        <w:t xml:space="preserve"> Т.В. ; КПІ ім. Ігоря Сікорського. – Електронні текстові дані (1 файл: 760 </w:t>
      </w:r>
      <w:proofErr w:type="spellStart"/>
      <w:r>
        <w:rPr>
          <w:rFonts w:ascii="Times New Roman" w:eastAsia="Times New Roman" w:hAnsi="Times New Roman" w:cs="Times New Roman"/>
          <w:sz w:val="28"/>
          <w:szCs w:val="28"/>
          <w:highlight w:val="white"/>
        </w:rPr>
        <w:t>Мбайт</w:t>
      </w:r>
      <w:proofErr w:type="spellEnd"/>
      <w:r>
        <w:rPr>
          <w:rFonts w:ascii="Times New Roman" w:eastAsia="Times New Roman" w:hAnsi="Times New Roman" w:cs="Times New Roman"/>
          <w:sz w:val="28"/>
          <w:szCs w:val="28"/>
          <w:highlight w:val="white"/>
        </w:rPr>
        <w:t>). – Київ : КПІ ім. Ігоря Сікорського, 2021. – 67 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Статистичне забезпечення маркетингових досліджень: навчально- методичний комплекс [Електронний ресурс] : </w:t>
      </w:r>
      <w:proofErr w:type="spellStart"/>
      <w:r>
        <w:rPr>
          <w:rFonts w:ascii="Times New Roman" w:eastAsia="Times New Roman" w:hAnsi="Times New Roman" w:cs="Times New Roman"/>
          <w:sz w:val="28"/>
          <w:szCs w:val="28"/>
          <w:highlight w:val="white"/>
        </w:rPr>
        <w:t>навч</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посіб</w:t>
      </w:r>
      <w:proofErr w:type="spellEnd"/>
      <w:r>
        <w:rPr>
          <w:rFonts w:ascii="Times New Roman" w:eastAsia="Times New Roman" w:hAnsi="Times New Roman" w:cs="Times New Roman"/>
          <w:sz w:val="28"/>
          <w:szCs w:val="28"/>
          <w:highlight w:val="white"/>
        </w:rPr>
        <w:t xml:space="preserve">. для студентів спеціальності 075 «Маркетинг», освітня програма «Промисловий маркетинг» / </w:t>
      </w:r>
      <w:proofErr w:type="spellStart"/>
      <w:r>
        <w:rPr>
          <w:rFonts w:ascii="Times New Roman" w:eastAsia="Times New Roman" w:hAnsi="Times New Roman" w:cs="Times New Roman"/>
          <w:sz w:val="28"/>
          <w:szCs w:val="28"/>
          <w:highlight w:val="white"/>
        </w:rPr>
        <w:t>Солнцев</w:t>
      </w:r>
      <w:proofErr w:type="spellEnd"/>
      <w:r>
        <w:rPr>
          <w:rFonts w:ascii="Times New Roman" w:eastAsia="Times New Roman" w:hAnsi="Times New Roman" w:cs="Times New Roman"/>
          <w:sz w:val="28"/>
          <w:szCs w:val="28"/>
          <w:highlight w:val="white"/>
        </w:rPr>
        <w:t xml:space="preserve"> С. О., Черненко О. В. Київ : КПІ ім. Ігоря Сікорського, 2020. 75 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Cтатистика</w:t>
      </w:r>
      <w:proofErr w:type="spellEnd"/>
      <w:r>
        <w:rPr>
          <w:rFonts w:ascii="Times New Roman" w:eastAsia="Times New Roman" w:hAnsi="Times New Roman" w:cs="Times New Roman"/>
          <w:sz w:val="28"/>
          <w:szCs w:val="28"/>
          <w:highlight w:val="white"/>
        </w:rPr>
        <w:t xml:space="preserve">: Навчально-методичний комплекс [Електронний ресурс] : </w:t>
      </w:r>
      <w:proofErr w:type="spellStart"/>
      <w:r>
        <w:rPr>
          <w:rFonts w:ascii="Times New Roman" w:eastAsia="Times New Roman" w:hAnsi="Times New Roman" w:cs="Times New Roman"/>
          <w:sz w:val="28"/>
          <w:szCs w:val="28"/>
          <w:highlight w:val="white"/>
        </w:rPr>
        <w:t>навч</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посіб</w:t>
      </w:r>
      <w:proofErr w:type="spellEnd"/>
      <w:r>
        <w:rPr>
          <w:rFonts w:ascii="Times New Roman" w:eastAsia="Times New Roman" w:hAnsi="Times New Roman" w:cs="Times New Roman"/>
          <w:sz w:val="28"/>
          <w:szCs w:val="28"/>
          <w:highlight w:val="white"/>
        </w:rPr>
        <w:t xml:space="preserve">. для </w:t>
      </w:r>
      <w:proofErr w:type="spellStart"/>
      <w:r>
        <w:rPr>
          <w:rFonts w:ascii="Times New Roman" w:eastAsia="Times New Roman" w:hAnsi="Times New Roman" w:cs="Times New Roman"/>
          <w:sz w:val="28"/>
          <w:szCs w:val="28"/>
          <w:highlight w:val="white"/>
        </w:rPr>
        <w:t>здоб</w:t>
      </w:r>
      <w:proofErr w:type="spellEnd"/>
      <w:r>
        <w:rPr>
          <w:rFonts w:ascii="Times New Roman" w:eastAsia="Times New Roman" w:hAnsi="Times New Roman" w:cs="Times New Roman"/>
          <w:sz w:val="28"/>
          <w:szCs w:val="28"/>
          <w:highlight w:val="white"/>
        </w:rPr>
        <w:t xml:space="preserve">. ступ. бакалавра за спец. 075 «Маркетинг» / уклад.: О. В. Черненко. Електронні текстові дані (1 файл: 21,5 </w:t>
      </w:r>
      <w:proofErr w:type="spellStart"/>
      <w:r>
        <w:rPr>
          <w:rFonts w:ascii="Times New Roman" w:eastAsia="Times New Roman" w:hAnsi="Times New Roman" w:cs="Times New Roman"/>
          <w:sz w:val="28"/>
          <w:szCs w:val="28"/>
          <w:highlight w:val="white"/>
        </w:rPr>
        <w:t>Мбайт</w:t>
      </w:r>
      <w:proofErr w:type="spellEnd"/>
      <w:r>
        <w:rPr>
          <w:rFonts w:ascii="Times New Roman" w:eastAsia="Times New Roman" w:hAnsi="Times New Roman" w:cs="Times New Roman"/>
          <w:sz w:val="28"/>
          <w:szCs w:val="28"/>
          <w:highlight w:val="white"/>
        </w:rPr>
        <w:t>). Київ : КПІ ім. Ігоря Сікорського, 2020. 135 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Зозулев</w:t>
      </w:r>
      <w:proofErr w:type="spellEnd"/>
      <w:r>
        <w:rPr>
          <w:rFonts w:ascii="Times New Roman" w:eastAsia="Times New Roman" w:hAnsi="Times New Roman" w:cs="Times New Roman"/>
          <w:sz w:val="28"/>
          <w:szCs w:val="28"/>
          <w:highlight w:val="white"/>
        </w:rPr>
        <w:t xml:space="preserve"> А.В., </w:t>
      </w:r>
      <w:proofErr w:type="spellStart"/>
      <w:r>
        <w:rPr>
          <w:rFonts w:ascii="Times New Roman" w:eastAsia="Times New Roman" w:hAnsi="Times New Roman" w:cs="Times New Roman"/>
          <w:sz w:val="28"/>
          <w:szCs w:val="28"/>
          <w:highlight w:val="white"/>
        </w:rPr>
        <w:t>Солнцев</w:t>
      </w:r>
      <w:proofErr w:type="spellEnd"/>
      <w:r>
        <w:rPr>
          <w:rFonts w:ascii="Times New Roman" w:eastAsia="Times New Roman" w:hAnsi="Times New Roman" w:cs="Times New Roman"/>
          <w:sz w:val="28"/>
          <w:szCs w:val="28"/>
          <w:highlight w:val="white"/>
        </w:rPr>
        <w:t xml:space="preserve"> С.А. </w:t>
      </w:r>
      <w:proofErr w:type="spellStart"/>
      <w:r>
        <w:rPr>
          <w:rFonts w:ascii="Times New Roman" w:eastAsia="Times New Roman" w:hAnsi="Times New Roman" w:cs="Times New Roman"/>
          <w:sz w:val="28"/>
          <w:szCs w:val="28"/>
          <w:highlight w:val="white"/>
        </w:rPr>
        <w:t>Маркетинговые</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исследования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теория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методология</w:t>
      </w:r>
      <w:proofErr w:type="spellEnd"/>
      <w:r>
        <w:rPr>
          <w:rFonts w:ascii="Times New Roman" w:eastAsia="Times New Roman" w:hAnsi="Times New Roman" w:cs="Times New Roman"/>
          <w:sz w:val="28"/>
          <w:szCs w:val="28"/>
          <w:highlight w:val="white"/>
        </w:rPr>
        <w:t xml:space="preserve">, статистика: </w:t>
      </w:r>
      <w:proofErr w:type="spellStart"/>
      <w:r>
        <w:rPr>
          <w:rFonts w:ascii="Times New Roman" w:eastAsia="Times New Roman" w:hAnsi="Times New Roman" w:cs="Times New Roman"/>
          <w:sz w:val="28"/>
          <w:szCs w:val="28"/>
          <w:highlight w:val="white"/>
        </w:rPr>
        <w:t>Учеб</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пособие</w:t>
      </w:r>
      <w:proofErr w:type="spellEnd"/>
      <w:r>
        <w:rPr>
          <w:rFonts w:ascii="Times New Roman" w:eastAsia="Times New Roman" w:hAnsi="Times New Roman" w:cs="Times New Roman"/>
          <w:sz w:val="28"/>
          <w:szCs w:val="28"/>
          <w:highlight w:val="white"/>
        </w:rPr>
        <w:t xml:space="preserve">. М.: </w:t>
      </w:r>
      <w:proofErr w:type="spellStart"/>
      <w:r>
        <w:rPr>
          <w:rFonts w:ascii="Times New Roman" w:eastAsia="Times New Roman" w:hAnsi="Times New Roman" w:cs="Times New Roman"/>
          <w:sz w:val="28"/>
          <w:szCs w:val="28"/>
          <w:highlight w:val="white"/>
        </w:rPr>
        <w:t>Рыбари</w:t>
      </w:r>
      <w:proofErr w:type="spellEnd"/>
      <w:r>
        <w:rPr>
          <w:rFonts w:ascii="Times New Roman" w:eastAsia="Times New Roman" w:hAnsi="Times New Roman" w:cs="Times New Roman"/>
          <w:sz w:val="28"/>
          <w:szCs w:val="28"/>
          <w:highlight w:val="white"/>
        </w:rPr>
        <w:t xml:space="preserve">, К.: </w:t>
      </w:r>
      <w:proofErr w:type="spellStart"/>
      <w:r>
        <w:rPr>
          <w:rFonts w:ascii="Times New Roman" w:eastAsia="Times New Roman" w:hAnsi="Times New Roman" w:cs="Times New Roman"/>
          <w:sz w:val="28"/>
          <w:szCs w:val="28"/>
          <w:highlight w:val="white"/>
        </w:rPr>
        <w:t>Знания</w:t>
      </w:r>
      <w:proofErr w:type="spellEnd"/>
      <w:r>
        <w:rPr>
          <w:rFonts w:ascii="Times New Roman" w:eastAsia="Times New Roman" w:hAnsi="Times New Roman" w:cs="Times New Roman"/>
          <w:sz w:val="28"/>
          <w:szCs w:val="28"/>
          <w:highlight w:val="white"/>
        </w:rPr>
        <w:t>, 2008. 643 с. 10.</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w:t>
      </w:r>
      <w:proofErr w:type="spellStart"/>
      <w:r>
        <w:rPr>
          <w:rFonts w:ascii="Times New Roman" w:eastAsia="Times New Roman" w:hAnsi="Times New Roman" w:cs="Times New Roman"/>
          <w:sz w:val="28"/>
          <w:szCs w:val="28"/>
          <w:highlight w:val="white"/>
        </w:rPr>
        <w:t>Зозулёв</w:t>
      </w:r>
      <w:proofErr w:type="spellEnd"/>
      <w:r>
        <w:rPr>
          <w:rFonts w:ascii="Times New Roman" w:eastAsia="Times New Roman" w:hAnsi="Times New Roman" w:cs="Times New Roman"/>
          <w:sz w:val="28"/>
          <w:szCs w:val="28"/>
          <w:highlight w:val="white"/>
        </w:rPr>
        <w:t xml:space="preserve"> А. В. </w:t>
      </w:r>
      <w:proofErr w:type="spellStart"/>
      <w:r>
        <w:rPr>
          <w:rFonts w:ascii="Times New Roman" w:eastAsia="Times New Roman" w:hAnsi="Times New Roman" w:cs="Times New Roman"/>
          <w:sz w:val="28"/>
          <w:szCs w:val="28"/>
          <w:highlight w:val="white"/>
        </w:rPr>
        <w:t>Промышленный</w:t>
      </w:r>
      <w:proofErr w:type="spellEnd"/>
      <w:r>
        <w:rPr>
          <w:rFonts w:ascii="Times New Roman" w:eastAsia="Times New Roman" w:hAnsi="Times New Roman" w:cs="Times New Roman"/>
          <w:sz w:val="28"/>
          <w:szCs w:val="28"/>
          <w:highlight w:val="white"/>
        </w:rPr>
        <w:t xml:space="preserve"> маркетинг: </w:t>
      </w:r>
      <w:proofErr w:type="spellStart"/>
      <w:r>
        <w:rPr>
          <w:rFonts w:ascii="Times New Roman" w:eastAsia="Times New Roman" w:hAnsi="Times New Roman" w:cs="Times New Roman"/>
          <w:sz w:val="28"/>
          <w:szCs w:val="28"/>
          <w:highlight w:val="white"/>
        </w:rPr>
        <w:t>рыночная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стратегия</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Учеб</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Пособие</w:t>
      </w:r>
      <w:proofErr w:type="spellEnd"/>
      <w:r>
        <w:rPr>
          <w:rFonts w:ascii="Times New Roman" w:eastAsia="Times New Roman" w:hAnsi="Times New Roman" w:cs="Times New Roman"/>
          <w:sz w:val="28"/>
          <w:szCs w:val="28"/>
          <w:highlight w:val="white"/>
        </w:rPr>
        <w:t xml:space="preserve">. – К .: Центр </w:t>
      </w:r>
      <w:proofErr w:type="spellStart"/>
      <w:r>
        <w:rPr>
          <w:rFonts w:ascii="Times New Roman" w:eastAsia="Times New Roman" w:hAnsi="Times New Roman" w:cs="Times New Roman"/>
          <w:sz w:val="28"/>
          <w:szCs w:val="28"/>
          <w:highlight w:val="white"/>
        </w:rPr>
        <w:t>учебной</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литературы</w:t>
      </w:r>
      <w:proofErr w:type="spellEnd"/>
      <w:r>
        <w:rPr>
          <w:rFonts w:ascii="Times New Roman" w:eastAsia="Times New Roman" w:hAnsi="Times New Roman" w:cs="Times New Roman"/>
          <w:sz w:val="28"/>
          <w:szCs w:val="28"/>
          <w:highlight w:val="white"/>
        </w:rPr>
        <w:t>, 2010. – 576 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Зозульов</w:t>
      </w:r>
      <w:proofErr w:type="spellEnd"/>
      <w:r>
        <w:rPr>
          <w:rFonts w:ascii="Times New Roman" w:eastAsia="Times New Roman" w:hAnsi="Times New Roman" w:cs="Times New Roman"/>
          <w:sz w:val="28"/>
          <w:szCs w:val="28"/>
          <w:highlight w:val="white"/>
        </w:rPr>
        <w:t xml:space="preserve">, О. В. Ринкове позиціонування: з чого починається створення успішних брендів / О. В. </w:t>
      </w:r>
      <w:proofErr w:type="spellStart"/>
      <w:r>
        <w:rPr>
          <w:rFonts w:ascii="Times New Roman" w:eastAsia="Times New Roman" w:hAnsi="Times New Roman" w:cs="Times New Roman"/>
          <w:sz w:val="28"/>
          <w:szCs w:val="28"/>
          <w:highlight w:val="white"/>
        </w:rPr>
        <w:t>Зозульов</w:t>
      </w:r>
      <w:proofErr w:type="spellEnd"/>
      <w:r>
        <w:rPr>
          <w:rFonts w:ascii="Times New Roman" w:eastAsia="Times New Roman" w:hAnsi="Times New Roman" w:cs="Times New Roman"/>
          <w:sz w:val="28"/>
          <w:szCs w:val="28"/>
          <w:highlight w:val="white"/>
        </w:rPr>
        <w:t xml:space="preserve">, Н. Л. Писаренко. – К. : Знання-Прес, 2004.– 199 с. – </w:t>
      </w:r>
      <w:proofErr w:type="spellStart"/>
      <w:r>
        <w:rPr>
          <w:rFonts w:ascii="Times New Roman" w:eastAsia="Times New Roman" w:hAnsi="Times New Roman" w:cs="Times New Roman"/>
          <w:sz w:val="28"/>
          <w:szCs w:val="28"/>
          <w:highlight w:val="white"/>
        </w:rPr>
        <w:t>Бібліогр</w:t>
      </w:r>
      <w:proofErr w:type="spellEnd"/>
      <w:r>
        <w:rPr>
          <w:rFonts w:ascii="Times New Roman" w:eastAsia="Times New Roman" w:hAnsi="Times New Roman" w:cs="Times New Roman"/>
          <w:sz w:val="28"/>
          <w:szCs w:val="28"/>
          <w:highlight w:val="white"/>
        </w:rPr>
        <w:t>.: с. 192-199. – ISBN 966-311-014-7.</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Зозулёв</w:t>
      </w:r>
      <w:proofErr w:type="spellEnd"/>
      <w:r>
        <w:rPr>
          <w:rFonts w:ascii="Times New Roman" w:eastAsia="Times New Roman" w:hAnsi="Times New Roman" w:cs="Times New Roman"/>
          <w:sz w:val="28"/>
          <w:szCs w:val="28"/>
          <w:highlight w:val="white"/>
        </w:rPr>
        <w:t xml:space="preserve"> А. В. </w:t>
      </w:r>
      <w:proofErr w:type="spellStart"/>
      <w:r>
        <w:rPr>
          <w:rFonts w:ascii="Times New Roman" w:eastAsia="Times New Roman" w:hAnsi="Times New Roman" w:cs="Times New Roman"/>
          <w:sz w:val="28"/>
          <w:szCs w:val="28"/>
          <w:highlight w:val="white"/>
        </w:rPr>
        <w:t>Сегментирование</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рынка</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Учеб</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пособие</w:t>
      </w:r>
      <w:proofErr w:type="spellEnd"/>
      <w:r>
        <w:rPr>
          <w:rFonts w:ascii="Times New Roman" w:eastAsia="Times New Roman" w:hAnsi="Times New Roman" w:cs="Times New Roman"/>
          <w:sz w:val="28"/>
          <w:szCs w:val="28"/>
          <w:highlight w:val="white"/>
        </w:rPr>
        <w:t xml:space="preserve">. – Х.: </w:t>
      </w:r>
      <w:proofErr w:type="spellStart"/>
      <w:r>
        <w:rPr>
          <w:rFonts w:ascii="Times New Roman" w:eastAsia="Times New Roman" w:hAnsi="Times New Roman" w:cs="Times New Roman"/>
          <w:sz w:val="28"/>
          <w:szCs w:val="28"/>
          <w:highlight w:val="white"/>
        </w:rPr>
        <w:t>Студцентр</w:t>
      </w:r>
      <w:proofErr w:type="spellEnd"/>
      <w:r>
        <w:rPr>
          <w:rFonts w:ascii="Times New Roman" w:eastAsia="Times New Roman" w:hAnsi="Times New Roman" w:cs="Times New Roman"/>
          <w:sz w:val="28"/>
          <w:szCs w:val="28"/>
          <w:highlight w:val="white"/>
        </w:rPr>
        <w:t>, 2003.– 232 с.</w:t>
      </w:r>
    </w:p>
    <w:p w:rsidR="00BA76DF" w:rsidRDefault="00C33D3F">
      <w:pPr>
        <w:numPr>
          <w:ilvl w:val="0"/>
          <w:numId w:val="4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Зозулёв</w:t>
      </w:r>
      <w:proofErr w:type="spellEnd"/>
      <w:r>
        <w:rPr>
          <w:rFonts w:ascii="Times New Roman" w:eastAsia="Times New Roman" w:hAnsi="Times New Roman" w:cs="Times New Roman"/>
          <w:sz w:val="28"/>
          <w:szCs w:val="28"/>
          <w:highlight w:val="white"/>
        </w:rPr>
        <w:t xml:space="preserve"> А.В. </w:t>
      </w:r>
      <w:proofErr w:type="spellStart"/>
      <w:r>
        <w:rPr>
          <w:rFonts w:ascii="Times New Roman" w:eastAsia="Times New Roman" w:hAnsi="Times New Roman" w:cs="Times New Roman"/>
          <w:sz w:val="28"/>
          <w:szCs w:val="28"/>
          <w:highlight w:val="white"/>
        </w:rPr>
        <w:t>Промышленный</w:t>
      </w:r>
      <w:proofErr w:type="spellEnd"/>
      <w:r>
        <w:rPr>
          <w:rFonts w:ascii="Times New Roman" w:eastAsia="Times New Roman" w:hAnsi="Times New Roman" w:cs="Times New Roman"/>
          <w:sz w:val="28"/>
          <w:szCs w:val="28"/>
          <w:highlight w:val="white"/>
        </w:rPr>
        <w:t xml:space="preserve"> маркетинг: </w:t>
      </w:r>
      <w:proofErr w:type="spellStart"/>
      <w:r>
        <w:rPr>
          <w:rFonts w:ascii="Times New Roman" w:eastAsia="Times New Roman" w:hAnsi="Times New Roman" w:cs="Times New Roman"/>
          <w:sz w:val="28"/>
          <w:szCs w:val="28"/>
          <w:highlight w:val="white"/>
        </w:rPr>
        <w:t>стратегический</w:t>
      </w:r>
      <w:proofErr w:type="spellEnd"/>
      <w:r>
        <w:rPr>
          <w:rFonts w:ascii="Times New Roman" w:eastAsia="Times New Roman" w:hAnsi="Times New Roman" w:cs="Times New Roman"/>
          <w:sz w:val="28"/>
          <w:szCs w:val="28"/>
          <w:highlight w:val="white"/>
        </w:rPr>
        <w:t xml:space="preserve"> аспект: </w:t>
      </w:r>
      <w:proofErr w:type="spellStart"/>
      <w:r>
        <w:rPr>
          <w:rFonts w:ascii="Times New Roman" w:eastAsia="Times New Roman" w:hAnsi="Times New Roman" w:cs="Times New Roman"/>
          <w:sz w:val="28"/>
          <w:szCs w:val="28"/>
          <w:highlight w:val="white"/>
        </w:rPr>
        <w:t>Учеб</w:t>
      </w:r>
      <w:proofErr w:type="spellEnd"/>
      <w:r>
        <w:rPr>
          <w:rFonts w:ascii="Times New Roman" w:eastAsia="Times New Roman" w:hAnsi="Times New Roman" w:cs="Times New Roman"/>
          <w:sz w:val="28"/>
          <w:szCs w:val="28"/>
          <w:highlight w:val="white"/>
        </w:rPr>
        <w:t xml:space="preserve">. </w:t>
      </w:r>
      <w:proofErr w:type="spellStart"/>
      <w:r>
        <w:rPr>
          <w:rFonts w:ascii="Times New Roman" w:eastAsia="Times New Roman" w:hAnsi="Times New Roman" w:cs="Times New Roman"/>
          <w:sz w:val="28"/>
          <w:szCs w:val="28"/>
          <w:highlight w:val="white"/>
        </w:rPr>
        <w:t>пособие</w:t>
      </w:r>
      <w:proofErr w:type="spellEnd"/>
      <w:r>
        <w:rPr>
          <w:rFonts w:ascii="Times New Roman" w:eastAsia="Times New Roman" w:hAnsi="Times New Roman" w:cs="Times New Roman"/>
          <w:sz w:val="28"/>
          <w:szCs w:val="28"/>
          <w:highlight w:val="white"/>
        </w:rPr>
        <w:t xml:space="preserve">. – Х.: </w:t>
      </w:r>
      <w:proofErr w:type="spellStart"/>
      <w:r>
        <w:rPr>
          <w:rFonts w:ascii="Times New Roman" w:eastAsia="Times New Roman" w:hAnsi="Times New Roman" w:cs="Times New Roman"/>
          <w:sz w:val="28"/>
          <w:szCs w:val="28"/>
          <w:highlight w:val="white"/>
        </w:rPr>
        <w:t>Студцентр</w:t>
      </w:r>
      <w:proofErr w:type="spellEnd"/>
      <w:r>
        <w:rPr>
          <w:rFonts w:ascii="Times New Roman" w:eastAsia="Times New Roman" w:hAnsi="Times New Roman" w:cs="Times New Roman"/>
          <w:sz w:val="28"/>
          <w:szCs w:val="28"/>
          <w:highlight w:val="white"/>
        </w:rPr>
        <w:t>, 2005. – 328 с.</w:t>
      </w: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pStyle w:val="1"/>
      </w:pPr>
      <w:bookmarkStart w:id="21" w:name="_35bri2sk6hyk" w:colFirst="0" w:colLast="0"/>
      <w:bookmarkEnd w:id="21"/>
      <w:r>
        <w:lastRenderedPageBreak/>
        <w:t>ДОДАТКИ</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Додаток А </w:t>
      </w:r>
    </w:p>
    <w:p w:rsidR="00BA76DF" w:rsidRDefault="00C33D3F">
      <w:pPr>
        <w:spacing w:line="360" w:lineRule="auto"/>
        <w:ind w:left="101"/>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drawing>
          <wp:inline distT="0" distB="0" distL="0" distR="0">
            <wp:extent cx="5410200" cy="2789380"/>
            <wp:effectExtent l="0" t="0" r="0" b="0"/>
            <wp:docPr id="40"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63"/>
                    <a:srcRect/>
                    <a:stretch>
                      <a:fillRect/>
                    </a:stretch>
                  </pic:blipFill>
                  <pic:spPr>
                    <a:xfrm>
                      <a:off x="0" y="0"/>
                      <a:ext cx="5410200" cy="2789380"/>
                    </a:xfrm>
                    <a:prstGeom prst="rect">
                      <a:avLst/>
                    </a:prstGeom>
                    <a:ln/>
                  </pic:spPr>
                </pic:pic>
              </a:graphicData>
            </a:graphic>
          </wp:inline>
        </w:drawing>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Рисунок А. Обсяг збуту природного газу НАК </w:t>
      </w:r>
      <w:r>
        <w:rPr>
          <w:rFonts w:ascii="Times New Roman" w:eastAsia="Times New Roman" w:hAnsi="Times New Roman" w:cs="Times New Roman"/>
          <w:color w:val="4D5156"/>
          <w:sz w:val="28"/>
          <w:szCs w:val="28"/>
          <w:highlight w:val="white"/>
        </w:rPr>
        <w:t>«Нафтогаз України»</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Джерело: [3]</w:t>
      </w:r>
    </w:p>
    <w:p w:rsidR="00BA76DF" w:rsidRDefault="00BA76DF">
      <w:pPr>
        <w:spacing w:line="360" w:lineRule="auto"/>
        <w:jc w:val="both"/>
        <w:rPr>
          <w:rFonts w:ascii="Times New Roman" w:eastAsia="Times New Roman" w:hAnsi="Times New Roman" w:cs="Times New Roman"/>
          <w:sz w:val="28"/>
          <w:szCs w:val="28"/>
          <w:highlight w:val="white"/>
        </w:rPr>
      </w:pPr>
    </w:p>
    <w:p w:rsidR="00BA76DF" w:rsidRDefault="00C33D3F">
      <w:pPr>
        <w:spacing w:line="360" w:lineRule="auto"/>
        <w:ind w:left="101"/>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Додаток Б</w:t>
      </w:r>
    </w:p>
    <w:p w:rsidR="00BA76DF" w:rsidRDefault="00C33D3F">
      <w:pPr>
        <w:spacing w:before="240" w:after="24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drawing>
          <wp:inline distT="114300" distB="114300" distL="114300" distR="114300">
            <wp:extent cx="5153025" cy="3374603"/>
            <wp:effectExtent l="0" t="0" r="0" b="0"/>
            <wp:docPr id="3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4"/>
                    <a:srcRect/>
                    <a:stretch>
                      <a:fillRect/>
                    </a:stretch>
                  </pic:blipFill>
                  <pic:spPr>
                    <a:xfrm>
                      <a:off x="0" y="0"/>
                      <a:ext cx="5153025" cy="3374603"/>
                    </a:xfrm>
                    <a:prstGeom prst="rect">
                      <a:avLst/>
                    </a:prstGeom>
                    <a:ln/>
                  </pic:spPr>
                </pic:pic>
              </a:graphicData>
            </a:graphic>
          </wp:inline>
        </w:drawing>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Рисунок Б. Динаміка зростання ВВП України</w:t>
      </w:r>
    </w:p>
    <w:p w:rsidR="00BA76DF" w:rsidRDefault="00C33D3F">
      <w:pPr>
        <w:spacing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[17]</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Додаток В </w:t>
      </w:r>
    </w:p>
    <w:p w:rsidR="00BA76DF" w:rsidRDefault="00C33D3F">
      <w:pPr>
        <w:spacing w:after="160" w:line="360" w:lineRule="auto"/>
        <w:ind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sz w:val="28"/>
          <w:szCs w:val="28"/>
          <w:highlight w:val="white"/>
        </w:rPr>
        <w:t>Таблиця В. Прогнозний паливно-енергетичний баланс України на 2015 - 2030 рр. (базовий сценарій)</w:t>
      </w:r>
      <w:r>
        <w:rPr>
          <w:rFonts w:ascii="Times New Roman" w:eastAsia="Times New Roman" w:hAnsi="Times New Roman" w:cs="Times New Roman"/>
          <w:i/>
          <w:sz w:val="28"/>
          <w:szCs w:val="28"/>
          <w:highlight w:val="white"/>
        </w:rPr>
        <w:t xml:space="preserve"> </w:t>
      </w:r>
    </w:p>
    <w:p w:rsidR="00BA76DF" w:rsidRDefault="00BA76DF">
      <w:pPr>
        <w:spacing w:after="160" w:line="360" w:lineRule="auto"/>
        <w:ind w:firstLine="720"/>
        <w:jc w:val="both"/>
        <w:rPr>
          <w:rFonts w:ascii="Times New Roman" w:eastAsia="Times New Roman" w:hAnsi="Times New Roman" w:cs="Times New Roman"/>
          <w:i/>
          <w:sz w:val="28"/>
          <w:szCs w:val="28"/>
          <w:highlight w:val="white"/>
        </w:rPr>
      </w:pPr>
    </w:p>
    <w:tbl>
      <w:tblPr>
        <w:tblStyle w:val="af4"/>
        <w:tblW w:w="9025" w:type="dxa"/>
        <w:tblInd w:w="0"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3138"/>
        <w:gridCol w:w="1412"/>
        <w:gridCol w:w="907"/>
        <w:gridCol w:w="892"/>
        <w:gridCol w:w="892"/>
        <w:gridCol w:w="892"/>
        <w:gridCol w:w="892"/>
      </w:tblGrid>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Стаття балансу</w:t>
            </w:r>
          </w:p>
        </w:tc>
        <w:tc>
          <w:tcPr>
            <w:tcW w:w="1412" w:type="dxa"/>
            <w:vMerge w:val="restart"/>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Розмірність</w:t>
            </w:r>
          </w:p>
        </w:tc>
        <w:tc>
          <w:tcPr>
            <w:tcW w:w="907" w:type="dxa"/>
            <w:vMerge w:val="restart"/>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2010</w:t>
            </w:r>
            <w:r>
              <w:rPr>
                <w:rFonts w:ascii="Times New Roman" w:eastAsia="Times New Roman" w:hAnsi="Times New Roman" w:cs="Times New Roman"/>
                <w:b/>
                <w:sz w:val="24"/>
                <w:szCs w:val="24"/>
                <w:highlight w:val="white"/>
              </w:rPr>
              <w:br/>
              <w:t>(Факт)</w:t>
            </w:r>
          </w:p>
        </w:tc>
        <w:tc>
          <w:tcPr>
            <w:tcW w:w="3568" w:type="dxa"/>
            <w:gridSpan w:val="4"/>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Прогноз</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90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892"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2015</w:t>
            </w:r>
          </w:p>
        </w:tc>
        <w:tc>
          <w:tcPr>
            <w:tcW w:w="892"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2020</w:t>
            </w:r>
          </w:p>
        </w:tc>
        <w:tc>
          <w:tcPr>
            <w:tcW w:w="892"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2025</w:t>
            </w:r>
          </w:p>
        </w:tc>
        <w:tc>
          <w:tcPr>
            <w:tcW w:w="892"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2030</w:t>
            </w:r>
          </w:p>
        </w:tc>
      </w:tr>
      <w:tr w:rsidR="00BA76DF">
        <w:trPr>
          <w:trHeight w:val="450"/>
        </w:trPr>
        <w:tc>
          <w:tcPr>
            <w:tcW w:w="9024" w:type="dxa"/>
            <w:gridSpan w:val="7"/>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Прибуткова частина</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I. Ресурси, всього</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231,8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226,8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251,8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264,7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286,6</w:t>
            </w:r>
          </w:p>
        </w:tc>
      </w:tr>
      <w:tr w:rsidR="00BA76DF">
        <w:trPr>
          <w:trHeight w:val="99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 Виробництво енергоресурсів, усього, у т. ч.:</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131,9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142,6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165,6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186,3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223,7</w:t>
            </w:r>
          </w:p>
        </w:tc>
      </w:tr>
      <w:tr w:rsidR="00BA76DF">
        <w:trPr>
          <w:trHeight w:val="72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 Видобуток органічного палива</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71,9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78,5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91,8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104,4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131,5</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1.1.1 Вугільна продукція</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54,8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63,9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76,9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83,8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92,8</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43,0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50,3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60,9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66,4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73,6</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1.1.2 Нафта</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1.1.3 Природний газ</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млрд. м3</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29,8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44,4</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51,5</w:t>
            </w:r>
          </w:p>
        </w:tc>
      </w:tr>
      <w:tr w:rsidR="00BA76DF">
        <w:trPr>
          <w:trHeight w:val="495"/>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 Виробництво електроенергії без витрат органічного палива, у т. ч.:</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109,5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128,5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149,0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168,0</w:t>
            </w:r>
          </w:p>
        </w:tc>
      </w:tr>
      <w:tr w:rsidR="00BA76DF">
        <w:trPr>
          <w:trHeight w:val="495"/>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39,0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46,5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52,8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58,1</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1.2.1 АЕС</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133</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1.2.2 ГЕС та ГАЕС</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1.2.3 ВЕС, СЕС, малі ГЕС</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 Виробництво теплової енергії на АЕС</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млн. </w:t>
            </w:r>
            <w:proofErr w:type="spellStart"/>
            <w:r>
              <w:rPr>
                <w:rFonts w:ascii="Times New Roman" w:eastAsia="Times New Roman" w:hAnsi="Times New Roman" w:cs="Times New Roman"/>
                <w:sz w:val="24"/>
                <w:szCs w:val="24"/>
                <w:highlight w:val="white"/>
              </w:rPr>
              <w:t>Гкал</w:t>
            </w:r>
            <w:proofErr w:type="spellEnd"/>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 Теплова енергія довкілля</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млн. </w:t>
            </w:r>
            <w:proofErr w:type="spellStart"/>
            <w:r>
              <w:rPr>
                <w:rFonts w:ascii="Times New Roman" w:eastAsia="Times New Roman" w:hAnsi="Times New Roman" w:cs="Times New Roman"/>
                <w:sz w:val="24"/>
                <w:szCs w:val="24"/>
                <w:highlight w:val="white"/>
              </w:rPr>
              <w:t>Гкал</w:t>
            </w:r>
            <w:proofErr w:type="spellEnd"/>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47,2</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r>
      <w:tr w:rsidR="00BA76DF">
        <w:trPr>
          <w:trHeight w:val="72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1.5 Інші джерела палива та енергії</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25,2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25,8</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 Імпорт енергоресурсів</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70,9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61,5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57,7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34,1</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 Вугілля</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6,5</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5,2</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 Нафта</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9,8</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14,0</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 Нафтопродукти</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9,1</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 Природний газ</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млрд. м3</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33,7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42,5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39,1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31,4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5,8</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2.5 Електроенергія</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99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 Залишки палива у сховищах та складах на початок року</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29,0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28,8</w:t>
            </w:r>
          </w:p>
        </w:tc>
      </w:tr>
      <w:tr w:rsidR="00BA76DF">
        <w:trPr>
          <w:trHeight w:val="450"/>
        </w:trPr>
        <w:tc>
          <w:tcPr>
            <w:tcW w:w="9024" w:type="dxa"/>
            <w:gridSpan w:val="7"/>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Витратна частина</w:t>
            </w:r>
          </w:p>
        </w:tc>
      </w:tr>
      <w:tr w:rsidR="00BA76DF">
        <w:trPr>
          <w:trHeight w:val="72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II. Розподіл ресурсів, усього</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231,8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226,8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251,8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264,7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286,6</w:t>
            </w:r>
          </w:p>
        </w:tc>
      </w:tr>
      <w:tr w:rsidR="00BA76DF">
        <w:trPr>
          <w:trHeight w:val="99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 Споживання енергоресурсів, усього, у т. ч.:</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190,7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200,9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212,8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223,1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238,1</w:t>
            </w:r>
          </w:p>
        </w:tc>
      </w:tr>
      <w:tr w:rsidR="00BA76DF">
        <w:trPr>
          <w:trHeight w:val="72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 Органічного палива, всього, у т. ч.:</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132,3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139,2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141,0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143,5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148,1</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1.1.1 Вугілля</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48,3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58,5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59,3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61,2</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1.1.2 Нафтопродукти</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17,9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29,6</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1.1.3 Природний газ</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66,1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63,3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58,9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57,8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57,3</w:t>
            </w:r>
          </w:p>
        </w:tc>
      </w:tr>
      <w:tr w:rsidR="00BA76DF">
        <w:trPr>
          <w:trHeight w:val="99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 Електроенергія, вироблена без витрат органічного палива, у т. ч.:</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39,0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46,5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52,8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58,1</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1.2.1 АЕС</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33,9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46,0</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1.2.2 ГЕС та ГАЕС</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7,3</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1.2.3 ВЕС, СЕС, малі ГЕС</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4,8</w:t>
            </w:r>
          </w:p>
        </w:tc>
      </w:tr>
      <w:tr w:rsidR="00BA76DF">
        <w:trPr>
          <w:trHeight w:val="72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1.3 Теплова енергія, вироблена на АЕС</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r>
      <w:tr w:rsidR="00BA76DF">
        <w:trPr>
          <w:trHeight w:val="72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 Теплова енергія довкілля</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 Енергія з інших джерел</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25,2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25,8</w:t>
            </w:r>
          </w:p>
        </w:tc>
      </w:tr>
      <w:tr w:rsidR="00BA76DF">
        <w:trPr>
          <w:trHeight w:val="99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 Сальдо по електроенергії (експорт-імпорт)</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r>
      <w:tr w:rsidR="00BA76DF">
        <w:trPr>
          <w:trHeight w:val="72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 Експорт енергетичних ресурсів, у т. ч.:</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13,7</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18,5</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 Органічне паливо</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16,3</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2.1.1 Вугілля</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20,5</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16,3</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2.1.2 Нафта</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2.1.3 Нафтопродукти</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5,8</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2.1.4 Природний газ</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млрд. м3</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r>
      <w:tr w:rsidR="00BA76DF">
        <w:trPr>
          <w:trHeight w:val="450"/>
        </w:trPr>
        <w:tc>
          <w:tcPr>
            <w:tcW w:w="3137"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 Електроенергія</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r>
      <w:tr w:rsidR="00BA76DF">
        <w:trPr>
          <w:trHeight w:val="450"/>
        </w:trPr>
        <w:tc>
          <w:tcPr>
            <w:tcW w:w="3137"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360" w:lineRule="auto"/>
              <w:jc w:val="both"/>
              <w:rPr>
                <w:rFonts w:ascii="Times New Roman" w:eastAsia="Times New Roman" w:hAnsi="Times New Roman" w:cs="Times New Roman"/>
                <w:sz w:val="28"/>
                <w:szCs w:val="28"/>
                <w:highlight w:val="white"/>
              </w:rPr>
            </w:pP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r>
      <w:tr w:rsidR="00BA76DF">
        <w:trPr>
          <w:trHeight w:val="720"/>
        </w:trPr>
        <w:tc>
          <w:tcPr>
            <w:tcW w:w="313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 Залишки у сховищах та складах на кінець року</w:t>
            </w:r>
          </w:p>
        </w:tc>
        <w:tc>
          <w:tcPr>
            <w:tcW w:w="141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7"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22,3</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29,0</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27,9</w:t>
            </w:r>
          </w:p>
        </w:tc>
        <w:tc>
          <w:tcPr>
            <w:tcW w:w="892"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30,0</w:t>
            </w:r>
          </w:p>
        </w:tc>
      </w:tr>
    </w:tbl>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Джерело: [11]</w:t>
      </w:r>
    </w:p>
    <w:p w:rsidR="00BA76DF" w:rsidRDefault="00BA76DF">
      <w:pPr>
        <w:spacing w:after="160" w:line="240" w:lineRule="auto"/>
        <w:jc w:val="both"/>
        <w:rPr>
          <w:rFonts w:ascii="Times New Roman" w:eastAsia="Times New Roman" w:hAnsi="Times New Roman" w:cs="Times New Roman"/>
          <w:sz w:val="24"/>
          <w:szCs w:val="24"/>
          <w:highlight w:val="white"/>
        </w:rPr>
      </w:pPr>
    </w:p>
    <w:p w:rsidR="00BA76DF" w:rsidRDefault="00C33D3F">
      <w:pPr>
        <w:spacing w:line="360" w:lineRule="auto"/>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sz w:val="28"/>
          <w:szCs w:val="28"/>
          <w:highlight w:val="white"/>
        </w:rPr>
        <w:t>Додаток Г</w:t>
      </w:r>
    </w:p>
    <w:p w:rsidR="00BA76DF" w:rsidRDefault="00C33D3F">
      <w:pPr>
        <w:spacing w:after="160" w:line="24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Таблиця Г. Прогнозний паливно-енергетичний баланс України на 2015 - 2030 рр. (песимістичний сценарій)</w:t>
      </w:r>
    </w:p>
    <w:p w:rsidR="00BA76DF" w:rsidRDefault="00BA76DF">
      <w:pPr>
        <w:spacing w:after="160" w:line="240" w:lineRule="auto"/>
        <w:ind w:firstLine="720"/>
        <w:jc w:val="both"/>
        <w:rPr>
          <w:rFonts w:ascii="Times New Roman" w:eastAsia="Times New Roman" w:hAnsi="Times New Roman" w:cs="Times New Roman"/>
          <w:sz w:val="28"/>
          <w:szCs w:val="28"/>
          <w:highlight w:val="white"/>
        </w:rPr>
      </w:pPr>
    </w:p>
    <w:tbl>
      <w:tblPr>
        <w:tblStyle w:val="af5"/>
        <w:tblW w:w="9000" w:type="dxa"/>
        <w:tblInd w:w="0"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3255"/>
        <w:gridCol w:w="1290"/>
        <w:gridCol w:w="900"/>
        <w:gridCol w:w="900"/>
        <w:gridCol w:w="885"/>
        <w:gridCol w:w="885"/>
        <w:gridCol w:w="885"/>
      </w:tblGrid>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Стаття балансу</w:t>
            </w:r>
          </w:p>
        </w:tc>
        <w:tc>
          <w:tcPr>
            <w:tcW w:w="1290" w:type="dxa"/>
            <w:vMerge w:val="restart"/>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Розмірність</w:t>
            </w:r>
          </w:p>
        </w:tc>
        <w:tc>
          <w:tcPr>
            <w:tcW w:w="900" w:type="dxa"/>
            <w:vMerge w:val="restart"/>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2010</w:t>
            </w:r>
            <w:r>
              <w:rPr>
                <w:rFonts w:ascii="Times New Roman" w:eastAsia="Times New Roman" w:hAnsi="Times New Roman" w:cs="Times New Roman"/>
                <w:b/>
                <w:sz w:val="24"/>
                <w:szCs w:val="24"/>
                <w:highlight w:val="white"/>
              </w:rPr>
              <w:br/>
              <w:t>(Факт)</w:t>
            </w:r>
          </w:p>
        </w:tc>
        <w:tc>
          <w:tcPr>
            <w:tcW w:w="3555" w:type="dxa"/>
            <w:gridSpan w:val="4"/>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Прогноз</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90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900"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2015</w:t>
            </w:r>
          </w:p>
        </w:tc>
        <w:tc>
          <w:tcPr>
            <w:tcW w:w="885"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2020</w:t>
            </w:r>
          </w:p>
        </w:tc>
        <w:tc>
          <w:tcPr>
            <w:tcW w:w="885"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2025</w:t>
            </w:r>
          </w:p>
        </w:tc>
        <w:tc>
          <w:tcPr>
            <w:tcW w:w="885"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2030</w:t>
            </w:r>
          </w:p>
        </w:tc>
      </w:tr>
      <w:tr w:rsidR="00BA76DF">
        <w:trPr>
          <w:trHeight w:val="450"/>
        </w:trPr>
        <w:tc>
          <w:tcPr>
            <w:tcW w:w="9000" w:type="dxa"/>
            <w:gridSpan w:val="7"/>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Прибуткова частина</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I. Ресурси, всього</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231,9</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223,1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228,9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233,3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239,0</w:t>
            </w:r>
          </w:p>
        </w:tc>
      </w:tr>
      <w:tr w:rsidR="00BA76DF">
        <w:trPr>
          <w:trHeight w:val="99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1 Виробництво енергоресурсів, усього, у т. ч.:</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132,0</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137,1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151,2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161,4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174,0</w:t>
            </w:r>
          </w:p>
        </w:tc>
      </w:tr>
      <w:tr w:rsidR="00BA76DF">
        <w:trPr>
          <w:trHeight w:val="72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 Видобуток органічного палива</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72,0</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76,4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84,6</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87,8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93,6</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1.1.1 Вугільна продукція</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54,8</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60,8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68,1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69,4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69,8</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43,0</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48,2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54,1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55,5</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1.1.2 Нафта</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3,1</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1.1.3 Природний газ</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млрд. м3</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20,5</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25,9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30,2</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23,8</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30,0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35,0</w:t>
            </w:r>
          </w:p>
        </w:tc>
      </w:tr>
      <w:tr w:rsidR="00BA76DF">
        <w:trPr>
          <w:trHeight w:val="495"/>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 Виробництво електроенергії без витрат органічного палива, у т. ч.:</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102</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104,4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119,3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132,0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146,0</w:t>
            </w:r>
          </w:p>
        </w:tc>
      </w:tr>
      <w:tr w:rsidR="00BA76DF">
        <w:trPr>
          <w:trHeight w:val="495"/>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38,9</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38,8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43,0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46,7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50,4</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1.2.1 АЕС</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89</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96</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115</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1.2.2 ГЕС та ГАЕС</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1.2.3 ВЕС, СЕС, малі ГЕС</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 Виробництво теплової енергії на АЕС</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млн. </w:t>
            </w:r>
            <w:proofErr w:type="spellStart"/>
            <w:r>
              <w:rPr>
                <w:rFonts w:ascii="Times New Roman" w:eastAsia="Times New Roman" w:hAnsi="Times New Roman" w:cs="Times New Roman"/>
                <w:sz w:val="24"/>
                <w:szCs w:val="24"/>
                <w:highlight w:val="white"/>
              </w:rPr>
              <w:t>Гкал</w:t>
            </w:r>
            <w:proofErr w:type="spellEnd"/>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0,2</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 Теплова енергія довкілля</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млн. </w:t>
            </w:r>
            <w:proofErr w:type="spellStart"/>
            <w:r>
              <w:rPr>
                <w:rFonts w:ascii="Times New Roman" w:eastAsia="Times New Roman" w:hAnsi="Times New Roman" w:cs="Times New Roman"/>
                <w:sz w:val="24"/>
                <w:szCs w:val="24"/>
                <w:highlight w:val="white"/>
              </w:rPr>
              <w:t>Гкал</w:t>
            </w:r>
            <w:proofErr w:type="spellEnd"/>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0,6</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42,5</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6,6</w:t>
            </w:r>
          </w:p>
        </w:tc>
      </w:tr>
      <w:tr w:rsidR="00BA76DF">
        <w:trPr>
          <w:trHeight w:val="72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 Інші джерела палива та енергії</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20,7</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 Імпорт енергоресурсів</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70,9</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61,1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45,1</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 Вугілля</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12,1</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7,6</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5,6</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5,3</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9,5</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4,2</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 Нафта</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7,5</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0,9</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10,7</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 Нафтопродукти</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7,5</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18,0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 Природний газ</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млрд. м3</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36,6</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16,9</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42,5</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39,7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32,1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19,6</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2.5 Електроенергія</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0,7</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99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 Залишки палива у сховищах та складах на початок року</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29,0</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19,9</w:t>
            </w:r>
          </w:p>
        </w:tc>
      </w:tr>
      <w:tr w:rsidR="00BA76DF">
        <w:trPr>
          <w:trHeight w:val="450"/>
        </w:trPr>
        <w:tc>
          <w:tcPr>
            <w:tcW w:w="9000" w:type="dxa"/>
            <w:gridSpan w:val="7"/>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Витратна частина</w:t>
            </w:r>
          </w:p>
        </w:tc>
      </w:tr>
      <w:tr w:rsidR="00BA76DF">
        <w:trPr>
          <w:trHeight w:val="72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II. Розподіл ресурсів, усього</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231,9</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223,1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228,9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233,3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239</w:t>
            </w:r>
          </w:p>
        </w:tc>
      </w:tr>
      <w:tr w:rsidR="00BA76DF">
        <w:trPr>
          <w:trHeight w:val="99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 Споживання енергоресурсів, усього, у т. ч.:</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190,8</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195,5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200,6</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208,1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213,3</w:t>
            </w:r>
          </w:p>
        </w:tc>
      </w:tr>
      <w:tr w:rsidR="00BA76DF">
        <w:trPr>
          <w:trHeight w:val="72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 Органічного палива, всього, у т. ч.:</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132,3</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137,2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136,2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136,7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135,2</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1.1.1 Вугілля</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48,3</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53,9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57,0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56,1</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1.1.2 Нафтопродукти</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17,9</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24,5</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1.1.3 Природний газ</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66,1</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63,9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59,6</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56,8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54,6</w:t>
            </w:r>
          </w:p>
        </w:tc>
      </w:tr>
      <w:tr w:rsidR="00BA76DF">
        <w:trPr>
          <w:trHeight w:val="99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 Електроенергія, вироблена без витрат органічного палива, у т. ч.:</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38,9</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38,8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43,0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46,7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50,4</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1.2.1 АЕС</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34,0</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32,4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34,9</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38,0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39,8</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1.2.2 ГЕС та ГАЕС</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5,0</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5,6</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7,3</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1.2.3 ВЕС, СЕС, малі ГЕС</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млн. т </w:t>
            </w:r>
            <w:proofErr w:type="spellStart"/>
            <w:r>
              <w:rPr>
                <w:rFonts w:ascii="Times New Roman" w:eastAsia="Times New Roman" w:hAnsi="Times New Roman" w:cs="Times New Roman"/>
                <w:sz w:val="24"/>
                <w:szCs w:val="24"/>
                <w:highlight w:val="white"/>
              </w:rPr>
              <w:t>у.п</w:t>
            </w:r>
            <w:proofErr w:type="spellEnd"/>
            <w:r>
              <w:rPr>
                <w:rFonts w:ascii="Times New Roman" w:eastAsia="Times New Roman" w:hAnsi="Times New Roman" w:cs="Times New Roman"/>
                <w:sz w:val="24"/>
                <w:szCs w:val="24"/>
                <w:highlight w:val="white"/>
              </w:rPr>
              <w:t>.</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w:t>
            </w:r>
          </w:p>
        </w:tc>
      </w:tr>
      <w:tr w:rsidR="00BA76DF">
        <w:trPr>
          <w:trHeight w:val="72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 Теплова енергія, вироблена на АЕС</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0,2</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r>
      <w:tr w:rsidR="00BA76DF">
        <w:trPr>
          <w:trHeight w:val="72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 Теплова енергія довкілля</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6,6</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 Енергія з інших джерел</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20,7</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21,275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21,85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22,43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r>
      <w:tr w:rsidR="00BA76DF">
        <w:trPr>
          <w:trHeight w:val="99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 Сальдо по електроенергії (експорт-імпорт)</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r>
      <w:tr w:rsidR="00BA76DF">
        <w:trPr>
          <w:trHeight w:val="72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 Експорт енергетичних ресурсів, у т. ч.:</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13,1</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4,6</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6,1</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5,8</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 Органічне паливо</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10,8</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2.1.1 Вугілля</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6,2</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4,5</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4,9</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2.1.2 Нафта</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2.1.3 Нафтопродукти</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5,8</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2.1.4 Природний газ</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млрд. м3</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r>
      <w:tr w:rsidR="00BA76DF">
        <w:trPr>
          <w:trHeight w:val="450"/>
        </w:trPr>
        <w:tc>
          <w:tcPr>
            <w:tcW w:w="3255"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 Електроенергія</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r>
      <w:tr w:rsidR="00BA76DF">
        <w:trPr>
          <w:trHeight w:val="450"/>
        </w:trPr>
        <w:tc>
          <w:tcPr>
            <w:tcW w:w="325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r>
      <w:tr w:rsidR="00BA76DF">
        <w:trPr>
          <w:trHeight w:val="720"/>
        </w:trPr>
        <w:tc>
          <w:tcPr>
            <w:tcW w:w="325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 Залишки у сховищах та складах на кінець року</w:t>
            </w:r>
          </w:p>
        </w:tc>
        <w:tc>
          <w:tcPr>
            <w:tcW w:w="129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w:t>
            </w:r>
          </w:p>
        </w:tc>
        <w:tc>
          <w:tcPr>
            <w:tcW w:w="90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22,2</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19,7</w:t>
            </w:r>
          </w:p>
        </w:tc>
        <w:tc>
          <w:tcPr>
            <w:tcW w:w="88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19,9</w:t>
            </w:r>
          </w:p>
        </w:tc>
      </w:tr>
    </w:tbl>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Джерело: [11]</w:t>
      </w: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Додаток Ґ</w:t>
      </w:r>
    </w:p>
    <w:p w:rsidR="00BA76DF" w:rsidRDefault="00C33D3F">
      <w:pPr>
        <w:spacing w:after="160" w:line="240" w:lineRule="auto"/>
        <w:ind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Таблиця Г. Прогнозний паливно-енергетичний баланс України на 2015 - 2030 рр. (оптимістичний сценарій)</w:t>
      </w:r>
    </w:p>
    <w:tbl>
      <w:tblPr>
        <w:tblStyle w:val="af6"/>
        <w:tblW w:w="9660" w:type="dxa"/>
        <w:tblInd w:w="0" w:type="dxa"/>
        <w:tblBorders>
          <w:top w:val="single" w:sz="5" w:space="0" w:color="808080"/>
          <w:left w:val="single" w:sz="5" w:space="0" w:color="808080"/>
          <w:bottom w:val="single" w:sz="5" w:space="0" w:color="808080"/>
          <w:right w:val="single" w:sz="5" w:space="0" w:color="808080"/>
          <w:insideH w:val="single" w:sz="5" w:space="0" w:color="808080"/>
          <w:insideV w:val="single" w:sz="5" w:space="0" w:color="808080"/>
        </w:tblBorders>
        <w:tblLayout w:type="fixed"/>
        <w:tblLook w:val="0600" w:firstRow="0" w:lastRow="0" w:firstColumn="0" w:lastColumn="0" w:noHBand="1" w:noVBand="1"/>
      </w:tblPr>
      <w:tblGrid>
        <w:gridCol w:w="3750"/>
        <w:gridCol w:w="1425"/>
        <w:gridCol w:w="765"/>
        <w:gridCol w:w="870"/>
        <w:gridCol w:w="1050"/>
        <w:gridCol w:w="960"/>
        <w:gridCol w:w="840"/>
      </w:tblGrid>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Стаття балансу</w:t>
            </w:r>
          </w:p>
        </w:tc>
        <w:tc>
          <w:tcPr>
            <w:tcW w:w="1425" w:type="dxa"/>
            <w:vMerge w:val="restart"/>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Розмірність</w:t>
            </w:r>
          </w:p>
        </w:tc>
        <w:tc>
          <w:tcPr>
            <w:tcW w:w="765" w:type="dxa"/>
            <w:vMerge w:val="restart"/>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2010</w:t>
            </w:r>
            <w:r>
              <w:rPr>
                <w:rFonts w:ascii="Times New Roman" w:eastAsia="Times New Roman" w:hAnsi="Times New Roman" w:cs="Times New Roman"/>
                <w:b/>
                <w:sz w:val="24"/>
                <w:szCs w:val="24"/>
                <w:highlight w:val="white"/>
              </w:rPr>
              <w:br/>
              <w:t>(Факт)</w:t>
            </w:r>
          </w:p>
        </w:tc>
        <w:tc>
          <w:tcPr>
            <w:tcW w:w="3720" w:type="dxa"/>
            <w:gridSpan w:val="4"/>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Прогноз</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765"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870"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2015</w:t>
            </w:r>
          </w:p>
        </w:tc>
        <w:tc>
          <w:tcPr>
            <w:tcW w:w="1050"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2020</w:t>
            </w:r>
          </w:p>
        </w:tc>
        <w:tc>
          <w:tcPr>
            <w:tcW w:w="960"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2025</w:t>
            </w:r>
          </w:p>
        </w:tc>
        <w:tc>
          <w:tcPr>
            <w:tcW w:w="840" w:type="dxa"/>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2030</w:t>
            </w:r>
          </w:p>
        </w:tc>
      </w:tr>
      <w:tr w:rsidR="00BA76DF">
        <w:trPr>
          <w:trHeight w:val="450"/>
        </w:trPr>
        <w:tc>
          <w:tcPr>
            <w:tcW w:w="9660" w:type="dxa"/>
            <w:gridSpan w:val="7"/>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Прибуткова частина</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I. Ресурси, всього</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231,9</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229,1</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252,0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265,0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289,6</w:t>
            </w:r>
          </w:p>
        </w:tc>
      </w:tr>
      <w:tr w:rsidR="00BA76DF">
        <w:trPr>
          <w:trHeight w:val="99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 Виробництво енергоресурсів, усього, у т. ч.:</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132,0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143,7</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168,5</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190,1</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236,0</w:t>
            </w:r>
          </w:p>
        </w:tc>
      </w:tr>
      <w:tr w:rsidR="00BA76DF">
        <w:trPr>
          <w:trHeight w:val="72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 Видобуток органічного палива</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72,0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78,6</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90,1</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104,7</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137,9</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1.1.1 Вугільна продукція</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54,8</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63,9</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74,9</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82,0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92,8</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43,0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50,3</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59,2</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65,0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73,6</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1.1.2 Нафта</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3,3</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7,1</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4,7</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10,2</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1.1.3 Природний газ</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млрд. м3</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20,5</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20,9</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23,7</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30,2</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46,7</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23,8</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24,2</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27,5</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35,0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54,2</w:t>
            </w:r>
          </w:p>
        </w:tc>
      </w:tr>
      <w:tr w:rsidR="00BA76DF">
        <w:trPr>
          <w:trHeight w:val="495"/>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 Виробництво електроенергії без витрат органічного палива, у т. ч.:</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102,0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109,5</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132,5</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153,0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177,0</w:t>
            </w:r>
          </w:p>
        </w:tc>
      </w:tr>
      <w:tr w:rsidR="00BA76DF">
        <w:trPr>
          <w:trHeight w:val="495"/>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38,9</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40,8</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48,1</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54,2</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61,1</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1.2.1 АЕС</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89,0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91,0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96,0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115,0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138,0</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1.2.2 ГЕС та ГАЕС</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21,0</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1.2.3 ВЕС, СЕС, малі ГЕС</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3,5</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16,5</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17,0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18,0</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 Виробництво теплової енергії на АЕС</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млн. </w:t>
            </w:r>
            <w:proofErr w:type="spellStart"/>
            <w:r>
              <w:rPr>
                <w:rFonts w:ascii="Times New Roman" w:eastAsia="Times New Roman" w:hAnsi="Times New Roman" w:cs="Times New Roman"/>
                <w:sz w:val="24"/>
                <w:szCs w:val="24"/>
                <w:highlight w:val="white"/>
              </w:rPr>
              <w:t>Гкал</w:t>
            </w:r>
            <w:proofErr w:type="spellEnd"/>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1,7</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0,2</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0,4</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 Теплова енергія довкілля</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млн. </w:t>
            </w:r>
            <w:proofErr w:type="spellStart"/>
            <w:r>
              <w:rPr>
                <w:rFonts w:ascii="Times New Roman" w:eastAsia="Times New Roman" w:hAnsi="Times New Roman" w:cs="Times New Roman"/>
                <w:sz w:val="24"/>
                <w:szCs w:val="24"/>
                <w:highlight w:val="white"/>
              </w:rPr>
              <w:t>Гкал</w:t>
            </w:r>
            <w:proofErr w:type="spellEnd"/>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0,6</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3,7</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11,4</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30,4</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51,9</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0,6</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1,8</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4,7</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8,0</w:t>
            </w:r>
          </w:p>
        </w:tc>
      </w:tr>
      <w:tr w:rsidR="00BA76DF">
        <w:trPr>
          <w:trHeight w:val="72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 Інші джерела палива та енергії</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20,7</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23,5</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28,2</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26,1</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28,6</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 Імпорт енергоресурсів</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70,9</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61,6</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59,9</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55,4</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37,2</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 Вугілля</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12,1</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7,6</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8,2</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7,9</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7,9</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9,5</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6,5</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6,2</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6,3</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 Нафта</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7,5</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10,7</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9,3</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10,7</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15,3</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15,7</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15,7</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13,3</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 Нафтопродукти</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7,5</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0,5</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3,9</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7,6</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10,4</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 Природний газ</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млрд. м3</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36,6</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34,3</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29,2</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22,3</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6,2</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42,5</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39,8</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33,9</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25,9</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7,2</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2.5 Електроенергія</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0,7</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99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 Залишки палива у сховищах та складах на початок року</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29,0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23,9</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23,6</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19,6</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16,4</w:t>
            </w:r>
          </w:p>
        </w:tc>
      </w:tr>
      <w:tr w:rsidR="00BA76DF">
        <w:trPr>
          <w:trHeight w:val="450"/>
        </w:trPr>
        <w:tc>
          <w:tcPr>
            <w:tcW w:w="9660" w:type="dxa"/>
            <w:gridSpan w:val="7"/>
            <w:tcBorders>
              <w:top w:val="single" w:sz="5" w:space="0" w:color="808080"/>
              <w:left w:val="single" w:sz="5" w:space="0" w:color="808080"/>
              <w:bottom w:val="single" w:sz="5" w:space="0" w:color="808080"/>
              <w:right w:val="single" w:sz="5" w:space="0" w:color="808080"/>
            </w:tcBorders>
            <w:shd w:val="clear" w:color="auto" w:fill="FFFFFF"/>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Витратна частина</w:t>
            </w:r>
          </w:p>
        </w:tc>
      </w:tr>
      <w:tr w:rsidR="00BA76DF">
        <w:trPr>
          <w:trHeight w:val="72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II. Розподіл ресурсів, усього</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231,9</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229,1</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252,0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265,0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t>289,6</w:t>
            </w:r>
          </w:p>
        </w:tc>
      </w:tr>
      <w:tr w:rsidR="00BA76DF">
        <w:trPr>
          <w:trHeight w:val="99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 Споживання енергоресурсів, усього, у т. ч.:</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190,8</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203,2</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221,0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239,5</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265,5</w:t>
            </w:r>
          </w:p>
        </w:tc>
      </w:tr>
      <w:tr w:rsidR="00BA76DF">
        <w:trPr>
          <w:trHeight w:val="72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1.1 Органічне паливо, усього, у т. ч.:</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132,3</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140,5</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145,3</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156,4</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169,7</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1.1.1 Вугілля</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48,3</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56,7</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60,9</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67,4</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74,4</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1.1.2 Нафтопродукти</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17,9</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19,8</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28,2</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33,9</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1.1.3 Природний газ</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66,1</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64,0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61,4</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60,9</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61,4</w:t>
            </w:r>
          </w:p>
        </w:tc>
      </w:tr>
      <w:tr w:rsidR="00BA76DF">
        <w:trPr>
          <w:trHeight w:val="99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 Електроенергія, вироблена без витрат органічного палива, у т. ч.:</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38,9</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40,8</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48,1</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54,2</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61,1</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1.2.1 АЕС</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33,9</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34,9</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40,8</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47,7</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1.2.2 ГЕС та ГАЕС</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5,6</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7,3</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7,4</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7,3</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1.2.3 ВЕС, СЕС, малі ГЕС</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6,1</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6,2</w:t>
            </w:r>
          </w:p>
        </w:tc>
      </w:tr>
      <w:tr w:rsidR="00BA76DF">
        <w:trPr>
          <w:trHeight w:val="72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 Теплова енергія, вироблена на АЕС</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0,2</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0,3</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0,4</w:t>
            </w:r>
          </w:p>
        </w:tc>
      </w:tr>
      <w:tr w:rsidR="00BA76DF">
        <w:trPr>
          <w:trHeight w:val="72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1.4 Теплова енергія довкілля</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0,6</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1,8</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4,7</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8</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1.5 Енергія з інших джерел</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20,7</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23,5</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28,2</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26,1</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28,6</w:t>
            </w:r>
          </w:p>
        </w:tc>
      </w:tr>
      <w:tr w:rsidR="00BA76DF">
        <w:trPr>
          <w:trHeight w:val="99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 Сальдо по електроенергії (експорт-імпорт)</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r>
      <w:tr w:rsidR="00BA76DF">
        <w:trPr>
          <w:trHeight w:val="72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 Експорт енергетичних ресурсів, у т. ч.:</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13,1</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6,3</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4,9</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7,3</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 Органічне паливо</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10,8</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2.1.1 Вугілля</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6,2</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4,5</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3,3</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6,4</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4,9</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3,6</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2,6</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5,1</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2.1.2 Нафта</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2.1.3 Нафтопродукти</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5,8</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2.1.4 Природний газ</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млрд. м3</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0,1</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0,0</w:t>
            </w:r>
          </w:p>
        </w:tc>
      </w:tr>
      <w:tr w:rsidR="00BA76DF">
        <w:trPr>
          <w:trHeight w:val="450"/>
        </w:trPr>
        <w:tc>
          <w:tcPr>
            <w:tcW w:w="3750" w:type="dxa"/>
            <w:vMerge w:val="restart"/>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 Електроенергія</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млрд. </w:t>
            </w:r>
            <w:proofErr w:type="spellStart"/>
            <w:r>
              <w:rPr>
                <w:rFonts w:ascii="Times New Roman" w:eastAsia="Times New Roman" w:hAnsi="Times New Roman" w:cs="Times New Roman"/>
                <w:sz w:val="24"/>
                <w:szCs w:val="24"/>
                <w:highlight w:val="white"/>
              </w:rPr>
              <w:t>кВт·г</w:t>
            </w:r>
            <w:proofErr w:type="spellEnd"/>
            <w:r>
              <w:rPr>
                <w:rFonts w:ascii="Times New Roman" w:eastAsia="Times New Roman" w:hAnsi="Times New Roman" w:cs="Times New Roman"/>
                <w:sz w:val="24"/>
                <w:szCs w:val="24"/>
                <w:highlight w:val="white"/>
              </w:rPr>
              <w:t>.</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4,1</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5,5</w:t>
            </w:r>
          </w:p>
        </w:tc>
      </w:tr>
      <w:tr w:rsidR="00BA76DF">
        <w:trPr>
          <w:trHeight w:val="450"/>
        </w:trPr>
        <w:tc>
          <w:tcPr>
            <w:tcW w:w="3750" w:type="dxa"/>
            <w:vMerge/>
            <w:tcBorders>
              <w:top w:val="single" w:sz="5" w:space="0" w:color="808080"/>
              <w:left w:val="single" w:sz="5" w:space="0" w:color="808080"/>
              <w:bottom w:val="single" w:sz="5" w:space="0" w:color="808080"/>
              <w:right w:val="single" w:sz="5" w:space="0" w:color="808080"/>
            </w:tcBorders>
            <w:shd w:val="clear" w:color="auto" w:fill="auto"/>
            <w:tcMar>
              <w:top w:w="100" w:type="dxa"/>
              <w:left w:w="100" w:type="dxa"/>
              <w:bottom w:w="100" w:type="dxa"/>
              <w:right w:w="100" w:type="dxa"/>
            </w:tcMar>
          </w:tcPr>
          <w:p w:rsidR="00BA76DF" w:rsidRDefault="00BA76DF">
            <w:pPr>
              <w:spacing w:before="240" w:after="240" w:line="240" w:lineRule="auto"/>
              <w:jc w:val="both"/>
              <w:rPr>
                <w:rFonts w:ascii="Times New Roman" w:eastAsia="Times New Roman" w:hAnsi="Times New Roman" w:cs="Times New Roman"/>
                <w:sz w:val="24"/>
                <w:szCs w:val="24"/>
                <w:highlight w:val="white"/>
              </w:rPr>
            </w:pP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2,7</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2,2</w:t>
            </w:r>
          </w:p>
        </w:tc>
      </w:tr>
      <w:tr w:rsidR="00BA76DF">
        <w:trPr>
          <w:trHeight w:val="705"/>
        </w:trPr>
        <w:tc>
          <w:tcPr>
            <w:tcW w:w="37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3. Залишки у сховищах та складах на кінець року</w:t>
            </w:r>
          </w:p>
        </w:tc>
        <w:tc>
          <w:tcPr>
            <w:tcW w:w="142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млн. т у. п.</w:t>
            </w:r>
          </w:p>
        </w:tc>
        <w:tc>
          <w:tcPr>
            <w:tcW w:w="765"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28,0</w:t>
            </w:r>
          </w:p>
        </w:tc>
        <w:tc>
          <w:tcPr>
            <w:tcW w:w="87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23,5</w:t>
            </w:r>
          </w:p>
        </w:tc>
        <w:tc>
          <w:tcPr>
            <w:tcW w:w="105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24,7</w:t>
            </w:r>
          </w:p>
        </w:tc>
        <w:tc>
          <w:tcPr>
            <w:tcW w:w="96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20,6</w:t>
            </w:r>
          </w:p>
        </w:tc>
        <w:tc>
          <w:tcPr>
            <w:tcW w:w="840" w:type="dxa"/>
            <w:tcBorders>
              <w:top w:val="single" w:sz="5" w:space="0" w:color="808080"/>
              <w:left w:val="single" w:sz="5" w:space="0" w:color="808080"/>
              <w:bottom w:val="single" w:sz="5" w:space="0" w:color="808080"/>
              <w:right w:val="single" w:sz="5" w:space="0" w:color="808080"/>
            </w:tcBorders>
            <w:shd w:val="clear" w:color="auto" w:fill="auto"/>
            <w:tcMar>
              <w:top w:w="0" w:type="dxa"/>
              <w:left w:w="0" w:type="dxa"/>
              <w:bottom w:w="0" w:type="dxa"/>
              <w:right w:w="0" w:type="dxa"/>
            </w:tcMar>
          </w:tcPr>
          <w:p w:rsidR="00BA76DF" w:rsidRDefault="00C33D3F">
            <w:pPr>
              <w:spacing w:after="160" w:line="24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16,8</w:t>
            </w:r>
          </w:p>
        </w:tc>
      </w:tr>
    </w:tbl>
    <w:p w:rsidR="00BA76DF" w:rsidRDefault="00BA76DF">
      <w:pPr>
        <w:spacing w:after="160" w:line="240" w:lineRule="auto"/>
        <w:jc w:val="both"/>
        <w:rPr>
          <w:rFonts w:ascii="Times New Roman" w:eastAsia="Times New Roman" w:hAnsi="Times New Roman" w:cs="Times New Roman"/>
          <w:sz w:val="24"/>
          <w:szCs w:val="24"/>
          <w:highlight w:val="white"/>
        </w:rPr>
      </w:pP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Джерело: [11]</w:t>
      </w: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C33D3F">
      <w:pPr>
        <w:spacing w:after="160"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Додаток Д</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drawing>
          <wp:inline distT="114300" distB="114300" distL="114300" distR="114300">
            <wp:extent cx="5734050" cy="3195798"/>
            <wp:effectExtent l="0" t="0" r="0" b="0"/>
            <wp:docPr id="36"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65"/>
                    <a:srcRect/>
                    <a:stretch>
                      <a:fillRect/>
                    </a:stretch>
                  </pic:blipFill>
                  <pic:spPr>
                    <a:xfrm>
                      <a:off x="0" y="0"/>
                      <a:ext cx="5734050" cy="3195798"/>
                    </a:xfrm>
                    <a:prstGeom prst="rect">
                      <a:avLst/>
                    </a:prstGeom>
                    <a:ln/>
                  </pic:spPr>
                </pic:pic>
              </a:graphicData>
            </a:graphic>
          </wp:inline>
        </w:drawing>
      </w:r>
    </w:p>
    <w:p w:rsidR="00BA76DF" w:rsidRDefault="00C33D3F">
      <w:pPr>
        <w:spacing w:after="160"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sz w:val="28"/>
          <w:szCs w:val="28"/>
          <w:highlight w:val="white"/>
        </w:rPr>
        <w:t>Рисунок Д. Обсяг споживання природного газу в Україні 2021-2023 рр.</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Джерело: [11]</w:t>
      </w: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BA76DF">
      <w:pPr>
        <w:spacing w:line="360" w:lineRule="auto"/>
        <w:jc w:val="center"/>
        <w:rPr>
          <w:rFonts w:ascii="Times New Roman" w:eastAsia="Times New Roman" w:hAnsi="Times New Roman" w:cs="Times New Roman"/>
          <w:sz w:val="28"/>
          <w:szCs w:val="28"/>
          <w:highlight w:val="white"/>
        </w:rPr>
      </w:pP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Додаток Ж</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noProof/>
          <w:sz w:val="28"/>
          <w:szCs w:val="28"/>
          <w:highlight w:val="white"/>
          <w:lang w:val="en-US"/>
        </w:rPr>
        <w:lastRenderedPageBreak/>
        <w:drawing>
          <wp:inline distT="114300" distB="114300" distL="114300" distR="114300">
            <wp:extent cx="5734050" cy="2856638"/>
            <wp:effectExtent l="0" t="0" r="0" b="0"/>
            <wp:docPr id="37"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66"/>
                    <a:srcRect/>
                    <a:stretch>
                      <a:fillRect/>
                    </a:stretch>
                  </pic:blipFill>
                  <pic:spPr>
                    <a:xfrm>
                      <a:off x="0" y="0"/>
                      <a:ext cx="5734050" cy="2856638"/>
                    </a:xfrm>
                    <a:prstGeom prst="rect">
                      <a:avLst/>
                    </a:prstGeom>
                    <a:ln/>
                  </pic:spPr>
                </pic:pic>
              </a:graphicData>
            </a:graphic>
          </wp:inline>
        </w:drawing>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Рисунок Ж. Обсяг </w:t>
      </w:r>
      <w:proofErr w:type="spellStart"/>
      <w:r>
        <w:rPr>
          <w:rFonts w:ascii="Times New Roman" w:eastAsia="Times New Roman" w:hAnsi="Times New Roman" w:cs="Times New Roman"/>
          <w:sz w:val="28"/>
          <w:szCs w:val="28"/>
          <w:highlight w:val="white"/>
        </w:rPr>
        <w:t>імпорту,експорту</w:t>
      </w:r>
      <w:proofErr w:type="spellEnd"/>
      <w:r>
        <w:rPr>
          <w:rFonts w:ascii="Times New Roman" w:eastAsia="Times New Roman" w:hAnsi="Times New Roman" w:cs="Times New Roman"/>
          <w:sz w:val="28"/>
          <w:szCs w:val="28"/>
          <w:highlight w:val="white"/>
        </w:rPr>
        <w:t xml:space="preserve"> та валового споживання природного газу в Україні 2021-2023 рр.</w:t>
      </w:r>
    </w:p>
    <w:p w:rsidR="00BA76DF" w:rsidRDefault="00C33D3F">
      <w:pPr>
        <w:spacing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Джерело: [11]</w:t>
      </w:r>
    </w:p>
    <w:p w:rsidR="00BA76DF" w:rsidRDefault="00BA76DF">
      <w:pPr>
        <w:spacing w:line="360" w:lineRule="auto"/>
        <w:jc w:val="center"/>
        <w:rPr>
          <w:rFonts w:ascii="Times New Roman" w:eastAsia="Times New Roman" w:hAnsi="Times New Roman" w:cs="Times New Roman"/>
          <w:i/>
          <w:sz w:val="28"/>
          <w:szCs w:val="28"/>
          <w:highlight w:val="white"/>
        </w:rPr>
      </w:pPr>
    </w:p>
    <w:p w:rsidR="00BA76DF" w:rsidRDefault="00C33D3F">
      <w:pPr>
        <w:spacing w:line="360" w:lineRule="auto"/>
        <w:jc w:val="center"/>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Додаток З</w:t>
      </w:r>
    </w:p>
    <w:p w:rsidR="00BA76DF" w:rsidRDefault="00C33D3F">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Опитування споживачів НАК «Нафтогаз України» </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Вітаємо! Дякуємо що взяли участь. Це опитування стосується майбутнього впровадження мобільного застосунку НАК «Нафтогаз України». Ваші відповіді будуть конфіденційними та використовуватимуться лише для цілей дослідження. Заповнюючи анкету Ви надаєте згоду на обробку Ваших персональних даних відповідно до Закону України №2297–VІ "Про захист персональних даних". При проходженні тестування в питаннях з декількома відповідями необхідно обрати один або декілька варіантів. При проходженні тестування в питаннях з однією відповіддю необхідно обрати один з варіантів. </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Вкажіть, будь ласка, ваш вік</w:t>
      </w:r>
    </w:p>
    <w:p w:rsidR="00BA76DF" w:rsidRDefault="00C33D3F">
      <w:p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Виберіть лише один варіант. </w:t>
      </w:r>
    </w:p>
    <w:p w:rsidR="00BA76DF" w:rsidRDefault="00C33D3F">
      <w:pPr>
        <w:numPr>
          <w:ilvl w:val="0"/>
          <w:numId w:val="1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 18 років</w:t>
      </w:r>
    </w:p>
    <w:p w:rsidR="00BA76DF" w:rsidRDefault="00C33D3F">
      <w:pPr>
        <w:numPr>
          <w:ilvl w:val="0"/>
          <w:numId w:val="1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18-25 років </w:t>
      </w:r>
    </w:p>
    <w:p w:rsidR="00BA76DF" w:rsidRDefault="00C33D3F">
      <w:pPr>
        <w:numPr>
          <w:ilvl w:val="0"/>
          <w:numId w:val="1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26-35 років </w:t>
      </w:r>
    </w:p>
    <w:p w:rsidR="00BA76DF" w:rsidRDefault="00C33D3F">
      <w:pPr>
        <w:numPr>
          <w:ilvl w:val="0"/>
          <w:numId w:val="1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36-45 років </w:t>
      </w:r>
    </w:p>
    <w:p w:rsidR="00BA76DF" w:rsidRDefault="00C33D3F">
      <w:pPr>
        <w:numPr>
          <w:ilvl w:val="0"/>
          <w:numId w:val="1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46-55 років </w:t>
      </w:r>
    </w:p>
    <w:p w:rsidR="00BA76DF" w:rsidRDefault="00C33D3F">
      <w:pPr>
        <w:numPr>
          <w:ilvl w:val="0"/>
          <w:numId w:val="15"/>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56 років і більше</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Вкажіть, будь ласка, ваш рід занять</w:t>
      </w:r>
    </w:p>
    <w:p w:rsidR="00BA76DF" w:rsidRDefault="00C33D3F">
      <w:p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Виберіть лише один варіант.</w:t>
      </w:r>
    </w:p>
    <w:p w:rsidR="00BA76DF" w:rsidRDefault="00C33D3F">
      <w:pPr>
        <w:numPr>
          <w:ilvl w:val="0"/>
          <w:numId w:val="1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Студент</w:t>
      </w:r>
    </w:p>
    <w:p w:rsidR="00BA76DF" w:rsidRDefault="00C33D3F">
      <w:pPr>
        <w:numPr>
          <w:ilvl w:val="0"/>
          <w:numId w:val="1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Працівник</w:t>
      </w:r>
    </w:p>
    <w:p w:rsidR="00BA76DF" w:rsidRDefault="00C33D3F">
      <w:pPr>
        <w:numPr>
          <w:ilvl w:val="0"/>
          <w:numId w:val="1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Підприємець</w:t>
      </w:r>
    </w:p>
    <w:p w:rsidR="00BA76DF" w:rsidRDefault="00C33D3F">
      <w:pPr>
        <w:numPr>
          <w:ilvl w:val="0"/>
          <w:numId w:val="1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Пенсіонер</w:t>
      </w:r>
    </w:p>
    <w:p w:rsidR="00BA76DF" w:rsidRDefault="00C33D3F">
      <w:pPr>
        <w:numPr>
          <w:ilvl w:val="0"/>
          <w:numId w:val="1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Безробітний</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 довго ви є клієнтом НАК «Нафтогаз України»?</w:t>
      </w:r>
    </w:p>
    <w:p w:rsidR="00BA76DF" w:rsidRDefault="00C33D3F">
      <w:pPr>
        <w:numPr>
          <w:ilvl w:val="0"/>
          <w:numId w:val="45"/>
        </w:num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Менше року</w:t>
      </w:r>
    </w:p>
    <w:p w:rsidR="00BA76DF" w:rsidRDefault="00C33D3F">
      <w:pPr>
        <w:numPr>
          <w:ilvl w:val="0"/>
          <w:numId w:val="45"/>
        </w:num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1-3 роки</w:t>
      </w:r>
    </w:p>
    <w:p w:rsidR="00BA76DF" w:rsidRDefault="00C33D3F">
      <w:pPr>
        <w:numPr>
          <w:ilvl w:val="0"/>
          <w:numId w:val="45"/>
        </w:num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4-6 років</w:t>
      </w:r>
    </w:p>
    <w:p w:rsidR="00BA76DF" w:rsidRDefault="00C33D3F">
      <w:pPr>
        <w:numPr>
          <w:ilvl w:val="0"/>
          <w:numId w:val="45"/>
        </w:num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Більше 6 років</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Наскільки ви задоволені якістю послуг, що надає НАК «Нафтогаз України»?</w:t>
      </w:r>
    </w:p>
    <w:p w:rsidR="00BA76DF" w:rsidRDefault="00C33D3F">
      <w:pPr>
        <w:numPr>
          <w:ilvl w:val="0"/>
          <w:numId w:val="4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Дуже задоволений</w:t>
      </w:r>
    </w:p>
    <w:p w:rsidR="00BA76DF" w:rsidRDefault="00C33D3F">
      <w:pPr>
        <w:numPr>
          <w:ilvl w:val="0"/>
          <w:numId w:val="4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Задоволений</w:t>
      </w:r>
    </w:p>
    <w:p w:rsidR="00BA76DF" w:rsidRDefault="00C33D3F">
      <w:pPr>
        <w:numPr>
          <w:ilvl w:val="0"/>
          <w:numId w:val="4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Нейтрально</w:t>
      </w:r>
    </w:p>
    <w:p w:rsidR="00BA76DF" w:rsidRDefault="00C33D3F">
      <w:pPr>
        <w:numPr>
          <w:ilvl w:val="0"/>
          <w:numId w:val="4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Незадоволений</w:t>
      </w:r>
    </w:p>
    <w:p w:rsidR="00BA76DF" w:rsidRDefault="00C33D3F">
      <w:pPr>
        <w:numPr>
          <w:ilvl w:val="0"/>
          <w:numId w:val="44"/>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Дуже незадоволений</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Як часто ви </w:t>
      </w:r>
      <w:proofErr w:type="spellStart"/>
      <w:r>
        <w:rPr>
          <w:rFonts w:ascii="Times New Roman" w:eastAsia="Times New Roman" w:hAnsi="Times New Roman" w:cs="Times New Roman"/>
          <w:sz w:val="28"/>
          <w:szCs w:val="28"/>
          <w:highlight w:val="white"/>
        </w:rPr>
        <w:t>комунікуєте</w:t>
      </w:r>
      <w:proofErr w:type="spellEnd"/>
      <w:r>
        <w:rPr>
          <w:rFonts w:ascii="Times New Roman" w:eastAsia="Times New Roman" w:hAnsi="Times New Roman" w:cs="Times New Roman"/>
          <w:sz w:val="28"/>
          <w:szCs w:val="28"/>
          <w:highlight w:val="white"/>
        </w:rPr>
        <w:t xml:space="preserve"> з НАК «Нафтогаз України»?</w:t>
      </w:r>
    </w:p>
    <w:p w:rsidR="00BA76DF" w:rsidRDefault="00C33D3F">
      <w:pPr>
        <w:numPr>
          <w:ilvl w:val="0"/>
          <w:numId w:val="2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Щодня</w:t>
      </w:r>
    </w:p>
    <w:p w:rsidR="00BA76DF" w:rsidRDefault="00C33D3F">
      <w:pPr>
        <w:numPr>
          <w:ilvl w:val="0"/>
          <w:numId w:val="2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Щотижня</w:t>
      </w:r>
    </w:p>
    <w:p w:rsidR="00BA76DF" w:rsidRDefault="00C33D3F">
      <w:pPr>
        <w:numPr>
          <w:ilvl w:val="0"/>
          <w:numId w:val="2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Щомісяця</w:t>
      </w:r>
    </w:p>
    <w:p w:rsidR="00BA76DF" w:rsidRDefault="00C33D3F">
      <w:pPr>
        <w:numPr>
          <w:ilvl w:val="0"/>
          <w:numId w:val="2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Рідше</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Наскільки ви задоволені рівнем комунікації з НАК «Нафтогаз України»?</w:t>
      </w:r>
    </w:p>
    <w:p w:rsidR="00BA76DF" w:rsidRDefault="00C33D3F">
      <w:pPr>
        <w:numPr>
          <w:ilvl w:val="0"/>
          <w:numId w:val="4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Задоволений</w:t>
      </w:r>
    </w:p>
    <w:p w:rsidR="00BA76DF" w:rsidRDefault="00C33D3F">
      <w:pPr>
        <w:numPr>
          <w:ilvl w:val="0"/>
          <w:numId w:val="4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Нейтрально</w:t>
      </w:r>
    </w:p>
    <w:p w:rsidR="00BA76DF" w:rsidRDefault="00C33D3F">
      <w:pPr>
        <w:numPr>
          <w:ilvl w:val="0"/>
          <w:numId w:val="47"/>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Незадоволений</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Якими каналами комунікації ви зазвичай користуєтеся для зв'язку з НАК «Нафтогаз України»?</w:t>
      </w:r>
    </w:p>
    <w:p w:rsidR="00BA76DF" w:rsidRDefault="00C33D3F">
      <w:pPr>
        <w:numPr>
          <w:ilvl w:val="0"/>
          <w:numId w:val="42"/>
        </w:num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Телефон</w:t>
      </w:r>
    </w:p>
    <w:p w:rsidR="00BA76DF" w:rsidRDefault="00C33D3F">
      <w:pPr>
        <w:numPr>
          <w:ilvl w:val="0"/>
          <w:numId w:val="42"/>
        </w:num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Електронна пошта</w:t>
      </w:r>
    </w:p>
    <w:p w:rsidR="00BA76DF" w:rsidRDefault="00C33D3F">
      <w:pPr>
        <w:numPr>
          <w:ilvl w:val="0"/>
          <w:numId w:val="42"/>
        </w:num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Офіційний сайт</w:t>
      </w:r>
    </w:p>
    <w:p w:rsidR="00BA76DF" w:rsidRDefault="00C33D3F">
      <w:pPr>
        <w:numPr>
          <w:ilvl w:val="0"/>
          <w:numId w:val="42"/>
        </w:num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Соціальні мережі</w:t>
      </w:r>
    </w:p>
    <w:p w:rsidR="00BA76DF" w:rsidRDefault="00C33D3F">
      <w:pPr>
        <w:numPr>
          <w:ilvl w:val="0"/>
          <w:numId w:val="42"/>
        </w:num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Інше (вкажіть якими)</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виникали у вас труднощі при комунікації з НАК «Нафтогаз України»?</w:t>
      </w:r>
    </w:p>
    <w:p w:rsidR="00BA76DF" w:rsidRDefault="00C33D3F">
      <w:pPr>
        <w:numPr>
          <w:ilvl w:val="0"/>
          <w:numId w:val="3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Ні</w:t>
      </w:r>
    </w:p>
    <w:p w:rsidR="00BA76DF" w:rsidRDefault="00C33D3F">
      <w:pPr>
        <w:numPr>
          <w:ilvl w:val="0"/>
          <w:numId w:val="31"/>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 б ви хотіли змінити у процесі комунікації з НАК «Нафтогаз України»?</w:t>
      </w:r>
    </w:p>
    <w:p w:rsidR="00BA76DF" w:rsidRDefault="00C33D3F">
      <w:p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текст запитання з короткими відповідями</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Чи вважаєте ви корисним мати мобільний застосунок для взаємодії з НАК «Нафтогаз України»?</w:t>
      </w:r>
    </w:p>
    <w:p w:rsidR="00BA76DF" w:rsidRDefault="00C33D3F">
      <w:pPr>
        <w:numPr>
          <w:ilvl w:val="0"/>
          <w:numId w:val="6"/>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Ні </w:t>
      </w:r>
    </w:p>
    <w:p w:rsidR="00BA76DF" w:rsidRDefault="00C33D3F">
      <w:pPr>
        <w:numPr>
          <w:ilvl w:val="0"/>
          <w:numId w:val="6"/>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Які функції ви хотіли б бачити в мобільному застосунку НАК «Нафтогаз України»? (Оберіть всі відповіді, що підходять)</w:t>
      </w:r>
    </w:p>
    <w:p w:rsidR="00BA76DF" w:rsidRDefault="00C33D3F">
      <w:pPr>
        <w:numPr>
          <w:ilvl w:val="0"/>
          <w:numId w:val="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Тип запитання</w:t>
      </w:r>
    </w:p>
    <w:p w:rsidR="00BA76DF" w:rsidRDefault="00C33D3F">
      <w:pPr>
        <w:numPr>
          <w:ilvl w:val="0"/>
          <w:numId w:val="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Оплата рахунків онлайн</w:t>
      </w:r>
    </w:p>
    <w:p w:rsidR="00BA76DF" w:rsidRDefault="00C33D3F">
      <w:pPr>
        <w:numPr>
          <w:ilvl w:val="0"/>
          <w:numId w:val="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Моніторинг споживання газу</w:t>
      </w:r>
    </w:p>
    <w:p w:rsidR="00BA76DF" w:rsidRDefault="00C33D3F">
      <w:pPr>
        <w:numPr>
          <w:ilvl w:val="0"/>
          <w:numId w:val="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Отримання консультацій через чат</w:t>
      </w:r>
    </w:p>
    <w:p w:rsidR="00BA76DF" w:rsidRDefault="00C33D3F">
      <w:pPr>
        <w:numPr>
          <w:ilvl w:val="0"/>
          <w:numId w:val="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Подача заявок на обслуговування</w:t>
      </w:r>
    </w:p>
    <w:p w:rsidR="00BA76DF" w:rsidRDefault="00C33D3F">
      <w:pPr>
        <w:numPr>
          <w:ilvl w:val="0"/>
          <w:numId w:val="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Отримання новин та повідомлень від компанії</w:t>
      </w:r>
    </w:p>
    <w:p w:rsidR="00BA76DF" w:rsidRDefault="00C33D3F">
      <w:pPr>
        <w:numPr>
          <w:ilvl w:val="0"/>
          <w:numId w:val="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Інше (вкажіть, яке)</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Наскільки важливою для вас є можливість отримувати сповіщення про новини та акції компанії через мобільний застосунок?</w:t>
      </w:r>
    </w:p>
    <w:p w:rsidR="00BA76DF" w:rsidRDefault="00C33D3F">
      <w:pPr>
        <w:numPr>
          <w:ilvl w:val="0"/>
          <w:numId w:val="3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Важливо</w:t>
      </w:r>
    </w:p>
    <w:p w:rsidR="00BA76DF" w:rsidRDefault="00C33D3F">
      <w:pPr>
        <w:numPr>
          <w:ilvl w:val="0"/>
          <w:numId w:val="3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Нейтрально</w:t>
      </w:r>
    </w:p>
    <w:p w:rsidR="00BA76DF" w:rsidRDefault="00C33D3F">
      <w:pPr>
        <w:numPr>
          <w:ilvl w:val="0"/>
          <w:numId w:val="32"/>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Неважливо</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Які ще функції або покращення ви б хотіли бачити в мобільному застосунку НАК «Нафтогаз України»?</w:t>
      </w:r>
    </w:p>
    <w:p w:rsidR="00BA76DF" w:rsidRDefault="00C33D3F">
      <w:p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текст запитання з короткими відповідями</w:t>
      </w:r>
    </w:p>
    <w:p w:rsidR="00BA76DF" w:rsidRDefault="00C33D3F">
      <w:pPr>
        <w:numPr>
          <w:ilvl w:val="0"/>
          <w:numId w:val="18"/>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Які пропозиції або зауваження ви маєте щодо покращення послуг НАК «Нафтогаз України»?</w:t>
      </w:r>
    </w:p>
    <w:p w:rsidR="00BA76DF" w:rsidRDefault="00C33D3F">
      <w:pPr>
        <w:spacing w:line="360" w:lineRule="auto"/>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текст запитання з короткими відповідями</w:t>
      </w:r>
    </w:p>
    <w:p w:rsidR="00BA76DF" w:rsidRDefault="00BA76DF">
      <w:pPr>
        <w:spacing w:line="360" w:lineRule="auto"/>
        <w:rPr>
          <w:rFonts w:ascii="Times New Roman" w:eastAsia="Times New Roman" w:hAnsi="Times New Roman" w:cs="Times New Roman"/>
          <w:i/>
          <w:sz w:val="28"/>
          <w:szCs w:val="28"/>
          <w:highlight w:val="white"/>
        </w:rPr>
      </w:pPr>
    </w:p>
    <w:p w:rsidR="00BA76DF" w:rsidRDefault="00BA76DF">
      <w:pPr>
        <w:spacing w:line="360" w:lineRule="auto"/>
        <w:rPr>
          <w:rFonts w:ascii="Times New Roman" w:eastAsia="Times New Roman" w:hAnsi="Times New Roman" w:cs="Times New Roman"/>
          <w:i/>
          <w:sz w:val="28"/>
          <w:szCs w:val="28"/>
          <w:highlight w:val="white"/>
        </w:rPr>
      </w:pPr>
    </w:p>
    <w:sectPr w:rsidR="00BA76DF">
      <w:headerReference w:type="default" r:id="rId67"/>
      <w:footerReference w:type="default" r:id="rId68"/>
      <w:headerReference w:type="first" r:id="rId69"/>
      <w:pgSz w:w="11906" w:h="16838"/>
      <w:pgMar w:top="1133" w:right="578" w:bottom="1133" w:left="1417"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1DB0" w:rsidRDefault="006A1DB0">
      <w:pPr>
        <w:spacing w:line="240" w:lineRule="auto"/>
      </w:pPr>
      <w:r>
        <w:separator/>
      </w:r>
    </w:p>
  </w:endnote>
  <w:endnote w:type="continuationSeparator" w:id="0">
    <w:p w:rsidR="006A1DB0" w:rsidRDefault="006A1D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6DF" w:rsidRDefault="00BA76DF"/>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1DB0" w:rsidRDefault="006A1DB0">
      <w:pPr>
        <w:spacing w:line="240" w:lineRule="auto"/>
      </w:pPr>
      <w:r>
        <w:separator/>
      </w:r>
    </w:p>
  </w:footnote>
  <w:footnote w:type="continuationSeparator" w:id="0">
    <w:p w:rsidR="006A1DB0" w:rsidRDefault="006A1DB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6DF" w:rsidRDefault="00C33D3F">
    <w:pPr>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fldChar w:fldCharType="begin"/>
    </w:r>
    <w:r>
      <w:rPr>
        <w:rFonts w:ascii="Times New Roman" w:eastAsia="Times New Roman" w:hAnsi="Times New Roman" w:cs="Times New Roman"/>
        <w:sz w:val="28"/>
        <w:szCs w:val="28"/>
      </w:rPr>
      <w:instrText>PAGE</w:instrText>
    </w:r>
    <w:r>
      <w:rPr>
        <w:rFonts w:ascii="Times New Roman" w:eastAsia="Times New Roman" w:hAnsi="Times New Roman" w:cs="Times New Roman"/>
        <w:sz w:val="28"/>
        <w:szCs w:val="28"/>
      </w:rPr>
      <w:fldChar w:fldCharType="separate"/>
    </w:r>
    <w:r w:rsidR="00B25DA4">
      <w:rPr>
        <w:rFonts w:ascii="Times New Roman" w:eastAsia="Times New Roman" w:hAnsi="Times New Roman" w:cs="Times New Roman"/>
        <w:noProof/>
        <w:sz w:val="28"/>
        <w:szCs w:val="28"/>
      </w:rPr>
      <w:t>21</w:t>
    </w:r>
    <w:r>
      <w:rPr>
        <w:rFonts w:ascii="Times New Roman" w:eastAsia="Times New Roman" w:hAnsi="Times New Roman" w:cs="Times New Roman"/>
        <w:sz w:val="28"/>
        <w:szCs w:val="28"/>
      </w:rPr>
      <w:fldChar w:fldCharType="end"/>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76DF" w:rsidRDefault="00BA76DF"/>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B675F"/>
    <w:multiLevelType w:val="multilevel"/>
    <w:tmpl w:val="EC421F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2076530"/>
    <w:multiLevelType w:val="multilevel"/>
    <w:tmpl w:val="7EBC57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EF87906"/>
    <w:multiLevelType w:val="multilevel"/>
    <w:tmpl w:val="6EB8FB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EFE4ABE"/>
    <w:multiLevelType w:val="multilevel"/>
    <w:tmpl w:val="3D9A92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F2E10EC"/>
    <w:multiLevelType w:val="multilevel"/>
    <w:tmpl w:val="B456BA6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17E4F64"/>
    <w:multiLevelType w:val="multilevel"/>
    <w:tmpl w:val="DF94BF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118F59FB"/>
    <w:multiLevelType w:val="multilevel"/>
    <w:tmpl w:val="90B270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1DF623D4"/>
    <w:multiLevelType w:val="multilevel"/>
    <w:tmpl w:val="876C9B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1E4F73FA"/>
    <w:multiLevelType w:val="multilevel"/>
    <w:tmpl w:val="2D44D6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21835533"/>
    <w:multiLevelType w:val="multilevel"/>
    <w:tmpl w:val="7BF277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222E6721"/>
    <w:multiLevelType w:val="multilevel"/>
    <w:tmpl w:val="614E6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25351123"/>
    <w:multiLevelType w:val="multilevel"/>
    <w:tmpl w:val="5AB41A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28B97399"/>
    <w:multiLevelType w:val="multilevel"/>
    <w:tmpl w:val="1F8CAF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CDA6967"/>
    <w:multiLevelType w:val="multilevel"/>
    <w:tmpl w:val="BA0856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313E62B5"/>
    <w:multiLevelType w:val="multilevel"/>
    <w:tmpl w:val="FCEA64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31DD28BA"/>
    <w:multiLevelType w:val="multilevel"/>
    <w:tmpl w:val="38B61A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32F04F3E"/>
    <w:multiLevelType w:val="multilevel"/>
    <w:tmpl w:val="9CE820D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33C7184E"/>
    <w:multiLevelType w:val="multilevel"/>
    <w:tmpl w:val="5B121A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38572D64"/>
    <w:multiLevelType w:val="multilevel"/>
    <w:tmpl w:val="3A1A6D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A0C0F85"/>
    <w:multiLevelType w:val="multilevel"/>
    <w:tmpl w:val="3DC288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401A6C32"/>
    <w:multiLevelType w:val="multilevel"/>
    <w:tmpl w:val="EC02993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41325292"/>
    <w:multiLevelType w:val="multilevel"/>
    <w:tmpl w:val="CDBC62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479D27CC"/>
    <w:multiLevelType w:val="multilevel"/>
    <w:tmpl w:val="FCEC7A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481D3BFE"/>
    <w:multiLevelType w:val="multilevel"/>
    <w:tmpl w:val="601A2D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48E54DAE"/>
    <w:multiLevelType w:val="multilevel"/>
    <w:tmpl w:val="C31212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91567A4"/>
    <w:multiLevelType w:val="multilevel"/>
    <w:tmpl w:val="725CB7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B401419"/>
    <w:multiLevelType w:val="multilevel"/>
    <w:tmpl w:val="94AAD0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15:restartNumberingAfterBreak="0">
    <w:nsid w:val="4C1F03A5"/>
    <w:multiLevelType w:val="multilevel"/>
    <w:tmpl w:val="03BEFC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15:restartNumberingAfterBreak="0">
    <w:nsid w:val="4FB51A96"/>
    <w:multiLevelType w:val="multilevel"/>
    <w:tmpl w:val="2780AC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507E29AD"/>
    <w:multiLevelType w:val="multilevel"/>
    <w:tmpl w:val="FDE85E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43C4AC8"/>
    <w:multiLevelType w:val="multilevel"/>
    <w:tmpl w:val="37FE6A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5754036D"/>
    <w:multiLevelType w:val="multilevel"/>
    <w:tmpl w:val="12AC9C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7A9484C"/>
    <w:multiLevelType w:val="multilevel"/>
    <w:tmpl w:val="922AF8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D77578A"/>
    <w:multiLevelType w:val="multilevel"/>
    <w:tmpl w:val="2FB224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E2F7984"/>
    <w:multiLevelType w:val="multilevel"/>
    <w:tmpl w:val="1200D0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5EDC62E8"/>
    <w:multiLevelType w:val="multilevel"/>
    <w:tmpl w:val="55DEC1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5FD9516E"/>
    <w:multiLevelType w:val="multilevel"/>
    <w:tmpl w:val="476A08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34D413D"/>
    <w:multiLevelType w:val="multilevel"/>
    <w:tmpl w:val="E45C5E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15:restartNumberingAfterBreak="0">
    <w:nsid w:val="63BB567A"/>
    <w:multiLevelType w:val="multilevel"/>
    <w:tmpl w:val="968C22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643929FD"/>
    <w:multiLevelType w:val="multilevel"/>
    <w:tmpl w:val="09BA97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6705699D"/>
    <w:multiLevelType w:val="multilevel"/>
    <w:tmpl w:val="E6587D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68501D59"/>
    <w:multiLevelType w:val="multilevel"/>
    <w:tmpl w:val="16F4FF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69082670"/>
    <w:multiLevelType w:val="multilevel"/>
    <w:tmpl w:val="8920F6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6BAF7289"/>
    <w:multiLevelType w:val="multilevel"/>
    <w:tmpl w:val="7B24AB3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6F6A7C9B"/>
    <w:multiLevelType w:val="multilevel"/>
    <w:tmpl w:val="2DA8F6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15:restartNumberingAfterBreak="0">
    <w:nsid w:val="713A1FC4"/>
    <w:multiLevelType w:val="multilevel"/>
    <w:tmpl w:val="D4D4653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35D132E"/>
    <w:multiLevelType w:val="multilevel"/>
    <w:tmpl w:val="0504A3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7" w15:restartNumberingAfterBreak="0">
    <w:nsid w:val="738A4160"/>
    <w:multiLevelType w:val="multilevel"/>
    <w:tmpl w:val="7E3662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7A265691"/>
    <w:multiLevelType w:val="multilevel"/>
    <w:tmpl w:val="7DE058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7C260A20"/>
    <w:multiLevelType w:val="multilevel"/>
    <w:tmpl w:val="5E7AC3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15:restartNumberingAfterBreak="0">
    <w:nsid w:val="7CCF6AED"/>
    <w:multiLevelType w:val="multilevel"/>
    <w:tmpl w:val="9454CD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7D1C7FD9"/>
    <w:multiLevelType w:val="multilevel"/>
    <w:tmpl w:val="DA1633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7D91778F"/>
    <w:multiLevelType w:val="multilevel"/>
    <w:tmpl w:val="E05CE5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15:restartNumberingAfterBreak="0">
    <w:nsid w:val="7DE875E7"/>
    <w:multiLevelType w:val="multilevel"/>
    <w:tmpl w:val="BC48CA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15:restartNumberingAfterBreak="0">
    <w:nsid w:val="7F1223C0"/>
    <w:multiLevelType w:val="multilevel"/>
    <w:tmpl w:val="828CC2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7"/>
  </w:num>
  <w:num w:numId="2">
    <w:abstractNumId w:val="36"/>
  </w:num>
  <w:num w:numId="3">
    <w:abstractNumId w:val="54"/>
  </w:num>
  <w:num w:numId="4">
    <w:abstractNumId w:val="32"/>
  </w:num>
  <w:num w:numId="5">
    <w:abstractNumId w:val="0"/>
  </w:num>
  <w:num w:numId="6">
    <w:abstractNumId w:val="15"/>
  </w:num>
  <w:num w:numId="7">
    <w:abstractNumId w:val="9"/>
  </w:num>
  <w:num w:numId="8">
    <w:abstractNumId w:val="53"/>
  </w:num>
  <w:num w:numId="9">
    <w:abstractNumId w:val="38"/>
  </w:num>
  <w:num w:numId="10">
    <w:abstractNumId w:val="11"/>
  </w:num>
  <w:num w:numId="11">
    <w:abstractNumId w:val="2"/>
  </w:num>
  <w:num w:numId="12">
    <w:abstractNumId w:val="35"/>
  </w:num>
  <w:num w:numId="13">
    <w:abstractNumId w:val="13"/>
  </w:num>
  <w:num w:numId="14">
    <w:abstractNumId w:val="51"/>
  </w:num>
  <w:num w:numId="15">
    <w:abstractNumId w:val="30"/>
  </w:num>
  <w:num w:numId="16">
    <w:abstractNumId w:val="24"/>
  </w:num>
  <w:num w:numId="17">
    <w:abstractNumId w:val="21"/>
  </w:num>
  <w:num w:numId="18">
    <w:abstractNumId w:val="5"/>
  </w:num>
  <w:num w:numId="19">
    <w:abstractNumId w:val="50"/>
  </w:num>
  <w:num w:numId="20">
    <w:abstractNumId w:val="26"/>
  </w:num>
  <w:num w:numId="21">
    <w:abstractNumId w:val="7"/>
  </w:num>
  <w:num w:numId="22">
    <w:abstractNumId w:val="18"/>
  </w:num>
  <w:num w:numId="23">
    <w:abstractNumId w:val="17"/>
  </w:num>
  <w:num w:numId="24">
    <w:abstractNumId w:val="40"/>
  </w:num>
  <w:num w:numId="25">
    <w:abstractNumId w:val="52"/>
  </w:num>
  <w:num w:numId="26">
    <w:abstractNumId w:val="3"/>
  </w:num>
  <w:num w:numId="27">
    <w:abstractNumId w:val="8"/>
  </w:num>
  <w:num w:numId="28">
    <w:abstractNumId w:val="47"/>
  </w:num>
  <w:num w:numId="29">
    <w:abstractNumId w:val="16"/>
  </w:num>
  <w:num w:numId="30">
    <w:abstractNumId w:val="1"/>
  </w:num>
  <w:num w:numId="31">
    <w:abstractNumId w:val="6"/>
  </w:num>
  <w:num w:numId="32">
    <w:abstractNumId w:val="49"/>
  </w:num>
  <w:num w:numId="33">
    <w:abstractNumId w:val="4"/>
  </w:num>
  <w:num w:numId="34">
    <w:abstractNumId w:val="14"/>
  </w:num>
  <w:num w:numId="35">
    <w:abstractNumId w:val="28"/>
  </w:num>
  <w:num w:numId="36">
    <w:abstractNumId w:val="41"/>
  </w:num>
  <w:num w:numId="37">
    <w:abstractNumId w:val="48"/>
  </w:num>
  <w:num w:numId="38">
    <w:abstractNumId w:val="33"/>
  </w:num>
  <w:num w:numId="39">
    <w:abstractNumId w:val="19"/>
  </w:num>
  <w:num w:numId="40">
    <w:abstractNumId w:val="12"/>
  </w:num>
  <w:num w:numId="41">
    <w:abstractNumId w:val="39"/>
  </w:num>
  <w:num w:numId="42">
    <w:abstractNumId w:val="42"/>
  </w:num>
  <w:num w:numId="43">
    <w:abstractNumId w:val="22"/>
  </w:num>
  <w:num w:numId="44">
    <w:abstractNumId w:val="23"/>
  </w:num>
  <w:num w:numId="45">
    <w:abstractNumId w:val="45"/>
  </w:num>
  <w:num w:numId="46">
    <w:abstractNumId w:val="44"/>
  </w:num>
  <w:num w:numId="47">
    <w:abstractNumId w:val="29"/>
  </w:num>
  <w:num w:numId="48">
    <w:abstractNumId w:val="34"/>
  </w:num>
  <w:num w:numId="49">
    <w:abstractNumId w:val="10"/>
  </w:num>
  <w:num w:numId="50">
    <w:abstractNumId w:val="20"/>
  </w:num>
  <w:num w:numId="51">
    <w:abstractNumId w:val="25"/>
  </w:num>
  <w:num w:numId="52">
    <w:abstractNumId w:val="46"/>
  </w:num>
  <w:num w:numId="53">
    <w:abstractNumId w:val="43"/>
  </w:num>
  <w:num w:numId="54">
    <w:abstractNumId w:val="37"/>
  </w:num>
  <w:num w:numId="55">
    <w:abstractNumId w:val="31"/>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displayBackgroundShape/>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76DF"/>
    <w:rsid w:val="004A4CC2"/>
    <w:rsid w:val="005B5B84"/>
    <w:rsid w:val="006A1DB0"/>
    <w:rsid w:val="006B3BEB"/>
    <w:rsid w:val="009E1213"/>
    <w:rsid w:val="00B25DA4"/>
    <w:rsid w:val="00BA76DF"/>
    <w:rsid w:val="00C33D3F"/>
    <w:rsid w:val="00EA60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1350CEA-AD9D-4843-B27F-F62C1BCFE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after="160" w:line="360" w:lineRule="auto"/>
      <w:jc w:val="center"/>
      <w:outlineLvl w:val="0"/>
    </w:pPr>
    <w:rPr>
      <w:rFonts w:ascii="Times New Roman" w:eastAsia="Times New Roman" w:hAnsi="Times New Roman" w:cs="Times New Roman"/>
      <w:sz w:val="28"/>
      <w:szCs w:val="28"/>
      <w:highlight w:val="white"/>
    </w:rPr>
  </w:style>
  <w:style w:type="paragraph" w:styleId="2">
    <w:name w:val="heading 2"/>
    <w:basedOn w:val="a"/>
    <w:next w:val="a"/>
    <w:pPr>
      <w:keepNext/>
      <w:keepLines/>
      <w:spacing w:after="160" w:line="420" w:lineRule="auto"/>
      <w:jc w:val="center"/>
      <w:outlineLvl w:val="1"/>
    </w:pPr>
    <w:rPr>
      <w:rFonts w:ascii="Times New Roman" w:eastAsia="Times New Roman" w:hAnsi="Times New Roman" w:cs="Times New Roman"/>
      <w:sz w:val="28"/>
      <w:szCs w:val="28"/>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pPr>
      <w:spacing w:line="240" w:lineRule="auto"/>
    </w:pPr>
    <w:tblPr>
      <w:tblStyleRowBandSize w:val="1"/>
      <w:tblStyleColBandSize w:val="1"/>
      <w:tblCellMar>
        <w:left w:w="108" w:type="dxa"/>
        <w:right w:w="108"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image" Target="media/image12.png"/><Relationship Id="rId18" Type="http://schemas.openxmlformats.org/officeDocument/2006/relationships/image" Target="media/image36.png"/><Relationship Id="rId26" Type="http://schemas.openxmlformats.org/officeDocument/2006/relationships/image" Target="media/image35.png"/><Relationship Id="rId39" Type="http://schemas.openxmlformats.org/officeDocument/2006/relationships/image" Target="media/image2.png"/><Relationship Id="rId21" Type="http://schemas.openxmlformats.org/officeDocument/2006/relationships/image" Target="media/image39.png"/><Relationship Id="rId34" Type="http://schemas.openxmlformats.org/officeDocument/2006/relationships/image" Target="media/image26.png"/><Relationship Id="rId42" Type="http://schemas.openxmlformats.org/officeDocument/2006/relationships/image" Target="media/image5.png"/><Relationship Id="rId47" Type="http://schemas.openxmlformats.org/officeDocument/2006/relationships/hyperlink" Target="https://www.naftogaz.com/about-naftogaz" TargetMode="External"/><Relationship Id="rId50" Type="http://schemas.openxmlformats.org/officeDocument/2006/relationships/hyperlink" Target="https://uk.wikipedia.org/wiki/%D0%9D%D0%B0%D1%84%D1%82%D0%BE%D0%B3%D0%B0%D0%B7_%D0%A3%D0%BA%D1%80%D0%B0%D1%97%D0%BD%D0%B8" TargetMode="External"/><Relationship Id="rId55" Type="http://schemas.openxmlformats.org/officeDocument/2006/relationships/hyperlink" Target="https://www.nerc.gov.ua/storage/app/sites/1/Docs/Sfery_Gaz/Monitoring_rynku_gaz/2023/monitoryng_gaz_I-2023.pdf" TargetMode="External"/><Relationship Id="rId63" Type="http://schemas.openxmlformats.org/officeDocument/2006/relationships/image" Target="media/image25.png"/><Relationship Id="rId68" Type="http://schemas.openxmlformats.org/officeDocument/2006/relationships/footer" Target="footer1.xml"/><Relationship Id="rId7" Type="http://schemas.openxmlformats.org/officeDocument/2006/relationships/hyperlink" Target="https://uk.wikipedia.org/wiki/%D0%A1%D0%BF%D1%96%D0%BB%D1%8C%D0%BD%D0%B5_%D0%BF%D1%96%D0%B4%D0%BF%D1%80%D0%B8%D1%94%D0%BC%D1%81%D1%82%D0%B2%D0%BE" TargetMode="Externa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21.png"/><Relationship Id="rId29" Type="http://schemas.openxmlformats.org/officeDocument/2006/relationships/image" Target="media/image2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g"/><Relationship Id="rId24" Type="http://schemas.openxmlformats.org/officeDocument/2006/relationships/image" Target="media/image34.png"/><Relationship Id="rId32" Type="http://schemas.openxmlformats.org/officeDocument/2006/relationships/image" Target="media/image8.png"/><Relationship Id="rId37" Type="http://schemas.openxmlformats.org/officeDocument/2006/relationships/image" Target="media/image38.png"/><Relationship Id="rId40" Type="http://schemas.openxmlformats.org/officeDocument/2006/relationships/image" Target="media/image3.png"/><Relationship Id="rId45" Type="http://schemas.openxmlformats.org/officeDocument/2006/relationships/image" Target="media/image8.jpg"/><Relationship Id="rId53" Type="http://schemas.openxmlformats.org/officeDocument/2006/relationships/hyperlink" Target="https://expro.com.ua/novini/nov-tehnolog--ddjitalzacya-procesv-privede-do-stablzac-u-vidobutku-v-naftogaz-kalugn" TargetMode="External"/><Relationship Id="rId58" Type="http://schemas.openxmlformats.org/officeDocument/2006/relationships/hyperlink" Target="https://zakon.rada.gov.ua/laws/show/2665-14" TargetMode="External"/><Relationship Id="rId66" Type="http://schemas.openxmlformats.org/officeDocument/2006/relationships/image" Target="media/image37.png"/><Relationship Id="rId5" Type="http://schemas.openxmlformats.org/officeDocument/2006/relationships/footnotes" Target="footnotes.xml"/><Relationship Id="rId15" Type="http://schemas.openxmlformats.org/officeDocument/2006/relationships/image" Target="media/image27.png"/><Relationship Id="rId23" Type="http://schemas.openxmlformats.org/officeDocument/2006/relationships/image" Target="media/image30.png"/><Relationship Id="rId28" Type="http://schemas.openxmlformats.org/officeDocument/2006/relationships/image" Target="media/image20.png"/><Relationship Id="rId36" Type="http://schemas.openxmlformats.org/officeDocument/2006/relationships/image" Target="media/image16.png"/><Relationship Id="rId49" Type="http://schemas.openxmlformats.org/officeDocument/2006/relationships/hyperlink" Target="https://youcontrol.com.ua/catalog/company_details/20077720/" TargetMode="External"/><Relationship Id="rId57" Type="http://schemas.openxmlformats.org/officeDocument/2006/relationships/hyperlink" Target="http://dspace.opu.ua/jspui/bitstream/123456789/11240/1/document.pdf" TargetMode="External"/><Relationship Id="rId61" Type="http://schemas.openxmlformats.org/officeDocument/2006/relationships/hyperlink" Target="https://eru.com.ua/en/press_centr/news/eru_trading_s_first_billion/" TargetMode="External"/><Relationship Id="rId10" Type="http://schemas.openxmlformats.org/officeDocument/2006/relationships/hyperlink" Target="https://uk.wikipedia.org/wiki/%D0%A4%D1%83%D1%80%D1%81%D1%96%D0%BD_%D0%86%D0%B2%D0%B0%D0%BD_%D0%93%D0%B5%D0%BD%D0%BD%D0%B0%D0%B4%D1%96%D0%B9%D0%BE%D0%B2%D0%B8%D1%87" TargetMode="External"/><Relationship Id="rId19" Type="http://schemas.openxmlformats.org/officeDocument/2006/relationships/image" Target="media/image31.png"/><Relationship Id="rId31" Type="http://schemas.openxmlformats.org/officeDocument/2006/relationships/image" Target="media/image17.png"/><Relationship Id="rId44" Type="http://schemas.openxmlformats.org/officeDocument/2006/relationships/image" Target="media/image7.png"/><Relationship Id="rId52" Type="http://schemas.openxmlformats.org/officeDocument/2006/relationships/hyperlink" Target="https://ips.ligazakon.net/document/TM021100" TargetMode="External"/><Relationship Id="rId60" Type="http://schemas.openxmlformats.org/officeDocument/2006/relationships/hyperlink" Target="https://www.eru.com.ua/" TargetMode="External"/><Relationship Id="rId65" Type="http://schemas.openxmlformats.org/officeDocument/2006/relationships/image" Target="media/image33.png"/><Relationship Id="rId4" Type="http://schemas.openxmlformats.org/officeDocument/2006/relationships/webSettings" Target="webSettings.xml"/><Relationship Id="rId9" Type="http://schemas.openxmlformats.org/officeDocument/2006/relationships/hyperlink" Target="https://uk.wikipedia.org/wiki/%D0%A4%D1%96%D1%80%D1%82%D0%B0%D1%88_%D0%94%D0%BC%D0%B8%D1%82%D1%80%D0%BE_%D0%92%D0%B0%D1%81%D0%B8%D0%BB%D1%8C%D0%BE%D0%B2%D0%B8%D1%87" TargetMode="External"/><Relationship Id="rId14" Type="http://schemas.openxmlformats.org/officeDocument/2006/relationships/image" Target="media/image14.png"/><Relationship Id="rId22" Type="http://schemas.openxmlformats.org/officeDocument/2006/relationships/image" Target="media/image18.png"/><Relationship Id="rId27" Type="http://schemas.openxmlformats.org/officeDocument/2006/relationships/image" Target="media/image10.png"/><Relationship Id="rId30" Type="http://schemas.openxmlformats.org/officeDocument/2006/relationships/image" Target="media/image29.png"/><Relationship Id="rId35" Type="http://schemas.openxmlformats.org/officeDocument/2006/relationships/image" Target="media/image13.png"/><Relationship Id="rId43" Type="http://schemas.openxmlformats.org/officeDocument/2006/relationships/image" Target="media/image6.png"/><Relationship Id="rId48" Type="http://schemas.openxmlformats.org/officeDocument/2006/relationships/hyperlink" Target="https://www.naftogaz.com/about-naftogaz" TargetMode="External"/><Relationship Id="rId56" Type="http://schemas.openxmlformats.org/officeDocument/2006/relationships/hyperlink" Target="https://nv.nltu.edu.ua/Archive/2013/23_7/164_Iwa.pdf" TargetMode="External"/><Relationship Id="rId64" Type="http://schemas.openxmlformats.org/officeDocument/2006/relationships/image" Target="media/image32.png"/><Relationship Id="rId69" Type="http://schemas.openxmlformats.org/officeDocument/2006/relationships/header" Target="header2.xml"/><Relationship Id="rId8" Type="http://schemas.openxmlformats.org/officeDocument/2006/relationships/hyperlink" Target="https://uk.wikipedia.org/wiki/%D0%93%D0%B0%D0%B7%D0%BF%D1%80%D0%BE%D0%BC%D0%B1%D0%B0%D0%BD%D0%BA" TargetMode="External"/><Relationship Id="rId51" Type="http://schemas.openxmlformats.org/officeDocument/2006/relationships/hyperlink" Target="https://zakon.rada.gov.ua/laws/show/467/2008" TargetMode="External"/><Relationship Id="rId3" Type="http://schemas.openxmlformats.org/officeDocument/2006/relationships/settings" Target="settings.xml"/><Relationship Id="rId12" Type="http://schemas.openxmlformats.org/officeDocument/2006/relationships/image" Target="media/image11.png"/><Relationship Id="rId17" Type="http://schemas.openxmlformats.org/officeDocument/2006/relationships/image" Target="media/image23.png"/><Relationship Id="rId25" Type="http://schemas.openxmlformats.org/officeDocument/2006/relationships/image" Target="media/image28.png"/><Relationship Id="rId33" Type="http://schemas.openxmlformats.org/officeDocument/2006/relationships/image" Target="media/image9.png"/><Relationship Id="rId38" Type="http://schemas.openxmlformats.org/officeDocument/2006/relationships/image" Target="media/image22.png"/><Relationship Id="rId46" Type="http://schemas.openxmlformats.org/officeDocument/2006/relationships/image" Target="media/image15.png"/><Relationship Id="rId59" Type="http://schemas.openxmlformats.org/officeDocument/2006/relationships/hyperlink" Target="https://ua.met.com/uk" TargetMode="External"/><Relationship Id="rId67" Type="http://schemas.openxmlformats.org/officeDocument/2006/relationships/header" Target="header1.xml"/><Relationship Id="rId20" Type="http://schemas.openxmlformats.org/officeDocument/2006/relationships/image" Target="media/image19.png"/><Relationship Id="rId41" Type="http://schemas.openxmlformats.org/officeDocument/2006/relationships/image" Target="media/image4.png"/><Relationship Id="rId54" Type="http://schemas.openxmlformats.org/officeDocument/2006/relationships/hyperlink" Target="https://interfax.com.ua/news/economic/947261.html" TargetMode="External"/><Relationship Id="rId62" Type="http://schemas.openxmlformats.org/officeDocument/2006/relationships/hyperlink" Target="http://repository.hneu.edu.ua/bitstream/123456789/28653/1/%D0%A2%D0%B5%D0%B7%D0%B0_%D0%97%D0%BE%D0%BB%D0%BE%D1%82%D1%83%D1%85%D1%96%D0%BD%D0%B0%20%D0%90%D0%BD%D0%B3%D0%B5%D0%BB%D1%96%D0%BD%D0%B0%20%282%29.pdf" TargetMode="External"/><Relationship Id="rId7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116</Pages>
  <Words>28406</Words>
  <Characters>161918</Characters>
  <Application>Microsoft Office Word</Application>
  <DocSecurity>0</DocSecurity>
  <Lines>1349</Lines>
  <Paragraphs>379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189945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193-9</dc:creator>
  <cp:lastModifiedBy>Larisa</cp:lastModifiedBy>
  <cp:revision>7</cp:revision>
  <dcterms:created xsi:type="dcterms:W3CDTF">2024-06-26T06:51:00Z</dcterms:created>
  <dcterms:modified xsi:type="dcterms:W3CDTF">2024-07-02T08:40:00Z</dcterms:modified>
</cp:coreProperties>
</file>