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32" w:rsidRDefault="00715632" w:rsidP="007156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sz w:val="28"/>
          <w:szCs w:val="28"/>
          <w:lang w:val="uk-UA"/>
        </w:rPr>
        <w:t>5. Романські</w:t>
      </w:r>
      <w:r w:rsidR="003D5E95" w:rsidRPr="003D5E95">
        <w:rPr>
          <w:rFonts w:ascii="Times New Roman" w:hAnsi="Times New Roman" w:cs="Times New Roman"/>
          <w:sz w:val="28"/>
          <w:szCs w:val="28"/>
          <w:lang w:val="uk-UA"/>
        </w:rPr>
        <w:t>, германські та інші мови</w:t>
      </w:r>
    </w:p>
    <w:p w:rsidR="003D5E95" w:rsidRDefault="003D5E95" w:rsidP="007156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b/>
          <w:sz w:val="28"/>
          <w:szCs w:val="28"/>
          <w:lang w:val="uk-UA"/>
        </w:rPr>
        <w:t>Козубська І.Г.</w:t>
      </w:r>
    </w:p>
    <w:p w:rsidR="003D5E95" w:rsidRDefault="003D5E95" w:rsidP="007156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sz w:val="28"/>
          <w:szCs w:val="28"/>
          <w:lang w:val="uk-UA"/>
        </w:rPr>
        <w:t>кандидат філологічних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D5E95" w:rsidRDefault="003D5E95" w:rsidP="007156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англійської мови гуманітарного спрямування №3</w:t>
      </w:r>
    </w:p>
    <w:p w:rsidR="003D5E95" w:rsidRPr="003D5E95" w:rsidRDefault="003D5E95" w:rsidP="00715632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технічний університет </w:t>
      </w:r>
    </w:p>
    <w:p w:rsidR="003D5E95" w:rsidRPr="003D5E95" w:rsidRDefault="003D5E95" w:rsidP="00715632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i/>
          <w:sz w:val="28"/>
          <w:szCs w:val="28"/>
          <w:lang w:val="uk-UA"/>
        </w:rPr>
        <w:t>«Київський політехнічний інститут імені Ігоря Сікорського»</w:t>
      </w:r>
    </w:p>
    <w:p w:rsidR="003D5E95" w:rsidRPr="003D5E95" w:rsidRDefault="003D5E95" w:rsidP="00635693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5E95">
        <w:rPr>
          <w:rFonts w:ascii="Times New Roman" w:hAnsi="Times New Roman" w:cs="Times New Roman"/>
          <w:i/>
          <w:sz w:val="28"/>
          <w:szCs w:val="28"/>
          <w:lang w:val="uk-UA"/>
        </w:rPr>
        <w:t>м. Київ, Україна</w:t>
      </w:r>
    </w:p>
    <w:p w:rsidR="00F220F2" w:rsidRDefault="00F220F2" w:rsidP="006356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ПРАГМАТИЧНІ ОСОБЛИВОСТІ </w:t>
      </w:r>
      <w:r w:rsidR="00FE67D5" w:rsidRPr="00FE67D5">
        <w:rPr>
          <w:rFonts w:ascii="Times New Roman" w:hAnsi="Times New Roman" w:cs="Times New Roman"/>
          <w:b/>
          <w:sz w:val="28"/>
          <w:szCs w:val="28"/>
          <w:lang w:val="uk-UA"/>
        </w:rPr>
        <w:t>ХЕДЖИНГ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FE67D5" w:rsidRPr="00FE67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АНГЛІЙСЬКОМОВНИХ НАУКОВИХ </w:t>
      </w:r>
      <w:r w:rsidR="003D5E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ТЕКСТАХ </w:t>
      </w:r>
      <w:r w:rsidR="00FA79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E67D5" w:rsidRPr="00FE67D5" w:rsidRDefault="00F220F2" w:rsidP="006356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635693">
        <w:rPr>
          <w:rFonts w:ascii="Times New Roman" w:hAnsi="Times New Roman" w:cs="Times New Roman"/>
          <w:b/>
          <w:sz w:val="28"/>
          <w:szCs w:val="28"/>
          <w:lang w:val="uk-UA"/>
        </w:rPr>
        <w:t>на матеріалі текстів галузі біомедичної інженерії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FE67D5" w:rsidRPr="00FE67D5" w:rsidRDefault="00FE67D5" w:rsidP="00635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7D5">
        <w:rPr>
          <w:rFonts w:ascii="Times New Roman" w:hAnsi="Times New Roman" w:cs="Times New Roman"/>
          <w:sz w:val="28"/>
          <w:szCs w:val="28"/>
          <w:lang w:val="uk-UA"/>
        </w:rPr>
        <w:t>У лінгвістиці термін «хеджинг», що позначає некатегоричні висловлювання, був введений в наукове мовлення Дж. Лакоффом у праці «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>Hedges: A Study in Meaning Criteria and the Logic of Fuzzy Concepts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569D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FC3BF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>, яка присвячувалась вивченню хедж-маркерів (</w:t>
      </w:r>
      <w:r w:rsidRPr="00FE67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rather, </w:t>
      </w:r>
      <w:r w:rsidRPr="00FE67D5">
        <w:rPr>
          <w:rFonts w:ascii="Times New Roman" w:hAnsi="Times New Roman" w:cs="Times New Roman"/>
          <w:i/>
          <w:sz w:val="28"/>
          <w:szCs w:val="28"/>
          <w:lang w:val="en-US"/>
        </w:rPr>
        <w:t>largely, sort of, strictly speaking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значення яких імплікується завісою неясності. В подальшому хеджинг у різних типах дискурсу став об’єктом вивчення багатьох науковців, серед яких Д. Байбер, </w:t>
      </w:r>
      <w:r w:rsidR="008D3FA0">
        <w:rPr>
          <w:rFonts w:ascii="Times New Roman" w:hAnsi="Times New Roman" w:cs="Times New Roman"/>
          <w:sz w:val="28"/>
          <w:szCs w:val="28"/>
          <w:lang w:val="uk-UA"/>
        </w:rPr>
        <w:t xml:space="preserve">Ф. Фарр, Р. Картер, 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О. Петрова, А. Романченко, О. Горіна та ін.  </w:t>
      </w:r>
      <w:r w:rsidR="008D3FA0">
        <w:rPr>
          <w:rFonts w:ascii="Times New Roman" w:hAnsi="Times New Roman" w:cs="Times New Roman"/>
          <w:sz w:val="28"/>
          <w:szCs w:val="28"/>
          <w:lang w:val="uk-UA"/>
        </w:rPr>
        <w:t>Дослідженням хеджингу в жанрах наукового дискурсу займалися О. Афанасьєва, О. Балацька,</w:t>
      </w:r>
      <w:r w:rsidR="00635693">
        <w:rPr>
          <w:rFonts w:ascii="Times New Roman" w:hAnsi="Times New Roman" w:cs="Times New Roman"/>
          <w:sz w:val="28"/>
          <w:szCs w:val="28"/>
          <w:lang w:val="uk-UA"/>
        </w:rPr>
        <w:t xml:space="preserve"> Л. Волкова, П. </w:t>
      </w:r>
      <w:r w:rsidR="008D3FA0">
        <w:rPr>
          <w:rFonts w:ascii="Times New Roman" w:hAnsi="Times New Roman" w:cs="Times New Roman"/>
          <w:sz w:val="28"/>
          <w:szCs w:val="28"/>
          <w:lang w:val="uk-UA"/>
        </w:rPr>
        <w:t>Кромптон, О. Марюхін, В. Цапр</w:t>
      </w:r>
      <w:r w:rsidR="00575E3B">
        <w:rPr>
          <w:rFonts w:ascii="Times New Roman" w:hAnsi="Times New Roman" w:cs="Times New Roman"/>
          <w:sz w:val="28"/>
          <w:szCs w:val="28"/>
          <w:lang w:val="uk-UA"/>
        </w:rPr>
        <w:t>о та ін.</w:t>
      </w:r>
      <w:r w:rsidR="008D3FA0"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67D5" w:rsidRPr="00FE67D5" w:rsidRDefault="008D3FA0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</w:t>
      </w:r>
      <w:r w:rsidR="005416DE">
        <w:rPr>
          <w:rFonts w:ascii="Times New Roman" w:hAnsi="Times New Roman" w:cs="Times New Roman"/>
          <w:sz w:val="28"/>
          <w:szCs w:val="28"/>
          <w:lang w:val="uk-UA"/>
        </w:rPr>
        <w:t>джинг є ефективним прагматичним засобом впливу на адресата</w:t>
      </w:r>
      <w:r w:rsidR="006E2645">
        <w:rPr>
          <w:rFonts w:ascii="Times New Roman" w:hAnsi="Times New Roman" w:cs="Times New Roman"/>
          <w:sz w:val="28"/>
          <w:szCs w:val="28"/>
          <w:lang w:val="uk-UA"/>
        </w:rPr>
        <w:t xml:space="preserve">, тому він 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широко репрезентований 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>у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науковому мовленні,</w:t>
      </w:r>
      <w:r w:rsidR="00332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оскільки за його допомогою автор може висловлювати некатегоричні судження у разі відсутності впевненості в точності</w:t>
      </w:r>
      <w:r w:rsidR="00332489">
        <w:rPr>
          <w:rFonts w:ascii="Times New Roman" w:hAnsi="Times New Roman" w:cs="Times New Roman"/>
          <w:sz w:val="28"/>
          <w:szCs w:val="28"/>
          <w:lang w:val="uk-UA"/>
        </w:rPr>
        <w:t xml:space="preserve"> викладеної інформації, 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уникати можливої критики з цього приводу</w:t>
      </w:r>
      <w:r w:rsidR="00332489">
        <w:rPr>
          <w:rFonts w:ascii="Times New Roman" w:hAnsi="Times New Roman" w:cs="Times New Roman"/>
          <w:sz w:val="28"/>
          <w:szCs w:val="28"/>
          <w:lang w:val="uk-UA"/>
        </w:rPr>
        <w:t>, а також проявляти ввічливість, тактовність по відношенню до адресата.</w:t>
      </w:r>
    </w:p>
    <w:p w:rsidR="007834AF" w:rsidRDefault="007834AF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Приблизно такої ж думки дотримуються О. Семенюк та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В. Паращук, </w:t>
      </w:r>
      <w:r>
        <w:rPr>
          <w:rFonts w:ascii="Times New Roman" w:hAnsi="Times New Roman" w:cs="Times New Roman"/>
          <w:sz w:val="28"/>
          <w:szCs w:val="28"/>
          <w:lang w:val="uk-UA"/>
        </w:rPr>
        <w:t>які зазначають, що «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засоби хеджингу є специфічними маркерами етикетизації наукового дискурсу, їх уживання зумовлене прагматичними факторами, зокрема: потребою уникнення загрози втратити «обличчя» членами дискурсивної 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lastRenderedPageBreak/>
        <w:t>спільноти; необхідністю передавання наукової неточності (як своєрідної точності); відсутністю достатньої кількості даних; ступенем упевненості в істинності пропозиції, гіпотетичних передбачень; намаганням уникнути зайвої деталізації, яка, на думку автора, є неістотною; неможливістю отримання абсолютної істини; специфікою висловлення критики; бажанням уникнути критики опонентів; етикетною необхідністю надання місця для альтернативних поглядів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BF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C3B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>, с. 190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75E3B" w:rsidRDefault="00575E3B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Дослідники хеджингу як лінгвістичного явища вказують на такі ознаки, які його характеризують: прототипізація, градуалізація, квантифікація, невизначеність, применшення, мітигація, суб’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єктивізація,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безособовість [Романченко] </w:t>
      </w:r>
    </w:p>
    <w:p w:rsidR="00272F11" w:rsidRDefault="00272F11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Стратегія хеджингу реалізується за допомогою різнорівневих мовних засобів, серед яких </w:t>
      </w:r>
      <w:r w:rsidR="00E4707A">
        <w:rPr>
          <w:rFonts w:ascii="Times New Roman" w:hAnsi="Times New Roman" w:cs="Times New Roman"/>
          <w:sz w:val="28"/>
          <w:szCs w:val="28"/>
          <w:lang w:val="uk-UA"/>
        </w:rPr>
        <w:t>основними та найбільш частотними в наукових текстах 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72F11" w:rsidRDefault="00272F11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7834AF">
        <w:rPr>
          <w:rFonts w:ascii="Times New Roman" w:hAnsi="Times New Roman" w:cs="Times New Roman"/>
          <w:sz w:val="28"/>
          <w:szCs w:val="28"/>
          <w:lang w:val="uk-UA"/>
        </w:rPr>
        <w:t>модальні дієслова (</w:t>
      </w:r>
      <w:r w:rsidRPr="007834AF">
        <w:rPr>
          <w:rFonts w:ascii="Times New Roman" w:hAnsi="Times New Roman" w:cs="Times New Roman"/>
          <w:i/>
          <w:sz w:val="28"/>
          <w:szCs w:val="28"/>
          <w:lang w:val="en-US"/>
        </w:rPr>
        <w:t xml:space="preserve">can, could, may, might, will,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should, </w:t>
      </w:r>
      <w:r w:rsidRPr="007834AF">
        <w:rPr>
          <w:rFonts w:ascii="Times New Roman" w:hAnsi="Times New Roman" w:cs="Times New Roman"/>
          <w:i/>
          <w:sz w:val="28"/>
          <w:szCs w:val="28"/>
          <w:lang w:val="en-US"/>
        </w:rPr>
        <w:t>would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0A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72F11" w:rsidRDefault="00272F11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7834AF">
        <w:rPr>
          <w:rFonts w:ascii="Times New Roman" w:hAnsi="Times New Roman" w:cs="Times New Roman"/>
          <w:sz w:val="28"/>
          <w:szCs w:val="28"/>
          <w:lang w:val="uk-UA"/>
        </w:rPr>
        <w:t xml:space="preserve">дієслова з модальними значеннями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834AF">
        <w:rPr>
          <w:rFonts w:ascii="Times New Roman" w:hAnsi="Times New Roman" w:cs="Times New Roman"/>
          <w:i/>
          <w:sz w:val="28"/>
          <w:szCs w:val="28"/>
          <w:lang w:val="uk-UA"/>
        </w:rPr>
        <w:t>seem, appear</w:t>
      </w:r>
      <w:r w:rsidRPr="007834AF">
        <w:rPr>
          <w:rFonts w:ascii="Times New Roman" w:hAnsi="Times New Roman" w:cs="Times New Roman"/>
          <w:i/>
          <w:sz w:val="28"/>
          <w:szCs w:val="28"/>
          <w:lang w:val="en-US"/>
        </w:rPr>
        <w:t>, guess, feel, reckon, suppose,imagine</w:t>
      </w:r>
      <w:r w:rsidRPr="007834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34AF">
        <w:rPr>
          <w:rFonts w:ascii="Times New Roman" w:hAnsi="Times New Roman" w:cs="Times New Roman"/>
          <w:i/>
          <w:sz w:val="28"/>
          <w:szCs w:val="28"/>
          <w:lang w:val="en-US"/>
        </w:rPr>
        <w:t>assume, expect, speculate, suggest</w:t>
      </w:r>
      <w:r w:rsidRPr="007834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0A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707A" w:rsidRDefault="00E4707A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>прислівники, прикметники та іменники, що виражають ймовірність (</w:t>
      </w:r>
      <w:r w:rsidRPr="004425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likely, possibly, </w:t>
      </w:r>
      <w:r w:rsidRPr="00442589">
        <w:rPr>
          <w:rFonts w:ascii="Times New Roman" w:hAnsi="Times New Roman" w:cs="Times New Roman"/>
          <w:i/>
          <w:sz w:val="28"/>
          <w:szCs w:val="28"/>
          <w:lang w:val="en-US"/>
        </w:rPr>
        <w:t>presumably, probably, really, relatively, necessarily, just, only, of course, actually, kind of, sort of, maybe, reasonable, assumption, there is a possibility, the thing is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0A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707A" w:rsidRDefault="00E4707A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>апроксиматори кількості, частоти, часу (</w:t>
      </w:r>
      <w:r w:rsidRPr="004425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approximately, </w:t>
      </w:r>
      <w:r w:rsidRPr="00442589">
        <w:rPr>
          <w:rFonts w:ascii="Times New Roman" w:hAnsi="Times New Roman" w:cs="Times New Roman"/>
          <w:i/>
          <w:sz w:val="28"/>
          <w:szCs w:val="28"/>
        </w:rPr>
        <w:t>roughly, quite, usually, generally, occasionally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0A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707A" w:rsidRDefault="00E4707A" w:rsidP="0071563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 xml:space="preserve">особові займенники </w:t>
      </w:r>
      <w:r w:rsidRPr="00442589">
        <w:rPr>
          <w:rFonts w:ascii="Times New Roman" w:hAnsi="Times New Roman" w:cs="Times New Roman"/>
          <w:i/>
          <w:sz w:val="28"/>
          <w:szCs w:val="28"/>
          <w:lang w:val="uk-UA"/>
        </w:rPr>
        <w:t>I/we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42589">
        <w:rPr>
          <w:rFonts w:ascii="Times New Roman" w:hAnsi="Times New Roman" w:cs="Times New Roman"/>
          <w:sz w:val="28"/>
          <w:szCs w:val="28"/>
          <w:lang w:val="en-US"/>
        </w:rPr>
        <w:t>що вживаються з дієсловами</w:t>
      </w:r>
      <w:r w:rsidRPr="00442589">
        <w:rPr>
          <w:rFonts w:ascii="Times New Roman" w:hAnsi="Times New Roman" w:cs="Times New Roman"/>
          <w:sz w:val="28"/>
          <w:szCs w:val="28"/>
          <w:lang w:val="uk-UA"/>
        </w:rPr>
        <w:t>, що позначають мисленнєвий процес (</w:t>
      </w:r>
      <w:r w:rsidRPr="00442589">
        <w:rPr>
          <w:rFonts w:ascii="Times New Roman" w:hAnsi="Times New Roman" w:cs="Times New Roman"/>
          <w:i/>
          <w:sz w:val="28"/>
          <w:szCs w:val="28"/>
        </w:rPr>
        <w:t>think, believe, consider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56C3A" w:rsidRDefault="00056C3A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аналізі 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>англійськомовних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наукових текстів галузі біомедичної інженерії 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було виявлено чимало прикладів вживання засобів хеджингу. </w:t>
      </w:r>
      <w:r>
        <w:rPr>
          <w:rFonts w:ascii="Times New Roman" w:hAnsi="Times New Roman" w:cs="Times New Roman"/>
          <w:sz w:val="28"/>
          <w:szCs w:val="28"/>
          <w:lang w:val="uk-UA"/>
        </w:rPr>
        <w:t>Проілюструємо</w:t>
      </w:r>
      <w:r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деякі з них: </w:t>
      </w:r>
    </w:p>
    <w:p w:rsidR="00D11E9C" w:rsidRDefault="00255C48" w:rsidP="0071563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5C4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55C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A6C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One of the most fundamental relationships that </w:t>
      </w:r>
      <w:r w:rsidRPr="003F37E8">
        <w:rPr>
          <w:rFonts w:ascii="Times New Roman" w:hAnsi="Times New Roman" w:cs="Times New Roman"/>
          <w:b/>
          <w:i/>
          <w:sz w:val="28"/>
          <w:szCs w:val="28"/>
          <w:lang w:val="en-US"/>
        </w:rPr>
        <w:t>should</w:t>
      </w:r>
      <w:r w:rsidRPr="001A6C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always be considered when performing an engineering analysis on a system is the conservation of mass</w:t>
      </w:r>
      <w:r w:rsidR="00D11E9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1E9C" w:rsidRPr="00D11E9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15D8C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D11E9C" w:rsidRPr="00D11E9C">
        <w:rPr>
          <w:rFonts w:ascii="Times New Roman" w:hAnsi="Times New Roman" w:cs="Times New Roman"/>
          <w:sz w:val="28"/>
          <w:szCs w:val="28"/>
          <w:lang w:val="uk-UA"/>
        </w:rPr>
        <w:t>];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255C48" w:rsidRDefault="00255C48" w:rsidP="0071563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255C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55C4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These methods </w:t>
      </w:r>
      <w:r w:rsidRPr="0080725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could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be used to chemically and/or physically pattern the necessary ‘morphological template’ for the differentiation of intrafusal fibre subtypes </w:t>
      </w:r>
      <w:r w:rsidR="00D11E9C" w:rsidRPr="00D1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</w:t>
      </w:r>
      <w:r w:rsidR="00D11E9C" w:rsidRPr="00D1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Pr="00D1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</w:t>
      </w:r>
      <w:r w:rsidR="00D1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255C48" w:rsidRDefault="00255C48" w:rsidP="0071563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6C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Fat fraction </w:t>
      </w:r>
      <w:r w:rsidRPr="003F37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seems to</w:t>
      </w:r>
      <w:r w:rsidRPr="001A6C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increase gradually from cortical bone through PCZ1 up to the three innermost ROIs (PCZ2, PCZ3, and camcellous bone) </w:t>
      </w:r>
      <w:r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</w:t>
      </w:r>
      <w:r w:rsidR="00A15D8C"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7</w:t>
      </w:r>
      <w:r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</w:t>
      </w:r>
      <w:r w:rsidR="00A15D8C"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  <w:r w:rsidRPr="001A6CE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4E59CD" w:rsidRDefault="00255C48" w:rsidP="0071563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  <w:r w:rsidRPr="00255C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From this, we </w:t>
      </w:r>
      <w:r w:rsidRPr="003F37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can assume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itrafusal fibres engineered in a 3D, aligned microenvironment, </w:t>
      </w:r>
      <w:r w:rsidRPr="003F37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should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result in a more mature phenotype and hence researchers </w:t>
      </w:r>
      <w:r w:rsidRPr="003F37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should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seek to develop and utilise these models </w:t>
      </w:r>
      <w:r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</w:t>
      </w:r>
      <w:r w:rsid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</w:t>
      </w:r>
      <w:r w:rsidRP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]</w:t>
      </w:r>
      <w:r w:rsidR="00A1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4E59CD" w:rsidRDefault="004E59CD" w:rsidP="007156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5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59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Such reaction is </w:t>
      </w:r>
      <w:r w:rsidRPr="004E59CD">
        <w:rPr>
          <w:rFonts w:ascii="Times New Roman" w:hAnsi="Times New Roman" w:cs="Times New Roman"/>
          <w:b/>
          <w:i/>
          <w:sz w:val="28"/>
          <w:szCs w:val="28"/>
          <w:lang w:val="en-US"/>
        </w:rPr>
        <w:t>likely</w:t>
      </w:r>
      <w:r w:rsidRPr="004E59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caused by in part by damage-associated molecular pattern (DAMP) molecules and can lead to seroma formation, sterile abscess formation, and chronic inflammation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A15D8C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r w:rsidR="00A15D8C"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59CD" w:rsidRDefault="004E59CD" w:rsidP="007156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0D49F1">
        <w:rPr>
          <w:rFonts w:ascii="Times New Roman" w:hAnsi="Times New Roman" w:cs="Times New Roman"/>
          <w:i/>
          <w:sz w:val="28"/>
          <w:szCs w:val="28"/>
          <w:lang w:val="en-US"/>
        </w:rPr>
        <w:t xml:space="preserve">Additionally, data accumulated from 2011 to 2014 revealed that </w:t>
      </w:r>
      <w:r w:rsidRPr="000D49F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approximately </w:t>
      </w:r>
      <w:r w:rsidRPr="000D49F1">
        <w:rPr>
          <w:rFonts w:ascii="Times New Roman" w:hAnsi="Times New Roman" w:cs="Times New Roman"/>
          <w:i/>
          <w:sz w:val="28"/>
          <w:szCs w:val="28"/>
          <w:lang w:val="en-US"/>
        </w:rPr>
        <w:t>92.1 million American adults currently have one or more types of CVD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A15D8C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15D8C"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59CD" w:rsidRPr="004E59CD" w:rsidRDefault="004E59CD" w:rsidP="0071563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E59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The process </w:t>
      </w:r>
      <w:r w:rsidRPr="004E59CD">
        <w:rPr>
          <w:rFonts w:ascii="Times New Roman" w:hAnsi="Times New Roman" w:cs="Times New Roman"/>
          <w:b/>
          <w:i/>
          <w:sz w:val="28"/>
          <w:szCs w:val="28"/>
          <w:lang w:val="uk-UA"/>
        </w:rPr>
        <w:t>usually</w:t>
      </w:r>
      <w:r w:rsidRPr="004E59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E59CD">
        <w:rPr>
          <w:rFonts w:ascii="Times New Roman" w:hAnsi="Times New Roman" w:cs="Times New Roman"/>
          <w:i/>
          <w:sz w:val="28"/>
          <w:szCs w:val="28"/>
          <w:lang w:val="en-US"/>
        </w:rPr>
        <w:t xml:space="preserve">consists of mechanical shaking, chemical surfactant treatment, and enzymatic digestion </w:t>
      </w:r>
      <w:r w:rsidRPr="00A15D8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15D8C" w:rsidRPr="00A15D8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15D8C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FE67D5" w:rsidRDefault="00FE67D5" w:rsidP="007156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E6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Таким чином, функція хеджингу в англійськомовних </w:t>
      </w:r>
      <w:r w:rsidR="00B36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наукових текстах галузі біомедичної інженерії</w:t>
      </w:r>
      <w:r w:rsidRPr="00FE6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полягає в тому, що цей прийом потенційно перешкоджає можливим критичним реакціям з боку читацької аудиторії, а також об’єктивує можливість достовірного опису актуальної проблематики. За допомогою хеджингу автори </w:t>
      </w:r>
      <w:r w:rsidR="00601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наукових текстів</w:t>
      </w:r>
      <w:r w:rsidRPr="00FE6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формулюють судження, що містять нову інформацію, констатують свої думки через переконання адресата в істинності змісту висловлювання.</w:t>
      </w:r>
    </w:p>
    <w:p w:rsidR="00FE67D5" w:rsidRPr="00635693" w:rsidRDefault="00635693" w:rsidP="006356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ЛІТЕРАТУРА</w:t>
      </w:r>
    </w:p>
    <w:p w:rsidR="00FE67D5" w:rsidRDefault="00FE67D5" w:rsidP="00635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7D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67D5">
        <w:rPr>
          <w:rFonts w:ascii="Times New Roman" w:hAnsi="Times New Roman" w:cs="Times New Roman"/>
          <w:sz w:val="28"/>
          <w:szCs w:val="28"/>
        </w:rPr>
        <w:t>Маслова Т.Б. Прагматика некатегоричных высказываний в научной коммуникации английского языка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 / Т.Б. Маслова</w:t>
      </w:r>
      <w:r w:rsidRPr="00FE67D5">
        <w:rPr>
          <w:rFonts w:ascii="Times New Roman" w:hAnsi="Times New Roman" w:cs="Times New Roman"/>
          <w:sz w:val="28"/>
          <w:szCs w:val="28"/>
        </w:rPr>
        <w:t xml:space="preserve"> // Trends 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>in the development of modern linguistics in the age of globalization</w:t>
      </w:r>
      <w:r w:rsidRPr="00FE67D5">
        <w:rPr>
          <w:rFonts w:ascii="Times New Roman" w:hAnsi="Times New Roman" w:cs="Times New Roman"/>
          <w:sz w:val="28"/>
          <w:szCs w:val="28"/>
        </w:rPr>
        <w:t>: M</w:t>
      </w:r>
      <w:r w:rsidRPr="00FE67D5">
        <w:rPr>
          <w:rFonts w:ascii="Times New Roman" w:hAnsi="Times New Roman" w:cs="Times New Roman"/>
          <w:sz w:val="28"/>
          <w:szCs w:val="28"/>
          <w:lang w:val="en-US"/>
        </w:rPr>
        <w:t>aterials of the II International scientific conference, October 17-18, 2016. – Prague, 2016. – p. 20-23.</w:t>
      </w:r>
    </w:p>
    <w:p w:rsidR="00575E3B" w:rsidRPr="00D55FD6" w:rsidRDefault="00575E3B" w:rsidP="00635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Романченко А.П. Феномен хеджингу в лінгвістиці</w:t>
      </w:r>
      <w:r w:rsidR="00635693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C96B7A">
        <w:rPr>
          <w:rFonts w:ascii="Times New Roman" w:hAnsi="Times New Roman" w:cs="Times New Roman"/>
          <w:sz w:val="28"/>
          <w:szCs w:val="28"/>
          <w:lang w:val="uk-UA"/>
        </w:rPr>
        <w:t>А.П. Романченко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Science and Education</w:t>
      </w:r>
      <w:r w:rsidR="00635693">
        <w:rPr>
          <w:rFonts w:ascii="Times New Roman" w:hAnsi="Times New Roman" w:cs="Times New Roman"/>
          <w:sz w:val="28"/>
          <w:szCs w:val="28"/>
          <w:lang w:val="en-US"/>
        </w:rPr>
        <w:t xml:space="preserve"> a new Dimension</w:t>
      </w:r>
      <w:r w:rsidR="00635693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D55FD6">
        <w:rPr>
          <w:rFonts w:ascii="Times New Roman" w:hAnsi="Times New Roman" w:cs="Times New Roman"/>
          <w:sz w:val="28"/>
          <w:szCs w:val="28"/>
          <w:lang w:val="uk-UA"/>
        </w:rPr>
        <w:t xml:space="preserve">Будапешт, </w:t>
      </w:r>
      <w:r w:rsidR="00D55FD6">
        <w:rPr>
          <w:rFonts w:ascii="Times New Roman" w:hAnsi="Times New Roman" w:cs="Times New Roman"/>
          <w:sz w:val="28"/>
          <w:szCs w:val="28"/>
          <w:lang w:val="en-US"/>
        </w:rPr>
        <w:t>2016</w:t>
      </w:r>
      <w:r w:rsidR="00D55FD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IV(27)</w:t>
      </w:r>
      <w:r w:rsidR="00D55FD6">
        <w:rPr>
          <w:rFonts w:ascii="Times New Roman" w:hAnsi="Times New Roman" w:cs="Times New Roman"/>
          <w:sz w:val="28"/>
          <w:szCs w:val="28"/>
          <w:lang w:val="en-US"/>
        </w:rPr>
        <w:t>, Issue: 107</w:t>
      </w:r>
      <w:r w:rsidR="00D55FD6">
        <w:rPr>
          <w:rFonts w:ascii="Times New Roman" w:hAnsi="Times New Roman" w:cs="Times New Roman"/>
          <w:sz w:val="28"/>
          <w:szCs w:val="28"/>
          <w:lang w:val="uk-UA"/>
        </w:rPr>
        <w:t>. – с. 7-10.</w:t>
      </w:r>
    </w:p>
    <w:p w:rsidR="00FE67D5" w:rsidRPr="00FE67D5" w:rsidRDefault="00C569D5" w:rsidP="00635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Семенюк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О.А., Паращук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В.Ю. Основи теорії мовної комунікації: навч. посіб.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> / О.А. Семенюк, В.Ю. Паращук</w:t>
      </w:r>
      <w:r w:rsidR="00FE67D5" w:rsidRPr="00FE67D5">
        <w:rPr>
          <w:rFonts w:ascii="Times New Roman" w:hAnsi="Times New Roman" w:cs="Times New Roman"/>
          <w:sz w:val="28"/>
          <w:szCs w:val="28"/>
          <w:lang w:val="uk-UA"/>
        </w:rPr>
        <w:t>. – К. : ВЦ «Академія», 2010.  – 240 с.</w:t>
      </w:r>
    </w:p>
    <w:p w:rsidR="00B46E29" w:rsidRDefault="00C569D5" w:rsidP="00B46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E67D5"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46E29">
        <w:rPr>
          <w:rFonts w:ascii="Times New Roman" w:hAnsi="Times New Roman" w:cs="Times New Roman"/>
          <w:sz w:val="28"/>
          <w:szCs w:val="28"/>
          <w:lang w:val="en-US"/>
        </w:rPr>
        <w:t>Barrett P., Quick T., Mudera V., Player D. Generating itrafusal skeletal muscle fibres in vitro: Current state of the art and future challenges</w:t>
      </w:r>
      <w:r w:rsidR="00B46E2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B46E29" w:rsidRPr="00A970AC">
        <w:rPr>
          <w:rFonts w:ascii="Times New Roman" w:hAnsi="Times New Roman" w:cs="Times New Roman"/>
          <w:sz w:val="28"/>
          <w:szCs w:val="28"/>
          <w:lang w:val="en-US"/>
        </w:rPr>
        <w:t>https://journals.sagepub.com/doi/full/10.1177/2041731420985205</w:t>
      </w:r>
      <w:r w:rsidR="00B46E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46E29" w:rsidRDefault="00C569D5" w:rsidP="00B46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="00B46E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6E29">
        <w:rPr>
          <w:rFonts w:ascii="Times New Roman" w:hAnsi="Times New Roman" w:cs="Times New Roman"/>
          <w:sz w:val="28"/>
          <w:szCs w:val="28"/>
          <w:lang w:val="en-US"/>
        </w:rPr>
        <w:t>King J., Bergeron C., Taylor C. Finite state machine implementation for left ventricle modeling and control</w:t>
      </w:r>
      <w:r w:rsidR="00B46E2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B46E29" w:rsidRPr="00480FF9">
        <w:rPr>
          <w:rFonts w:ascii="Times New Roman" w:hAnsi="Times New Roman" w:cs="Times New Roman"/>
          <w:sz w:val="28"/>
          <w:szCs w:val="28"/>
          <w:lang w:val="en-US"/>
        </w:rPr>
        <w:t>https://biomedical-engineering-online.biomedcentral.com/articles/10.1186/s12938-019-0628-3</w:t>
      </w:r>
      <w:r w:rsidR="00B46E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46E29" w:rsidRPr="00FE67D5" w:rsidRDefault="00C569D5" w:rsidP="00B46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46E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6E29" w:rsidRPr="00FE67D5">
        <w:rPr>
          <w:rFonts w:ascii="Times New Roman" w:hAnsi="Times New Roman" w:cs="Times New Roman"/>
          <w:sz w:val="28"/>
          <w:szCs w:val="28"/>
          <w:lang w:val="en-US"/>
        </w:rPr>
        <w:t>Lakoff D. Hedges: A study in meaning criteria and the logic of fuzzy concepts</w:t>
      </w:r>
      <w:r w:rsidR="00B46E29" w:rsidRPr="00FE67D5">
        <w:rPr>
          <w:rFonts w:ascii="Times New Roman" w:hAnsi="Times New Roman" w:cs="Times New Roman"/>
          <w:sz w:val="28"/>
          <w:szCs w:val="28"/>
          <w:lang w:val="uk-UA"/>
        </w:rPr>
        <w:t xml:space="preserve"> / D. Lakoff</w:t>
      </w:r>
      <w:r w:rsidR="00B46E29" w:rsidRPr="00FE67D5">
        <w:rPr>
          <w:rFonts w:ascii="Times New Roman" w:hAnsi="Times New Roman" w:cs="Times New Roman"/>
          <w:sz w:val="28"/>
          <w:szCs w:val="28"/>
          <w:lang w:val="en-US"/>
        </w:rPr>
        <w:t xml:space="preserve"> // Journal of Philosophical Logic. – 1972. – №2 (4). – P. 458-508.</w:t>
      </w:r>
    </w:p>
    <w:p w:rsidR="00FE67D5" w:rsidRPr="00B46E29" w:rsidRDefault="00C569D5" w:rsidP="00635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46E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53607">
        <w:rPr>
          <w:rFonts w:ascii="Times New Roman" w:hAnsi="Times New Roman" w:cs="Times New Roman"/>
          <w:sz w:val="28"/>
          <w:szCs w:val="28"/>
          <w:lang w:val="en-US"/>
        </w:rPr>
        <w:t>Losch M., Swamy A., Elmi-Terander A., Edstrom E., Hendriks B., Dankelman J. Photon density fat fraction of the spin</w:t>
      </w:r>
      <w:r w:rsidR="00C87A0F">
        <w:rPr>
          <w:rFonts w:ascii="Times New Roman" w:hAnsi="Times New Roman" w:cs="Times New Roman"/>
          <w:sz w:val="28"/>
          <w:szCs w:val="28"/>
          <w:lang w:val="en-US"/>
        </w:rPr>
        <w:t>al column: an MRI cadaver study</w:t>
      </w:r>
      <w:r w:rsidR="006536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7A0F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6536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3607" w:rsidRPr="00653607">
        <w:rPr>
          <w:rFonts w:ascii="Times New Roman" w:hAnsi="Times New Roman" w:cs="Times New Roman"/>
          <w:sz w:val="28"/>
          <w:szCs w:val="28"/>
          <w:lang w:val="en-US"/>
        </w:rPr>
        <w:t>https://biomedical-engineering-online.biomedcentral.com/articles/10.1186/s12938-020-00846-4</w:t>
      </w:r>
      <w:r w:rsidR="006536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72C91" w:rsidRDefault="00272C91" w:rsidP="00635693">
      <w:pPr>
        <w:spacing w:after="0" w:line="360" w:lineRule="auto"/>
      </w:pPr>
    </w:p>
    <w:sectPr w:rsidR="00272C91" w:rsidSect="0071563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A5322"/>
    <w:multiLevelType w:val="hybridMultilevel"/>
    <w:tmpl w:val="EFDED09E"/>
    <w:lvl w:ilvl="0" w:tplc="4BDCBB48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E67D5"/>
    <w:rsid w:val="00056C3A"/>
    <w:rsid w:val="000D49F1"/>
    <w:rsid w:val="00132EC5"/>
    <w:rsid w:val="001A6CE4"/>
    <w:rsid w:val="00255C48"/>
    <w:rsid w:val="00270F1D"/>
    <w:rsid w:val="00272C91"/>
    <w:rsid w:val="00272F11"/>
    <w:rsid w:val="00332489"/>
    <w:rsid w:val="003D5E95"/>
    <w:rsid w:val="003F37E8"/>
    <w:rsid w:val="0041177B"/>
    <w:rsid w:val="004142DA"/>
    <w:rsid w:val="00421AA5"/>
    <w:rsid w:val="00442589"/>
    <w:rsid w:val="00480FF9"/>
    <w:rsid w:val="004B1BE0"/>
    <w:rsid w:val="004E59CD"/>
    <w:rsid w:val="005416DE"/>
    <w:rsid w:val="00575E3B"/>
    <w:rsid w:val="005C47B4"/>
    <w:rsid w:val="00601533"/>
    <w:rsid w:val="00635693"/>
    <w:rsid w:val="00653607"/>
    <w:rsid w:val="00663B7E"/>
    <w:rsid w:val="00680A21"/>
    <w:rsid w:val="006B765F"/>
    <w:rsid w:val="006E2645"/>
    <w:rsid w:val="00715632"/>
    <w:rsid w:val="00745698"/>
    <w:rsid w:val="007834AF"/>
    <w:rsid w:val="00807251"/>
    <w:rsid w:val="008D3FA0"/>
    <w:rsid w:val="00921BBE"/>
    <w:rsid w:val="00A15D8C"/>
    <w:rsid w:val="00A970AC"/>
    <w:rsid w:val="00B02CF3"/>
    <w:rsid w:val="00B36FC0"/>
    <w:rsid w:val="00B46E29"/>
    <w:rsid w:val="00B60C09"/>
    <w:rsid w:val="00C569D5"/>
    <w:rsid w:val="00C87A0F"/>
    <w:rsid w:val="00C93FA1"/>
    <w:rsid w:val="00C96B7A"/>
    <w:rsid w:val="00D11E9C"/>
    <w:rsid w:val="00D55FD6"/>
    <w:rsid w:val="00E4707A"/>
    <w:rsid w:val="00F220F2"/>
    <w:rsid w:val="00FA7921"/>
    <w:rsid w:val="00FC3BF5"/>
    <w:rsid w:val="00FE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7D5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2</cp:revision>
  <dcterms:created xsi:type="dcterms:W3CDTF">2021-01-20T08:27:00Z</dcterms:created>
  <dcterms:modified xsi:type="dcterms:W3CDTF">2021-01-20T08:27:00Z</dcterms:modified>
</cp:coreProperties>
</file>