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E78" w:rsidRPr="000275C2" w:rsidRDefault="00DB1E78" w:rsidP="00DB1E78">
      <w:pPr>
        <w:pStyle w:val="110"/>
        <w:keepNext/>
        <w:keepLines/>
        <w:shd w:val="clear" w:color="auto" w:fill="auto"/>
        <w:spacing w:before="0" w:line="240" w:lineRule="auto"/>
        <w:contextualSpacing/>
        <w:rPr>
          <w:rStyle w:val="12"/>
          <w:rFonts w:ascii="Verdana" w:hAnsi="Verdana"/>
          <w:sz w:val="24"/>
          <w:szCs w:val="24"/>
          <w:lang w:val="uk-UA"/>
        </w:rPr>
      </w:pPr>
      <w:bookmarkStart w:id="0" w:name="_Toc352105962"/>
      <w:r w:rsidRPr="000275C2">
        <w:rPr>
          <w:rStyle w:val="12"/>
          <w:rFonts w:ascii="Verdana" w:hAnsi="Verdana"/>
          <w:sz w:val="24"/>
          <w:szCs w:val="24"/>
          <w:lang w:val="uk-UA"/>
        </w:rPr>
        <w:t>Можливості використання досвіду ЄС для розвитку інноваційної інфраструктури в Україні</w:t>
      </w:r>
      <w:bookmarkEnd w:id="0"/>
    </w:p>
    <w:p w:rsidR="00DB1E78" w:rsidRPr="000275C2" w:rsidRDefault="00DB1E78" w:rsidP="00DB1E78">
      <w:pPr>
        <w:pStyle w:val="110"/>
        <w:keepNext/>
        <w:keepLines/>
        <w:shd w:val="clear" w:color="auto" w:fill="auto"/>
        <w:spacing w:before="0" w:line="240" w:lineRule="auto"/>
        <w:contextualSpacing/>
        <w:rPr>
          <w:rFonts w:ascii="Verdana" w:hAnsi="Verdana"/>
          <w:b w:val="0"/>
          <w:sz w:val="22"/>
          <w:szCs w:val="22"/>
          <w:lang w:val="uk-UA"/>
        </w:rPr>
      </w:pPr>
      <w:bookmarkStart w:id="1" w:name="_Toc352105963"/>
      <w:r w:rsidRPr="000275C2">
        <w:rPr>
          <w:rFonts w:ascii="Verdana" w:hAnsi="Verdana"/>
          <w:b w:val="0"/>
          <w:sz w:val="22"/>
          <w:szCs w:val="22"/>
          <w:lang w:val="uk-UA"/>
        </w:rPr>
        <w:t>Колісецька В.Ю.</w:t>
      </w:r>
      <w:bookmarkEnd w:id="1"/>
    </w:p>
    <w:p w:rsidR="00DB1E78" w:rsidRPr="000275C2" w:rsidRDefault="00DB1E78" w:rsidP="00DB1E78">
      <w:pPr>
        <w:spacing w:after="0" w:line="240" w:lineRule="auto"/>
        <w:jc w:val="center"/>
        <w:rPr>
          <w:rFonts w:ascii="Verdana" w:hAnsi="Verdana"/>
          <w:b/>
        </w:rPr>
      </w:pPr>
      <w:r w:rsidRPr="000275C2">
        <w:rPr>
          <w:rFonts w:ascii="Verdana" w:hAnsi="Verdana"/>
          <w:b/>
        </w:rPr>
        <w:t>Київський національний університет імені Тараса Шевченка</w:t>
      </w:r>
    </w:p>
    <w:p w:rsidR="00DB1E78" w:rsidRPr="000275C2" w:rsidRDefault="00DB1E78" w:rsidP="00DB1E78">
      <w:pPr>
        <w:spacing w:after="0" w:line="240" w:lineRule="auto"/>
        <w:jc w:val="center"/>
      </w:pPr>
      <w:r w:rsidRPr="000275C2">
        <w:rPr>
          <w:rFonts w:ascii="Verdana" w:hAnsi="Verdana"/>
          <w:i/>
        </w:rPr>
        <w:t>E-mail: Kolisetska@ukr.net</w:t>
      </w:r>
    </w:p>
    <w:p w:rsidR="00DB1E78" w:rsidRPr="000275C2" w:rsidRDefault="00DB1E78" w:rsidP="00DB1E78">
      <w:pPr>
        <w:spacing w:after="0" w:line="240" w:lineRule="auto"/>
        <w:jc w:val="center"/>
      </w:pPr>
      <w:r w:rsidRPr="000275C2">
        <w:rPr>
          <w:rFonts w:ascii="Verdana" w:hAnsi="Verdana"/>
        </w:rPr>
        <w:t>Науковий керівник: д.е.н., ст. наук. сп. Єгоров І.Ю.</w:t>
      </w:r>
    </w:p>
    <w:p w:rsidR="00DB1E78" w:rsidRPr="000275C2" w:rsidRDefault="00DB1E78" w:rsidP="00DB1E78">
      <w:pPr>
        <w:pStyle w:val="32"/>
        <w:shd w:val="clear" w:color="auto" w:fill="auto"/>
        <w:spacing w:before="0" w:after="0" w:line="240" w:lineRule="auto"/>
        <w:ind w:left="40" w:right="23" w:firstLine="709"/>
        <w:contextualSpacing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Забезпечення економiчного росту потребує створення вiдповiдних умов i механiзмiв, якi стимулюють iнновацiйну дiяльнiсть та сприяють впровадженню її результатiв у господарчу практику. Найбiльш ефективними i популярними на мiкроекономiчному рiвнi в останнi десятилiття стали центри сприяння трансферу та комерцiалiзацiї технологiй у формi технологiчних (наукових) паркiв, бiзнес-iнкубаторiв тощо.</w:t>
      </w:r>
    </w:p>
    <w:p w:rsidR="00DB1E78" w:rsidRPr="000275C2" w:rsidRDefault="00DB1E78" w:rsidP="00DB1E78">
      <w:pPr>
        <w:autoSpaceDE w:val="0"/>
        <w:autoSpaceDN w:val="0"/>
        <w:adjustRightInd w:val="0"/>
        <w:spacing w:after="0" w:line="240" w:lineRule="auto"/>
        <w:ind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eastAsia="Courier New" w:hAnsi="Verdana"/>
          <w:sz w:val="18"/>
          <w:szCs w:val="18"/>
        </w:rPr>
        <w:t>У свiтi нараховується бiльш нiж 7 тис таких науково-технiчних комплек</w:t>
      </w:r>
      <w:r w:rsidRPr="000275C2">
        <w:rPr>
          <w:rFonts w:ascii="Verdana" w:eastAsia="Courier New" w:hAnsi="Verdana"/>
          <w:sz w:val="18"/>
          <w:szCs w:val="18"/>
        </w:rPr>
        <w:softHyphen/>
        <w:t xml:space="preserve">сiв, якi фiнансуються в основному за рахунок державних коштiв: у Великiй Брита-нiї – на 62,0%, у Нiдерландах </w:t>
      </w:r>
      <w:r w:rsidRPr="000275C2">
        <w:rPr>
          <w:rFonts w:ascii="Verdana" w:hAnsi="Verdana"/>
          <w:sz w:val="18"/>
          <w:szCs w:val="18"/>
        </w:rPr>
        <w:t xml:space="preserve">– </w:t>
      </w:r>
      <w:r w:rsidRPr="000275C2">
        <w:rPr>
          <w:rFonts w:ascii="Verdana" w:eastAsia="Courier New" w:hAnsi="Verdana"/>
          <w:sz w:val="18"/>
          <w:szCs w:val="18"/>
        </w:rPr>
        <w:t xml:space="preserve">на 70,0%, у Францiї </w:t>
      </w:r>
      <w:r w:rsidRPr="000275C2">
        <w:rPr>
          <w:rFonts w:ascii="Verdana" w:hAnsi="Verdana"/>
          <w:sz w:val="18"/>
          <w:szCs w:val="18"/>
        </w:rPr>
        <w:t xml:space="preserve">– </w:t>
      </w:r>
      <w:r w:rsidRPr="000275C2">
        <w:rPr>
          <w:rFonts w:ascii="Verdana" w:eastAsia="Courier New" w:hAnsi="Verdana"/>
          <w:sz w:val="18"/>
          <w:szCs w:val="18"/>
        </w:rPr>
        <w:t>на 74,0%, у Нiмеччинi</w:t>
      </w:r>
      <w:r w:rsidRPr="000275C2">
        <w:rPr>
          <w:rFonts w:ascii="Verdana" w:hAnsi="Verdana"/>
          <w:sz w:val="18"/>
          <w:szCs w:val="18"/>
        </w:rPr>
        <w:t xml:space="preserve"> – </w:t>
      </w:r>
      <w:r w:rsidRPr="000275C2">
        <w:rPr>
          <w:rFonts w:ascii="Verdana" w:eastAsia="Courier New" w:hAnsi="Verdana"/>
          <w:sz w:val="18"/>
          <w:szCs w:val="18"/>
        </w:rPr>
        <w:t xml:space="preserve">на 78,0%, у Бельгiї – майже на 100,0% [3]. Уряди забезпечують цi комплекси пiльговим кредитуванням, оподаткуванням, амортизацiєю обладнання та сприятливими умовами вкладення капiталу. Проте, основну частину таких комплексiв займають технологiчнi парки, оскiльки саме вони є </w:t>
      </w:r>
      <w:r w:rsidRPr="000275C2">
        <w:rPr>
          <w:rFonts w:ascii="Verdana" w:hAnsi="Verdana"/>
          <w:sz w:val="18"/>
          <w:szCs w:val="18"/>
        </w:rPr>
        <w:t xml:space="preserve">своєрiдними каталiзаторами, що сприяють утворенню наукомiсткого сектора промисловостi та формують науково-технiчне ядро всього господарства. </w:t>
      </w:r>
    </w:p>
    <w:p w:rsidR="00DB1E78" w:rsidRPr="000275C2" w:rsidRDefault="00DB1E78" w:rsidP="00DB1E78">
      <w:pPr>
        <w:pStyle w:val="32"/>
        <w:shd w:val="clear" w:color="auto" w:fill="auto"/>
        <w:spacing w:before="0" w:after="0" w:line="240" w:lineRule="auto"/>
        <w:ind w:left="20" w:right="20" w:firstLine="709"/>
        <w:contextualSpacing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Необхiдно зазначити, що в Українi вже дi</w:t>
      </w:r>
      <w:r w:rsidRPr="000275C2">
        <w:rPr>
          <w:rFonts w:ascii="Verdana" w:hAnsi="Verdana"/>
          <w:sz w:val="18"/>
          <w:szCs w:val="18"/>
        </w:rPr>
        <w:softHyphen/>
        <w:t>ють 8 технологiчних паркiв (Iнститут електрозварювання iм. Є.О. Патона, Iн</w:t>
      </w:r>
      <w:r w:rsidRPr="000275C2">
        <w:rPr>
          <w:rFonts w:ascii="Verdana" w:hAnsi="Verdana"/>
          <w:sz w:val="18"/>
          <w:szCs w:val="18"/>
        </w:rPr>
        <w:softHyphen/>
        <w:t xml:space="preserve">ститут монокристалiв, Вуглемаш, Напiвпровiдниковi технологiї та матерiали, оптоелектронiка та сенсорна технiка, Iнститут технiчної теплофiзики, Укрiнфотех, Київська полiтехнiка, Iнтелектуальнi iнформацiйнi технологiї), </w:t>
      </w:r>
      <w:r w:rsidRPr="000275C2">
        <w:rPr>
          <w:rStyle w:val="FontStyle34"/>
          <w:rFonts w:ascii="Verdana" w:hAnsi="Verdana"/>
          <w:sz w:val="18"/>
          <w:szCs w:val="18"/>
        </w:rPr>
        <w:t>а лише 3 – «IЕЗ iм. Є.О. Патона», «Напiвпровiдниковi технологiї i матерiали, оптоелектронiка i сенсорна технiка» та «Iнститут монокристалiв», питома вага яких у загальному ви</w:t>
      </w:r>
      <w:r w:rsidRPr="000275C2">
        <w:rPr>
          <w:rStyle w:val="FontStyle34"/>
          <w:rFonts w:ascii="Verdana" w:hAnsi="Verdana"/>
          <w:sz w:val="18"/>
          <w:szCs w:val="18"/>
        </w:rPr>
        <w:softHyphen/>
        <w:t>пуску iнновацiйної продукцiї становить 99,3%. Усi iншi реалiзували iн</w:t>
      </w:r>
      <w:r w:rsidRPr="000275C2">
        <w:rPr>
          <w:rStyle w:val="FontStyle34"/>
          <w:rFonts w:ascii="Verdana" w:hAnsi="Verdana"/>
          <w:sz w:val="18"/>
          <w:szCs w:val="18"/>
        </w:rPr>
        <w:softHyphen/>
        <w:t>новацiйної продукцiї лише на 0,7%.</w:t>
      </w:r>
      <w:r w:rsidRPr="000275C2">
        <w:rPr>
          <w:rFonts w:ascii="Verdana" w:hAnsi="Verdana"/>
          <w:sz w:val="18"/>
          <w:szCs w:val="18"/>
        </w:rPr>
        <w:t xml:space="preserve"> У той же час, за iнформацiєю Українського iнституту науково-технiчної та економiчної iнформацiї, зростання ВВП на основi впровадження нових тех</w:t>
      </w:r>
      <w:r w:rsidRPr="000275C2">
        <w:rPr>
          <w:rFonts w:ascii="Verdana" w:hAnsi="Verdana"/>
          <w:sz w:val="18"/>
          <w:szCs w:val="18"/>
        </w:rPr>
        <w:softHyphen/>
        <w:t>нологiй в Українi становить усього 0,3%, тодi як прирiст ВВП десяти найбiльш розвинених країн приблизно на 75,0-80,0% визначається iнновацiйною економi</w:t>
      </w:r>
      <w:r w:rsidRPr="000275C2">
        <w:rPr>
          <w:rFonts w:ascii="Verdana" w:hAnsi="Verdana"/>
          <w:sz w:val="18"/>
          <w:szCs w:val="18"/>
        </w:rPr>
        <w:softHyphen/>
        <w:t>кою, побудованою на новiтнiх технологiях [1].</w:t>
      </w:r>
    </w:p>
    <w:p w:rsidR="00DB1E78" w:rsidRPr="000275C2" w:rsidRDefault="00DB1E78" w:rsidP="00DB1E78">
      <w:pPr>
        <w:pStyle w:val="32"/>
        <w:shd w:val="clear" w:color="auto" w:fill="auto"/>
        <w:spacing w:before="0" w:after="0" w:line="240" w:lineRule="auto"/>
        <w:ind w:left="20" w:right="20" w:firstLine="709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Iнновацiйний розвиток ЄС базується на рамкових програмах. Чергова, сьома рамкова програма ЄС розрахована на перiод з 2007 р. по 2013 рiк. Її головною метою є всебiчне сприяння економiчному зростанню та зайнятостi населення з урахуванням процесiв глобалiзацiї. За</w:t>
      </w:r>
      <w:r w:rsidRPr="000275C2">
        <w:rPr>
          <w:rFonts w:ascii="Verdana" w:hAnsi="Verdana"/>
          <w:sz w:val="18"/>
          <w:szCs w:val="18"/>
        </w:rPr>
        <w:softHyphen/>
        <w:t>гальнi обсяги фiнансування сьомої рамкової програми складають 50521 млн євро. Однiєю з країн, яка найбiльш ефективно розвивається у сферi iнновацiй, є Нiмеччина. Однiєю з найбiльш поширених форм дiяльностi та фiнансування техноцентрiв та пiдприємств у їх складi є участь у проектах на рiвнi Європейського Союзу або Федеральних земель. У межах виконання проекту бюджетне фiнан</w:t>
      </w:r>
      <w:r w:rsidRPr="000275C2">
        <w:rPr>
          <w:rFonts w:ascii="Verdana" w:hAnsi="Verdana"/>
          <w:sz w:val="18"/>
          <w:szCs w:val="18"/>
        </w:rPr>
        <w:softHyphen/>
        <w:t>сування може досягати 50%, а в окремих випадках до 75% необхiдних для ви</w:t>
      </w:r>
      <w:r w:rsidRPr="000275C2">
        <w:rPr>
          <w:rFonts w:ascii="Verdana" w:hAnsi="Verdana"/>
          <w:sz w:val="18"/>
          <w:szCs w:val="18"/>
        </w:rPr>
        <w:softHyphen/>
        <w:t xml:space="preserve">конання роботи коштiв. </w:t>
      </w:r>
    </w:p>
    <w:p w:rsidR="00DB1E78" w:rsidRPr="000275C2" w:rsidRDefault="00DB1E78" w:rsidP="00DB1E78">
      <w:pPr>
        <w:pStyle w:val="32"/>
        <w:shd w:val="clear" w:color="auto" w:fill="auto"/>
        <w:spacing w:before="0" w:after="0" w:line="240" w:lineRule="auto"/>
        <w:ind w:left="20" w:right="20" w:firstLine="709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Iспанськi технопарки також характеризуються високими показниками продуктивностi (134,4 тис євро/робоче мiсце), якi є вищими за середнi не тiльки по Iспанiї (82,7), а й серед країн ЄС та США [3].</w:t>
      </w:r>
    </w:p>
    <w:p w:rsidR="00DB1E78" w:rsidRPr="000275C2" w:rsidRDefault="00DB1E78" w:rsidP="00DB1E78">
      <w:pPr>
        <w:pStyle w:val="32"/>
        <w:shd w:val="clear" w:color="auto" w:fill="auto"/>
        <w:spacing w:before="0" w:after="0" w:line="240" w:lineRule="auto"/>
        <w:ind w:left="20" w:right="20" w:firstLine="709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З метою пiдвищення технологiчного рiвня виробництва вважається за доцiльне використання досвiду країн-членiв ЄС за такими напрямами:</w:t>
      </w:r>
    </w:p>
    <w:p w:rsidR="00DB1E78" w:rsidRPr="000275C2" w:rsidRDefault="00DB1E78" w:rsidP="00DB1E78">
      <w:pPr>
        <w:pStyle w:val="32"/>
        <w:numPr>
          <w:ilvl w:val="0"/>
          <w:numId w:val="6"/>
        </w:numPr>
        <w:shd w:val="clear" w:color="auto" w:fill="auto"/>
        <w:tabs>
          <w:tab w:val="left" w:pos="548"/>
          <w:tab w:val="left" w:pos="851"/>
        </w:tabs>
        <w:spacing w:before="0" w:after="0" w:line="240" w:lineRule="auto"/>
        <w:ind w:left="720" w:right="20" w:hanging="360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залучення коштiв ЄС, мiжнародних фiнансових фондiв i органiзацiй для створення та iснування технологiчних паркiв;</w:t>
      </w:r>
    </w:p>
    <w:p w:rsidR="00DB1E78" w:rsidRPr="000275C2" w:rsidRDefault="00DB1E78" w:rsidP="00DB1E78">
      <w:pPr>
        <w:pStyle w:val="32"/>
        <w:numPr>
          <w:ilvl w:val="0"/>
          <w:numId w:val="6"/>
        </w:numPr>
        <w:shd w:val="clear" w:color="auto" w:fill="auto"/>
        <w:tabs>
          <w:tab w:val="left" w:pos="558"/>
          <w:tab w:val="left" w:pos="851"/>
        </w:tabs>
        <w:spacing w:before="0" w:after="0" w:line="240" w:lineRule="auto"/>
        <w:ind w:left="720" w:right="20" w:hanging="360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залучення бюджетних коштiв країн-членiв ЄС, у тому числi окремих федераль</w:t>
      </w:r>
      <w:r w:rsidRPr="000275C2">
        <w:rPr>
          <w:rFonts w:ascii="Verdana" w:hAnsi="Verdana"/>
          <w:sz w:val="18"/>
          <w:szCs w:val="18"/>
        </w:rPr>
        <w:softHyphen/>
        <w:t>них земель для проведення науково-дослiдних робiт i реалiзацiї нових високотехнологiчних проектiв;</w:t>
      </w:r>
    </w:p>
    <w:p w:rsidR="00DB1E78" w:rsidRPr="000275C2" w:rsidRDefault="00DB1E78" w:rsidP="00DB1E78">
      <w:pPr>
        <w:pStyle w:val="32"/>
        <w:numPr>
          <w:ilvl w:val="0"/>
          <w:numId w:val="6"/>
        </w:numPr>
        <w:shd w:val="clear" w:color="auto" w:fill="auto"/>
        <w:tabs>
          <w:tab w:val="left" w:pos="558"/>
          <w:tab w:val="left" w:pos="851"/>
        </w:tabs>
        <w:spacing w:before="0" w:after="0" w:line="240" w:lineRule="auto"/>
        <w:ind w:left="720" w:right="20" w:hanging="360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участь у реалiзацiї транскордонних проектiв, зокрема за рахунок надан</w:t>
      </w:r>
      <w:r w:rsidRPr="000275C2">
        <w:rPr>
          <w:rFonts w:ascii="Verdana" w:hAnsi="Verdana"/>
          <w:sz w:val="18"/>
          <w:szCs w:val="18"/>
        </w:rPr>
        <w:softHyphen/>
        <w:t>ня науково-технiчних, проектних послуг тощо;</w:t>
      </w:r>
    </w:p>
    <w:p w:rsidR="00DB1E78" w:rsidRPr="000275C2" w:rsidRDefault="00DB1E78" w:rsidP="00DB1E78">
      <w:pPr>
        <w:pStyle w:val="32"/>
        <w:numPr>
          <w:ilvl w:val="0"/>
          <w:numId w:val="6"/>
        </w:numPr>
        <w:shd w:val="clear" w:color="auto" w:fill="auto"/>
        <w:tabs>
          <w:tab w:val="left" w:pos="538"/>
          <w:tab w:val="left" w:pos="851"/>
        </w:tabs>
        <w:spacing w:before="0" w:after="0" w:line="240" w:lineRule="auto"/>
        <w:ind w:left="720" w:right="20" w:hanging="360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використання для подальшого розвитку науково-технiчного потенцiалу патентiв, якi отриманi на розробки для роботи технологiчних паркiв;</w:t>
      </w:r>
    </w:p>
    <w:p w:rsidR="00DB1E78" w:rsidRPr="000275C2" w:rsidRDefault="00DB1E78" w:rsidP="00DB1E78">
      <w:pPr>
        <w:pStyle w:val="32"/>
        <w:numPr>
          <w:ilvl w:val="0"/>
          <w:numId w:val="6"/>
        </w:numPr>
        <w:shd w:val="clear" w:color="auto" w:fill="auto"/>
        <w:tabs>
          <w:tab w:val="left" w:pos="552"/>
          <w:tab w:val="left" w:pos="851"/>
        </w:tabs>
        <w:spacing w:before="0" w:after="0" w:line="240" w:lineRule="auto"/>
        <w:ind w:left="720" w:right="20" w:hanging="360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надання державної пiдтримки, зокрема за рахунок формування вiдпо</w:t>
      </w:r>
      <w:r w:rsidRPr="000275C2">
        <w:rPr>
          <w:rFonts w:ascii="Verdana" w:hAnsi="Verdana"/>
          <w:sz w:val="18"/>
          <w:szCs w:val="18"/>
        </w:rPr>
        <w:softHyphen/>
        <w:t>вiдної нормативно-правовiй бази та надання пiльг [2].</w:t>
      </w:r>
    </w:p>
    <w:p w:rsidR="00DB1E78" w:rsidRPr="000275C2" w:rsidRDefault="00DB1E78" w:rsidP="00DB1E78">
      <w:pPr>
        <w:spacing w:after="0" w:line="240" w:lineRule="auto"/>
        <w:ind w:firstLine="567"/>
        <w:jc w:val="both"/>
        <w:rPr>
          <w:rFonts w:ascii="Verdana" w:hAnsi="Verdana"/>
          <w:b/>
          <w:sz w:val="18"/>
          <w:szCs w:val="18"/>
        </w:rPr>
      </w:pPr>
      <w:r w:rsidRPr="000275C2">
        <w:rPr>
          <w:rFonts w:ascii="Verdana" w:hAnsi="Verdana"/>
          <w:b/>
          <w:sz w:val="18"/>
          <w:szCs w:val="18"/>
        </w:rPr>
        <w:t>Список лiтератури:</w:t>
      </w:r>
    </w:p>
    <w:p w:rsidR="00DB1E78" w:rsidRPr="000275C2" w:rsidRDefault="00DB1E78" w:rsidP="00DB1E78">
      <w:pPr>
        <w:pStyle w:val="afa"/>
        <w:numPr>
          <w:ilvl w:val="0"/>
          <w:numId w:val="5"/>
        </w:numPr>
        <w:tabs>
          <w:tab w:val="left" w:pos="567"/>
        </w:tabs>
        <w:ind w:left="0" w:firstLine="284"/>
        <w:jc w:val="both"/>
        <w:rPr>
          <w:rFonts w:ascii="Verdana" w:hAnsi="Verdana"/>
          <w:spacing w:val="-10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Технологiчнi парки: свiтовий та український досвiд / О.А. Мазур, В.С. Шевкалюк. – К. : Прок-бiзнес, 2009. – 70 с.</w:t>
      </w:r>
    </w:p>
    <w:p w:rsidR="00DB1E78" w:rsidRPr="000275C2" w:rsidRDefault="00DB1E78" w:rsidP="00DB1E78">
      <w:pPr>
        <w:pStyle w:val="51"/>
        <w:numPr>
          <w:ilvl w:val="0"/>
          <w:numId w:val="5"/>
        </w:numPr>
        <w:shd w:val="clear" w:color="auto" w:fill="auto"/>
        <w:tabs>
          <w:tab w:val="left" w:pos="567"/>
          <w:tab w:val="left" w:pos="658"/>
          <w:tab w:val="left" w:pos="1134"/>
        </w:tabs>
        <w:spacing w:before="0" w:line="240" w:lineRule="auto"/>
        <w:ind w:left="0" w:right="20" w:firstLine="284"/>
        <w:rPr>
          <w:rFonts w:ascii="Verdana" w:hAnsi="Verdana"/>
          <w:sz w:val="18"/>
          <w:szCs w:val="18"/>
        </w:rPr>
      </w:pPr>
      <w:r w:rsidRPr="000275C2">
        <w:rPr>
          <w:rStyle w:val="52"/>
          <w:rFonts w:ascii="Verdana" w:hAnsi="Verdana"/>
          <w:sz w:val="18"/>
          <w:szCs w:val="18"/>
        </w:rPr>
        <w:t>Чухно А.</w:t>
      </w:r>
      <w:r w:rsidRPr="000275C2">
        <w:rPr>
          <w:rFonts w:ascii="Verdana" w:hAnsi="Verdana"/>
          <w:sz w:val="18"/>
          <w:szCs w:val="18"/>
        </w:rPr>
        <w:t xml:space="preserve"> Науково-технологiчний розвиток як об'єкт дослiдження еволюцiйної економiч</w:t>
      </w:r>
      <w:r w:rsidRPr="000275C2">
        <w:rPr>
          <w:rFonts w:ascii="Verdana" w:hAnsi="Verdana"/>
          <w:sz w:val="18"/>
          <w:szCs w:val="18"/>
        </w:rPr>
        <w:softHyphen/>
        <w:t>ної теорiї // Економiка України. – 2008. – №1(554). – С. 30–42.</w:t>
      </w:r>
    </w:p>
    <w:p w:rsidR="00DB1E78" w:rsidRPr="000275C2" w:rsidRDefault="00DB1E78" w:rsidP="00DB1E78">
      <w:pPr>
        <w:pStyle w:val="51"/>
        <w:numPr>
          <w:ilvl w:val="0"/>
          <w:numId w:val="5"/>
        </w:numPr>
        <w:shd w:val="clear" w:color="auto" w:fill="auto"/>
        <w:tabs>
          <w:tab w:val="left" w:pos="567"/>
          <w:tab w:val="left" w:pos="635"/>
          <w:tab w:val="left" w:pos="1134"/>
        </w:tabs>
        <w:spacing w:before="0" w:line="240" w:lineRule="auto"/>
        <w:ind w:left="0" w:firstLine="284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 xml:space="preserve">Seventh framework programmer //[Електронний ресурс]. – Режим доступу : </w:t>
      </w:r>
      <w:hyperlink r:id="rId7" w:history="1">
        <w:r w:rsidRPr="000275C2">
          <w:rPr>
            <w:rStyle w:val="af8"/>
            <w:rFonts w:ascii="Verdana" w:eastAsiaTheme="majorEastAsia" w:hAnsi="Verdana"/>
            <w:color w:val="auto"/>
            <w:sz w:val="18"/>
            <w:szCs w:val="18"/>
          </w:rPr>
          <w:t>www.europa.eu.int</w:t>
        </w:r>
      </w:hyperlink>
      <w:r w:rsidRPr="000275C2">
        <w:rPr>
          <w:rFonts w:ascii="Verdana" w:hAnsi="Verdana"/>
          <w:sz w:val="18"/>
          <w:szCs w:val="18"/>
        </w:rPr>
        <w:t>.</w:t>
      </w:r>
    </w:p>
    <w:sectPr w:rsidR="00DB1E78" w:rsidRPr="000275C2" w:rsidSect="00DB1E7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850" w:bottom="1134" w:left="1701" w:header="708" w:footer="708" w:gutter="0"/>
      <w:pgNumType w:start="15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668DA" w:rsidRDefault="00C668DA" w:rsidP="00E84BE1">
      <w:pPr>
        <w:spacing w:after="0" w:line="240" w:lineRule="auto"/>
      </w:pPr>
      <w:r>
        <w:separator/>
      </w:r>
    </w:p>
  </w:endnote>
  <w:endnote w:type="continuationSeparator" w:id="1">
    <w:p w:rsidR="00C668DA" w:rsidRDefault="00C668DA" w:rsidP="00E84B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T914o00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2E63" w:rsidRDefault="002C2E63">
    <w:pPr>
      <w:pStyle w:val="af6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667944"/>
      <w:docPartObj>
        <w:docPartGallery w:val="Page Numbers (Bottom of Page)"/>
        <w:docPartUnique/>
      </w:docPartObj>
    </w:sdtPr>
    <w:sdtContent>
      <w:p w:rsidR="002C2E63" w:rsidRDefault="00845599">
        <w:pPr>
          <w:pStyle w:val="af6"/>
        </w:pPr>
        <w:fldSimple w:instr=" PAGE   \* MERGEFORMAT ">
          <w:r w:rsidR="00DB1E78">
            <w:rPr>
              <w:noProof/>
            </w:rPr>
            <w:t>15</w:t>
          </w:r>
        </w:fldSimple>
      </w:p>
    </w:sdtContent>
  </w:sdt>
  <w:p w:rsidR="00E84BE1" w:rsidRDefault="00E84BE1">
    <w:pPr>
      <w:pStyle w:val="af6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2E63" w:rsidRDefault="002C2E63">
    <w:pPr>
      <w:pStyle w:val="af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668DA" w:rsidRDefault="00C668DA" w:rsidP="00E84BE1">
      <w:pPr>
        <w:spacing w:after="0" w:line="240" w:lineRule="auto"/>
      </w:pPr>
      <w:r>
        <w:separator/>
      </w:r>
    </w:p>
  </w:footnote>
  <w:footnote w:type="continuationSeparator" w:id="1">
    <w:p w:rsidR="00C668DA" w:rsidRDefault="00C668DA" w:rsidP="00E84B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2E63" w:rsidRDefault="002C2E63">
    <w:pPr>
      <w:pStyle w:val="af4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2E63" w:rsidRDefault="002C2E63">
    <w:pPr>
      <w:pStyle w:val="af4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2E63" w:rsidRDefault="002C2E63">
    <w:pPr>
      <w:pStyle w:val="af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3958B2"/>
    <w:multiLevelType w:val="hybridMultilevel"/>
    <w:tmpl w:val="CA4C7028"/>
    <w:lvl w:ilvl="0" w:tplc="496AFF82">
      <w:start w:val="1"/>
      <w:numFmt w:val="bullet"/>
      <w:lvlText w:val="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424"/>
        </w:tabs>
        <w:ind w:left="1424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144"/>
        </w:tabs>
        <w:ind w:left="2144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2864"/>
        </w:tabs>
        <w:ind w:left="2864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584"/>
        </w:tabs>
        <w:ind w:left="3584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304"/>
        </w:tabs>
        <w:ind w:left="4304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024"/>
        </w:tabs>
        <w:ind w:left="5024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5744"/>
        </w:tabs>
        <w:ind w:left="5744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464"/>
        </w:tabs>
        <w:ind w:left="6464" w:hanging="360"/>
      </w:pPr>
      <w:rPr>
        <w:rFonts w:ascii="Wingdings" w:hAnsi="Wingdings" w:hint="default"/>
      </w:rPr>
    </w:lvl>
  </w:abstractNum>
  <w:abstractNum w:abstractNumId="1">
    <w:nsid w:val="2F3A0067"/>
    <w:multiLevelType w:val="hybridMultilevel"/>
    <w:tmpl w:val="1C0C4924"/>
    <w:lvl w:ilvl="0" w:tplc="523AF286">
      <w:start w:val="1"/>
      <w:numFmt w:val="bullet"/>
      <w:lvlText w:val="−"/>
      <w:lvlJc w:val="left"/>
      <w:pPr>
        <w:tabs>
          <w:tab w:val="num" w:pos="1290"/>
        </w:tabs>
        <w:ind w:left="1290" w:hanging="360"/>
      </w:pPr>
      <w:rPr>
        <w:rFonts w:ascii="Times New Roman" w:hAnsi="Times New Roman" w:cs="Times New Roman" w:hint="default"/>
        <w:color w:val="auto"/>
      </w:rPr>
    </w:lvl>
    <w:lvl w:ilvl="1" w:tplc="0422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">
    <w:nsid w:val="34DF076F"/>
    <w:multiLevelType w:val="hybridMultilevel"/>
    <w:tmpl w:val="98522F7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40001315"/>
    <w:multiLevelType w:val="hybridMultilevel"/>
    <w:tmpl w:val="1AEC3DA2"/>
    <w:lvl w:ilvl="0" w:tplc="0A0CC376">
      <w:start w:val="1"/>
      <w:numFmt w:val="decimal"/>
      <w:lvlText w:val="%1."/>
      <w:lvlJc w:val="left"/>
      <w:pPr>
        <w:ind w:left="420" w:hanging="360"/>
      </w:pPr>
      <w:rPr>
        <w:rFonts w:cs="TT914o00" w:hint="default"/>
      </w:rPr>
    </w:lvl>
    <w:lvl w:ilvl="1" w:tplc="04220019" w:tentative="1">
      <w:start w:val="1"/>
      <w:numFmt w:val="lowerLetter"/>
      <w:lvlText w:val="%2."/>
      <w:lvlJc w:val="left"/>
      <w:pPr>
        <w:ind w:left="1140" w:hanging="360"/>
      </w:pPr>
    </w:lvl>
    <w:lvl w:ilvl="2" w:tplc="0422001B" w:tentative="1">
      <w:start w:val="1"/>
      <w:numFmt w:val="lowerRoman"/>
      <w:lvlText w:val="%3."/>
      <w:lvlJc w:val="right"/>
      <w:pPr>
        <w:ind w:left="1860" w:hanging="180"/>
      </w:pPr>
    </w:lvl>
    <w:lvl w:ilvl="3" w:tplc="0422000F" w:tentative="1">
      <w:start w:val="1"/>
      <w:numFmt w:val="decimal"/>
      <w:lvlText w:val="%4."/>
      <w:lvlJc w:val="left"/>
      <w:pPr>
        <w:ind w:left="2580" w:hanging="360"/>
      </w:pPr>
    </w:lvl>
    <w:lvl w:ilvl="4" w:tplc="04220019" w:tentative="1">
      <w:start w:val="1"/>
      <w:numFmt w:val="lowerLetter"/>
      <w:lvlText w:val="%5."/>
      <w:lvlJc w:val="left"/>
      <w:pPr>
        <w:ind w:left="3300" w:hanging="360"/>
      </w:pPr>
    </w:lvl>
    <w:lvl w:ilvl="5" w:tplc="0422001B" w:tentative="1">
      <w:start w:val="1"/>
      <w:numFmt w:val="lowerRoman"/>
      <w:lvlText w:val="%6."/>
      <w:lvlJc w:val="right"/>
      <w:pPr>
        <w:ind w:left="4020" w:hanging="180"/>
      </w:pPr>
    </w:lvl>
    <w:lvl w:ilvl="6" w:tplc="0422000F" w:tentative="1">
      <w:start w:val="1"/>
      <w:numFmt w:val="decimal"/>
      <w:lvlText w:val="%7."/>
      <w:lvlJc w:val="left"/>
      <w:pPr>
        <w:ind w:left="4740" w:hanging="360"/>
      </w:pPr>
    </w:lvl>
    <w:lvl w:ilvl="7" w:tplc="04220019" w:tentative="1">
      <w:start w:val="1"/>
      <w:numFmt w:val="lowerLetter"/>
      <w:lvlText w:val="%8."/>
      <w:lvlJc w:val="left"/>
      <w:pPr>
        <w:ind w:left="5460" w:hanging="360"/>
      </w:pPr>
    </w:lvl>
    <w:lvl w:ilvl="8" w:tplc="0422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">
    <w:nsid w:val="61623333"/>
    <w:multiLevelType w:val="hybridMultilevel"/>
    <w:tmpl w:val="BC8E1862"/>
    <w:lvl w:ilvl="0" w:tplc="04190011">
      <w:start w:val="1"/>
      <w:numFmt w:val="decimal"/>
      <w:lvlText w:val="%1)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5">
    <w:nsid w:val="77F12336"/>
    <w:multiLevelType w:val="multilevel"/>
    <w:tmpl w:val="F7F87034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0"/>
  </w:num>
  <w:num w:numId="5">
    <w:abstractNumId w:val="2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E84BE1"/>
    <w:rsid w:val="00154C36"/>
    <w:rsid w:val="001C4033"/>
    <w:rsid w:val="002B0976"/>
    <w:rsid w:val="002C2E63"/>
    <w:rsid w:val="00397084"/>
    <w:rsid w:val="003F34F1"/>
    <w:rsid w:val="00485B02"/>
    <w:rsid w:val="00845599"/>
    <w:rsid w:val="00A17C02"/>
    <w:rsid w:val="00C668DA"/>
    <w:rsid w:val="00DB1E78"/>
    <w:rsid w:val="00E84B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endnote tex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4BE1"/>
    <w:rPr>
      <w:rFonts w:ascii="Calibri" w:eastAsia="Calibri" w:hAnsi="Calibri" w:cs="Times New Roman"/>
      <w:lang w:val="uk-UA" w:bidi="ar-SA"/>
    </w:rPr>
  </w:style>
  <w:style w:type="paragraph" w:styleId="1">
    <w:name w:val="heading 1"/>
    <w:basedOn w:val="a"/>
    <w:next w:val="a"/>
    <w:link w:val="10"/>
    <w:qFormat/>
    <w:rsid w:val="00485B0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85B0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85B0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85B0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85B02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85B02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85B02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85B02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85B02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85B0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485B0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485B0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485B02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rsid w:val="00485B02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rsid w:val="00485B02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0"/>
    <w:link w:val="7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rsid w:val="00485B02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caption"/>
    <w:basedOn w:val="a"/>
    <w:next w:val="a"/>
    <w:uiPriority w:val="35"/>
    <w:semiHidden/>
    <w:unhideWhenUsed/>
    <w:qFormat/>
    <w:rsid w:val="00485B02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a4">
    <w:name w:val="Title"/>
    <w:basedOn w:val="a"/>
    <w:next w:val="a"/>
    <w:link w:val="a5"/>
    <w:uiPriority w:val="10"/>
    <w:qFormat/>
    <w:rsid w:val="00485B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5">
    <w:name w:val="Название Знак"/>
    <w:basedOn w:val="a0"/>
    <w:link w:val="a4"/>
    <w:uiPriority w:val="10"/>
    <w:rsid w:val="00485B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6">
    <w:name w:val="Subtitle"/>
    <w:basedOn w:val="a"/>
    <w:next w:val="a"/>
    <w:link w:val="a7"/>
    <w:uiPriority w:val="11"/>
    <w:qFormat/>
    <w:rsid w:val="00485B02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7">
    <w:name w:val="Подзаголовок Знак"/>
    <w:basedOn w:val="a0"/>
    <w:link w:val="a6"/>
    <w:uiPriority w:val="11"/>
    <w:rsid w:val="00485B02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8">
    <w:name w:val="Strong"/>
    <w:basedOn w:val="a0"/>
    <w:uiPriority w:val="22"/>
    <w:qFormat/>
    <w:rsid w:val="00485B02"/>
    <w:rPr>
      <w:b/>
      <w:bCs/>
    </w:rPr>
  </w:style>
  <w:style w:type="character" w:styleId="a9">
    <w:name w:val="Emphasis"/>
    <w:basedOn w:val="a0"/>
    <w:uiPriority w:val="20"/>
    <w:qFormat/>
    <w:rsid w:val="00485B02"/>
    <w:rPr>
      <w:i/>
      <w:iCs/>
    </w:rPr>
  </w:style>
  <w:style w:type="paragraph" w:styleId="aa">
    <w:name w:val="No Spacing"/>
    <w:uiPriority w:val="1"/>
    <w:qFormat/>
    <w:rsid w:val="00485B02"/>
    <w:pPr>
      <w:spacing w:after="0" w:line="240" w:lineRule="auto"/>
    </w:pPr>
  </w:style>
  <w:style w:type="paragraph" w:styleId="ab">
    <w:name w:val="List Paragraph"/>
    <w:basedOn w:val="a"/>
    <w:uiPriority w:val="34"/>
    <w:qFormat/>
    <w:rsid w:val="00485B02"/>
    <w:pPr>
      <w:ind w:left="720"/>
      <w:contextualSpacing/>
    </w:pPr>
  </w:style>
  <w:style w:type="paragraph" w:styleId="21">
    <w:name w:val="Quote"/>
    <w:basedOn w:val="a"/>
    <w:next w:val="a"/>
    <w:link w:val="22"/>
    <w:uiPriority w:val="29"/>
    <w:qFormat/>
    <w:rsid w:val="00485B02"/>
    <w:rPr>
      <w:i/>
      <w:iCs/>
      <w:color w:val="000000" w:themeColor="text1"/>
    </w:rPr>
  </w:style>
  <w:style w:type="character" w:customStyle="1" w:styleId="22">
    <w:name w:val="Цитата 2 Знак"/>
    <w:basedOn w:val="a0"/>
    <w:link w:val="21"/>
    <w:uiPriority w:val="29"/>
    <w:rsid w:val="00485B02"/>
    <w:rPr>
      <w:i/>
      <w:iCs/>
      <w:color w:val="000000" w:themeColor="text1"/>
    </w:rPr>
  </w:style>
  <w:style w:type="paragraph" w:styleId="ac">
    <w:name w:val="Intense Quote"/>
    <w:basedOn w:val="a"/>
    <w:next w:val="a"/>
    <w:link w:val="ad"/>
    <w:uiPriority w:val="30"/>
    <w:qFormat/>
    <w:rsid w:val="00485B02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ad">
    <w:name w:val="Выделенная цитата Знак"/>
    <w:basedOn w:val="a0"/>
    <w:link w:val="ac"/>
    <w:uiPriority w:val="30"/>
    <w:rsid w:val="00485B02"/>
    <w:rPr>
      <w:b/>
      <w:bCs/>
      <w:i/>
      <w:iCs/>
      <w:color w:val="4F81BD" w:themeColor="accent1"/>
    </w:rPr>
  </w:style>
  <w:style w:type="character" w:styleId="ae">
    <w:name w:val="Subtle Emphasis"/>
    <w:basedOn w:val="a0"/>
    <w:uiPriority w:val="19"/>
    <w:qFormat/>
    <w:rsid w:val="00485B02"/>
    <w:rPr>
      <w:i/>
      <w:iCs/>
      <w:color w:val="808080" w:themeColor="text1" w:themeTint="7F"/>
    </w:rPr>
  </w:style>
  <w:style w:type="character" w:styleId="af">
    <w:name w:val="Intense Emphasis"/>
    <w:basedOn w:val="a0"/>
    <w:uiPriority w:val="21"/>
    <w:qFormat/>
    <w:rsid w:val="00485B02"/>
    <w:rPr>
      <w:b/>
      <w:bCs/>
      <w:i/>
      <w:iCs/>
      <w:color w:val="4F81BD" w:themeColor="accent1"/>
    </w:rPr>
  </w:style>
  <w:style w:type="character" w:styleId="af0">
    <w:name w:val="Subtle Reference"/>
    <w:basedOn w:val="a0"/>
    <w:uiPriority w:val="31"/>
    <w:qFormat/>
    <w:rsid w:val="00485B02"/>
    <w:rPr>
      <w:smallCaps/>
      <w:color w:val="C0504D" w:themeColor="accent2"/>
      <w:u w:val="single"/>
    </w:rPr>
  </w:style>
  <w:style w:type="character" w:styleId="af1">
    <w:name w:val="Intense Reference"/>
    <w:basedOn w:val="a0"/>
    <w:uiPriority w:val="32"/>
    <w:qFormat/>
    <w:rsid w:val="00485B02"/>
    <w:rPr>
      <w:b/>
      <w:bCs/>
      <w:smallCaps/>
      <w:color w:val="C0504D" w:themeColor="accent2"/>
      <w:spacing w:val="5"/>
      <w:u w:val="single"/>
    </w:rPr>
  </w:style>
  <w:style w:type="character" w:styleId="af2">
    <w:name w:val="Book Title"/>
    <w:basedOn w:val="a0"/>
    <w:uiPriority w:val="33"/>
    <w:qFormat/>
    <w:rsid w:val="00485B02"/>
    <w:rPr>
      <w:b/>
      <w:bCs/>
      <w:smallCaps/>
      <w:spacing w:val="5"/>
    </w:rPr>
  </w:style>
  <w:style w:type="paragraph" w:styleId="af3">
    <w:name w:val="TOC Heading"/>
    <w:basedOn w:val="1"/>
    <w:next w:val="a"/>
    <w:uiPriority w:val="39"/>
    <w:semiHidden/>
    <w:unhideWhenUsed/>
    <w:qFormat/>
    <w:rsid w:val="00485B02"/>
    <w:pPr>
      <w:outlineLvl w:val="9"/>
    </w:pPr>
  </w:style>
  <w:style w:type="paragraph" w:styleId="af4">
    <w:name w:val="header"/>
    <w:basedOn w:val="a"/>
    <w:link w:val="af5"/>
    <w:uiPriority w:val="99"/>
    <w:semiHidden/>
    <w:unhideWhenUsed/>
    <w:rsid w:val="00E84BE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5">
    <w:name w:val="Верхний колонтитул Знак"/>
    <w:basedOn w:val="a0"/>
    <w:link w:val="af4"/>
    <w:uiPriority w:val="99"/>
    <w:semiHidden/>
    <w:rsid w:val="00E84BE1"/>
  </w:style>
  <w:style w:type="paragraph" w:styleId="af6">
    <w:name w:val="footer"/>
    <w:basedOn w:val="a"/>
    <w:link w:val="af7"/>
    <w:uiPriority w:val="99"/>
    <w:unhideWhenUsed/>
    <w:rsid w:val="00E84BE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7">
    <w:name w:val="Нижний колонтитул Знак"/>
    <w:basedOn w:val="a0"/>
    <w:link w:val="af6"/>
    <w:uiPriority w:val="99"/>
    <w:rsid w:val="00E84BE1"/>
  </w:style>
  <w:style w:type="character" w:styleId="af8">
    <w:name w:val="Hyperlink"/>
    <w:uiPriority w:val="99"/>
    <w:unhideWhenUsed/>
    <w:rsid w:val="00E84BE1"/>
    <w:rPr>
      <w:color w:val="0000FF"/>
      <w:u w:val="single"/>
    </w:rPr>
  </w:style>
  <w:style w:type="paragraph" w:styleId="af9">
    <w:name w:val="Normal (Web)"/>
    <w:basedOn w:val="a"/>
    <w:unhideWhenUsed/>
    <w:rsid w:val="002C2E6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200">
    <w:name w:val="Основной текст (20)_"/>
    <w:link w:val="201"/>
    <w:rsid w:val="002C2E63"/>
    <w:rPr>
      <w:rFonts w:ascii="Arial" w:hAnsi="Arial"/>
      <w:sz w:val="17"/>
      <w:szCs w:val="17"/>
      <w:shd w:val="clear" w:color="auto" w:fill="FFFFFF"/>
    </w:rPr>
  </w:style>
  <w:style w:type="paragraph" w:customStyle="1" w:styleId="201">
    <w:name w:val="Основной текст (20)1"/>
    <w:basedOn w:val="a"/>
    <w:link w:val="200"/>
    <w:rsid w:val="002C2E63"/>
    <w:pPr>
      <w:shd w:val="clear" w:color="auto" w:fill="FFFFFF"/>
      <w:spacing w:after="0" w:line="187" w:lineRule="exact"/>
      <w:jc w:val="both"/>
    </w:pPr>
    <w:rPr>
      <w:rFonts w:ascii="Arial" w:eastAsiaTheme="minorHAnsi" w:hAnsi="Arial" w:cstheme="minorBidi"/>
      <w:sz w:val="17"/>
      <w:szCs w:val="17"/>
      <w:lang w:val="en-US" w:bidi="en-US"/>
    </w:rPr>
  </w:style>
  <w:style w:type="paragraph" w:customStyle="1" w:styleId="31">
    <w:name w:val="Основной текст (3)1"/>
    <w:basedOn w:val="a"/>
    <w:rsid w:val="002C2E63"/>
    <w:pPr>
      <w:shd w:val="clear" w:color="auto" w:fill="FFFFFF"/>
      <w:spacing w:before="420" w:after="0" w:line="454" w:lineRule="exact"/>
      <w:jc w:val="both"/>
    </w:pPr>
    <w:rPr>
      <w:rFonts w:ascii="Times New Roman" w:eastAsia="Arial Unicode MS" w:hAnsi="Times New Roman"/>
      <w:b/>
      <w:bCs/>
      <w:sz w:val="26"/>
      <w:szCs w:val="26"/>
      <w:lang w:eastAsia="uk-UA"/>
    </w:rPr>
  </w:style>
  <w:style w:type="character" w:customStyle="1" w:styleId="FontStyle34">
    <w:name w:val="Font Style34"/>
    <w:uiPriority w:val="99"/>
    <w:rsid w:val="00DB1E78"/>
    <w:rPr>
      <w:rFonts w:ascii="Times New Roman" w:hAnsi="Times New Roman" w:cs="Times New Roman"/>
      <w:sz w:val="20"/>
      <w:szCs w:val="20"/>
    </w:rPr>
  </w:style>
  <w:style w:type="character" w:customStyle="1" w:styleId="11">
    <w:name w:val="Заголовок №1_"/>
    <w:link w:val="110"/>
    <w:rsid w:val="00DB1E78"/>
    <w:rPr>
      <w:rFonts w:ascii="Times New Roman" w:eastAsia="Times New Roman" w:hAnsi="Times New Roman"/>
      <w:b/>
      <w:bCs/>
      <w:sz w:val="21"/>
      <w:szCs w:val="21"/>
      <w:shd w:val="clear" w:color="auto" w:fill="FFFFFF"/>
    </w:rPr>
  </w:style>
  <w:style w:type="paragraph" w:customStyle="1" w:styleId="110">
    <w:name w:val="Заголовок №11"/>
    <w:basedOn w:val="a"/>
    <w:link w:val="11"/>
    <w:rsid w:val="00DB1E78"/>
    <w:pPr>
      <w:widowControl w:val="0"/>
      <w:shd w:val="clear" w:color="auto" w:fill="FFFFFF"/>
      <w:spacing w:before="120" w:after="0" w:line="264" w:lineRule="exact"/>
      <w:jc w:val="center"/>
      <w:outlineLvl w:val="0"/>
    </w:pPr>
    <w:rPr>
      <w:rFonts w:ascii="Times New Roman" w:eastAsia="Times New Roman" w:hAnsi="Times New Roman" w:cstheme="minorBidi"/>
      <w:b/>
      <w:bCs/>
      <w:sz w:val="21"/>
      <w:szCs w:val="21"/>
      <w:lang w:val="en-US" w:bidi="en-US"/>
    </w:rPr>
  </w:style>
  <w:style w:type="character" w:customStyle="1" w:styleId="12">
    <w:name w:val="Заголовок №1"/>
    <w:rsid w:val="00DB1E78"/>
    <w:rPr>
      <w:rFonts w:ascii="Times New Roman" w:eastAsia="Times New Roman" w:hAnsi="Times New Roman"/>
      <w:b/>
      <w:bCs/>
      <w:color w:val="000000"/>
      <w:spacing w:val="0"/>
      <w:w w:val="100"/>
      <w:position w:val="0"/>
      <w:sz w:val="21"/>
      <w:szCs w:val="21"/>
      <w:shd w:val="clear" w:color="auto" w:fill="FFFFFF"/>
      <w:lang w:val="en-US"/>
    </w:rPr>
  </w:style>
  <w:style w:type="paragraph" w:customStyle="1" w:styleId="32">
    <w:name w:val="Основной текст3"/>
    <w:basedOn w:val="a"/>
    <w:rsid w:val="00DB1E78"/>
    <w:pPr>
      <w:widowControl w:val="0"/>
      <w:shd w:val="clear" w:color="auto" w:fill="FFFFFF"/>
      <w:spacing w:before="240" w:after="240" w:line="240" w:lineRule="exact"/>
      <w:jc w:val="both"/>
    </w:pPr>
    <w:rPr>
      <w:rFonts w:ascii="Times New Roman" w:eastAsia="Times New Roman" w:hAnsi="Times New Roman"/>
      <w:sz w:val="20"/>
      <w:szCs w:val="20"/>
      <w:lang w:eastAsia="uk-UA"/>
    </w:rPr>
  </w:style>
  <w:style w:type="paragraph" w:customStyle="1" w:styleId="51">
    <w:name w:val="Основной текст (5)1"/>
    <w:basedOn w:val="a"/>
    <w:rsid w:val="00DB1E78"/>
    <w:pPr>
      <w:widowControl w:val="0"/>
      <w:shd w:val="clear" w:color="auto" w:fill="FFFFFF"/>
      <w:spacing w:before="60" w:after="0" w:line="192" w:lineRule="exact"/>
      <w:ind w:firstLine="400"/>
      <w:jc w:val="both"/>
    </w:pPr>
    <w:rPr>
      <w:rFonts w:ascii="Times New Roman" w:eastAsia="Times New Roman" w:hAnsi="Times New Roman"/>
      <w:sz w:val="16"/>
      <w:szCs w:val="16"/>
      <w:lang w:eastAsia="uk-UA"/>
    </w:rPr>
  </w:style>
  <w:style w:type="paragraph" w:styleId="afa">
    <w:name w:val="endnote text"/>
    <w:basedOn w:val="a"/>
    <w:link w:val="afb"/>
    <w:unhideWhenUsed/>
    <w:rsid w:val="00DB1E78"/>
    <w:pPr>
      <w:spacing w:after="0" w:line="240" w:lineRule="auto"/>
      <w:ind w:firstLine="709"/>
    </w:pPr>
    <w:rPr>
      <w:rFonts w:ascii="Times New Roman" w:eastAsia="Times New Roman" w:hAnsi="Times New Roman"/>
      <w:sz w:val="20"/>
      <w:szCs w:val="20"/>
      <w:lang w:eastAsia="ru-RU"/>
    </w:rPr>
  </w:style>
  <w:style w:type="character" w:customStyle="1" w:styleId="afb">
    <w:name w:val="Текст концевой сноски Знак"/>
    <w:basedOn w:val="a0"/>
    <w:link w:val="afa"/>
    <w:rsid w:val="00DB1E78"/>
    <w:rPr>
      <w:rFonts w:ascii="Times New Roman" w:eastAsia="Times New Roman" w:hAnsi="Times New Roman" w:cs="Times New Roman"/>
      <w:sz w:val="20"/>
      <w:szCs w:val="20"/>
      <w:lang w:eastAsia="ru-RU" w:bidi="ar-SA"/>
    </w:rPr>
  </w:style>
  <w:style w:type="character" w:customStyle="1" w:styleId="52">
    <w:name w:val="Основной текст (5) + Курсив"/>
    <w:rsid w:val="00DB1E78"/>
    <w:rPr>
      <w:rFonts w:ascii="Times New Roman" w:eastAsia="Times New Roman" w:hAnsi="Times New Roman" w:cs="Arial Narrow"/>
      <w:b w:val="0"/>
      <w:bCs w:val="0"/>
      <w:i/>
      <w:iCs/>
      <w:smallCaps w:val="0"/>
      <w:strike w:val="0"/>
      <w:color w:val="000000"/>
      <w:spacing w:val="0"/>
      <w:w w:val="100"/>
      <w:position w:val="0"/>
      <w:sz w:val="16"/>
      <w:szCs w:val="16"/>
      <w:u w:val="none"/>
      <w:shd w:val="clear" w:color="auto" w:fill="FFFFFF"/>
      <w:lang w:val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://www.europa.eu.int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651</Words>
  <Characters>3714</Characters>
  <Application>Microsoft Office Word</Application>
  <DocSecurity>0</DocSecurity>
  <Lines>30</Lines>
  <Paragraphs>8</Paragraphs>
  <ScaleCrop>false</ScaleCrop>
  <Company>None</Company>
  <LinksUpToDate>false</LinksUpToDate>
  <CharactersWithSpaces>4357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dmitrun'</dc:creator>
  <cp:keywords/>
  <dc:description/>
  <cp:lastModifiedBy>dmitrun'</cp:lastModifiedBy>
  <cp:revision>3</cp:revision>
  <dcterms:created xsi:type="dcterms:W3CDTF">2013-09-26T12:25:00Z</dcterms:created>
  <dcterms:modified xsi:type="dcterms:W3CDTF">2013-09-26T13:08:00Z</dcterms:modified>
</cp:coreProperties>
</file>