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A96" w:rsidRPr="00F17A96" w:rsidRDefault="00F17A96" w:rsidP="00F17A96">
      <w:pPr>
        <w:pStyle w:val="1"/>
        <w:spacing w:before="0"/>
        <w:jc w:val="center"/>
        <w:rPr>
          <w:rFonts w:ascii="Verdana" w:hAnsi="Verdana"/>
          <w:sz w:val="24"/>
          <w:szCs w:val="24"/>
          <w:lang w:val="ru-RU"/>
        </w:rPr>
      </w:pPr>
      <w:bookmarkStart w:id="0" w:name="_Toc352106180"/>
      <w:r w:rsidRPr="00F17A96">
        <w:rPr>
          <w:rFonts w:ascii="Verdana" w:hAnsi="Verdana"/>
          <w:sz w:val="24"/>
          <w:szCs w:val="24"/>
          <w:lang w:val="ru-RU"/>
        </w:rPr>
        <w:t>Аналіз моделей поведінки споживачів</w:t>
      </w:r>
      <w:bookmarkEnd w:id="0"/>
    </w:p>
    <w:p w:rsidR="00F17A96" w:rsidRPr="00F17A96" w:rsidRDefault="00F17A96" w:rsidP="00F17A96">
      <w:pPr>
        <w:pStyle w:val="1"/>
        <w:spacing w:before="0"/>
        <w:jc w:val="center"/>
        <w:rPr>
          <w:rFonts w:ascii="Verdana" w:hAnsi="Verdana"/>
          <w:b w:val="0"/>
          <w:sz w:val="22"/>
          <w:szCs w:val="22"/>
          <w:lang w:val="ru-RU"/>
        </w:rPr>
      </w:pPr>
      <w:bookmarkStart w:id="1" w:name="_Toc352106181"/>
      <w:r w:rsidRPr="00F17A96">
        <w:rPr>
          <w:rFonts w:ascii="Verdana" w:hAnsi="Verdana"/>
          <w:b w:val="0"/>
          <w:sz w:val="22"/>
          <w:szCs w:val="22"/>
          <w:lang w:val="ru-RU"/>
        </w:rPr>
        <w:t>Кирик В.М.</w:t>
      </w:r>
      <w:bookmarkEnd w:id="1"/>
    </w:p>
    <w:p w:rsidR="00F17A96" w:rsidRPr="000275C2" w:rsidRDefault="00F17A96" w:rsidP="00F17A96">
      <w:pPr>
        <w:pStyle w:val="12"/>
        <w:rPr>
          <w:rFonts w:ascii="Verdana" w:hAnsi="Verdana" w:cs="Arial"/>
          <w:b/>
          <w:sz w:val="22"/>
          <w:szCs w:val="22"/>
        </w:rPr>
      </w:pPr>
      <w:r w:rsidRPr="000275C2">
        <w:rPr>
          <w:rFonts w:ascii="Verdana" w:hAnsi="Verdana" w:cs="Arial"/>
          <w:b/>
          <w:sz w:val="22"/>
          <w:szCs w:val="22"/>
        </w:rPr>
        <w:t xml:space="preserve">Національний технічний університет України «КПІ» </w:t>
      </w:r>
    </w:p>
    <w:p w:rsidR="00F17A96" w:rsidRPr="000275C2" w:rsidRDefault="00F17A96" w:rsidP="00F17A96">
      <w:pPr>
        <w:spacing w:after="0" w:line="240" w:lineRule="auto"/>
        <w:contextualSpacing/>
        <w:jc w:val="center"/>
        <w:rPr>
          <w:rFonts w:ascii="Verdana" w:hAnsi="Verdana"/>
          <w:i/>
        </w:rPr>
      </w:pPr>
      <w:r w:rsidRPr="000275C2">
        <w:rPr>
          <w:rFonts w:ascii="Verdana" w:hAnsi="Verdana"/>
          <w:i/>
        </w:rPr>
        <w:t xml:space="preserve">E-mail: </w:t>
      </w:r>
      <w:hyperlink r:id="rId7" w:history="1">
        <w:r w:rsidRPr="000275C2">
          <w:rPr>
            <w:rStyle w:val="af4"/>
            <w:rFonts w:ascii="Verdana" w:hAnsi="Verdana"/>
            <w:i/>
            <w:color w:val="auto"/>
          </w:rPr>
          <w:t>Tipochek123@ukr.net</w:t>
        </w:r>
      </w:hyperlink>
    </w:p>
    <w:p w:rsidR="00F17A96" w:rsidRPr="000275C2" w:rsidRDefault="00F17A96" w:rsidP="00F17A96">
      <w:pPr>
        <w:spacing w:after="0" w:line="240" w:lineRule="auto"/>
        <w:jc w:val="center"/>
        <w:rPr>
          <w:rFonts w:ascii="Verdana" w:hAnsi="Verdana"/>
        </w:rPr>
      </w:pPr>
      <w:r w:rsidRPr="000275C2">
        <w:rPr>
          <w:rFonts w:ascii="Verdana" w:hAnsi="Verdana"/>
        </w:rPr>
        <w:t>Науковий керівник: д.ф-м. н., проф. Солнцев С.О.</w:t>
      </w:r>
    </w:p>
    <w:p w:rsidR="00F17A96" w:rsidRPr="000275C2" w:rsidRDefault="00F17A96" w:rsidP="00F17A96">
      <w:pPr>
        <w:spacing w:after="0" w:line="240" w:lineRule="auto"/>
        <w:ind w:firstLine="567"/>
        <w:jc w:val="both"/>
        <w:rPr>
          <w:rFonts w:ascii="Verdana" w:hAnsi="Verdana"/>
          <w:sz w:val="18"/>
          <w:szCs w:val="18"/>
        </w:rPr>
      </w:pPr>
      <w:r w:rsidRPr="000275C2">
        <w:rPr>
          <w:rFonts w:ascii="Verdana" w:hAnsi="Verdana"/>
          <w:sz w:val="18"/>
          <w:szCs w:val="18"/>
        </w:rPr>
        <w:t>Ринок України поступово переходить зі стадії «ринок продавця» в стадію «ринок покупця». Для того щоб пізнати споживачів продавцю необхідно розуміти їх мотиви, фактори, які впливають на рішення про покупку. Але цього не достатньо. Для того щоб успішно конкурувати на ринку продавцю необхідно проводити постійний моніторинг та своєчасно передбачати зміни в споживацьких уподобаннях, вносити зміни в сам продукт та комплекс маркетингу.</w:t>
      </w:r>
    </w:p>
    <w:p w:rsidR="00F17A96" w:rsidRPr="000275C2" w:rsidRDefault="00F17A96" w:rsidP="00F17A96">
      <w:pPr>
        <w:spacing w:after="0" w:line="240" w:lineRule="auto"/>
        <w:ind w:firstLine="567"/>
        <w:jc w:val="both"/>
        <w:rPr>
          <w:rFonts w:ascii="Verdana" w:hAnsi="Verdana"/>
          <w:sz w:val="18"/>
          <w:szCs w:val="18"/>
        </w:rPr>
      </w:pPr>
      <w:r w:rsidRPr="000275C2">
        <w:rPr>
          <w:rFonts w:ascii="Verdana" w:hAnsi="Verdana"/>
          <w:sz w:val="18"/>
          <w:szCs w:val="18"/>
        </w:rPr>
        <w:t>Для цього слід з’ясувати як, де і чому здійснюється покупка, ступінь важливості різних критеріїв товару на різних етапах прийняття рішення про покупку. Інформація про поведінку  різних груп споживачів в процесі та після здійснення покупки важлива для правильного аналізу даних про продажі, оцінки результатів позиціонування товару.</w:t>
      </w:r>
    </w:p>
    <w:p w:rsidR="00F17A96" w:rsidRPr="000275C2" w:rsidRDefault="00F17A96" w:rsidP="00F17A96">
      <w:pPr>
        <w:spacing w:after="0" w:line="240" w:lineRule="auto"/>
        <w:ind w:firstLine="567"/>
        <w:jc w:val="both"/>
        <w:rPr>
          <w:rFonts w:ascii="Verdana" w:hAnsi="Verdana"/>
          <w:sz w:val="18"/>
          <w:szCs w:val="18"/>
        </w:rPr>
      </w:pPr>
      <w:r w:rsidRPr="000275C2">
        <w:rPr>
          <w:rFonts w:ascii="Verdana" w:hAnsi="Verdana"/>
          <w:sz w:val="18"/>
          <w:szCs w:val="18"/>
        </w:rPr>
        <w:t>Розрізняють економічну, соціологічну та психологічну моделі.</w:t>
      </w:r>
    </w:p>
    <w:p w:rsidR="00F17A96" w:rsidRPr="000275C2" w:rsidRDefault="00F17A96" w:rsidP="00F17A96">
      <w:pPr>
        <w:spacing w:after="0" w:line="240" w:lineRule="auto"/>
        <w:ind w:firstLine="567"/>
        <w:jc w:val="both"/>
        <w:rPr>
          <w:rFonts w:ascii="Verdana" w:hAnsi="Verdana"/>
          <w:sz w:val="18"/>
          <w:szCs w:val="18"/>
        </w:rPr>
      </w:pPr>
      <w:r w:rsidRPr="000275C2">
        <w:rPr>
          <w:rFonts w:ascii="Verdana" w:hAnsi="Verdana"/>
          <w:sz w:val="18"/>
          <w:szCs w:val="18"/>
        </w:rPr>
        <w:t>Економічна модель базується на твердженнях, що споживач раціональний та послідовний у своєму виборі. При здійсненні покупки споживач керується власними твердженнями про максимальну корисність  та вигоду, яку несе товар. Найбільш важливими факторами даної моделі є рівень доходу споживача, ціна товару та витрати на експлуатацію.</w:t>
      </w:r>
    </w:p>
    <w:p w:rsidR="00F17A96" w:rsidRPr="000275C2" w:rsidRDefault="00F17A96" w:rsidP="00F17A96">
      <w:pPr>
        <w:spacing w:after="0" w:line="240" w:lineRule="auto"/>
        <w:ind w:firstLine="567"/>
        <w:jc w:val="both"/>
        <w:rPr>
          <w:rFonts w:ascii="Verdana" w:hAnsi="Verdana"/>
          <w:sz w:val="18"/>
          <w:szCs w:val="18"/>
        </w:rPr>
      </w:pPr>
      <w:r w:rsidRPr="000275C2">
        <w:rPr>
          <w:rFonts w:ascii="Verdana" w:hAnsi="Verdana"/>
          <w:sz w:val="18"/>
          <w:szCs w:val="18"/>
        </w:rPr>
        <w:t xml:space="preserve">Соціальна модель базується на твердженні, що основну роль в споживацькій поведінці відіграє громадське середовище, яке оточує споживача або до якого він хотів би належати. До факторів даної моделі відносять: культуру, соціальні класи, референтні групи, сім’ю, роль та статус споживача. </w:t>
      </w:r>
    </w:p>
    <w:p w:rsidR="00F17A96" w:rsidRPr="000275C2" w:rsidRDefault="00F17A96" w:rsidP="00F17A96">
      <w:pPr>
        <w:spacing w:after="0" w:line="240" w:lineRule="auto"/>
        <w:ind w:firstLine="567"/>
        <w:jc w:val="both"/>
        <w:rPr>
          <w:rFonts w:ascii="Verdana" w:hAnsi="Verdana"/>
          <w:sz w:val="18"/>
          <w:szCs w:val="18"/>
        </w:rPr>
      </w:pPr>
      <w:r w:rsidRPr="000275C2">
        <w:rPr>
          <w:rFonts w:ascii="Verdana" w:hAnsi="Verdana"/>
          <w:sz w:val="18"/>
          <w:szCs w:val="18"/>
        </w:rPr>
        <w:t>Психологічна модель враховує вплив на поведінку споживача наступних факторів: тип особистості, життєвого досвіду, думку про власну особу, сприйняття навколишнього світу, установки споживача та його переконання.[1]</w:t>
      </w:r>
    </w:p>
    <w:p w:rsidR="00F17A96" w:rsidRPr="000275C2" w:rsidRDefault="00F17A96" w:rsidP="00F17A96">
      <w:pPr>
        <w:spacing w:after="0" w:line="240" w:lineRule="auto"/>
        <w:ind w:firstLine="567"/>
        <w:jc w:val="both"/>
        <w:rPr>
          <w:rFonts w:ascii="Verdana" w:hAnsi="Verdana"/>
          <w:sz w:val="18"/>
          <w:szCs w:val="18"/>
          <w:lang w:val="en-US"/>
        </w:rPr>
      </w:pPr>
      <w:r w:rsidRPr="000275C2">
        <w:rPr>
          <w:rFonts w:ascii="Verdana" w:hAnsi="Verdana"/>
          <w:sz w:val="18"/>
          <w:szCs w:val="18"/>
        </w:rPr>
        <w:t>Також важливою є модель Ф. Котлера, яка відображає зв'язок між основними інструментами маркетингу (товар, ціна, збут, просування) та відповідною реакцією споживача. Пройшовши через «чорний ящик» свідомості покупця, спонукальні та інші фактори викликають ряд купівельних реакцій. Завдання полягає в тому, щоб за даними спостереженнями зрозуміти, що відбувається в «чорному ящику» свідомості споживача. Розгорнута модель поведінки споживача зображена на рис 1.1.[</w:t>
      </w:r>
      <w:r w:rsidRPr="000275C2">
        <w:rPr>
          <w:rFonts w:ascii="Verdana" w:hAnsi="Verdana"/>
          <w:sz w:val="18"/>
          <w:szCs w:val="18"/>
          <w:lang w:val="en-US"/>
        </w:rPr>
        <w:t>2</w:t>
      </w:r>
      <w:r w:rsidRPr="000275C2">
        <w:rPr>
          <w:rFonts w:ascii="Verdana" w:hAnsi="Verdana"/>
          <w:sz w:val="18"/>
          <w:szCs w:val="18"/>
        </w:rPr>
        <w:t>]</w:t>
      </w:r>
    </w:p>
    <w:p w:rsidR="00F17A96" w:rsidRPr="000275C2" w:rsidRDefault="00F17A96" w:rsidP="00F17A96">
      <w:pPr>
        <w:spacing w:after="0" w:line="240" w:lineRule="auto"/>
        <w:ind w:firstLine="567"/>
        <w:jc w:val="both"/>
        <w:rPr>
          <w:rFonts w:ascii="Verdana" w:hAnsi="Verdana"/>
          <w:sz w:val="18"/>
          <w:szCs w:val="18"/>
        </w:rPr>
      </w:pPr>
    </w:p>
    <w:tbl>
      <w:tblPr>
        <w:tblW w:w="0" w:type="auto"/>
        <w:jc w:val="center"/>
        <w:tblCellSpacing w:w="0" w:type="dxa"/>
        <w:tblBorders>
          <w:top w:val="outset" w:sz="6" w:space="0" w:color="auto"/>
          <w:left w:val="outset" w:sz="6" w:space="0" w:color="auto"/>
          <w:bottom w:val="outset" w:sz="6" w:space="0" w:color="auto"/>
          <w:right w:val="outset" w:sz="6" w:space="0" w:color="auto"/>
        </w:tblBorders>
        <w:shd w:val="clear" w:color="auto" w:fill="FFFFFF"/>
        <w:tblLayout w:type="fixed"/>
        <w:tblCellMar>
          <w:left w:w="0" w:type="dxa"/>
          <w:right w:w="0" w:type="dxa"/>
        </w:tblCellMar>
        <w:tblLook w:val="04A0"/>
      </w:tblPr>
      <w:tblGrid>
        <w:gridCol w:w="1858"/>
        <w:gridCol w:w="2126"/>
        <w:gridCol w:w="1560"/>
        <w:gridCol w:w="1417"/>
        <w:gridCol w:w="2395"/>
      </w:tblGrid>
      <w:tr w:rsidR="00F17A96" w:rsidRPr="000275C2" w:rsidTr="005C20DB">
        <w:trPr>
          <w:trHeight w:val="693"/>
          <w:tblCellSpacing w:w="0" w:type="dxa"/>
          <w:jc w:val="center"/>
        </w:trPr>
        <w:tc>
          <w:tcPr>
            <w:tcW w:w="1858" w:type="dxa"/>
            <w:tcBorders>
              <w:top w:val="outset" w:sz="6" w:space="0" w:color="auto"/>
              <w:left w:val="outset" w:sz="6" w:space="0" w:color="auto"/>
              <w:bottom w:val="outset" w:sz="6" w:space="0" w:color="auto"/>
              <w:right w:val="outset" w:sz="6" w:space="0" w:color="auto"/>
            </w:tcBorders>
            <w:shd w:val="clear" w:color="auto" w:fill="FFFFFF"/>
          </w:tcPr>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Спонукальні фактори маркетингу</w:t>
            </w:r>
          </w:p>
        </w:tc>
        <w:tc>
          <w:tcPr>
            <w:tcW w:w="2126" w:type="dxa"/>
            <w:tcBorders>
              <w:top w:val="outset" w:sz="6" w:space="0" w:color="auto"/>
              <w:left w:val="outset" w:sz="6" w:space="0" w:color="auto"/>
              <w:bottom w:val="outset" w:sz="6" w:space="0" w:color="auto"/>
              <w:right w:val="outset" w:sz="6" w:space="0" w:color="auto"/>
            </w:tcBorders>
            <w:shd w:val="clear" w:color="auto" w:fill="FFFFFF"/>
          </w:tcPr>
          <w:p w:rsidR="00F17A96" w:rsidRPr="000275C2" w:rsidRDefault="00F17A96" w:rsidP="005C20DB">
            <w:pPr>
              <w:spacing w:after="0" w:line="240" w:lineRule="auto"/>
              <w:ind w:firstLine="450"/>
              <w:jc w:val="center"/>
              <w:rPr>
                <w:rFonts w:ascii="Verdana" w:hAnsi="Verdana"/>
                <w:sz w:val="18"/>
                <w:szCs w:val="18"/>
                <w:lang w:eastAsia="uk-UA"/>
              </w:rPr>
            </w:pPr>
            <w:r w:rsidRPr="000275C2">
              <w:rPr>
                <w:rFonts w:ascii="Verdana" w:hAnsi="Verdana"/>
                <w:sz w:val="18"/>
                <w:szCs w:val="18"/>
                <w:lang w:eastAsia="uk-UA"/>
              </w:rPr>
              <w:t>Інші збудники</w:t>
            </w:r>
          </w:p>
        </w:tc>
        <w:tc>
          <w:tcPr>
            <w:tcW w:w="2977" w:type="dxa"/>
            <w:gridSpan w:val="2"/>
            <w:tcBorders>
              <w:top w:val="outset" w:sz="6" w:space="0" w:color="auto"/>
              <w:left w:val="outset" w:sz="6" w:space="0" w:color="auto"/>
              <w:bottom w:val="outset" w:sz="6" w:space="0" w:color="auto"/>
              <w:right w:val="outset" w:sz="6" w:space="0" w:color="auto"/>
            </w:tcBorders>
            <w:shd w:val="clear" w:color="auto" w:fill="FFFFFF"/>
          </w:tcPr>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«Чорний ящик» свідомості споживача</w:t>
            </w:r>
          </w:p>
        </w:tc>
        <w:tc>
          <w:tcPr>
            <w:tcW w:w="2395" w:type="dxa"/>
            <w:tcBorders>
              <w:top w:val="outset" w:sz="6" w:space="0" w:color="auto"/>
              <w:left w:val="outset" w:sz="6" w:space="0" w:color="auto"/>
              <w:bottom w:val="outset" w:sz="6" w:space="0" w:color="auto"/>
              <w:right w:val="outset" w:sz="6" w:space="0" w:color="auto"/>
            </w:tcBorders>
            <w:shd w:val="clear" w:color="auto" w:fill="FFFFFF"/>
          </w:tcPr>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Реакції споживача у відповідь на збудники</w:t>
            </w:r>
          </w:p>
        </w:tc>
      </w:tr>
      <w:tr w:rsidR="00F17A96" w:rsidRPr="000275C2" w:rsidTr="005C20DB">
        <w:trPr>
          <w:trHeight w:val="1115"/>
          <w:tblCellSpacing w:w="0" w:type="dxa"/>
          <w:jc w:val="center"/>
        </w:trPr>
        <w:tc>
          <w:tcPr>
            <w:tcW w:w="1858" w:type="dxa"/>
            <w:tcBorders>
              <w:top w:val="outset" w:sz="6" w:space="0" w:color="auto"/>
              <w:left w:val="outset" w:sz="6" w:space="0" w:color="auto"/>
              <w:bottom w:val="outset" w:sz="6" w:space="0" w:color="auto"/>
              <w:right w:val="outset" w:sz="6" w:space="0" w:color="auto"/>
            </w:tcBorders>
            <w:shd w:val="clear" w:color="auto" w:fill="FFFFFF"/>
          </w:tcPr>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Товар</w:t>
            </w:r>
          </w:p>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Ціна</w:t>
            </w:r>
          </w:p>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Збут</w:t>
            </w:r>
          </w:p>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Просування</w:t>
            </w:r>
          </w:p>
        </w:tc>
        <w:tc>
          <w:tcPr>
            <w:tcW w:w="2126" w:type="dxa"/>
            <w:tcBorders>
              <w:top w:val="outset" w:sz="6" w:space="0" w:color="auto"/>
              <w:left w:val="outset" w:sz="6" w:space="0" w:color="auto"/>
              <w:bottom w:val="outset" w:sz="6" w:space="0" w:color="auto"/>
              <w:right w:val="outset" w:sz="6" w:space="0" w:color="auto"/>
            </w:tcBorders>
            <w:shd w:val="clear" w:color="auto" w:fill="FFFFFF"/>
          </w:tcPr>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Економічні</w:t>
            </w:r>
          </w:p>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Науково-технічні</w:t>
            </w:r>
          </w:p>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Політичні</w:t>
            </w:r>
          </w:p>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Культурні</w:t>
            </w:r>
          </w:p>
        </w:tc>
        <w:tc>
          <w:tcPr>
            <w:tcW w:w="1560" w:type="dxa"/>
            <w:tcBorders>
              <w:top w:val="outset" w:sz="6" w:space="0" w:color="auto"/>
              <w:left w:val="outset" w:sz="6" w:space="0" w:color="auto"/>
              <w:bottom w:val="outset" w:sz="6" w:space="0" w:color="auto"/>
              <w:right w:val="outset" w:sz="6" w:space="0" w:color="auto"/>
            </w:tcBorders>
            <w:shd w:val="clear" w:color="auto" w:fill="FFFFFF"/>
          </w:tcPr>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Характеристики покупця</w:t>
            </w:r>
          </w:p>
        </w:tc>
        <w:tc>
          <w:tcPr>
            <w:tcW w:w="1417" w:type="dxa"/>
            <w:tcBorders>
              <w:top w:val="outset" w:sz="6" w:space="0" w:color="auto"/>
              <w:left w:val="outset" w:sz="6" w:space="0" w:color="auto"/>
              <w:bottom w:val="outset" w:sz="6" w:space="0" w:color="auto"/>
              <w:right w:val="outset" w:sz="6" w:space="0" w:color="auto"/>
            </w:tcBorders>
            <w:shd w:val="clear" w:color="auto" w:fill="FFFFFF"/>
          </w:tcPr>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Процес прийняття рішення покупцем</w:t>
            </w:r>
          </w:p>
        </w:tc>
        <w:tc>
          <w:tcPr>
            <w:tcW w:w="2395" w:type="dxa"/>
            <w:tcBorders>
              <w:top w:val="outset" w:sz="6" w:space="0" w:color="auto"/>
              <w:left w:val="outset" w:sz="6" w:space="0" w:color="auto"/>
              <w:bottom w:val="outset" w:sz="6" w:space="0" w:color="auto"/>
              <w:right w:val="outset" w:sz="6" w:space="0" w:color="auto"/>
            </w:tcBorders>
            <w:shd w:val="clear" w:color="auto" w:fill="FFFFFF"/>
          </w:tcPr>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Вибір товару</w:t>
            </w:r>
          </w:p>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Вибір марки</w:t>
            </w:r>
          </w:p>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Вибір дилера</w:t>
            </w:r>
          </w:p>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Вибір часу покупки</w:t>
            </w:r>
          </w:p>
          <w:p w:rsidR="00F17A96" w:rsidRPr="000275C2" w:rsidRDefault="00F17A96" w:rsidP="005C20DB">
            <w:pPr>
              <w:spacing w:after="0" w:line="240" w:lineRule="auto"/>
              <w:jc w:val="center"/>
              <w:rPr>
                <w:rFonts w:ascii="Verdana" w:hAnsi="Verdana"/>
                <w:sz w:val="18"/>
                <w:szCs w:val="18"/>
                <w:lang w:eastAsia="uk-UA"/>
              </w:rPr>
            </w:pPr>
            <w:r w:rsidRPr="000275C2">
              <w:rPr>
                <w:rFonts w:ascii="Verdana" w:hAnsi="Verdana"/>
                <w:sz w:val="18"/>
                <w:szCs w:val="18"/>
                <w:lang w:eastAsia="uk-UA"/>
              </w:rPr>
              <w:t>Вибір об'єкту покупки</w:t>
            </w:r>
          </w:p>
        </w:tc>
      </w:tr>
    </w:tbl>
    <w:p w:rsidR="00F17A96" w:rsidRPr="000275C2" w:rsidRDefault="00F17A96" w:rsidP="00F17A96">
      <w:pPr>
        <w:spacing w:after="0" w:line="240" w:lineRule="auto"/>
        <w:ind w:firstLine="567"/>
        <w:jc w:val="center"/>
        <w:rPr>
          <w:rFonts w:ascii="Verdana" w:hAnsi="Verdana"/>
          <w:sz w:val="18"/>
          <w:szCs w:val="18"/>
        </w:rPr>
      </w:pPr>
      <w:r w:rsidRPr="000275C2">
        <w:rPr>
          <w:rFonts w:ascii="Verdana" w:hAnsi="Verdana"/>
          <w:sz w:val="18"/>
          <w:szCs w:val="18"/>
        </w:rPr>
        <w:t>Рис. 1.1. Модель чорного ящика Ф. Котлера</w:t>
      </w:r>
    </w:p>
    <w:p w:rsidR="00F17A96" w:rsidRPr="000275C2" w:rsidRDefault="00F17A96" w:rsidP="00F17A96">
      <w:pPr>
        <w:spacing w:after="0" w:line="240" w:lineRule="auto"/>
        <w:ind w:firstLine="567"/>
        <w:jc w:val="center"/>
        <w:rPr>
          <w:rFonts w:ascii="Verdana" w:hAnsi="Verdana"/>
          <w:sz w:val="18"/>
          <w:szCs w:val="18"/>
        </w:rPr>
      </w:pPr>
    </w:p>
    <w:p w:rsidR="00F17A96" w:rsidRPr="000275C2" w:rsidRDefault="00F17A96" w:rsidP="00F17A96">
      <w:pPr>
        <w:spacing w:after="0" w:line="240" w:lineRule="auto"/>
        <w:ind w:firstLine="567"/>
        <w:jc w:val="both"/>
        <w:rPr>
          <w:rFonts w:ascii="Verdana" w:hAnsi="Verdana"/>
          <w:sz w:val="18"/>
          <w:szCs w:val="18"/>
        </w:rPr>
      </w:pPr>
      <w:r w:rsidRPr="000275C2">
        <w:rPr>
          <w:rFonts w:ascii="Verdana" w:hAnsi="Verdana"/>
          <w:sz w:val="18"/>
          <w:szCs w:val="18"/>
        </w:rPr>
        <w:t>Також важливою є модель, яку запропонували Д. Хокінс, Р. Бетс та К. Коні. Основу цієї моделі складає процес прийняття рішень споживачами та фактори, які його визначають. Вважається, що вихідною точкою споживацької поведінки є життєвий (організаційний) стиль. Вважається, що кінцеві споживачі та організації купують для того, щоб покращити свій життєвий (організаційний) стиль.[3]</w:t>
      </w:r>
    </w:p>
    <w:p w:rsidR="00F17A96" w:rsidRPr="000275C2" w:rsidRDefault="00F17A96" w:rsidP="00F17A96">
      <w:pPr>
        <w:spacing w:after="0" w:line="240" w:lineRule="auto"/>
        <w:ind w:firstLine="567"/>
        <w:jc w:val="both"/>
        <w:rPr>
          <w:rFonts w:ascii="Verdana" w:hAnsi="Verdana"/>
          <w:sz w:val="18"/>
          <w:szCs w:val="18"/>
        </w:rPr>
      </w:pPr>
      <w:r w:rsidRPr="000275C2">
        <w:rPr>
          <w:rFonts w:ascii="Verdana" w:hAnsi="Verdana"/>
          <w:sz w:val="18"/>
          <w:szCs w:val="18"/>
        </w:rPr>
        <w:t xml:space="preserve">Таким чином, перед підприємством виникають проблеми: вибір підходу до розробки моделі поведінки споживача, вибір факторів, на які можна вплинути маркетинговими заходами. Моделювання споживчої поведінки дозволить підприємству розібратися, як споживачі реагують на спонукальні фактори маркетингу. Дана інформація допоможе підприємству успішно функціонувати на ринку і являється вагомою конкурентною перевагою.   </w:t>
      </w:r>
    </w:p>
    <w:p w:rsidR="00F17A96" w:rsidRPr="000275C2" w:rsidRDefault="00F17A96" w:rsidP="00F17A96">
      <w:pPr>
        <w:spacing w:after="0" w:line="240" w:lineRule="auto"/>
        <w:ind w:firstLine="567"/>
        <w:jc w:val="both"/>
        <w:rPr>
          <w:rFonts w:ascii="Verdana" w:hAnsi="Verdana"/>
          <w:b/>
          <w:sz w:val="18"/>
          <w:szCs w:val="18"/>
        </w:rPr>
      </w:pPr>
      <w:r w:rsidRPr="000275C2">
        <w:rPr>
          <w:rFonts w:ascii="Verdana" w:hAnsi="Verdana"/>
          <w:b/>
          <w:sz w:val="18"/>
          <w:szCs w:val="18"/>
        </w:rPr>
        <w:t>Список літератури:</w:t>
      </w:r>
    </w:p>
    <w:p w:rsidR="00F17A96" w:rsidRPr="000275C2" w:rsidRDefault="00F17A96" w:rsidP="00F17A96">
      <w:pPr>
        <w:spacing w:after="0" w:line="240" w:lineRule="auto"/>
        <w:ind w:firstLine="284"/>
        <w:jc w:val="both"/>
        <w:rPr>
          <w:rFonts w:ascii="Verdana" w:hAnsi="Verdana"/>
          <w:sz w:val="18"/>
          <w:szCs w:val="18"/>
          <w:shd w:val="clear" w:color="auto" w:fill="FFFFFF"/>
        </w:rPr>
      </w:pPr>
      <w:r w:rsidRPr="000275C2">
        <w:rPr>
          <w:rFonts w:ascii="Verdana" w:hAnsi="Verdana"/>
          <w:sz w:val="18"/>
          <w:szCs w:val="18"/>
          <w:shd w:val="clear" w:color="auto" w:fill="FFFFFF"/>
        </w:rPr>
        <w:t xml:space="preserve">1. Гальчинський А. С., Єщенко П. С., Палкін Ю. І. Основи економічної теорії: Підручник. - К.: </w:t>
      </w:r>
    </w:p>
    <w:p w:rsidR="00F17A96" w:rsidRPr="000275C2" w:rsidRDefault="00F17A96" w:rsidP="00F17A96">
      <w:pPr>
        <w:spacing w:after="0" w:line="240" w:lineRule="auto"/>
        <w:ind w:firstLine="284"/>
        <w:jc w:val="both"/>
        <w:rPr>
          <w:rFonts w:ascii="Verdana" w:hAnsi="Verdana"/>
          <w:sz w:val="18"/>
          <w:szCs w:val="18"/>
          <w:shd w:val="clear" w:color="auto" w:fill="FFFFFF"/>
        </w:rPr>
      </w:pPr>
      <w:r w:rsidRPr="000275C2">
        <w:rPr>
          <w:rFonts w:ascii="Verdana" w:hAnsi="Verdana"/>
          <w:sz w:val="18"/>
          <w:szCs w:val="18"/>
          <w:shd w:val="clear" w:color="auto" w:fill="FFFFFF"/>
        </w:rPr>
        <w:t>2. Котлер Ф. Маркетинг менеджмент. Экспресс-курс. 2-е изд. / Пер. с англ. под ред. С. Г. Божук . — СПб .: Питер, 2006. – 464 с.</w:t>
      </w:r>
    </w:p>
    <w:p w:rsidR="00F17A96" w:rsidRPr="000275C2" w:rsidRDefault="00F17A96" w:rsidP="00F17A96">
      <w:pPr>
        <w:spacing w:after="0" w:line="240" w:lineRule="auto"/>
        <w:ind w:firstLine="284"/>
        <w:jc w:val="both"/>
        <w:rPr>
          <w:rFonts w:ascii="Verdana" w:hAnsi="Verdana"/>
          <w:sz w:val="18"/>
          <w:szCs w:val="18"/>
          <w:shd w:val="clear" w:color="auto" w:fill="FFFFFF"/>
        </w:rPr>
      </w:pPr>
      <w:r w:rsidRPr="000275C2">
        <w:rPr>
          <w:rFonts w:ascii="Verdana" w:hAnsi="Verdana"/>
          <w:sz w:val="18"/>
          <w:szCs w:val="18"/>
          <w:shd w:val="clear" w:color="auto" w:fill="FFFFFF"/>
        </w:rPr>
        <w:t>Вища школа, 1995. – 471 с.</w:t>
      </w:r>
    </w:p>
    <w:p w:rsidR="00F17A96" w:rsidRPr="000275C2" w:rsidRDefault="00F17A96" w:rsidP="00F17A96">
      <w:pPr>
        <w:spacing w:after="0" w:line="240" w:lineRule="auto"/>
        <w:ind w:firstLine="284"/>
        <w:jc w:val="both"/>
        <w:rPr>
          <w:rFonts w:ascii="Verdana" w:hAnsi="Verdana"/>
          <w:sz w:val="18"/>
          <w:szCs w:val="18"/>
        </w:rPr>
      </w:pPr>
      <w:r w:rsidRPr="000275C2">
        <w:rPr>
          <w:rFonts w:ascii="Verdana" w:hAnsi="Verdana"/>
          <w:sz w:val="18"/>
          <w:szCs w:val="18"/>
          <w:shd w:val="clear" w:color="auto" w:fill="FFFFFF"/>
        </w:rPr>
        <w:t>3. Экономическая теория: Учебник для вузов / К. Говард, Г. Журавлёва, Н. Эриашвили. - М.: Банки и биржи, ЮНИТИ, 1997. – 278 с.</w:t>
      </w:r>
    </w:p>
    <w:p w:rsidR="00F91554" w:rsidRPr="00F17A96" w:rsidRDefault="00F91554" w:rsidP="00F17A96"/>
    <w:sectPr w:rsidR="00F91554" w:rsidRPr="00F17A96" w:rsidSect="00987B23">
      <w:footerReference w:type="default" r:id="rId8"/>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22F9" w:rsidRDefault="00D422F9" w:rsidP="00842066">
      <w:pPr>
        <w:spacing w:after="0" w:line="240" w:lineRule="auto"/>
      </w:pPr>
      <w:r>
        <w:separator/>
      </w:r>
    </w:p>
  </w:endnote>
  <w:endnote w:type="continuationSeparator" w:id="1">
    <w:p w:rsidR="00D422F9" w:rsidRDefault="00D422F9"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F17A96">
        <w:pPr>
          <w:pStyle w:val="af7"/>
        </w:pPr>
        <w:r>
          <w:t>123</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22F9" w:rsidRDefault="00D422F9" w:rsidP="00842066">
      <w:pPr>
        <w:spacing w:after="0" w:line="240" w:lineRule="auto"/>
      </w:pPr>
      <w:r>
        <w:separator/>
      </w:r>
    </w:p>
  </w:footnote>
  <w:footnote w:type="continuationSeparator" w:id="1">
    <w:p w:rsidR="00D422F9" w:rsidRDefault="00D422F9"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1B25BB"/>
    <w:multiLevelType w:val="hybridMultilevel"/>
    <w:tmpl w:val="83BA10B8"/>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1">
    <w:nsid w:val="23202C46"/>
    <w:multiLevelType w:val="hybridMultilevel"/>
    <w:tmpl w:val="4470FC5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73669D2"/>
    <w:multiLevelType w:val="hybridMultilevel"/>
    <w:tmpl w:val="AC108D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3A72859"/>
    <w:multiLevelType w:val="hybridMultilevel"/>
    <w:tmpl w:val="69BE116E"/>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36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58950D5C"/>
    <w:multiLevelType w:val="hybridMultilevel"/>
    <w:tmpl w:val="05CE29B8"/>
    <w:lvl w:ilvl="0" w:tplc="A0D47E40">
      <w:start w:val="1"/>
      <w:numFmt w:val="decimal"/>
      <w:lvlText w:val="%1."/>
      <w:lvlJc w:val="left"/>
      <w:pPr>
        <w:tabs>
          <w:tab w:val="num" w:pos="927"/>
        </w:tabs>
        <w:ind w:left="927" w:hanging="360"/>
      </w:pPr>
      <w:rPr>
        <w:rFonts w:cs="Courier New" w:hint="default"/>
        <w:color w:val="000000"/>
        <w:sz w:val="20"/>
      </w:rPr>
    </w:lvl>
    <w:lvl w:ilvl="1" w:tplc="04190019">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num w:numId="1">
    <w:abstractNumId w:val="0"/>
  </w:num>
  <w:num w:numId="2">
    <w:abstractNumId w:val="3"/>
  </w:num>
  <w:num w:numId="3">
    <w:abstractNumId w:val="4"/>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222F0"/>
    <w:rsid w:val="00067DDC"/>
    <w:rsid w:val="000840AC"/>
    <w:rsid w:val="0009520C"/>
    <w:rsid w:val="000A4DF5"/>
    <w:rsid w:val="000A68DB"/>
    <w:rsid w:val="000B4355"/>
    <w:rsid w:val="000B59C8"/>
    <w:rsid w:val="000E0576"/>
    <w:rsid w:val="000E33ED"/>
    <w:rsid w:val="000F5DBB"/>
    <w:rsid w:val="00105C83"/>
    <w:rsid w:val="00162A35"/>
    <w:rsid w:val="001752C1"/>
    <w:rsid w:val="001C18CD"/>
    <w:rsid w:val="001C4033"/>
    <w:rsid w:val="001E180B"/>
    <w:rsid w:val="001F6A01"/>
    <w:rsid w:val="00202F3C"/>
    <w:rsid w:val="002073DB"/>
    <w:rsid w:val="00207D46"/>
    <w:rsid w:val="00211E3C"/>
    <w:rsid w:val="002156DF"/>
    <w:rsid w:val="002372C3"/>
    <w:rsid w:val="00253813"/>
    <w:rsid w:val="00256C18"/>
    <w:rsid w:val="002C00BE"/>
    <w:rsid w:val="002C3B8A"/>
    <w:rsid w:val="002E2CD6"/>
    <w:rsid w:val="002F1C3B"/>
    <w:rsid w:val="002F6A61"/>
    <w:rsid w:val="00300FFD"/>
    <w:rsid w:val="00336DE6"/>
    <w:rsid w:val="00343BCA"/>
    <w:rsid w:val="00374B02"/>
    <w:rsid w:val="00376112"/>
    <w:rsid w:val="003831FF"/>
    <w:rsid w:val="00397084"/>
    <w:rsid w:val="003B19C3"/>
    <w:rsid w:val="00404BAA"/>
    <w:rsid w:val="004464F7"/>
    <w:rsid w:val="0045151F"/>
    <w:rsid w:val="00455885"/>
    <w:rsid w:val="00466112"/>
    <w:rsid w:val="00472221"/>
    <w:rsid w:val="004828C7"/>
    <w:rsid w:val="00485B02"/>
    <w:rsid w:val="004C3C43"/>
    <w:rsid w:val="00500F25"/>
    <w:rsid w:val="00504985"/>
    <w:rsid w:val="00512354"/>
    <w:rsid w:val="00540221"/>
    <w:rsid w:val="00544C25"/>
    <w:rsid w:val="00570DD2"/>
    <w:rsid w:val="005751C9"/>
    <w:rsid w:val="005A2078"/>
    <w:rsid w:val="005B28B6"/>
    <w:rsid w:val="005D3369"/>
    <w:rsid w:val="005D64DE"/>
    <w:rsid w:val="005D6B51"/>
    <w:rsid w:val="00607A49"/>
    <w:rsid w:val="00651076"/>
    <w:rsid w:val="006573BB"/>
    <w:rsid w:val="006A7249"/>
    <w:rsid w:val="006B27E3"/>
    <w:rsid w:val="007059D9"/>
    <w:rsid w:val="00716B2C"/>
    <w:rsid w:val="007240F2"/>
    <w:rsid w:val="00733FAA"/>
    <w:rsid w:val="007353A6"/>
    <w:rsid w:val="00745BAB"/>
    <w:rsid w:val="007723B6"/>
    <w:rsid w:val="00772807"/>
    <w:rsid w:val="00777798"/>
    <w:rsid w:val="00793DEB"/>
    <w:rsid w:val="007C4E99"/>
    <w:rsid w:val="007E342D"/>
    <w:rsid w:val="007E50FE"/>
    <w:rsid w:val="00800172"/>
    <w:rsid w:val="00814DB4"/>
    <w:rsid w:val="00826639"/>
    <w:rsid w:val="00842066"/>
    <w:rsid w:val="00845D20"/>
    <w:rsid w:val="00884BD8"/>
    <w:rsid w:val="008A300E"/>
    <w:rsid w:val="008D5547"/>
    <w:rsid w:val="00925A57"/>
    <w:rsid w:val="00926C33"/>
    <w:rsid w:val="0092709B"/>
    <w:rsid w:val="00944C4B"/>
    <w:rsid w:val="009604D0"/>
    <w:rsid w:val="00961D19"/>
    <w:rsid w:val="009772C4"/>
    <w:rsid w:val="00977C49"/>
    <w:rsid w:val="0098493A"/>
    <w:rsid w:val="00987B23"/>
    <w:rsid w:val="00997453"/>
    <w:rsid w:val="009A0D1B"/>
    <w:rsid w:val="009C677F"/>
    <w:rsid w:val="009C75FC"/>
    <w:rsid w:val="009D2A18"/>
    <w:rsid w:val="009D434A"/>
    <w:rsid w:val="009E7F0F"/>
    <w:rsid w:val="00A1334D"/>
    <w:rsid w:val="00A15681"/>
    <w:rsid w:val="00A30455"/>
    <w:rsid w:val="00A52C1E"/>
    <w:rsid w:val="00A909B3"/>
    <w:rsid w:val="00A9671B"/>
    <w:rsid w:val="00AA4557"/>
    <w:rsid w:val="00AD1AD3"/>
    <w:rsid w:val="00AF21E6"/>
    <w:rsid w:val="00B078E6"/>
    <w:rsid w:val="00B1060C"/>
    <w:rsid w:val="00B10D8C"/>
    <w:rsid w:val="00B17F3E"/>
    <w:rsid w:val="00B2180B"/>
    <w:rsid w:val="00B26518"/>
    <w:rsid w:val="00B66B59"/>
    <w:rsid w:val="00B8770B"/>
    <w:rsid w:val="00BC0205"/>
    <w:rsid w:val="00BD129B"/>
    <w:rsid w:val="00BD3A78"/>
    <w:rsid w:val="00BD6F9F"/>
    <w:rsid w:val="00BE66C9"/>
    <w:rsid w:val="00C055CA"/>
    <w:rsid w:val="00C25F2A"/>
    <w:rsid w:val="00C431F4"/>
    <w:rsid w:val="00C43FFD"/>
    <w:rsid w:val="00C64378"/>
    <w:rsid w:val="00C646CF"/>
    <w:rsid w:val="00C65DB8"/>
    <w:rsid w:val="00C844A5"/>
    <w:rsid w:val="00C85B4E"/>
    <w:rsid w:val="00C97DA1"/>
    <w:rsid w:val="00CB3F13"/>
    <w:rsid w:val="00CD017A"/>
    <w:rsid w:val="00CD3499"/>
    <w:rsid w:val="00CE2014"/>
    <w:rsid w:val="00CE2709"/>
    <w:rsid w:val="00CE4BD2"/>
    <w:rsid w:val="00D14B36"/>
    <w:rsid w:val="00D26A99"/>
    <w:rsid w:val="00D329AE"/>
    <w:rsid w:val="00D422F9"/>
    <w:rsid w:val="00D66D06"/>
    <w:rsid w:val="00D75E2F"/>
    <w:rsid w:val="00D80ACF"/>
    <w:rsid w:val="00DA0A3C"/>
    <w:rsid w:val="00DA2709"/>
    <w:rsid w:val="00DA7BA4"/>
    <w:rsid w:val="00DB0988"/>
    <w:rsid w:val="00DC6492"/>
    <w:rsid w:val="00DD53BA"/>
    <w:rsid w:val="00DE6B1D"/>
    <w:rsid w:val="00DF2451"/>
    <w:rsid w:val="00DF3CE7"/>
    <w:rsid w:val="00E113BA"/>
    <w:rsid w:val="00E236A9"/>
    <w:rsid w:val="00E2712E"/>
    <w:rsid w:val="00E3695E"/>
    <w:rsid w:val="00E45840"/>
    <w:rsid w:val="00E476B8"/>
    <w:rsid w:val="00E6719D"/>
    <w:rsid w:val="00E71C27"/>
    <w:rsid w:val="00EA15B8"/>
    <w:rsid w:val="00EE6C47"/>
    <w:rsid w:val="00EF6895"/>
    <w:rsid w:val="00F17A96"/>
    <w:rsid w:val="00F31707"/>
    <w:rsid w:val="00F331EF"/>
    <w:rsid w:val="00F5173E"/>
    <w:rsid w:val="00F66438"/>
    <w:rsid w:val="00F91554"/>
    <w:rsid w:val="00FA222E"/>
    <w:rsid w:val="00FA5990"/>
    <w:rsid w:val="00FA61BF"/>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 w:type="paragraph" w:customStyle="1" w:styleId="Default">
    <w:name w:val="Default"/>
    <w:rsid w:val="00EE6C47"/>
    <w:pPr>
      <w:autoSpaceDE w:val="0"/>
      <w:autoSpaceDN w:val="0"/>
      <w:adjustRightInd w:val="0"/>
      <w:spacing w:after="0" w:line="240" w:lineRule="auto"/>
    </w:pPr>
    <w:rPr>
      <w:rFonts w:ascii="Arial" w:eastAsia="Times New Roman" w:hAnsi="Arial" w:cs="Arial"/>
      <w:color w:val="000000"/>
      <w:sz w:val="24"/>
      <w:szCs w:val="24"/>
      <w:lang w:val="uk-UA" w:eastAsia="uk-UA" w:bidi="ar-SA"/>
    </w:rPr>
  </w:style>
  <w:style w:type="character" w:customStyle="1" w:styleId="58">
    <w:name w:val="Основной текст (5) + 8"/>
    <w:aliases w:val="5 pt1,Не полужирный"/>
    <w:rsid w:val="00105C83"/>
    <w:rPr>
      <w:rFonts w:ascii="Arial Narrow" w:hAnsi="Arial Narrow" w:cs="Arial Narrow"/>
      <w:b/>
      <w:bCs/>
      <w:sz w:val="17"/>
      <w:szCs w:val="17"/>
      <w:shd w:val="clear" w:color="auto" w:fill="FFFFFF"/>
    </w:rPr>
  </w:style>
  <w:style w:type="paragraph" w:customStyle="1" w:styleId="13">
    <w:name w:val="Обычный1"/>
    <w:basedOn w:val="a"/>
    <w:rsid w:val="009C677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normalchar">
    <w:name w:val="normal__char"/>
    <w:rsid w:val="009C677F"/>
  </w:style>
  <w:style w:type="character" w:customStyle="1" w:styleId="list0020paragraphchar">
    <w:name w:val="list_0020paragraph__char"/>
    <w:rsid w:val="009C677F"/>
  </w:style>
  <w:style w:type="character" w:customStyle="1" w:styleId="hyperlinkchar">
    <w:name w:val="hyperlink__char"/>
    <w:rsid w:val="009C677F"/>
  </w:style>
  <w:style w:type="paragraph" w:customStyle="1" w:styleId="mystyl">
    <w:name w:val="mystyl"/>
    <w:rsid w:val="00A30455"/>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val="ru-RU" w:eastAsia="ru-RU" w:bidi="ar-SA"/>
    </w:rPr>
  </w:style>
  <w:style w:type="character" w:styleId="HTML1">
    <w:name w:val="HTML Cite"/>
    <w:uiPriority w:val="99"/>
    <w:semiHidden/>
    <w:unhideWhenUsed/>
    <w:rsid w:val="00A30455"/>
    <w:rPr>
      <w:i/>
      <w:iCs/>
    </w:rPr>
  </w:style>
  <w:style w:type="character" w:customStyle="1" w:styleId="aff">
    <w:name w:val="Основной текст_"/>
    <w:link w:val="14"/>
    <w:locked/>
    <w:rsid w:val="00C64378"/>
    <w:rPr>
      <w:rFonts w:ascii="Arial Narrow" w:hAnsi="Arial Narrow" w:cs="Arial Narrow"/>
      <w:sz w:val="17"/>
      <w:szCs w:val="17"/>
      <w:shd w:val="clear" w:color="auto" w:fill="FFFFFF"/>
    </w:rPr>
  </w:style>
  <w:style w:type="paragraph" w:customStyle="1" w:styleId="14">
    <w:name w:val="Основной текст1"/>
    <w:basedOn w:val="a"/>
    <w:link w:val="aff"/>
    <w:rsid w:val="00C64378"/>
    <w:pPr>
      <w:shd w:val="clear" w:color="auto" w:fill="FFFFFF"/>
      <w:spacing w:after="0" w:line="240" w:lineRule="atLeast"/>
    </w:pPr>
    <w:rPr>
      <w:rFonts w:ascii="Arial Narrow" w:eastAsiaTheme="minorHAnsi" w:hAnsi="Arial Narrow" w:cs="Arial Narrow"/>
      <w:sz w:val="17"/>
      <w:szCs w:val="17"/>
      <w:lang w:val="en-US" w:bidi="en-US"/>
    </w:rPr>
  </w:style>
  <w:style w:type="character" w:customStyle="1" w:styleId="51">
    <w:name w:val="Основной текст (5)_"/>
    <w:link w:val="52"/>
    <w:locked/>
    <w:rsid w:val="00C64378"/>
    <w:rPr>
      <w:rFonts w:ascii="Arial Narrow" w:hAnsi="Arial Narrow" w:cs="Arial Narrow"/>
      <w:sz w:val="15"/>
      <w:szCs w:val="15"/>
      <w:shd w:val="clear" w:color="auto" w:fill="FFFFFF"/>
    </w:rPr>
  </w:style>
  <w:style w:type="paragraph" w:customStyle="1" w:styleId="52">
    <w:name w:val="Основной текст (5)"/>
    <w:basedOn w:val="a"/>
    <w:link w:val="51"/>
    <w:rsid w:val="00C64378"/>
    <w:pPr>
      <w:shd w:val="clear" w:color="auto" w:fill="FFFFFF"/>
      <w:spacing w:after="0" w:line="216" w:lineRule="exact"/>
      <w:jc w:val="both"/>
    </w:pPr>
    <w:rPr>
      <w:rFonts w:ascii="Arial Narrow" w:eastAsiaTheme="minorHAnsi" w:hAnsi="Arial Narrow" w:cs="Arial Narrow"/>
      <w:sz w:val="15"/>
      <w:szCs w:val="15"/>
      <w:lang w:val="en-US" w:bidi="en-US"/>
    </w:rPr>
  </w:style>
  <w:style w:type="character" w:customStyle="1" w:styleId="71">
    <w:name w:val="Основной текст + 7"/>
    <w:aliases w:val="5 pt,Полужирный"/>
    <w:rsid w:val="00C64378"/>
    <w:rPr>
      <w:rFonts w:ascii="Arial Narrow" w:hAnsi="Arial Narrow" w:cs="Arial Narrow"/>
      <w:b/>
      <w:bCs/>
      <w:sz w:val="15"/>
      <w:szCs w:val="15"/>
      <w:shd w:val="clear" w:color="auto" w:fill="FFFFFF"/>
    </w:rPr>
  </w:style>
  <w:style w:type="character" w:customStyle="1" w:styleId="710">
    <w:name w:val="Основной текст + 71"/>
    <w:aliases w:val="5 pt2,Малые прописные"/>
    <w:rsid w:val="00C64378"/>
    <w:rPr>
      <w:rFonts w:ascii="Arial Narrow" w:hAnsi="Arial Narrow" w:cs="Arial Narrow"/>
      <w:smallCaps/>
      <w:sz w:val="15"/>
      <w:szCs w:val="15"/>
      <w:shd w:val="clear" w:color="auto" w:fill="FFFFFF"/>
    </w:rPr>
  </w:style>
  <w:style w:type="character" w:customStyle="1" w:styleId="aff0">
    <w:name w:val="Основной текст + Курсив"/>
    <w:rsid w:val="00C64378"/>
    <w:rPr>
      <w:rFonts w:ascii="Arial Narrow" w:hAnsi="Arial Narrow" w:cs="Arial Narrow"/>
      <w:i/>
      <w:iCs/>
      <w:spacing w:val="0"/>
      <w:w w:val="100"/>
      <w:sz w:val="17"/>
      <w:szCs w:val="17"/>
      <w:shd w:val="clear" w:color="auto" w:fill="FFFFFF"/>
    </w:rPr>
  </w:style>
  <w:style w:type="character" w:customStyle="1" w:styleId="15">
    <w:name w:val="Основной текст (15)_"/>
    <w:link w:val="150"/>
    <w:locked/>
    <w:rsid w:val="00C64378"/>
    <w:rPr>
      <w:rFonts w:ascii="Arial Narrow" w:hAnsi="Arial Narrow" w:cs="Arial Narrow"/>
      <w:sz w:val="15"/>
      <w:szCs w:val="15"/>
      <w:shd w:val="clear" w:color="auto" w:fill="FFFFFF"/>
    </w:rPr>
  </w:style>
  <w:style w:type="paragraph" w:customStyle="1" w:styleId="150">
    <w:name w:val="Основной текст (15)"/>
    <w:basedOn w:val="a"/>
    <w:link w:val="15"/>
    <w:rsid w:val="00C64378"/>
    <w:pPr>
      <w:shd w:val="clear" w:color="auto" w:fill="FFFFFF"/>
      <w:spacing w:before="60" w:after="60" w:line="240" w:lineRule="atLeast"/>
    </w:pPr>
    <w:rPr>
      <w:rFonts w:ascii="Arial Narrow" w:eastAsiaTheme="minorHAnsi" w:hAnsi="Arial Narrow" w:cs="Arial Narrow"/>
      <w:sz w:val="15"/>
      <w:szCs w:val="15"/>
      <w:lang w:val="en-US" w:bidi="en-US"/>
    </w:rPr>
  </w:style>
  <w:style w:type="paragraph" w:styleId="aff1">
    <w:name w:val="Balloon Text"/>
    <w:basedOn w:val="a"/>
    <w:link w:val="aff2"/>
    <w:uiPriority w:val="99"/>
    <w:semiHidden/>
    <w:unhideWhenUsed/>
    <w:rsid w:val="00C64378"/>
    <w:pPr>
      <w:spacing w:after="0" w:line="240" w:lineRule="auto"/>
    </w:pPr>
    <w:rPr>
      <w:rFonts w:ascii="Tahoma" w:hAnsi="Tahoma" w:cs="Tahoma"/>
      <w:sz w:val="16"/>
      <w:szCs w:val="16"/>
    </w:rPr>
  </w:style>
  <w:style w:type="character" w:customStyle="1" w:styleId="aff2">
    <w:name w:val="Текст выноски Знак"/>
    <w:basedOn w:val="a0"/>
    <w:link w:val="aff1"/>
    <w:uiPriority w:val="99"/>
    <w:semiHidden/>
    <w:rsid w:val="00C64378"/>
    <w:rPr>
      <w:rFonts w:ascii="Tahoma" w:eastAsia="Calibri" w:hAnsi="Tahoma" w:cs="Tahoma"/>
      <w:sz w:val="16"/>
      <w:szCs w:val="16"/>
      <w:lang w:val="uk-UA" w:bidi="ar-SA"/>
    </w:rPr>
  </w:style>
  <w:style w:type="character" w:customStyle="1" w:styleId="normaltextrun">
    <w:name w:val="normaltextrun"/>
    <w:basedOn w:val="a0"/>
    <w:rsid w:val="000B4355"/>
  </w:style>
  <w:style w:type="paragraph" w:customStyle="1" w:styleId="paragraph">
    <w:name w:val="paragraph"/>
    <w:basedOn w:val="a"/>
    <w:rsid w:val="00F91554"/>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eop">
    <w:name w:val="eop"/>
    <w:basedOn w:val="a0"/>
    <w:rsid w:val="00F9155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Tipochek123@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582</Words>
  <Characters>3322</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3897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2013-10-17T12:27:00Z</dcterms:created>
  <dcterms:modified xsi:type="dcterms:W3CDTF">2013-10-17T12:27:00Z</dcterms:modified>
</cp:coreProperties>
</file>