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378" w:rsidRPr="00C64378" w:rsidRDefault="00C64378" w:rsidP="00C64378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143"/>
      <w:r w:rsidRPr="00C64378">
        <w:rPr>
          <w:rFonts w:ascii="Verdana" w:hAnsi="Verdana"/>
          <w:sz w:val="24"/>
          <w:szCs w:val="24"/>
          <w:lang w:val="ru-RU"/>
        </w:rPr>
        <w:t>Оцінка ефективності кластерів як каталізаторів експортного потенціалу регіону</w:t>
      </w:r>
      <w:bookmarkEnd w:id="0"/>
    </w:p>
    <w:p w:rsidR="00C64378" w:rsidRPr="00C64378" w:rsidRDefault="00C64378" w:rsidP="00C64378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144"/>
      <w:r w:rsidRPr="00C64378">
        <w:rPr>
          <w:rFonts w:ascii="Verdana" w:hAnsi="Verdana"/>
          <w:b w:val="0"/>
          <w:sz w:val="22"/>
          <w:szCs w:val="22"/>
          <w:lang w:val="ru-RU"/>
        </w:rPr>
        <w:t>Кондратьєва О.Ю.</w:t>
      </w:r>
      <w:bookmarkEnd w:id="1"/>
    </w:p>
    <w:p w:rsidR="00C64378" w:rsidRPr="00C64378" w:rsidRDefault="00C64378" w:rsidP="00C64378">
      <w:pPr>
        <w:pStyle w:val="14"/>
        <w:shd w:val="clear" w:color="auto" w:fill="auto"/>
        <w:spacing w:line="240" w:lineRule="auto"/>
        <w:jc w:val="center"/>
        <w:rPr>
          <w:rFonts w:ascii="Verdana" w:hAnsi="Verdana"/>
          <w:b/>
          <w:sz w:val="22"/>
          <w:szCs w:val="22"/>
          <w:lang w:val="ru-RU"/>
        </w:rPr>
      </w:pPr>
      <w:r w:rsidRPr="00C64378">
        <w:rPr>
          <w:rFonts w:ascii="Verdana" w:hAnsi="Verdana"/>
          <w:b/>
          <w:sz w:val="22"/>
          <w:szCs w:val="22"/>
          <w:lang w:val="ru-RU"/>
        </w:rPr>
        <w:t>Національний технічний університет України «КПІ»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jc w:val="center"/>
        <w:rPr>
          <w:rFonts w:ascii="Verdana" w:hAnsi="Verdana"/>
          <w:lang w:val="ru-RU"/>
        </w:rPr>
      </w:pPr>
      <w:r w:rsidRPr="000275C2">
        <w:rPr>
          <w:rFonts w:ascii="Verdana" w:hAnsi="Verdana"/>
          <w:i/>
          <w:sz w:val="22"/>
          <w:szCs w:val="22"/>
        </w:rPr>
        <w:t>E</w:t>
      </w:r>
      <w:r w:rsidRPr="00C64378">
        <w:rPr>
          <w:rFonts w:ascii="Verdana" w:hAnsi="Verdana"/>
          <w:i/>
          <w:sz w:val="22"/>
          <w:szCs w:val="22"/>
          <w:lang w:val="ru-RU"/>
        </w:rPr>
        <w:t>-</w:t>
      </w:r>
      <w:r w:rsidRPr="000275C2">
        <w:rPr>
          <w:rFonts w:ascii="Verdana" w:hAnsi="Verdana"/>
          <w:i/>
          <w:sz w:val="22"/>
          <w:szCs w:val="22"/>
        </w:rPr>
        <w:t>mail</w:t>
      </w:r>
      <w:r w:rsidRPr="00C64378">
        <w:rPr>
          <w:rFonts w:ascii="Verdana" w:hAnsi="Verdana"/>
          <w:i/>
          <w:sz w:val="22"/>
          <w:szCs w:val="22"/>
          <w:lang w:val="ru-RU"/>
        </w:rPr>
        <w:t xml:space="preserve">: 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  <w:sz w:val="22"/>
            <w:szCs w:val="22"/>
          </w:rPr>
          <w:t>OksanaKond</w:t>
        </w:r>
        <w:r w:rsidRPr="00C64378">
          <w:rPr>
            <w:rStyle w:val="af4"/>
            <w:rFonts w:ascii="Verdana" w:hAnsi="Verdana"/>
            <w:i/>
            <w:color w:val="auto"/>
            <w:sz w:val="22"/>
            <w:szCs w:val="22"/>
            <w:lang w:val="ru-RU"/>
          </w:rPr>
          <w:t>@</w:t>
        </w:r>
        <w:r w:rsidRPr="000275C2">
          <w:rPr>
            <w:rStyle w:val="af4"/>
            <w:rFonts w:ascii="Verdana" w:hAnsi="Verdana"/>
            <w:i/>
            <w:color w:val="auto"/>
            <w:sz w:val="22"/>
            <w:szCs w:val="22"/>
          </w:rPr>
          <w:t>gmail</w:t>
        </w:r>
        <w:r w:rsidRPr="00C64378">
          <w:rPr>
            <w:rStyle w:val="af4"/>
            <w:rFonts w:ascii="Verdana" w:hAnsi="Verdana"/>
            <w:i/>
            <w:color w:val="auto"/>
            <w:sz w:val="22"/>
            <w:szCs w:val="22"/>
            <w:lang w:val="ru-RU"/>
          </w:rPr>
          <w:t>.</w:t>
        </w:r>
        <w:r w:rsidRPr="000275C2">
          <w:rPr>
            <w:rStyle w:val="af4"/>
            <w:rFonts w:ascii="Verdana" w:hAnsi="Verdana"/>
            <w:i/>
            <w:color w:val="auto"/>
            <w:sz w:val="22"/>
            <w:szCs w:val="22"/>
          </w:rPr>
          <w:t>com</w:t>
        </w:r>
      </w:hyperlink>
    </w:p>
    <w:p w:rsidR="00C64378" w:rsidRPr="00C64378" w:rsidRDefault="00C64378" w:rsidP="00C64378">
      <w:pPr>
        <w:pStyle w:val="14"/>
        <w:shd w:val="clear" w:color="auto" w:fill="auto"/>
        <w:spacing w:line="240" w:lineRule="auto"/>
        <w:jc w:val="center"/>
        <w:rPr>
          <w:rFonts w:ascii="Verdana" w:hAnsi="Verdana"/>
          <w:i/>
          <w:sz w:val="22"/>
          <w:szCs w:val="22"/>
          <w:lang w:val="ru-RU"/>
        </w:rPr>
      </w:pPr>
      <w:r w:rsidRPr="00C64378">
        <w:rPr>
          <w:rFonts w:ascii="Verdana" w:hAnsi="Verdana"/>
          <w:sz w:val="22"/>
          <w:szCs w:val="22"/>
          <w:lang w:val="ru-RU"/>
        </w:rPr>
        <w:t>Науковий керівник: к.е.н., доц. Гречко А.В.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На сьогодні існує гостра необхідність у розробці методики визначення соціально-економічної ефективності формування кластеру в регіоні, виявлення комплексоутворюючого ефек</w:t>
      </w:r>
      <w:r w:rsidRPr="00C64378">
        <w:rPr>
          <w:rFonts w:ascii="Verdana" w:hAnsi="Verdana"/>
          <w:sz w:val="18"/>
          <w:szCs w:val="18"/>
          <w:lang w:val="ru-RU"/>
        </w:rPr>
        <w:softHyphen/>
        <w:t>ту на конкурентоспроможність регіону та держави у цілому. Проте загальноприйнятого методичного підходу до аналізу економічної ефективності кластеру та впливу його діяльності на економіку регіону на сьогодні немає.[1]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 xml:space="preserve">Індикатором рівня міжнародної конкурентоспроможності регіону є ступінь реалізації його експортного потенціалу.[2] Оцінка експортного потенціалу регіону може бути основою для дослідження та визначення ступеня перспективності його функціонування як суб'єкта міжнародних економічних відносин. </w:t>
      </w:r>
    </w:p>
    <w:p w:rsidR="00C64378" w:rsidRPr="000275C2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Експортний потенціал регіону є невід'ємною ланкою цілісної системи: експортний потенціал підприємства — експортний потенціал галузі — експортний потенціал регіону — експортний потенціал держави.</w:t>
      </w:r>
    </w:p>
    <w:p w:rsidR="00C64378" w:rsidRPr="000275C2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При оцінці експортного потенціа</w:t>
      </w:r>
      <w:r w:rsidRPr="000275C2">
        <w:rPr>
          <w:rFonts w:ascii="Verdana" w:hAnsi="Verdana"/>
          <w:sz w:val="18"/>
          <w:szCs w:val="18"/>
        </w:rPr>
        <w:softHyphen/>
        <w:t>лу будь-якої ланки даної системи від</w:t>
      </w:r>
      <w:r w:rsidRPr="000275C2">
        <w:rPr>
          <w:rFonts w:ascii="Verdana" w:hAnsi="Verdana"/>
          <w:sz w:val="18"/>
          <w:szCs w:val="18"/>
        </w:rPr>
        <w:softHyphen/>
        <w:t>правною точкою слугує експортний потенціал підприємства, який залежить від виробничого потенціалу підприємства та конкурентоспроможності продукції, яку воно випускає.</w:t>
      </w:r>
    </w:p>
    <w:p w:rsidR="00C64378" w:rsidRPr="000275C2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На основі існуючих методик розрахунку експортного потенціалу підприємства запропоновано системний методичний підхід до оцінки експортного потенціалу підприємства, який враховує три його обов'язкові складові: 1) виробничий потенціал; 2) конкурентоспроможність продукції за параметрами якості, сервісного обслуговування; та 3) конкурентоспроможність продукції на кожному з ринків збуту.</w:t>
      </w:r>
    </w:p>
    <w:p w:rsidR="00C64378" w:rsidRPr="000275C2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При такому підході кожне підприємство регіону самостійно формує свою зовнішньоекономічну політику і самостійно виходить на зовнішні ринки.</w:t>
      </w:r>
    </w:p>
    <w:p w:rsidR="00C64378" w:rsidRPr="000275C2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Розгляд регіону як самостійного суб'єкту міжнародної конкуренції потребує інших підходів до оцінки його експортного потенціалу. </w:t>
      </w:r>
      <w:r w:rsidRPr="000275C2">
        <w:rPr>
          <w:rStyle w:val="71"/>
          <w:rFonts w:ascii="Verdana" w:hAnsi="Verdana" w:cs="Times New Roman"/>
          <w:b w:val="0"/>
          <w:sz w:val="18"/>
          <w:szCs w:val="18"/>
        </w:rPr>
        <w:t>При моделі виходу регіону на світовий ринок крізь кластерні утворення експортний потенціал регіону вже не</w:t>
      </w:r>
      <w:r w:rsidRPr="000275C2">
        <w:rPr>
          <w:rStyle w:val="710"/>
          <w:rFonts w:ascii="Verdana" w:hAnsi="Verdana"/>
        </w:rPr>
        <w:t xml:space="preserve"> </w:t>
      </w:r>
      <w:r w:rsidRPr="000275C2">
        <w:rPr>
          <w:rStyle w:val="71"/>
          <w:rFonts w:ascii="Verdana" w:hAnsi="Verdana" w:cs="Times New Roman"/>
          <w:b w:val="0"/>
          <w:smallCaps/>
          <w:sz w:val="18"/>
          <w:szCs w:val="18"/>
        </w:rPr>
        <w:t>є</w:t>
      </w:r>
      <w:r w:rsidRPr="000275C2">
        <w:rPr>
          <w:rStyle w:val="710"/>
          <w:rFonts w:ascii="Verdana" w:hAnsi="Verdana"/>
        </w:rPr>
        <w:t xml:space="preserve"> </w:t>
      </w:r>
      <w:r w:rsidRPr="000275C2">
        <w:rPr>
          <w:rStyle w:val="71"/>
          <w:rFonts w:ascii="Verdana" w:hAnsi="Verdana" w:cs="Times New Roman"/>
          <w:b w:val="0"/>
          <w:sz w:val="18"/>
          <w:szCs w:val="18"/>
        </w:rPr>
        <w:t>простою сумою експортних потенціалів підприємств регіону: до конкурентних переваг регіону додаються ще й конкурентні переваги кластеру.</w:t>
      </w:r>
      <w:r w:rsidRPr="000275C2">
        <w:rPr>
          <w:rFonts w:ascii="Verdana" w:hAnsi="Verdana"/>
          <w:sz w:val="18"/>
          <w:szCs w:val="18"/>
        </w:rPr>
        <w:t>[3] Відповідно до цієї моделі міжнародна конкурентна боротьба відбувається вже не між окремими підприємствами, а між регіональними кластерами.</w:t>
      </w:r>
    </w:p>
    <w:p w:rsidR="00C64378" w:rsidRPr="00C64378" w:rsidRDefault="00C64378" w:rsidP="00C64378">
      <w:pPr>
        <w:pStyle w:val="52"/>
        <w:shd w:val="clear" w:color="auto" w:fill="auto"/>
        <w:spacing w:line="240" w:lineRule="auto"/>
        <w:ind w:firstLine="567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 xml:space="preserve">При оцінці експортного потенціалу регіону на основі кластерної </w:t>
      </w:r>
      <w:r w:rsidRPr="00C64378">
        <w:rPr>
          <w:rStyle w:val="58"/>
          <w:rFonts w:ascii="Verdana" w:hAnsi="Verdana" w:cs="Times New Roman"/>
          <w:b w:val="0"/>
          <w:sz w:val="18"/>
          <w:szCs w:val="18"/>
          <w:lang w:val="ru-RU"/>
        </w:rPr>
        <w:t>моделі мають</w:t>
      </w:r>
      <w:r w:rsidRPr="00C64378">
        <w:rPr>
          <w:rFonts w:ascii="Verdana" w:hAnsi="Verdana"/>
          <w:sz w:val="18"/>
          <w:szCs w:val="18"/>
          <w:lang w:val="ru-RU"/>
        </w:rPr>
        <w:t xml:space="preserve"> бути враховані наступні обов'язкові складові:</w:t>
      </w:r>
    </w:p>
    <w:p w:rsidR="00C64378" w:rsidRPr="00C64378" w:rsidRDefault="00C64378" w:rsidP="00C64378">
      <w:pPr>
        <w:pStyle w:val="52"/>
        <w:shd w:val="clear" w:color="auto" w:fill="auto"/>
        <w:tabs>
          <w:tab w:val="left" w:pos="495"/>
        </w:tabs>
        <w:spacing w:line="240" w:lineRule="auto"/>
        <w:ind w:left="567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1) експортна частина виробничого потенціалу підприємств кла</w:t>
      </w:r>
      <w:r w:rsidRPr="00C64378">
        <w:rPr>
          <w:rStyle w:val="58"/>
          <w:rFonts w:ascii="Verdana" w:hAnsi="Verdana" w:cs="Times New Roman"/>
          <w:b w:val="0"/>
          <w:sz w:val="18"/>
          <w:szCs w:val="18"/>
          <w:lang w:val="ru-RU"/>
        </w:rPr>
        <w:t>стеру;</w:t>
      </w:r>
    </w:p>
    <w:p w:rsidR="00C64378" w:rsidRPr="00C64378" w:rsidRDefault="00C64378" w:rsidP="00C64378">
      <w:pPr>
        <w:pStyle w:val="52"/>
        <w:shd w:val="clear" w:color="auto" w:fill="auto"/>
        <w:tabs>
          <w:tab w:val="left" w:pos="510"/>
        </w:tabs>
        <w:spacing w:line="240" w:lineRule="auto"/>
        <w:ind w:left="567"/>
        <w:rPr>
          <w:rFonts w:ascii="Verdana" w:hAnsi="Verdana"/>
          <w:sz w:val="18"/>
          <w:szCs w:val="18"/>
          <w:lang w:val="ru-RU"/>
        </w:rPr>
      </w:pPr>
      <w:r w:rsidRPr="00C64378">
        <w:rPr>
          <w:rStyle w:val="58"/>
          <w:rFonts w:ascii="Verdana" w:hAnsi="Verdana" w:cs="Times New Roman"/>
          <w:b w:val="0"/>
          <w:sz w:val="18"/>
          <w:szCs w:val="18"/>
          <w:lang w:val="ru-RU"/>
        </w:rPr>
        <w:t>2) додатковий</w:t>
      </w:r>
      <w:r w:rsidRPr="00C64378">
        <w:rPr>
          <w:rFonts w:ascii="Verdana" w:hAnsi="Verdana"/>
          <w:sz w:val="18"/>
          <w:szCs w:val="18"/>
          <w:lang w:val="ru-RU"/>
        </w:rPr>
        <w:t xml:space="preserve"> економічний ефект, що створюється</w:t>
      </w:r>
      <w:r w:rsidRPr="00C64378">
        <w:rPr>
          <w:rStyle w:val="58"/>
          <w:rFonts w:ascii="Verdana" w:hAnsi="Verdana" w:cs="Times New Roman"/>
          <w:b w:val="0"/>
          <w:sz w:val="18"/>
          <w:szCs w:val="18"/>
          <w:lang w:val="ru-RU"/>
        </w:rPr>
        <w:t xml:space="preserve"> в</w:t>
      </w:r>
      <w:r w:rsidRPr="00C64378">
        <w:rPr>
          <w:rFonts w:ascii="Verdana" w:hAnsi="Verdana"/>
          <w:sz w:val="18"/>
          <w:szCs w:val="18"/>
          <w:lang w:val="ru-RU"/>
        </w:rPr>
        <w:t xml:space="preserve"> рамках </w:t>
      </w:r>
      <w:r w:rsidRPr="00C64378">
        <w:rPr>
          <w:rStyle w:val="58"/>
          <w:rFonts w:ascii="Verdana" w:hAnsi="Verdana" w:cs="Times New Roman"/>
          <w:b w:val="0"/>
          <w:sz w:val="18"/>
          <w:szCs w:val="18"/>
          <w:lang w:val="ru-RU"/>
        </w:rPr>
        <w:t>кластеру;</w:t>
      </w:r>
    </w:p>
    <w:p w:rsidR="00C64378" w:rsidRPr="00C64378" w:rsidRDefault="00C64378" w:rsidP="00C64378">
      <w:pPr>
        <w:pStyle w:val="52"/>
        <w:shd w:val="clear" w:color="auto" w:fill="auto"/>
        <w:tabs>
          <w:tab w:val="left" w:pos="482"/>
        </w:tabs>
        <w:spacing w:line="240" w:lineRule="auto"/>
        <w:ind w:left="567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3) конкурентоспроможність кластеру на світовому ринку.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За цих умов експортний потенціал регіону знаходиться як сума ек</w:t>
      </w:r>
      <w:r w:rsidRPr="00C64378">
        <w:rPr>
          <w:rFonts w:ascii="Verdana" w:hAnsi="Verdana"/>
          <w:sz w:val="18"/>
          <w:szCs w:val="18"/>
          <w:lang w:val="ru-RU"/>
        </w:rPr>
        <w:softHyphen/>
        <w:t>спортних потенціалів кластерів, що діють на території даного регіону.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Тому формула оцінки експортного потенціалу регіону набуває наступного вигляду: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center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 xml:space="preserve">ЕРр =  </w:t>
      </w:r>
      <m:oMath>
        <m:nary>
          <m:naryPr>
            <m:chr m:val="∑"/>
            <m:limLoc m:val="undOvr"/>
            <m:ctrlPr>
              <w:rPr>
                <w:rFonts w:ascii="Cambria Math" w:eastAsia="Times New Roman" w:hAnsi="Verdana"/>
                <w:sz w:val="20"/>
                <w:szCs w:val="20"/>
                <w:lang w:eastAsia="ru-RU"/>
              </w:rPr>
            </m:ctrlPr>
          </m:naryPr>
          <m:sub>
            <m:r>
              <m:rPr>
                <m:sty m:val="p"/>
              </m:rPr>
              <w:rPr>
                <w:rFonts w:ascii="Cambria Math" w:hAnsi="Verdana"/>
                <w:sz w:val="20"/>
                <w:szCs w:val="20"/>
              </w:rPr>
              <m:t>i</m:t>
            </m:r>
            <m:r>
              <m:rPr>
                <m:sty m:val="p"/>
              </m:rPr>
              <w:rPr>
                <w:rFonts w:ascii="Cambria Math" w:hAnsi="Verdana"/>
                <w:sz w:val="20"/>
                <w:szCs w:val="20"/>
                <w:lang w:val="ru-RU"/>
              </w:rPr>
              <m:t>=1</m:t>
            </m:r>
          </m:sub>
          <m:sup>
            <m:r>
              <m:rPr>
                <m:sty m:val="p"/>
              </m:rPr>
              <w:rPr>
                <w:rFonts w:ascii="Cambria Math" w:hAnsi="Verdana"/>
                <w:sz w:val="20"/>
                <w:szCs w:val="20"/>
              </w:rPr>
              <m:t>n</m:t>
            </m:r>
          </m:sup>
          <m:e>
            <m:r>
              <m:rPr>
                <m:sty m:val="p"/>
              </m:rPr>
              <w:rPr>
                <w:rFonts w:ascii="Cambria Math" w:hAnsi="Cambria Math"/>
                <w:sz w:val="20"/>
                <w:szCs w:val="20"/>
                <w:lang w:val="ru-RU"/>
              </w:rPr>
              <m:t>ВПек*</m:t>
            </m:r>
            <m:r>
              <m:rPr>
                <m:sty m:val="p"/>
              </m:rPr>
              <w:rPr>
                <w:rFonts w:ascii="Cambria Math" w:hAnsi="Verdana"/>
                <w:sz w:val="20"/>
                <w:szCs w:val="20"/>
              </w:rPr>
              <m:t>L</m:t>
            </m:r>
            <m:r>
              <m:rPr>
                <m:sty m:val="p"/>
              </m:rPr>
              <w:rPr>
                <w:rFonts w:ascii="Cambria Math" w:hAnsi="Cambria Math"/>
                <w:sz w:val="20"/>
                <w:szCs w:val="20"/>
                <w:lang w:val="ru-RU"/>
              </w:rPr>
              <m:t>*</m:t>
            </m:r>
            <m:r>
              <m:rPr>
                <m:sty m:val="p"/>
              </m:rPr>
              <w:rPr>
                <w:rFonts w:ascii="Cambria Math" w:hAnsi="Verdana"/>
                <w:sz w:val="20"/>
                <w:szCs w:val="20"/>
              </w:rPr>
              <m:t>K</m:t>
            </m:r>
            <m:r>
              <m:rPr>
                <m:sty m:val="p"/>
              </m:rPr>
              <w:rPr>
                <w:rFonts w:ascii="Cambria Math" w:hAnsi="Cambria Math"/>
                <w:sz w:val="20"/>
                <w:szCs w:val="20"/>
                <w:lang w:val="ru-RU"/>
              </w:rPr>
              <m:t>кл</m:t>
            </m:r>
          </m:e>
        </m:nary>
      </m:oMath>
      <w:r w:rsidRPr="00C64378">
        <w:rPr>
          <w:rFonts w:ascii="Verdana" w:hAnsi="Verdana"/>
          <w:sz w:val="18"/>
          <w:szCs w:val="18"/>
          <w:lang w:val="ru-RU"/>
        </w:rPr>
        <w:t>,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де</w:t>
      </w:r>
      <w:r w:rsidRPr="00C64378">
        <w:rPr>
          <w:rStyle w:val="aff0"/>
          <w:rFonts w:ascii="Verdana" w:hAnsi="Verdana"/>
          <w:sz w:val="18"/>
          <w:szCs w:val="18"/>
          <w:lang w:val="ru-RU"/>
        </w:rPr>
        <w:t xml:space="preserve"> ВП</w:t>
      </w:r>
      <w:r w:rsidRPr="00C64378">
        <w:rPr>
          <w:rStyle w:val="aff0"/>
          <w:rFonts w:ascii="Verdana" w:hAnsi="Verdana"/>
          <w:sz w:val="18"/>
          <w:szCs w:val="18"/>
          <w:vertAlign w:val="subscript"/>
          <w:lang w:val="ru-RU"/>
        </w:rPr>
        <w:t>ек</w:t>
      </w:r>
      <w:r w:rsidRPr="00C64378">
        <w:rPr>
          <w:rFonts w:ascii="Verdana" w:hAnsi="Verdana"/>
          <w:sz w:val="18"/>
          <w:szCs w:val="18"/>
          <w:lang w:val="ru-RU"/>
        </w:rPr>
        <w:t xml:space="preserve"> — експортна частина виробничого потенціалу підприємств кластеру, грн.;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  <w:r w:rsidRPr="000275C2">
        <w:rPr>
          <w:rFonts w:ascii="Verdana" w:hAnsi="Verdana"/>
          <w:sz w:val="18"/>
          <w:szCs w:val="18"/>
        </w:rPr>
        <w:t>L</w:t>
      </w:r>
      <w:r w:rsidRPr="00C64378">
        <w:rPr>
          <w:rFonts w:ascii="Verdana" w:hAnsi="Verdana"/>
          <w:sz w:val="18"/>
          <w:szCs w:val="18"/>
          <w:lang w:val="ru-RU"/>
        </w:rPr>
        <w:t>— коефіцієнт кластеризації;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jc w:val="both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К</w:t>
      </w:r>
      <w:r w:rsidRPr="00C64378">
        <w:rPr>
          <w:rFonts w:ascii="Verdana" w:hAnsi="Verdana"/>
          <w:sz w:val="18"/>
          <w:szCs w:val="18"/>
          <w:vertAlign w:val="subscript"/>
          <w:lang w:val="ru-RU"/>
        </w:rPr>
        <w:t>кл</w:t>
      </w:r>
      <w:r w:rsidRPr="00C64378">
        <w:rPr>
          <w:rFonts w:ascii="Verdana" w:hAnsi="Verdana"/>
          <w:sz w:val="18"/>
          <w:szCs w:val="18"/>
          <w:lang w:val="ru-RU"/>
        </w:rPr>
        <w:t xml:space="preserve"> — коефіцієнт конкурентоспроможності кластеру на світовому ринку.</w:t>
      </w:r>
    </w:p>
    <w:p w:rsidR="00C64378" w:rsidRPr="00C64378" w:rsidRDefault="00C64378" w:rsidP="00C64378">
      <w:pPr>
        <w:pStyle w:val="14"/>
        <w:shd w:val="clear" w:color="auto" w:fill="auto"/>
        <w:spacing w:line="240" w:lineRule="auto"/>
        <w:ind w:firstLine="567"/>
        <w:rPr>
          <w:rFonts w:ascii="Verdana" w:hAnsi="Verdana"/>
          <w:b/>
          <w:sz w:val="18"/>
          <w:szCs w:val="18"/>
          <w:lang w:val="ru-RU"/>
        </w:rPr>
      </w:pPr>
      <w:r w:rsidRPr="00C64378">
        <w:rPr>
          <w:rFonts w:ascii="Verdana" w:hAnsi="Verdana"/>
          <w:b/>
          <w:sz w:val="18"/>
          <w:szCs w:val="18"/>
          <w:lang w:val="ru-RU"/>
        </w:rPr>
        <w:t>Список літератури:</w:t>
      </w:r>
    </w:p>
    <w:p w:rsidR="00C64378" w:rsidRPr="00C64378" w:rsidRDefault="00C64378" w:rsidP="00C64378">
      <w:pPr>
        <w:pStyle w:val="150"/>
        <w:shd w:val="clear" w:color="auto" w:fill="auto"/>
        <w:tabs>
          <w:tab w:val="left" w:pos="0"/>
        </w:tabs>
        <w:spacing w:before="0" w:after="0" w:line="240" w:lineRule="auto"/>
        <w:ind w:firstLine="284"/>
        <w:jc w:val="both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1. Геєць В. Кластери і мережеві структури в економіці — тема досить цікава, але на сьогодні ще до кінця не вивчена [Текст] /Економіст,—</w:t>
      </w:r>
      <w:r w:rsidRPr="000275C2">
        <w:rPr>
          <w:rFonts w:ascii="Verdana" w:hAnsi="Verdana"/>
          <w:sz w:val="18"/>
          <w:szCs w:val="18"/>
        </w:rPr>
        <w:t>N</w:t>
      </w:r>
      <w:r w:rsidRPr="00C64378">
        <w:rPr>
          <w:rFonts w:ascii="Verdana" w:hAnsi="Verdana"/>
          <w:sz w:val="18"/>
          <w:szCs w:val="18"/>
          <w:lang w:val="ru-RU"/>
        </w:rPr>
        <w:t>10.—2008. — С. 10-11.</w:t>
      </w:r>
    </w:p>
    <w:p w:rsidR="00C64378" w:rsidRPr="00C64378" w:rsidRDefault="00C64378" w:rsidP="00C64378">
      <w:pPr>
        <w:pStyle w:val="150"/>
        <w:shd w:val="clear" w:color="auto" w:fill="auto"/>
        <w:tabs>
          <w:tab w:val="left" w:pos="0"/>
        </w:tabs>
        <w:spacing w:before="0" w:after="0" w:line="240" w:lineRule="auto"/>
        <w:ind w:firstLine="284"/>
        <w:jc w:val="both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2. Войнаренко М. Кластери як полюси зростання конкурентоспроможності регіонів // Економіст. — №10 — 2008. — С. 27-30.</w:t>
      </w:r>
    </w:p>
    <w:p w:rsidR="00C64378" w:rsidRPr="00C64378" w:rsidRDefault="00C64378" w:rsidP="00C64378">
      <w:pPr>
        <w:pStyle w:val="150"/>
        <w:shd w:val="clear" w:color="auto" w:fill="auto"/>
        <w:tabs>
          <w:tab w:val="left" w:pos="0"/>
          <w:tab w:val="left" w:pos="553"/>
        </w:tabs>
        <w:spacing w:before="0" w:after="0" w:line="240" w:lineRule="auto"/>
        <w:ind w:firstLine="284"/>
        <w:jc w:val="both"/>
        <w:rPr>
          <w:rFonts w:ascii="Verdana" w:hAnsi="Verdana"/>
          <w:sz w:val="18"/>
          <w:szCs w:val="18"/>
          <w:lang w:val="ru-RU"/>
        </w:rPr>
      </w:pPr>
      <w:r w:rsidRPr="00C64378">
        <w:rPr>
          <w:rFonts w:ascii="Verdana" w:hAnsi="Verdana"/>
          <w:sz w:val="18"/>
          <w:szCs w:val="18"/>
          <w:lang w:val="ru-RU"/>
        </w:rPr>
        <w:t>3. Ашинов С.А. Учет синергетических эффектов интеграции в инду</w:t>
      </w:r>
      <w:r w:rsidRPr="00C64378">
        <w:rPr>
          <w:rFonts w:ascii="Verdana" w:hAnsi="Verdana"/>
          <w:sz w:val="18"/>
          <w:szCs w:val="18"/>
          <w:lang w:val="ru-RU"/>
        </w:rPr>
        <w:softHyphen/>
        <w:t>стрии туризма // Успехи современного естествознания. — №3. — 2005. — С. 52-53.</w:t>
      </w:r>
    </w:p>
    <w:p w:rsidR="001C18CD" w:rsidRPr="00C64378" w:rsidRDefault="001C18CD" w:rsidP="00C64378">
      <w:pPr>
        <w:rPr>
          <w:szCs w:val="18"/>
        </w:rPr>
      </w:pPr>
    </w:p>
    <w:sectPr w:rsidR="001C18CD" w:rsidRPr="00C64378" w:rsidSect="00987B23">
      <w:footerReference w:type="default" r:id="rId8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2DA9" w:rsidRDefault="00412DA9" w:rsidP="00842066">
      <w:pPr>
        <w:spacing w:after="0" w:line="240" w:lineRule="auto"/>
      </w:pPr>
      <w:r>
        <w:separator/>
      </w:r>
    </w:p>
  </w:endnote>
  <w:endnote w:type="continuationSeparator" w:id="1">
    <w:p w:rsidR="00412DA9" w:rsidRDefault="00412DA9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9C677F">
        <w:pPr>
          <w:pStyle w:val="af7"/>
        </w:pPr>
        <w:r>
          <w:t>10</w:t>
        </w:r>
        <w:r w:rsidR="00C64378">
          <w:t>4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2DA9" w:rsidRDefault="00412DA9" w:rsidP="00842066">
      <w:pPr>
        <w:spacing w:after="0" w:line="240" w:lineRule="auto"/>
      </w:pPr>
      <w:r>
        <w:separator/>
      </w:r>
    </w:p>
  </w:footnote>
  <w:footnote w:type="continuationSeparator" w:id="1">
    <w:p w:rsidR="00412DA9" w:rsidRDefault="00412DA9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1E60FDD"/>
    <w:multiLevelType w:val="hybridMultilevel"/>
    <w:tmpl w:val="1432160C"/>
    <w:lvl w:ilvl="0" w:tplc="68307B14">
      <w:start w:val="2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9C7402C"/>
    <w:multiLevelType w:val="hybridMultilevel"/>
    <w:tmpl w:val="1DF6E2D2"/>
    <w:lvl w:ilvl="0" w:tplc="0CC05D3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17096F"/>
    <w:multiLevelType w:val="hybridMultilevel"/>
    <w:tmpl w:val="3C804D46"/>
    <w:lvl w:ilvl="0" w:tplc="9524098A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0D360B40"/>
    <w:multiLevelType w:val="hybridMultilevel"/>
    <w:tmpl w:val="80248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6A275A"/>
    <w:multiLevelType w:val="multilevel"/>
    <w:tmpl w:val="37A05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4006FB3"/>
    <w:multiLevelType w:val="hybridMultilevel"/>
    <w:tmpl w:val="0E82EEB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74A1EBE"/>
    <w:multiLevelType w:val="hybridMultilevel"/>
    <w:tmpl w:val="662E8EB0"/>
    <w:lvl w:ilvl="0" w:tplc="EF9275C4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>
    <w:nsid w:val="1CCE4D53"/>
    <w:multiLevelType w:val="hybridMultilevel"/>
    <w:tmpl w:val="1BCEF694"/>
    <w:lvl w:ilvl="0" w:tplc="EEA4BF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F652E4"/>
    <w:multiLevelType w:val="hybridMultilevel"/>
    <w:tmpl w:val="F87C66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567984"/>
    <w:multiLevelType w:val="hybridMultilevel"/>
    <w:tmpl w:val="13E4643C"/>
    <w:lvl w:ilvl="0" w:tplc="7E761C24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24A87308"/>
    <w:multiLevelType w:val="hybridMultilevel"/>
    <w:tmpl w:val="B44C69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271B5EEF"/>
    <w:multiLevelType w:val="hybridMultilevel"/>
    <w:tmpl w:val="1486A172"/>
    <w:lvl w:ilvl="0" w:tplc="99CA76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8DA7E9C"/>
    <w:multiLevelType w:val="hybridMultilevel"/>
    <w:tmpl w:val="E9E8F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7">
    <w:nsid w:val="2DB54668"/>
    <w:multiLevelType w:val="multilevel"/>
    <w:tmpl w:val="88581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014278D"/>
    <w:multiLevelType w:val="multilevel"/>
    <w:tmpl w:val="0EA66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0DB6E23"/>
    <w:multiLevelType w:val="multilevel"/>
    <w:tmpl w:val="EB220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34502506"/>
    <w:multiLevelType w:val="hybridMultilevel"/>
    <w:tmpl w:val="2396A854"/>
    <w:lvl w:ilvl="0" w:tplc="04190001">
      <w:start w:val="1"/>
      <w:numFmt w:val="bullet"/>
      <w:lvlText w:val=""/>
      <w:lvlJc w:val="left"/>
      <w:pPr>
        <w:ind w:left="1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22">
    <w:nsid w:val="34612BCF"/>
    <w:multiLevelType w:val="hybridMultilevel"/>
    <w:tmpl w:val="B61CC9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3CD91D05"/>
    <w:multiLevelType w:val="hybridMultilevel"/>
    <w:tmpl w:val="2092C60C"/>
    <w:lvl w:ilvl="0" w:tplc="F60253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F7B0696"/>
    <w:multiLevelType w:val="hybridMultilevel"/>
    <w:tmpl w:val="B0367B24"/>
    <w:lvl w:ilvl="0" w:tplc="B17A097C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ED62E2"/>
    <w:multiLevelType w:val="hybridMultilevel"/>
    <w:tmpl w:val="385805D8"/>
    <w:lvl w:ilvl="0" w:tplc="DC7656CC">
      <w:numFmt w:val="bullet"/>
      <w:lvlText w:val="-"/>
      <w:lvlJc w:val="left"/>
      <w:pPr>
        <w:ind w:left="927" w:hanging="360"/>
      </w:pPr>
      <w:rPr>
        <w:rFonts w:ascii="Verdana" w:eastAsia="Calibri" w:hAnsi="Verdana" w:cs="Aria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29">
    <w:nsid w:val="4B9F511F"/>
    <w:multiLevelType w:val="hybridMultilevel"/>
    <w:tmpl w:val="C1346D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D2B424A"/>
    <w:multiLevelType w:val="hybridMultilevel"/>
    <w:tmpl w:val="BC500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>
    <w:nsid w:val="536C2C2B"/>
    <w:multiLevelType w:val="hybridMultilevel"/>
    <w:tmpl w:val="58146662"/>
    <w:lvl w:ilvl="0" w:tplc="D996D05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540A3894"/>
    <w:multiLevelType w:val="hybridMultilevel"/>
    <w:tmpl w:val="4B1A75D0"/>
    <w:lvl w:ilvl="0" w:tplc="0E04F5C6">
      <w:start w:val="1"/>
      <w:numFmt w:val="decimal"/>
      <w:lvlText w:val="%1."/>
      <w:lvlJc w:val="left"/>
      <w:pPr>
        <w:tabs>
          <w:tab w:val="num" w:pos="869"/>
        </w:tabs>
        <w:ind w:left="869" w:hanging="58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4">
    <w:nsid w:val="596A1359"/>
    <w:multiLevelType w:val="hybridMultilevel"/>
    <w:tmpl w:val="BE5A019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5A1E695B"/>
    <w:multiLevelType w:val="hybridMultilevel"/>
    <w:tmpl w:val="059EE366"/>
    <w:lvl w:ilvl="0" w:tplc="2976212C">
      <w:start w:val="1"/>
      <w:numFmt w:val="decimal"/>
      <w:lvlText w:val="%1."/>
      <w:lvlJc w:val="left"/>
      <w:pPr>
        <w:ind w:left="284" w:firstLine="283"/>
      </w:pPr>
      <w:rPr>
        <w:rFonts w:ascii="Verdana" w:eastAsia="Calibri" w:hAnsi="Verdana" w:cs="Arial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>
    <w:nsid w:val="5DE72F60"/>
    <w:multiLevelType w:val="hybridMultilevel"/>
    <w:tmpl w:val="D1BEDD3C"/>
    <w:lvl w:ilvl="0" w:tplc="5BDEBAE0">
      <w:start w:val="1"/>
      <w:numFmt w:val="decimal"/>
      <w:lvlText w:val="%1."/>
      <w:lvlJc w:val="left"/>
      <w:pPr>
        <w:ind w:left="927" w:hanging="360"/>
      </w:pPr>
      <w:rPr>
        <w:rFonts w:eastAsia="Times New Roman" w:cs="Times New Roman"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7">
    <w:nsid w:val="60486D50"/>
    <w:multiLevelType w:val="hybridMultilevel"/>
    <w:tmpl w:val="AAACFE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F92432"/>
    <w:multiLevelType w:val="hybridMultilevel"/>
    <w:tmpl w:val="AA7E118C"/>
    <w:lvl w:ilvl="0" w:tplc="04BE4F4C">
      <w:start w:val="1"/>
      <w:numFmt w:val="decimal"/>
      <w:lvlText w:val="%1."/>
      <w:lvlJc w:val="left"/>
      <w:pPr>
        <w:ind w:left="-207" w:hanging="360"/>
      </w:pPr>
      <w:rPr>
        <w:rFonts w:ascii="Calibri" w:hAnsi="Calibri" w:hint="default"/>
        <w:sz w:val="22"/>
      </w:r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9">
    <w:nsid w:val="6BEA4740"/>
    <w:multiLevelType w:val="multilevel"/>
    <w:tmpl w:val="31529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2612C1"/>
    <w:multiLevelType w:val="hybridMultilevel"/>
    <w:tmpl w:val="5A70CF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39A236D"/>
    <w:multiLevelType w:val="multilevel"/>
    <w:tmpl w:val="7F1E0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4">
    <w:nsid w:val="74BF12CB"/>
    <w:multiLevelType w:val="hybridMultilevel"/>
    <w:tmpl w:val="60B209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AF54DFA"/>
    <w:multiLevelType w:val="hybridMultilevel"/>
    <w:tmpl w:val="95D6DF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C3314AD"/>
    <w:multiLevelType w:val="multilevel"/>
    <w:tmpl w:val="B1548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7F0E1178"/>
    <w:multiLevelType w:val="hybridMultilevel"/>
    <w:tmpl w:val="52F0364A"/>
    <w:lvl w:ilvl="0" w:tplc="001A355E">
      <w:start w:val="1"/>
      <w:numFmt w:val="decimal"/>
      <w:lvlText w:val="%1)"/>
      <w:lvlJc w:val="left"/>
      <w:pPr>
        <w:ind w:left="927" w:hanging="360"/>
      </w:pPr>
      <w:rPr>
        <w:rFonts w:ascii="Verdana" w:eastAsia="Calibri" w:hAnsi="Verdana" w:cs="Times New Roman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4"/>
  </w:num>
  <w:num w:numId="2">
    <w:abstractNumId w:val="16"/>
  </w:num>
  <w:num w:numId="3">
    <w:abstractNumId w:val="28"/>
  </w:num>
  <w:num w:numId="4">
    <w:abstractNumId w:val="43"/>
  </w:num>
  <w:num w:numId="5">
    <w:abstractNumId w:val="31"/>
  </w:num>
  <w:num w:numId="6">
    <w:abstractNumId w:val="0"/>
  </w:num>
  <w:num w:numId="7">
    <w:abstractNumId w:val="40"/>
  </w:num>
  <w:num w:numId="8">
    <w:abstractNumId w:val="8"/>
  </w:num>
  <w:num w:numId="9">
    <w:abstractNumId w:val="45"/>
  </w:num>
  <w:num w:numId="10">
    <w:abstractNumId w:val="23"/>
  </w:num>
  <w:num w:numId="11">
    <w:abstractNumId w:val="20"/>
  </w:num>
  <w:num w:numId="12">
    <w:abstractNumId w:val="5"/>
  </w:num>
  <w:num w:numId="13">
    <w:abstractNumId w:val="44"/>
  </w:num>
  <w:num w:numId="14">
    <w:abstractNumId w:val="34"/>
  </w:num>
  <w:num w:numId="15">
    <w:abstractNumId w:val="12"/>
  </w:num>
  <w:num w:numId="16">
    <w:abstractNumId w:val="29"/>
  </w:num>
  <w:num w:numId="17">
    <w:abstractNumId w:val="4"/>
  </w:num>
  <w:num w:numId="18">
    <w:abstractNumId w:val="9"/>
  </w:num>
  <w:num w:numId="19">
    <w:abstractNumId w:val="27"/>
  </w:num>
  <w:num w:numId="20">
    <w:abstractNumId w:val="35"/>
  </w:num>
  <w:num w:numId="21">
    <w:abstractNumId w:val="10"/>
  </w:num>
  <w:num w:numId="22">
    <w:abstractNumId w:val="30"/>
  </w:num>
  <w:num w:numId="23">
    <w:abstractNumId w:val="38"/>
  </w:num>
  <w:num w:numId="24">
    <w:abstractNumId w:val="22"/>
  </w:num>
  <w:num w:numId="25">
    <w:abstractNumId w:val="13"/>
  </w:num>
  <w:num w:numId="26">
    <w:abstractNumId w:val="7"/>
  </w:num>
  <w:num w:numId="27">
    <w:abstractNumId w:val="46"/>
  </w:num>
  <w:num w:numId="28">
    <w:abstractNumId w:val="1"/>
  </w:num>
  <w:num w:numId="29">
    <w:abstractNumId w:val="32"/>
  </w:num>
  <w:num w:numId="30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8"/>
  </w:num>
  <w:num w:numId="32">
    <w:abstractNumId w:val="41"/>
  </w:num>
  <w:num w:numId="33">
    <w:abstractNumId w:val="4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"/>
  </w:num>
  <w:num w:numId="40">
    <w:abstractNumId w:val="36"/>
  </w:num>
  <w:num w:numId="41">
    <w:abstractNumId w:val="25"/>
  </w:num>
  <w:num w:numId="42">
    <w:abstractNumId w:val="33"/>
  </w:num>
  <w:num w:numId="43">
    <w:abstractNumId w:val="26"/>
  </w:num>
  <w:num w:numId="44">
    <w:abstractNumId w:val="2"/>
  </w:num>
  <w:num w:numId="45">
    <w:abstractNumId w:val="15"/>
  </w:num>
  <w:num w:numId="46">
    <w:abstractNumId w:val="11"/>
  </w:num>
  <w:num w:numId="47">
    <w:abstractNumId w:val="14"/>
  </w:num>
  <w:num w:numId="48">
    <w:abstractNumId w:val="19"/>
  </w:num>
  <w:num w:numId="49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67DDC"/>
    <w:rsid w:val="000840AC"/>
    <w:rsid w:val="000A4DF5"/>
    <w:rsid w:val="000A68DB"/>
    <w:rsid w:val="000B59C8"/>
    <w:rsid w:val="000E0576"/>
    <w:rsid w:val="000E33ED"/>
    <w:rsid w:val="00105C83"/>
    <w:rsid w:val="00162A35"/>
    <w:rsid w:val="001752C1"/>
    <w:rsid w:val="001C18CD"/>
    <w:rsid w:val="001C4033"/>
    <w:rsid w:val="001F6A01"/>
    <w:rsid w:val="00202F3C"/>
    <w:rsid w:val="002073DB"/>
    <w:rsid w:val="00211E3C"/>
    <w:rsid w:val="002156DF"/>
    <w:rsid w:val="002372C3"/>
    <w:rsid w:val="002C00BE"/>
    <w:rsid w:val="002C3B8A"/>
    <w:rsid w:val="002E2CD6"/>
    <w:rsid w:val="002F1C3B"/>
    <w:rsid w:val="002F6A61"/>
    <w:rsid w:val="00300FFD"/>
    <w:rsid w:val="00336DE6"/>
    <w:rsid w:val="00343BCA"/>
    <w:rsid w:val="00374B02"/>
    <w:rsid w:val="00376112"/>
    <w:rsid w:val="003831FF"/>
    <w:rsid w:val="00397084"/>
    <w:rsid w:val="003B19C3"/>
    <w:rsid w:val="00404BAA"/>
    <w:rsid w:val="00412DA9"/>
    <w:rsid w:val="004464F7"/>
    <w:rsid w:val="0045151F"/>
    <w:rsid w:val="00455885"/>
    <w:rsid w:val="00466112"/>
    <w:rsid w:val="00472221"/>
    <w:rsid w:val="004828C7"/>
    <w:rsid w:val="00485B02"/>
    <w:rsid w:val="004C3C43"/>
    <w:rsid w:val="00500F25"/>
    <w:rsid w:val="00504985"/>
    <w:rsid w:val="00512354"/>
    <w:rsid w:val="00540221"/>
    <w:rsid w:val="00544C25"/>
    <w:rsid w:val="00570DD2"/>
    <w:rsid w:val="005A2078"/>
    <w:rsid w:val="005B28B6"/>
    <w:rsid w:val="005D3369"/>
    <w:rsid w:val="005D6B51"/>
    <w:rsid w:val="00607A49"/>
    <w:rsid w:val="00651076"/>
    <w:rsid w:val="006573BB"/>
    <w:rsid w:val="006A7249"/>
    <w:rsid w:val="006B27E3"/>
    <w:rsid w:val="00716B2C"/>
    <w:rsid w:val="007240F2"/>
    <w:rsid w:val="007353A6"/>
    <w:rsid w:val="00745BAB"/>
    <w:rsid w:val="007723B6"/>
    <w:rsid w:val="00772807"/>
    <w:rsid w:val="00777798"/>
    <w:rsid w:val="00793DEB"/>
    <w:rsid w:val="007C4E99"/>
    <w:rsid w:val="007E342D"/>
    <w:rsid w:val="007E50FE"/>
    <w:rsid w:val="00800172"/>
    <w:rsid w:val="00814DB4"/>
    <w:rsid w:val="00826639"/>
    <w:rsid w:val="00842066"/>
    <w:rsid w:val="00845D20"/>
    <w:rsid w:val="00884BD8"/>
    <w:rsid w:val="008D5547"/>
    <w:rsid w:val="00926C33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D2A18"/>
    <w:rsid w:val="009D434A"/>
    <w:rsid w:val="009E7F0F"/>
    <w:rsid w:val="00A15681"/>
    <w:rsid w:val="00A30455"/>
    <w:rsid w:val="00A52C1E"/>
    <w:rsid w:val="00A909B3"/>
    <w:rsid w:val="00A9671B"/>
    <w:rsid w:val="00AA4557"/>
    <w:rsid w:val="00AD1AD3"/>
    <w:rsid w:val="00B078E6"/>
    <w:rsid w:val="00B1060C"/>
    <w:rsid w:val="00B10D8C"/>
    <w:rsid w:val="00B17F3E"/>
    <w:rsid w:val="00B2180B"/>
    <w:rsid w:val="00B26518"/>
    <w:rsid w:val="00B66B59"/>
    <w:rsid w:val="00B8770B"/>
    <w:rsid w:val="00BC0205"/>
    <w:rsid w:val="00BD129B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B3F13"/>
    <w:rsid w:val="00CD017A"/>
    <w:rsid w:val="00CD3499"/>
    <w:rsid w:val="00CE2709"/>
    <w:rsid w:val="00D26A99"/>
    <w:rsid w:val="00D329AE"/>
    <w:rsid w:val="00D66D06"/>
    <w:rsid w:val="00D80ACF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A15B8"/>
    <w:rsid w:val="00EE6C47"/>
    <w:rsid w:val="00EF6895"/>
    <w:rsid w:val="00F31707"/>
    <w:rsid w:val="00F331EF"/>
    <w:rsid w:val="00F5173E"/>
    <w:rsid w:val="00FA222E"/>
    <w:rsid w:val="00FA5990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semiHidden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semiHidden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OksanaKond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533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2013-10-15T12:24:00Z</dcterms:created>
  <dcterms:modified xsi:type="dcterms:W3CDTF">2013-10-15T12:24:00Z</dcterms:modified>
</cp:coreProperties>
</file>