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0A3C" w:rsidRPr="00DA0A3C" w:rsidRDefault="00DA0A3C" w:rsidP="00DA0A3C">
      <w:pPr>
        <w:pStyle w:val="1"/>
        <w:spacing w:before="0"/>
        <w:jc w:val="center"/>
        <w:rPr>
          <w:rFonts w:ascii="Verdana" w:hAnsi="Verdana"/>
          <w:sz w:val="24"/>
          <w:szCs w:val="24"/>
          <w:lang w:val="ru-RU"/>
        </w:rPr>
      </w:pPr>
      <w:bookmarkStart w:id="0" w:name="_Toc352106164"/>
      <w:r w:rsidRPr="00DA0A3C">
        <w:rPr>
          <w:rFonts w:ascii="Verdana" w:hAnsi="Verdana"/>
          <w:sz w:val="24"/>
          <w:szCs w:val="24"/>
          <w:lang w:val="ru-RU"/>
        </w:rPr>
        <w:t>Управління фінансовим ризиком: теоретичний аспект</w:t>
      </w:r>
      <w:bookmarkEnd w:id="0"/>
    </w:p>
    <w:p w:rsidR="00DA0A3C" w:rsidRPr="00DA0A3C" w:rsidRDefault="00DA0A3C" w:rsidP="00DA0A3C">
      <w:pPr>
        <w:pStyle w:val="1"/>
        <w:spacing w:before="0"/>
        <w:jc w:val="center"/>
        <w:rPr>
          <w:rFonts w:ascii="Verdana" w:hAnsi="Verdana"/>
          <w:b w:val="0"/>
          <w:sz w:val="22"/>
          <w:szCs w:val="22"/>
          <w:lang w:val="ru-RU"/>
        </w:rPr>
      </w:pPr>
      <w:bookmarkStart w:id="1" w:name="_Toc352106165"/>
      <w:r w:rsidRPr="00DA0A3C">
        <w:rPr>
          <w:rFonts w:ascii="Verdana" w:hAnsi="Verdana"/>
          <w:b w:val="0"/>
          <w:sz w:val="22"/>
          <w:szCs w:val="22"/>
          <w:lang w:val="ru-RU"/>
        </w:rPr>
        <w:t>Яресько Р.С.</w:t>
      </w:r>
      <w:bookmarkEnd w:id="1"/>
    </w:p>
    <w:p w:rsidR="00DA0A3C" w:rsidRPr="000275C2" w:rsidRDefault="00DA0A3C" w:rsidP="00DA0A3C">
      <w:pPr>
        <w:spacing w:after="0" w:line="240" w:lineRule="auto"/>
        <w:jc w:val="center"/>
        <w:rPr>
          <w:rFonts w:ascii="Verdana" w:hAnsi="Verdana"/>
          <w:b/>
          <w:lang w:eastAsia="uk-UA"/>
        </w:rPr>
      </w:pPr>
      <w:r w:rsidRPr="000275C2">
        <w:rPr>
          <w:rFonts w:ascii="Verdana" w:hAnsi="Verdana"/>
          <w:b/>
          <w:lang w:eastAsia="uk-UA"/>
        </w:rPr>
        <w:t>Національний технічний університет України «Київський політехнічний інститут»</w:t>
      </w:r>
    </w:p>
    <w:p w:rsidR="00DA0A3C" w:rsidRPr="000275C2" w:rsidRDefault="00DA0A3C" w:rsidP="00DA0A3C">
      <w:pPr>
        <w:spacing w:after="0" w:line="240" w:lineRule="auto"/>
        <w:jc w:val="center"/>
        <w:rPr>
          <w:rFonts w:ascii="Verdana" w:hAnsi="Verdana"/>
          <w:i/>
          <w:iCs/>
          <w:lang w:val="en-US"/>
        </w:rPr>
      </w:pPr>
      <w:r w:rsidRPr="000275C2">
        <w:rPr>
          <w:rFonts w:ascii="Verdana" w:hAnsi="Verdana"/>
          <w:i/>
          <w:iCs/>
        </w:rPr>
        <w:t xml:space="preserve">E-mail: </w:t>
      </w:r>
      <w:r w:rsidRPr="000275C2">
        <w:rPr>
          <w:rFonts w:ascii="Verdana" w:hAnsi="Verdana"/>
          <w:i/>
          <w:iCs/>
          <w:lang w:val="en-US"/>
        </w:rPr>
        <w:t>renata_yaresko@ukr.net</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В ринкових мовах економіки підприємці, виробники та споживачі діють в умовах конкуренції самостійно, тобто на свій власний розсуд та ризик. При цьому їх фінансовий стан в майбутньому є непередбачуваним та мало прогнозованим. Для того щоб непередбачуване фінансове майбутнє було з меншою ймовірністю банкрутства чи іншим негативним результатом використовують заходи по впровадженню ризик-менеджменту.</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Фінансовий ризик, який виникає при здійсненні фінансового підприємництва чи фінансових угод, виходячи з того, що в фінансовому підприємництві в ролі товару виступають або валюта, або цінні папери, або грошові засоби. До фінансового ризику відносять (рис. 1) [1]:</w:t>
      </w:r>
    </w:p>
    <w:p w:rsidR="00DA0A3C" w:rsidRPr="000275C2" w:rsidRDefault="00DA0A3C" w:rsidP="00DA0A3C">
      <w:pPr>
        <w:numPr>
          <w:ilvl w:val="0"/>
          <w:numId w:val="1"/>
        </w:numPr>
        <w:tabs>
          <w:tab w:val="clear" w:pos="1287"/>
          <w:tab w:val="num" w:pos="0"/>
        </w:tabs>
        <w:spacing w:after="0" w:line="240" w:lineRule="auto"/>
        <w:ind w:left="0" w:firstLine="540"/>
        <w:jc w:val="both"/>
        <w:rPr>
          <w:rFonts w:ascii="Verdana" w:hAnsi="Verdana"/>
          <w:sz w:val="18"/>
          <w:szCs w:val="18"/>
        </w:rPr>
      </w:pPr>
      <w:r w:rsidRPr="000275C2">
        <w:rPr>
          <w:rFonts w:ascii="Verdana" w:hAnsi="Verdana"/>
          <w:sz w:val="18"/>
          <w:szCs w:val="18"/>
        </w:rPr>
        <w:t>валютний ризик;</w:t>
      </w:r>
    </w:p>
    <w:p w:rsidR="00DA0A3C" w:rsidRPr="000275C2" w:rsidRDefault="00DA0A3C" w:rsidP="00DA0A3C">
      <w:pPr>
        <w:numPr>
          <w:ilvl w:val="0"/>
          <w:numId w:val="1"/>
        </w:numPr>
        <w:tabs>
          <w:tab w:val="clear" w:pos="1287"/>
          <w:tab w:val="num" w:pos="0"/>
        </w:tabs>
        <w:spacing w:after="0" w:line="240" w:lineRule="auto"/>
        <w:ind w:left="0" w:firstLine="540"/>
        <w:jc w:val="both"/>
        <w:rPr>
          <w:rFonts w:ascii="Verdana" w:hAnsi="Verdana"/>
          <w:sz w:val="18"/>
          <w:szCs w:val="18"/>
        </w:rPr>
      </w:pPr>
      <w:r w:rsidRPr="000275C2">
        <w:rPr>
          <w:rFonts w:ascii="Verdana" w:hAnsi="Verdana"/>
          <w:sz w:val="18"/>
          <w:szCs w:val="18"/>
        </w:rPr>
        <w:t>кредитний ризик;</w:t>
      </w:r>
    </w:p>
    <w:p w:rsidR="00DA0A3C" w:rsidRPr="000275C2" w:rsidRDefault="00DA0A3C" w:rsidP="00DA0A3C">
      <w:pPr>
        <w:numPr>
          <w:ilvl w:val="0"/>
          <w:numId w:val="1"/>
        </w:numPr>
        <w:tabs>
          <w:tab w:val="clear" w:pos="1287"/>
          <w:tab w:val="num" w:pos="0"/>
        </w:tabs>
        <w:spacing w:after="0" w:line="240" w:lineRule="auto"/>
        <w:ind w:left="0" w:firstLine="540"/>
        <w:jc w:val="both"/>
        <w:rPr>
          <w:rFonts w:ascii="Verdana" w:hAnsi="Verdana"/>
          <w:sz w:val="18"/>
          <w:szCs w:val="18"/>
        </w:rPr>
      </w:pPr>
      <w:r w:rsidRPr="000275C2">
        <w:rPr>
          <w:rFonts w:ascii="Verdana" w:hAnsi="Verdana"/>
          <w:sz w:val="18"/>
          <w:szCs w:val="18"/>
        </w:rPr>
        <w:t>інвестиційний ризик.</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r>
      <w:r w:rsidRPr="000275C2">
        <w:rPr>
          <w:rFonts w:ascii="Verdana" w:hAnsi="Verdana"/>
          <w:sz w:val="18"/>
          <w:szCs w:val="18"/>
        </w:rPr>
        <w:pict>
          <v:group id="_x0000_s1026" editas="canvas" style="width:477pt;height:54pt;mso-position-horizontal-relative:char;mso-position-vertical-relative:line" coordorigin="2308,4056" coordsize="7200,8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308;top:4056;width:7200;height:810" o:preferrelative="f">
              <v:fill o:detectmouseclick="t"/>
              <v:path o:extrusionok="t" o:connecttype="none"/>
              <o:lock v:ext="edit" text="t"/>
            </v:shape>
            <v:group id="_x0000_s1028" style="position:absolute;left:2580;top:4056;width:6249;height:810" coordorigin="2580,4056" coordsize="6249,810">
              <v:rect id="_x0000_s1029" style="position:absolute;left:4753;top:4056;width:1902;height:270" fillcolor="silver">
                <v:shadow on="t" offset="3pt,-1pt" offset2="2pt,-6pt"/>
                <v:textbox>
                  <w:txbxContent>
                    <w:p w:rsidR="00DA0A3C" w:rsidRPr="00E86C80" w:rsidRDefault="00DA0A3C" w:rsidP="00DA0A3C">
                      <w:pPr>
                        <w:jc w:val="center"/>
                        <w:rPr>
                          <w:rFonts w:ascii="Verdana" w:hAnsi="Verdana"/>
                          <w:b/>
                          <w:sz w:val="18"/>
                          <w:szCs w:val="18"/>
                        </w:rPr>
                      </w:pPr>
                      <w:r w:rsidRPr="00E86C80">
                        <w:rPr>
                          <w:rFonts w:ascii="Verdana" w:hAnsi="Verdana"/>
                          <w:b/>
                          <w:sz w:val="18"/>
                          <w:szCs w:val="18"/>
                        </w:rPr>
                        <w:t>Фінансові ризики</w:t>
                      </w:r>
                    </w:p>
                  </w:txbxContent>
                </v:textbox>
              </v:rect>
              <v:rect id="_x0000_s1030" style="position:absolute;left:2580;top:4596;width:1766;height:270" fillcolor="silver">
                <v:shadow on="t" offset="3pt,-1pt" offset2="2pt,-6pt"/>
                <v:textbox>
                  <w:txbxContent>
                    <w:p w:rsidR="00DA0A3C" w:rsidRPr="00E86C80" w:rsidRDefault="00DA0A3C" w:rsidP="00DA0A3C">
                      <w:pPr>
                        <w:jc w:val="center"/>
                        <w:rPr>
                          <w:rFonts w:ascii="Verdana" w:hAnsi="Verdana"/>
                          <w:sz w:val="18"/>
                          <w:szCs w:val="18"/>
                        </w:rPr>
                      </w:pPr>
                      <w:r w:rsidRPr="00E86C80">
                        <w:rPr>
                          <w:rFonts w:ascii="Verdana" w:hAnsi="Verdana"/>
                          <w:sz w:val="18"/>
                          <w:szCs w:val="18"/>
                        </w:rPr>
                        <w:t>Валютний ризик</w:t>
                      </w:r>
                    </w:p>
                  </w:txbxContent>
                </v:textbox>
              </v:rect>
              <v:rect id="_x0000_s1031" style="position:absolute;left:4889;top:4596;width:1766;height:270" fillcolor="silver">
                <v:shadow on="t" offset="3pt,-1pt" offset2="2pt,-6pt"/>
                <v:textbox>
                  <w:txbxContent>
                    <w:p w:rsidR="00DA0A3C" w:rsidRPr="00E86C80" w:rsidRDefault="00DA0A3C" w:rsidP="00DA0A3C">
                      <w:pPr>
                        <w:jc w:val="center"/>
                        <w:rPr>
                          <w:rFonts w:ascii="Verdana" w:hAnsi="Verdana"/>
                          <w:sz w:val="18"/>
                          <w:szCs w:val="18"/>
                        </w:rPr>
                      </w:pPr>
                      <w:r w:rsidRPr="00E86C80">
                        <w:rPr>
                          <w:rFonts w:ascii="Verdana" w:hAnsi="Verdana"/>
                          <w:sz w:val="18"/>
                          <w:szCs w:val="18"/>
                        </w:rPr>
                        <w:t>Кредитний ризик</w:t>
                      </w:r>
                    </w:p>
                  </w:txbxContent>
                </v:textbox>
              </v:rect>
              <v:rect id="_x0000_s1032" style="position:absolute;left:7063;top:4596;width:1766;height:270" fillcolor="silver">
                <v:shadow on="t" offset="3pt,-1pt" offset2="2pt,-6pt"/>
                <v:textbox>
                  <w:txbxContent>
                    <w:p w:rsidR="00DA0A3C" w:rsidRPr="00E86C80" w:rsidRDefault="00DA0A3C" w:rsidP="00DA0A3C">
                      <w:pPr>
                        <w:jc w:val="center"/>
                        <w:rPr>
                          <w:rFonts w:ascii="Verdana" w:hAnsi="Verdana"/>
                          <w:sz w:val="18"/>
                          <w:szCs w:val="18"/>
                        </w:rPr>
                      </w:pPr>
                      <w:r>
                        <w:rPr>
                          <w:rFonts w:ascii="Verdana" w:hAnsi="Verdana"/>
                          <w:sz w:val="18"/>
                          <w:szCs w:val="18"/>
                        </w:rPr>
                        <w:t>Інвестиційний ризик</w:t>
                      </w:r>
                    </w:p>
                  </w:txbxContent>
                </v:textbox>
              </v:rect>
              <v:line id="_x0000_s1033" style="position:absolute;flip:x" from="3531,4326" to="4753,4596" strokeweight="1.5pt">
                <v:stroke endarrow="block"/>
              </v:line>
              <v:line id="_x0000_s1034" style="position:absolute" from="5704,4326" to="5704,4596" strokeweight="1.5pt">
                <v:stroke endarrow="block"/>
              </v:line>
              <v:line id="_x0000_s1035" style="position:absolute" from="6655,4326" to="8014,4596" strokeweight="1.5pt">
                <v:stroke endarrow="block"/>
              </v:line>
            </v:group>
            <w10:wrap type="none"/>
            <w10:anchorlock/>
          </v:group>
        </w:pic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Рис. 1. Різновиди фінансових ризиків</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Валютний ризик — це ймовірність фінансових втрат в результаті зміни курсу валют в період між укладенням контракту та фактичним проведенням розрахунків по ньому [2]. Серед основних факторів, що впливають на курс валют, слід виділити стан платіжного балансу, рівень інфляції, міжгалузева міграція короткотермінових капіталів. Значні непередбачувані коливання, відрив валютного курсу від співвідношення купівельної спроможності посилюють напруженість у валютно-фінансовій сфері, порушують нормальний міжнародний обмін.</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Кредитний ризик — небезпека невиплати позичальником основного боргу та відсотків, що належать кредитору. До кредитного ризику також відносять ризик такої події, за якої емітент, котрий випустив боргові цінні папери, опиниться не в стані виплатити відсотки по ним або основну суму боргу. Кредитний ризик може бути також різновидом ризиків прямих фінансових втрат, до яких відносяться біржовий ризик, селективний ризик, ризик банкрутства [3].</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 xml:space="preserve">Під інвестиційними ризиками розуміється можливість недоотримання запланованого прибутку в ході реалізації інвестиційних проектів. Здійснення інвестиційного проекту проходить дві стадії: на першій засоби інвестуються в різноманітні активи, в будівництво об’єктів або закупівлю оборотних фондів, а на другій стадії вкладенні засоби повертаються і проект починає приносити прибуток. На першій стадії реалізації виникають ризики що пов’язані з можливим не завершенням проектної чи будівельно-монтажної частини проекту. На другій стадії інвестиційного проекту ризики пов’язані з окупністю проекту. </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Інвестиційні ризики мають складну структуру, оскільки кожна їх складова не є однорідною. Інвестиційні ризики включають в себе наступні підвиди ризиків: ризик втраченої вигоди, ризик зниження дохідності.</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Ризик втраченої вигоди — це ризик настання непрямого (побічного) фінансового збитку в результаті нездійснення якого-небудь заходу (наприклад страхування, хеджування).</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Ризик зниження дохідності — може виникнути в результаті зменшення розміру відсотків і дивідендів за портфельними інвестиціями, за вкладами та по кредитам.</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 xml:space="preserve">За обсягом ймовірних втрат інвестиційні ризики поділяють на: </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 xml:space="preserve">1) допустимий ризик — допускається втрата усього прибутку від реалізації одного з проектів без заподіяння шкоди економічному становищу підприємства; </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2) критичний ризик — втрати внаслідок впливу ризику дорівнюють коштам, вкладеним у цей інвестиційний проект;</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3) катастрофічний ризик — підприємство може повністю втратити своє майно [1].</w:t>
      </w:r>
    </w:p>
    <w:p w:rsidR="00DA0A3C" w:rsidRPr="000275C2" w:rsidRDefault="00DA0A3C" w:rsidP="00DA0A3C">
      <w:pPr>
        <w:spacing w:after="0" w:line="240" w:lineRule="auto"/>
        <w:ind w:firstLine="567"/>
        <w:jc w:val="both"/>
        <w:rPr>
          <w:rFonts w:ascii="Verdana" w:hAnsi="Verdana"/>
          <w:sz w:val="18"/>
          <w:szCs w:val="18"/>
        </w:rPr>
      </w:pPr>
      <w:r w:rsidRPr="000275C2">
        <w:rPr>
          <w:rFonts w:ascii="Verdana" w:hAnsi="Verdana"/>
          <w:sz w:val="18"/>
          <w:szCs w:val="18"/>
        </w:rPr>
        <w:t>Таким чином чим вищу дохідність очікує чи підприємець, чи кредитор, чи інвестор, тим вища ризикованість його капіталу та інвестицій. Тому дослідження сутності та природи фінансових ризиків важливе як у теоретичному, так і практичному аспектах. Насамперед, завдяки цьому підприємство може розробити необхідну й ефективну систему стратегічного аналізу фінансових ризиків, і на основі цього здійснювати стратегічне управління (в тому числі ризик-менеджмент).</w:t>
      </w:r>
    </w:p>
    <w:p w:rsidR="00DA0A3C" w:rsidRPr="000275C2" w:rsidRDefault="00DA0A3C" w:rsidP="00DA0A3C">
      <w:pPr>
        <w:spacing w:after="0" w:line="240" w:lineRule="auto"/>
        <w:ind w:firstLine="567"/>
        <w:jc w:val="both"/>
        <w:rPr>
          <w:rFonts w:ascii="Verdana" w:hAnsi="Verdana"/>
          <w:b/>
          <w:sz w:val="18"/>
          <w:szCs w:val="18"/>
        </w:rPr>
      </w:pPr>
    </w:p>
    <w:p w:rsidR="001C18CD" w:rsidRPr="00DA0A3C" w:rsidRDefault="00DA0A3C" w:rsidP="00DA0A3C">
      <w:pPr>
        <w:rPr>
          <w:szCs w:val="18"/>
        </w:rPr>
      </w:pPr>
      <w:r w:rsidRPr="000275C2">
        <w:rPr>
          <w:rFonts w:ascii="Verdana" w:hAnsi="Verdana"/>
          <w:b/>
          <w:sz w:val="18"/>
          <w:szCs w:val="18"/>
        </w:rPr>
        <w:t>Список використаної літератури:</w:t>
      </w:r>
      <w:r w:rsidRPr="000275C2">
        <w:rPr>
          <w:rFonts w:ascii="Verdana" w:hAnsi="Verdana"/>
          <w:b/>
          <w:sz w:val="18"/>
          <w:szCs w:val="18"/>
          <w:lang w:val="ru-RU"/>
        </w:rPr>
        <w:t xml:space="preserve"> </w:t>
      </w:r>
      <w:r w:rsidRPr="000275C2">
        <w:rPr>
          <w:rFonts w:ascii="Verdana" w:hAnsi="Verdana"/>
          <w:sz w:val="18"/>
          <w:szCs w:val="18"/>
          <w:lang w:val="ru-RU"/>
        </w:rPr>
        <w:t>1. Балабанов И. Т. Риск-менеджмент / И. Т. Балабанов. — М. : Финансы и статистика, 1996. — 192 с. 2. Тэпман Л. Н. Риски в экономике : учеб. пособие для вузов / Под ред. проф. В. А. Швандара. — М. : ЮНИТА-ДАНА, 2002. 380 с. 3. Риск-менеджмент : учебник / В. Н. Вяткин, И. В. Вяткин, В. А. Гамза, Ю. Ю. Екатернославский, Дж. Дж. Хэмптон // под ред. И. Юргенса. — М. : Издательсько-торговая корпорация «Дашков и Ко», 2003. — 512 с.</w:t>
      </w:r>
    </w:p>
    <w:sectPr w:rsidR="001C18CD" w:rsidRPr="00DA0A3C"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4E3F" w:rsidRDefault="00464E3F" w:rsidP="00842066">
      <w:pPr>
        <w:spacing w:after="0" w:line="240" w:lineRule="auto"/>
      </w:pPr>
      <w:r>
        <w:separator/>
      </w:r>
    </w:p>
  </w:endnote>
  <w:endnote w:type="continuationSeparator" w:id="1">
    <w:p w:rsidR="00464E3F" w:rsidRDefault="00464E3F"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9C75FC">
        <w:pPr>
          <w:pStyle w:val="af7"/>
        </w:pPr>
        <w:r>
          <w:rPr>
            <w:lang w:val="en-US"/>
          </w:rPr>
          <w:t>1</w:t>
        </w:r>
        <w:r>
          <w:rPr>
            <w:lang w:val="ru-RU"/>
          </w:rPr>
          <w:t>1</w:t>
        </w:r>
        <w:r w:rsidR="00DA0A3C">
          <w:rPr>
            <w:lang w:val="en-US"/>
          </w:rPr>
          <w:t>4</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4E3F" w:rsidRDefault="00464E3F" w:rsidP="00842066">
      <w:pPr>
        <w:spacing w:after="0" w:line="240" w:lineRule="auto"/>
      </w:pPr>
      <w:r>
        <w:separator/>
      </w:r>
    </w:p>
  </w:footnote>
  <w:footnote w:type="continuationSeparator" w:id="1">
    <w:p w:rsidR="00464E3F" w:rsidRDefault="00464E3F"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59C8"/>
    <w:rsid w:val="000E0576"/>
    <w:rsid w:val="000E33ED"/>
    <w:rsid w:val="000F5DBB"/>
    <w:rsid w:val="00105C83"/>
    <w:rsid w:val="00162A35"/>
    <w:rsid w:val="001752C1"/>
    <w:rsid w:val="001C18CD"/>
    <w:rsid w:val="001C4033"/>
    <w:rsid w:val="001E180B"/>
    <w:rsid w:val="001F6A01"/>
    <w:rsid w:val="00202F3C"/>
    <w:rsid w:val="002073DB"/>
    <w:rsid w:val="00207D46"/>
    <w:rsid w:val="00211E3C"/>
    <w:rsid w:val="002156DF"/>
    <w:rsid w:val="002372C3"/>
    <w:rsid w:val="00253813"/>
    <w:rsid w:val="00256C18"/>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151F"/>
    <w:rsid w:val="00455885"/>
    <w:rsid w:val="00464E3F"/>
    <w:rsid w:val="00466112"/>
    <w:rsid w:val="00472221"/>
    <w:rsid w:val="004828C7"/>
    <w:rsid w:val="00485B02"/>
    <w:rsid w:val="004C3C43"/>
    <w:rsid w:val="00500F25"/>
    <w:rsid w:val="00504985"/>
    <w:rsid w:val="00512354"/>
    <w:rsid w:val="00540221"/>
    <w:rsid w:val="00544C25"/>
    <w:rsid w:val="00570DD2"/>
    <w:rsid w:val="005751C9"/>
    <w:rsid w:val="005A2078"/>
    <w:rsid w:val="005B28B6"/>
    <w:rsid w:val="005D3369"/>
    <w:rsid w:val="005D64DE"/>
    <w:rsid w:val="005D6B51"/>
    <w:rsid w:val="00607A49"/>
    <w:rsid w:val="00651076"/>
    <w:rsid w:val="006573BB"/>
    <w:rsid w:val="006A7249"/>
    <w:rsid w:val="006B27E3"/>
    <w:rsid w:val="007059D9"/>
    <w:rsid w:val="00716B2C"/>
    <w:rsid w:val="007240F2"/>
    <w:rsid w:val="00733FAA"/>
    <w:rsid w:val="007353A6"/>
    <w:rsid w:val="00745BAB"/>
    <w:rsid w:val="007723B6"/>
    <w:rsid w:val="00772807"/>
    <w:rsid w:val="00777798"/>
    <w:rsid w:val="00793DEB"/>
    <w:rsid w:val="007C4E99"/>
    <w:rsid w:val="007E342D"/>
    <w:rsid w:val="007E50FE"/>
    <w:rsid w:val="00800172"/>
    <w:rsid w:val="00814DB4"/>
    <w:rsid w:val="00826639"/>
    <w:rsid w:val="00842066"/>
    <w:rsid w:val="00845D20"/>
    <w:rsid w:val="00884BD8"/>
    <w:rsid w:val="008D5547"/>
    <w:rsid w:val="00925A57"/>
    <w:rsid w:val="00926C33"/>
    <w:rsid w:val="00944C4B"/>
    <w:rsid w:val="009604D0"/>
    <w:rsid w:val="00961D19"/>
    <w:rsid w:val="009772C4"/>
    <w:rsid w:val="00977C49"/>
    <w:rsid w:val="0098493A"/>
    <w:rsid w:val="00987B23"/>
    <w:rsid w:val="00997453"/>
    <w:rsid w:val="009A0D1B"/>
    <w:rsid w:val="009C677F"/>
    <w:rsid w:val="009C75FC"/>
    <w:rsid w:val="009D2A18"/>
    <w:rsid w:val="009D434A"/>
    <w:rsid w:val="009E7F0F"/>
    <w:rsid w:val="00A1334D"/>
    <w:rsid w:val="00A15681"/>
    <w:rsid w:val="00A30455"/>
    <w:rsid w:val="00A52C1E"/>
    <w:rsid w:val="00A909B3"/>
    <w:rsid w:val="00A9671B"/>
    <w:rsid w:val="00AA4557"/>
    <w:rsid w:val="00AD1AD3"/>
    <w:rsid w:val="00AF21E6"/>
    <w:rsid w:val="00B078E6"/>
    <w:rsid w:val="00B1060C"/>
    <w:rsid w:val="00B10D8C"/>
    <w:rsid w:val="00B17F3E"/>
    <w:rsid w:val="00B2180B"/>
    <w:rsid w:val="00B26518"/>
    <w:rsid w:val="00B66B59"/>
    <w:rsid w:val="00B8770B"/>
    <w:rsid w:val="00BC0205"/>
    <w:rsid w:val="00BD129B"/>
    <w:rsid w:val="00BD6F9F"/>
    <w:rsid w:val="00BE66C9"/>
    <w:rsid w:val="00C055CA"/>
    <w:rsid w:val="00C25F2A"/>
    <w:rsid w:val="00C431F4"/>
    <w:rsid w:val="00C43FFD"/>
    <w:rsid w:val="00C64378"/>
    <w:rsid w:val="00C646CF"/>
    <w:rsid w:val="00C65DB8"/>
    <w:rsid w:val="00C844A5"/>
    <w:rsid w:val="00C85B4E"/>
    <w:rsid w:val="00CB3F13"/>
    <w:rsid w:val="00CD017A"/>
    <w:rsid w:val="00CD3499"/>
    <w:rsid w:val="00CE2709"/>
    <w:rsid w:val="00CE4BD2"/>
    <w:rsid w:val="00D14B36"/>
    <w:rsid w:val="00D26A99"/>
    <w:rsid w:val="00D329AE"/>
    <w:rsid w:val="00D66D06"/>
    <w:rsid w:val="00D75E2F"/>
    <w:rsid w:val="00D80ACF"/>
    <w:rsid w:val="00DA0A3C"/>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A15B8"/>
    <w:rsid w:val="00EE6C47"/>
    <w:rsid w:val="00EF6895"/>
    <w:rsid w:val="00F31707"/>
    <w:rsid w:val="00F331EF"/>
    <w:rsid w:val="00F5173E"/>
    <w:rsid w:val="00F66438"/>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648</Words>
  <Characters>3700</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2013-10-17T10:33:00Z</dcterms:created>
  <dcterms:modified xsi:type="dcterms:W3CDTF">2013-10-17T10:33:00Z</dcterms:modified>
</cp:coreProperties>
</file>