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theme/themeOverride1.xml" ContentType="application/vnd.openxmlformats-officedocument.themeOverrid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61BF" w:rsidRPr="00FA61BF" w:rsidRDefault="00FA61BF" w:rsidP="00FA61BF">
      <w:pPr>
        <w:pStyle w:val="1"/>
        <w:spacing w:before="0"/>
        <w:jc w:val="center"/>
        <w:rPr>
          <w:rFonts w:ascii="Verdana" w:hAnsi="Verdana"/>
          <w:sz w:val="24"/>
          <w:szCs w:val="24"/>
          <w:lang w:val="ru-RU"/>
        </w:rPr>
      </w:pPr>
      <w:bookmarkStart w:id="0" w:name="_Toc352106162"/>
      <w:r w:rsidRPr="00FA61BF">
        <w:rPr>
          <w:rFonts w:ascii="Verdana" w:hAnsi="Verdana"/>
          <w:sz w:val="24"/>
          <w:szCs w:val="24"/>
          <w:lang w:val="ru-RU"/>
        </w:rPr>
        <w:t>Вплив глобалізаційних процесів на ефективність функціонування фінансово-кредитної системи України</w:t>
      </w:r>
      <w:bookmarkEnd w:id="0"/>
    </w:p>
    <w:p w:rsidR="00FA61BF" w:rsidRPr="00FA61BF" w:rsidRDefault="00FA61BF" w:rsidP="00FA61BF">
      <w:pPr>
        <w:pStyle w:val="1"/>
        <w:spacing w:before="0"/>
        <w:jc w:val="center"/>
        <w:rPr>
          <w:rFonts w:ascii="Verdana" w:hAnsi="Verdana"/>
          <w:b w:val="0"/>
          <w:sz w:val="22"/>
          <w:szCs w:val="22"/>
          <w:lang w:val="ru-RU"/>
        </w:rPr>
      </w:pPr>
      <w:bookmarkStart w:id="1" w:name="_Toc352106163"/>
      <w:r w:rsidRPr="00FA61BF">
        <w:rPr>
          <w:rFonts w:ascii="Verdana" w:hAnsi="Verdana"/>
          <w:b w:val="0"/>
          <w:sz w:val="22"/>
          <w:szCs w:val="22"/>
          <w:lang w:val="ru-RU"/>
        </w:rPr>
        <w:t>Якубенко О.О.</w:t>
      </w:r>
      <w:bookmarkEnd w:id="1"/>
    </w:p>
    <w:p w:rsidR="00FA61BF" w:rsidRPr="000275C2" w:rsidRDefault="00FA61BF" w:rsidP="00FA61BF">
      <w:pPr>
        <w:autoSpaceDE w:val="0"/>
        <w:autoSpaceDN w:val="0"/>
        <w:adjustRightInd w:val="0"/>
        <w:spacing w:after="0" w:line="240" w:lineRule="auto"/>
        <w:ind w:left="284" w:right="442" w:firstLine="284"/>
        <w:jc w:val="center"/>
        <w:rPr>
          <w:rFonts w:ascii="Verdana" w:hAnsi="Verdana"/>
          <w:b/>
          <w:bCs/>
        </w:rPr>
      </w:pPr>
      <w:r w:rsidRPr="000275C2">
        <w:rPr>
          <w:rFonts w:ascii="Verdana" w:hAnsi="Verdana"/>
          <w:b/>
          <w:bCs/>
        </w:rPr>
        <w:t>Національний Технічний Університет України «КПІ»</w:t>
      </w:r>
    </w:p>
    <w:p w:rsidR="00FA61BF" w:rsidRPr="000275C2" w:rsidRDefault="00FA61BF" w:rsidP="00FA61BF">
      <w:pPr>
        <w:autoSpaceDE w:val="0"/>
        <w:autoSpaceDN w:val="0"/>
        <w:adjustRightInd w:val="0"/>
        <w:spacing w:after="0" w:line="240" w:lineRule="auto"/>
        <w:ind w:left="284" w:right="442" w:firstLine="284"/>
        <w:jc w:val="center"/>
        <w:rPr>
          <w:rFonts w:ascii="Verdana" w:hAnsi="Verdana"/>
          <w:i/>
          <w:iCs/>
        </w:rPr>
      </w:pPr>
      <w:r w:rsidRPr="000275C2">
        <w:rPr>
          <w:rFonts w:ascii="Verdana" w:hAnsi="Verdana"/>
          <w:i/>
          <w:iCs/>
        </w:rPr>
        <w:t>E-mail: miss.olya@yahoo.com</w:t>
      </w:r>
    </w:p>
    <w:p w:rsidR="00FA61BF" w:rsidRPr="000275C2" w:rsidRDefault="00FA61BF" w:rsidP="00FA61BF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Розвиток світової</w:t>
      </w:r>
      <w:r w:rsidR="00AF21E6">
        <w:rPr>
          <w:rFonts w:ascii="Verdana" w:hAnsi="Verdana"/>
          <w:sz w:val="18"/>
          <w:szCs w:val="18"/>
        </w:rPr>
        <w:t xml:space="preserve"> економіки заснований на процес</w:t>
      </w:r>
      <w:r w:rsidRPr="000275C2">
        <w:rPr>
          <w:rFonts w:ascii="Verdana" w:hAnsi="Verdana"/>
          <w:sz w:val="18"/>
          <w:szCs w:val="18"/>
        </w:rPr>
        <w:t>ах масштабної трансформації банківського капіталу, що призводить до виникнення нових типів монополістичних об’єднань в умовах глобалізації, змінюючи структуру розміщення фінансових активів між власниками різної національної приналежності та визначаючи головні переваги інтеграції зарубіжного банківського капіталу для одних груп країн і можливі загрози для інших.</w:t>
      </w:r>
    </w:p>
    <w:p w:rsidR="00FA61BF" w:rsidRPr="000275C2" w:rsidRDefault="00FA61BF" w:rsidP="00FA61BF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Проблеми доступу іноземного капіталу та його впливу на функціонування фінансово-кредитної системи України, її фінансову стійкість та економічну безпеку держави в цілому набувають особливої актуальності. Структурно-трансформаційні процеси фінансово-кредитної системи в останні роки набув широкого масштабу. Провідні вчені та банкіри-практики зазначають вже нову проблему – перспективи функціонування фінансово-кредитної системи України в умовах жорсткої конкуренції з іноземними інвесторами. </w:t>
      </w:r>
    </w:p>
    <w:p w:rsidR="00FA61BF" w:rsidRPr="000275C2" w:rsidRDefault="00FA61BF" w:rsidP="00FA61BF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Дослідженням даного питання у своїх роботах займались такі вітчизняні вчені як, В. Геєця [1], Р. Корнилюк [2], О. Дзюблюка, Т. Смовженко [3] та інші.</w:t>
      </w:r>
    </w:p>
    <w:p w:rsidR="00FA61BF" w:rsidRPr="000275C2" w:rsidRDefault="00FA61BF" w:rsidP="00FA61BF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За останні декілька років кількість банків з іноземним капіталом в України збільшується. Станом на початок 2013 року, іноземний капітал в національній економіці представлений 27 країнами, серед яких найвагомішу частку становить капітал РФ  – 26,7%, Франції та Кіпру – по 12,1%, Австрії – 9,7%, Швеції  – 9,6%, Німеччини – 8,3% та Нідерландів – 4,6% (рис. 1) [4].</w:t>
      </w:r>
    </w:p>
    <w:p w:rsidR="00FA61BF" w:rsidRPr="000275C2" w:rsidRDefault="00FA61BF" w:rsidP="00FA61BF">
      <w:pPr>
        <w:spacing w:after="0" w:line="240" w:lineRule="auto"/>
        <w:jc w:val="center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  <w:lang w:val="ru-RU" w:eastAsia="ru-RU"/>
        </w:rPr>
        <w:drawing>
          <wp:inline distT="0" distB="0" distL="0" distR="0">
            <wp:extent cx="5981700" cy="1571625"/>
            <wp:effectExtent l="0" t="0" r="0" b="0"/>
            <wp:docPr id="3" name="Об'єкт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  <w:r w:rsidRPr="000275C2">
        <w:rPr>
          <w:rFonts w:ascii="Verdana" w:hAnsi="Verdana"/>
          <w:sz w:val="18"/>
          <w:szCs w:val="18"/>
        </w:rPr>
        <w:t xml:space="preserve"> Рис. 1 Частка капiтaлy в загальних іноземних активах, %, [4]</w:t>
      </w:r>
    </w:p>
    <w:p w:rsidR="00FA61BF" w:rsidRPr="000275C2" w:rsidRDefault="00FA61BF" w:rsidP="00FA61BF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</w:p>
    <w:p w:rsidR="00FA61BF" w:rsidRPr="000275C2" w:rsidRDefault="00FA61BF" w:rsidP="00FA61BF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З рисунку 1, видно, що на фінансовому ринку України іноземний капітал займає значну питому вагу. Присутність фінансових установ за участю іноземного капіталу в </w:t>
      </w:r>
      <w:r w:rsidR="00AF21E6" w:rsidRPr="000275C2">
        <w:rPr>
          <w:rFonts w:ascii="Verdana" w:hAnsi="Verdana"/>
          <w:sz w:val="18"/>
          <w:szCs w:val="18"/>
        </w:rPr>
        <w:t>вітчизняній</w:t>
      </w:r>
      <w:r w:rsidRPr="000275C2">
        <w:rPr>
          <w:rFonts w:ascii="Verdana" w:hAnsi="Verdana"/>
          <w:sz w:val="18"/>
          <w:szCs w:val="18"/>
        </w:rPr>
        <w:t xml:space="preserve"> економіці та їх швидке зростання розширює ресурсну базу національних фінансових установ та сприяє залученню іноземних інвестицій. Також варто зазначити низку фінансових ризиків, які можуть привести до втрати керованості та самостійності у сфері грошово-кредитної політики держави, а також до відтоку фінансових ресурсів із негативними наслідками на стан платіжного балансу, викривлення структури ринку депозитних і кредитних послуг, що збільшує рівень доларизації національної економіки та є загрозою стабільності національної валюти[1].</w:t>
      </w:r>
    </w:p>
    <w:p w:rsidR="00FA61BF" w:rsidRPr="000275C2" w:rsidRDefault="00FA61BF" w:rsidP="00FA61BF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Сьогодні протистояння процесам глобалізації у сфері фінансів є неможливим, проте можлива протидія впливу негативних факторів, що притаманні цим процесам на нинішньому етапі їх розвитку [3, с.147]. </w:t>
      </w:r>
    </w:p>
    <w:p w:rsidR="00FA61BF" w:rsidRPr="000275C2" w:rsidRDefault="00FA61BF" w:rsidP="00FA61BF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Отже, необхідність управління процесів входження іноземних фінансових установ на вітчизняний фінансовий ринок, регулювання їхньої діяльності у напрямах, що відповідають інтересам національної економіки, забезпечать стабільність функціонування вітчизняної фінансово-кредитної системи.</w:t>
      </w:r>
    </w:p>
    <w:p w:rsidR="00FA61BF" w:rsidRPr="000275C2" w:rsidRDefault="00FA61BF" w:rsidP="00FA61BF">
      <w:pPr>
        <w:spacing w:after="0" w:line="240" w:lineRule="auto"/>
        <w:ind w:firstLine="567"/>
        <w:rPr>
          <w:rFonts w:ascii="Verdana" w:hAnsi="Verdana"/>
          <w:b/>
          <w:sz w:val="18"/>
          <w:szCs w:val="18"/>
        </w:rPr>
      </w:pPr>
      <w:r w:rsidRPr="000275C2">
        <w:rPr>
          <w:rFonts w:ascii="Verdana" w:hAnsi="Verdana"/>
          <w:b/>
          <w:sz w:val="18"/>
          <w:szCs w:val="18"/>
        </w:rPr>
        <w:t>Список літератури</w:t>
      </w:r>
    </w:p>
    <w:p w:rsidR="00FA61BF" w:rsidRPr="000275C2" w:rsidRDefault="00FA61BF" w:rsidP="00FA61BF">
      <w:pPr>
        <w:spacing w:after="0" w:line="240" w:lineRule="auto"/>
        <w:ind w:firstLine="284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1. Геєць В. М. Іноземний капітал у банківській  системі України. Дзеркало тижня. № 26 (605).  – [Электронный ресурс] / В. М. Геєць.  – Режим доступу : </w:t>
      </w:r>
      <w:hyperlink r:id="rId8" w:history="1">
        <w:r w:rsidRPr="000275C2">
          <w:rPr>
            <w:rStyle w:val="af4"/>
            <w:rFonts w:ascii="Verdana" w:hAnsi="Verdana"/>
            <w:color w:val="auto"/>
            <w:sz w:val="18"/>
            <w:szCs w:val="18"/>
          </w:rPr>
          <w:t>http://www.dt.ua/2000/2040/53895/</w:t>
        </w:r>
      </w:hyperlink>
      <w:r w:rsidRPr="000275C2">
        <w:rPr>
          <w:rFonts w:ascii="Verdana" w:hAnsi="Verdana"/>
          <w:sz w:val="18"/>
          <w:szCs w:val="18"/>
        </w:rPr>
        <w:t>.</w:t>
      </w:r>
    </w:p>
    <w:p w:rsidR="00FA61BF" w:rsidRPr="000275C2" w:rsidRDefault="00FA61BF" w:rsidP="00FA61BF">
      <w:pPr>
        <w:spacing w:after="0" w:line="240" w:lineRule="auto"/>
        <w:ind w:firstLine="284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2. Корнилюк Р. Українські банки в тенетах іноземного капіталу [Електронний ресурс] / Р. Корнилюк // Економічна правда. – Режим доступу: http://www.epravda.com.ua/publications/2009/05/12/192705/</w:t>
      </w:r>
    </w:p>
    <w:p w:rsidR="00FA61BF" w:rsidRPr="000275C2" w:rsidRDefault="00FA61BF" w:rsidP="00FA61BF">
      <w:pPr>
        <w:spacing w:after="0" w:line="240" w:lineRule="auto"/>
        <w:ind w:firstLine="284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3. Новий етап розвитку банківської системи України: зростання участі іноземних інвесторів [Текст]: монографія / [Т. С. Смовженко, О. І. Кірєєв, О. О. Другов та ін.] ; під ред. Т. С. Смовженко. – К. : УБС НБУ, 2008. – 231 с.</w:t>
      </w:r>
    </w:p>
    <w:p w:rsidR="00FA61BF" w:rsidRPr="000275C2" w:rsidRDefault="00FA61BF" w:rsidP="00FA61BF">
      <w:pPr>
        <w:spacing w:after="0" w:line="240" w:lineRule="auto"/>
        <w:ind w:firstLine="284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4. Річний звіт НБУ за 2010 р. [Електронний ресурс] // Режим доступу: </w:t>
      </w:r>
      <w:hyperlink r:id="rId9" w:history="1">
        <w:r w:rsidRPr="000275C2">
          <w:rPr>
            <w:rStyle w:val="af4"/>
            <w:rFonts w:ascii="Verdana" w:hAnsi="Verdana"/>
            <w:color w:val="auto"/>
            <w:sz w:val="18"/>
            <w:szCs w:val="18"/>
          </w:rPr>
          <w:t>http://www.bank.gov.ua</w:t>
        </w:r>
      </w:hyperlink>
      <w:r w:rsidRPr="000275C2">
        <w:rPr>
          <w:rFonts w:ascii="Verdana" w:hAnsi="Verdana"/>
          <w:sz w:val="18"/>
          <w:szCs w:val="18"/>
        </w:rPr>
        <w:t>.</w:t>
      </w:r>
    </w:p>
    <w:p w:rsidR="001C18CD" w:rsidRPr="00FA61BF" w:rsidRDefault="001C18CD" w:rsidP="00FA61BF">
      <w:pPr>
        <w:rPr>
          <w:szCs w:val="18"/>
        </w:rPr>
      </w:pPr>
    </w:p>
    <w:sectPr w:rsidR="001C18CD" w:rsidRPr="00FA61BF" w:rsidSect="00987B23">
      <w:footerReference w:type="default" r:id="rId10"/>
      <w:pgSz w:w="11906" w:h="16838"/>
      <w:pgMar w:top="993" w:right="70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59D9" w:rsidRDefault="007059D9" w:rsidP="00842066">
      <w:pPr>
        <w:spacing w:after="0" w:line="240" w:lineRule="auto"/>
      </w:pPr>
      <w:r>
        <w:separator/>
      </w:r>
    </w:p>
  </w:endnote>
  <w:endnote w:type="continuationSeparator" w:id="1">
    <w:p w:rsidR="007059D9" w:rsidRDefault="007059D9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9C75FC">
        <w:pPr>
          <w:pStyle w:val="af7"/>
        </w:pPr>
        <w:r>
          <w:rPr>
            <w:lang w:val="en-US"/>
          </w:rPr>
          <w:t>1</w:t>
        </w:r>
        <w:r>
          <w:rPr>
            <w:lang w:val="ru-RU"/>
          </w:rPr>
          <w:t>1</w:t>
        </w:r>
        <w:r w:rsidR="00FA61BF">
          <w:rPr>
            <w:lang w:val="ru-RU"/>
          </w:rPr>
          <w:t>3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59D9" w:rsidRDefault="007059D9" w:rsidP="00842066">
      <w:pPr>
        <w:spacing w:after="0" w:line="240" w:lineRule="auto"/>
      </w:pPr>
      <w:r>
        <w:separator/>
      </w:r>
    </w:p>
  </w:footnote>
  <w:footnote w:type="continuationSeparator" w:id="1">
    <w:p w:rsidR="007059D9" w:rsidRDefault="007059D9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20619"/>
    <w:rsid w:val="000222F0"/>
    <w:rsid w:val="00067DDC"/>
    <w:rsid w:val="000840AC"/>
    <w:rsid w:val="0009520C"/>
    <w:rsid w:val="000A4DF5"/>
    <w:rsid w:val="000A68DB"/>
    <w:rsid w:val="000B59C8"/>
    <w:rsid w:val="000E0576"/>
    <w:rsid w:val="000E33ED"/>
    <w:rsid w:val="000F5DBB"/>
    <w:rsid w:val="00105C83"/>
    <w:rsid w:val="00162A35"/>
    <w:rsid w:val="001752C1"/>
    <w:rsid w:val="001C18CD"/>
    <w:rsid w:val="001C4033"/>
    <w:rsid w:val="001F6A01"/>
    <w:rsid w:val="00202F3C"/>
    <w:rsid w:val="002073DB"/>
    <w:rsid w:val="00207D46"/>
    <w:rsid w:val="00211E3C"/>
    <w:rsid w:val="002156DF"/>
    <w:rsid w:val="002372C3"/>
    <w:rsid w:val="00253813"/>
    <w:rsid w:val="00256C18"/>
    <w:rsid w:val="002C00BE"/>
    <w:rsid w:val="002C3B8A"/>
    <w:rsid w:val="002E2CD6"/>
    <w:rsid w:val="002F1C3B"/>
    <w:rsid w:val="002F6A61"/>
    <w:rsid w:val="00300FFD"/>
    <w:rsid w:val="00336DE6"/>
    <w:rsid w:val="00343BCA"/>
    <w:rsid w:val="00374B02"/>
    <w:rsid w:val="00376112"/>
    <w:rsid w:val="003831FF"/>
    <w:rsid w:val="00397084"/>
    <w:rsid w:val="003B19C3"/>
    <w:rsid w:val="00404BAA"/>
    <w:rsid w:val="004464F7"/>
    <w:rsid w:val="0045151F"/>
    <w:rsid w:val="00455885"/>
    <w:rsid w:val="00466112"/>
    <w:rsid w:val="00472221"/>
    <w:rsid w:val="004828C7"/>
    <w:rsid w:val="00485B02"/>
    <w:rsid w:val="004C3C43"/>
    <w:rsid w:val="00500F25"/>
    <w:rsid w:val="00504985"/>
    <w:rsid w:val="00512354"/>
    <w:rsid w:val="00540221"/>
    <w:rsid w:val="00544C25"/>
    <w:rsid w:val="00570DD2"/>
    <w:rsid w:val="005751C9"/>
    <w:rsid w:val="005A2078"/>
    <w:rsid w:val="005B28B6"/>
    <w:rsid w:val="005D3369"/>
    <w:rsid w:val="005D64DE"/>
    <w:rsid w:val="005D6B51"/>
    <w:rsid w:val="00607A49"/>
    <w:rsid w:val="00651076"/>
    <w:rsid w:val="006573BB"/>
    <w:rsid w:val="006A7249"/>
    <w:rsid w:val="006B27E3"/>
    <w:rsid w:val="007059D9"/>
    <w:rsid w:val="00716B2C"/>
    <w:rsid w:val="007240F2"/>
    <w:rsid w:val="00733FAA"/>
    <w:rsid w:val="007353A6"/>
    <w:rsid w:val="00745BAB"/>
    <w:rsid w:val="007723B6"/>
    <w:rsid w:val="00772807"/>
    <w:rsid w:val="00777798"/>
    <w:rsid w:val="00793DEB"/>
    <w:rsid w:val="007C4E99"/>
    <w:rsid w:val="007E342D"/>
    <w:rsid w:val="007E50FE"/>
    <w:rsid w:val="00800172"/>
    <w:rsid w:val="00814DB4"/>
    <w:rsid w:val="00826639"/>
    <w:rsid w:val="00842066"/>
    <w:rsid w:val="00845D20"/>
    <w:rsid w:val="00884BD8"/>
    <w:rsid w:val="008D5547"/>
    <w:rsid w:val="00925A57"/>
    <w:rsid w:val="00926C33"/>
    <w:rsid w:val="00944C4B"/>
    <w:rsid w:val="009604D0"/>
    <w:rsid w:val="00961D19"/>
    <w:rsid w:val="009772C4"/>
    <w:rsid w:val="00977C49"/>
    <w:rsid w:val="0098493A"/>
    <w:rsid w:val="00987B23"/>
    <w:rsid w:val="00997453"/>
    <w:rsid w:val="009A0D1B"/>
    <w:rsid w:val="009C677F"/>
    <w:rsid w:val="009C75FC"/>
    <w:rsid w:val="009D2A18"/>
    <w:rsid w:val="009D434A"/>
    <w:rsid w:val="009E7F0F"/>
    <w:rsid w:val="00A1334D"/>
    <w:rsid w:val="00A15681"/>
    <w:rsid w:val="00A30455"/>
    <w:rsid w:val="00A52C1E"/>
    <w:rsid w:val="00A909B3"/>
    <w:rsid w:val="00A9671B"/>
    <w:rsid w:val="00AA4557"/>
    <w:rsid w:val="00AD1AD3"/>
    <w:rsid w:val="00AF21E6"/>
    <w:rsid w:val="00B078E6"/>
    <w:rsid w:val="00B1060C"/>
    <w:rsid w:val="00B10D8C"/>
    <w:rsid w:val="00B17F3E"/>
    <w:rsid w:val="00B2180B"/>
    <w:rsid w:val="00B26518"/>
    <w:rsid w:val="00B66B59"/>
    <w:rsid w:val="00B8770B"/>
    <w:rsid w:val="00BC0205"/>
    <w:rsid w:val="00BD129B"/>
    <w:rsid w:val="00BD6F9F"/>
    <w:rsid w:val="00BE66C9"/>
    <w:rsid w:val="00C055CA"/>
    <w:rsid w:val="00C25F2A"/>
    <w:rsid w:val="00C431F4"/>
    <w:rsid w:val="00C43FFD"/>
    <w:rsid w:val="00C64378"/>
    <w:rsid w:val="00C646CF"/>
    <w:rsid w:val="00C65DB8"/>
    <w:rsid w:val="00C844A5"/>
    <w:rsid w:val="00C85B4E"/>
    <w:rsid w:val="00CB3F13"/>
    <w:rsid w:val="00CD017A"/>
    <w:rsid w:val="00CD3499"/>
    <w:rsid w:val="00CE2709"/>
    <w:rsid w:val="00CE4BD2"/>
    <w:rsid w:val="00D14B36"/>
    <w:rsid w:val="00D26A99"/>
    <w:rsid w:val="00D329AE"/>
    <w:rsid w:val="00D66D06"/>
    <w:rsid w:val="00D75E2F"/>
    <w:rsid w:val="00D80ACF"/>
    <w:rsid w:val="00DA2709"/>
    <w:rsid w:val="00DA7BA4"/>
    <w:rsid w:val="00DB0988"/>
    <w:rsid w:val="00DC6492"/>
    <w:rsid w:val="00DD53BA"/>
    <w:rsid w:val="00DE6B1D"/>
    <w:rsid w:val="00DF2451"/>
    <w:rsid w:val="00DF3CE7"/>
    <w:rsid w:val="00E113BA"/>
    <w:rsid w:val="00E236A9"/>
    <w:rsid w:val="00E2712E"/>
    <w:rsid w:val="00E3695E"/>
    <w:rsid w:val="00E45840"/>
    <w:rsid w:val="00E476B8"/>
    <w:rsid w:val="00E6719D"/>
    <w:rsid w:val="00E71C27"/>
    <w:rsid w:val="00EA15B8"/>
    <w:rsid w:val="00EE6C47"/>
    <w:rsid w:val="00EF6895"/>
    <w:rsid w:val="00F31707"/>
    <w:rsid w:val="00F331EF"/>
    <w:rsid w:val="00F5173E"/>
    <w:rsid w:val="00F66438"/>
    <w:rsid w:val="00FA222E"/>
    <w:rsid w:val="00FA5990"/>
    <w:rsid w:val="00FA61BF"/>
    <w:rsid w:val="00FC0B67"/>
    <w:rsid w:val="00FF7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9">
    <w:name w:val="Основний текст_"/>
    <w:link w:val="11"/>
    <w:rsid w:val="00E71C27"/>
    <w:rPr>
      <w:shd w:val="clear" w:color="auto" w:fill="FFFFFF"/>
    </w:rPr>
  </w:style>
  <w:style w:type="paragraph" w:customStyle="1" w:styleId="11">
    <w:name w:val="Основний текст1"/>
    <w:basedOn w:val="a"/>
    <w:link w:val="af9"/>
    <w:rsid w:val="00E71C27"/>
    <w:pPr>
      <w:shd w:val="clear" w:color="auto" w:fill="FFFFFF"/>
      <w:spacing w:after="0" w:line="250" w:lineRule="exact"/>
      <w:jc w:val="both"/>
    </w:pPr>
    <w:rPr>
      <w:rFonts w:asciiTheme="minorHAnsi" w:eastAsiaTheme="minorHAnsi" w:hAnsiTheme="minorHAnsi" w:cstheme="minorBidi"/>
      <w:lang w:val="en-US" w:bidi="en-US"/>
    </w:rPr>
  </w:style>
  <w:style w:type="paragraph" w:customStyle="1" w:styleId="12">
    <w:name w:val="Підпис1"/>
    <w:basedOn w:val="a"/>
    <w:rsid w:val="00845D20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afa">
    <w:name w:val="Normal (Web)"/>
    <w:basedOn w:val="a"/>
    <w:unhideWhenUsed/>
    <w:rsid w:val="00716B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posttitle">
    <w:name w:val="post_title"/>
    <w:basedOn w:val="a0"/>
    <w:rsid w:val="00716B2C"/>
  </w:style>
  <w:style w:type="paragraph" w:styleId="afb">
    <w:name w:val="Body Text Indent"/>
    <w:basedOn w:val="a"/>
    <w:link w:val="afc"/>
    <w:uiPriority w:val="99"/>
    <w:semiHidden/>
    <w:unhideWhenUsed/>
    <w:rsid w:val="00067DDC"/>
    <w:pPr>
      <w:spacing w:after="120"/>
      <w:ind w:left="283"/>
    </w:pPr>
  </w:style>
  <w:style w:type="character" w:customStyle="1" w:styleId="afc">
    <w:name w:val="Основной текст с отступом Знак"/>
    <w:basedOn w:val="a0"/>
    <w:link w:val="afb"/>
    <w:uiPriority w:val="99"/>
    <w:semiHidden/>
    <w:rsid w:val="00067DDC"/>
    <w:rPr>
      <w:rFonts w:ascii="Calibri" w:eastAsia="Calibri" w:hAnsi="Calibri" w:cs="Times New Roman"/>
      <w:lang w:val="uk-UA" w:bidi="ar-SA"/>
    </w:rPr>
  </w:style>
  <w:style w:type="character" w:customStyle="1" w:styleId="hps">
    <w:name w:val="hps"/>
    <w:basedOn w:val="a0"/>
    <w:rsid w:val="00C65DB8"/>
  </w:style>
  <w:style w:type="paragraph" w:styleId="HTML">
    <w:name w:val="HTML Preformatted"/>
    <w:basedOn w:val="a"/>
    <w:link w:val="HTML0"/>
    <w:uiPriority w:val="99"/>
    <w:semiHidden/>
    <w:unhideWhenUsed/>
    <w:rsid w:val="00A52C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52C1E"/>
    <w:rPr>
      <w:rFonts w:ascii="Courier New" w:eastAsia="Times New Roman" w:hAnsi="Courier New" w:cs="Times New Roman"/>
      <w:sz w:val="20"/>
      <w:szCs w:val="20"/>
      <w:lang w:val="ru-RU" w:eastAsia="ru-RU" w:bidi="ar-SA"/>
    </w:rPr>
  </w:style>
  <w:style w:type="paragraph" w:styleId="afd">
    <w:name w:val="Body Text"/>
    <w:basedOn w:val="a"/>
    <w:link w:val="afe"/>
    <w:uiPriority w:val="99"/>
    <w:semiHidden/>
    <w:unhideWhenUsed/>
    <w:rsid w:val="00D26A99"/>
    <w:pPr>
      <w:spacing w:after="120"/>
    </w:pPr>
  </w:style>
  <w:style w:type="character" w:customStyle="1" w:styleId="afe">
    <w:name w:val="Основной текст Знак"/>
    <w:basedOn w:val="a0"/>
    <w:link w:val="afd"/>
    <w:uiPriority w:val="99"/>
    <w:semiHidden/>
    <w:rsid w:val="00D26A99"/>
    <w:rPr>
      <w:rFonts w:ascii="Calibri" w:eastAsia="Calibri" w:hAnsi="Calibri" w:cs="Times New Roman"/>
      <w:lang w:val="uk-UA" w:bidi="ar-SA"/>
    </w:rPr>
  </w:style>
  <w:style w:type="character" w:customStyle="1" w:styleId="longtext">
    <w:name w:val="long_text"/>
    <w:basedOn w:val="a0"/>
    <w:rsid w:val="00455885"/>
  </w:style>
  <w:style w:type="character" w:customStyle="1" w:styleId="FontStyle27">
    <w:name w:val="Font Style27"/>
    <w:uiPriority w:val="99"/>
    <w:rsid w:val="00376112"/>
    <w:rPr>
      <w:rFonts w:ascii="Times New Roman" w:hAnsi="Times New Roman" w:cs="Times New Roman"/>
      <w:sz w:val="18"/>
      <w:szCs w:val="18"/>
    </w:rPr>
  </w:style>
  <w:style w:type="paragraph" w:customStyle="1" w:styleId="Default">
    <w:name w:val="Default"/>
    <w:rsid w:val="00EE6C4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uk-UA" w:eastAsia="uk-UA" w:bidi="ar-SA"/>
    </w:rPr>
  </w:style>
  <w:style w:type="character" w:customStyle="1" w:styleId="58">
    <w:name w:val="Основной текст (5) + 8"/>
    <w:aliases w:val="5 pt1,Не полужирный"/>
    <w:rsid w:val="00105C83"/>
    <w:rPr>
      <w:rFonts w:ascii="Arial Narrow" w:hAnsi="Arial Narrow" w:cs="Arial Narrow"/>
      <w:b/>
      <w:bCs/>
      <w:sz w:val="17"/>
      <w:szCs w:val="17"/>
      <w:shd w:val="clear" w:color="auto" w:fill="FFFFFF"/>
    </w:rPr>
  </w:style>
  <w:style w:type="paragraph" w:customStyle="1" w:styleId="13">
    <w:name w:val="Обычный1"/>
    <w:basedOn w:val="a"/>
    <w:rsid w:val="009C677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normalchar">
    <w:name w:val="normal__char"/>
    <w:rsid w:val="009C677F"/>
  </w:style>
  <w:style w:type="character" w:customStyle="1" w:styleId="list0020paragraphchar">
    <w:name w:val="list_0020paragraph__char"/>
    <w:rsid w:val="009C677F"/>
  </w:style>
  <w:style w:type="character" w:customStyle="1" w:styleId="hyperlinkchar">
    <w:name w:val="hyperlink__char"/>
    <w:rsid w:val="009C677F"/>
  </w:style>
  <w:style w:type="paragraph" w:customStyle="1" w:styleId="mystyl">
    <w:name w:val="mystyl"/>
    <w:rsid w:val="00A30455"/>
    <w:pPr>
      <w:overflowPunct w:val="0"/>
      <w:autoSpaceDE w:val="0"/>
      <w:autoSpaceDN w:val="0"/>
      <w:adjustRightInd w:val="0"/>
      <w:spacing w:after="0" w:line="240" w:lineRule="auto"/>
      <w:ind w:firstLine="720"/>
      <w:jc w:val="both"/>
      <w:textAlignment w:val="baseline"/>
    </w:pPr>
    <w:rPr>
      <w:rFonts w:ascii="Times New Roman" w:eastAsia="Times New Roman" w:hAnsi="Times New Roman" w:cs="Times New Roman"/>
      <w:color w:val="000000"/>
      <w:sz w:val="28"/>
      <w:szCs w:val="20"/>
      <w:lang w:val="ru-RU" w:eastAsia="ru-RU" w:bidi="ar-SA"/>
    </w:rPr>
  </w:style>
  <w:style w:type="character" w:styleId="HTML1">
    <w:name w:val="HTML Cite"/>
    <w:uiPriority w:val="99"/>
    <w:semiHidden/>
    <w:unhideWhenUsed/>
    <w:rsid w:val="00A30455"/>
    <w:rPr>
      <w:i/>
      <w:iCs/>
    </w:rPr>
  </w:style>
  <w:style w:type="character" w:customStyle="1" w:styleId="aff">
    <w:name w:val="Основной текст_"/>
    <w:link w:val="14"/>
    <w:locked/>
    <w:rsid w:val="00C64378"/>
    <w:rPr>
      <w:rFonts w:ascii="Arial Narrow" w:hAnsi="Arial Narrow" w:cs="Arial Narrow"/>
      <w:sz w:val="17"/>
      <w:szCs w:val="17"/>
      <w:shd w:val="clear" w:color="auto" w:fill="FFFFFF"/>
    </w:rPr>
  </w:style>
  <w:style w:type="paragraph" w:customStyle="1" w:styleId="14">
    <w:name w:val="Основной текст1"/>
    <w:basedOn w:val="a"/>
    <w:link w:val="aff"/>
    <w:rsid w:val="00C64378"/>
    <w:pPr>
      <w:shd w:val="clear" w:color="auto" w:fill="FFFFFF"/>
      <w:spacing w:after="0" w:line="240" w:lineRule="atLeast"/>
    </w:pPr>
    <w:rPr>
      <w:rFonts w:ascii="Arial Narrow" w:eastAsiaTheme="minorHAnsi" w:hAnsi="Arial Narrow" w:cs="Arial Narrow"/>
      <w:sz w:val="17"/>
      <w:szCs w:val="17"/>
      <w:lang w:val="en-US" w:bidi="en-US"/>
    </w:rPr>
  </w:style>
  <w:style w:type="character" w:customStyle="1" w:styleId="51">
    <w:name w:val="Основной текст (5)_"/>
    <w:link w:val="52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52">
    <w:name w:val="Основной текст (5)"/>
    <w:basedOn w:val="a"/>
    <w:link w:val="51"/>
    <w:rsid w:val="00C64378"/>
    <w:pPr>
      <w:shd w:val="clear" w:color="auto" w:fill="FFFFFF"/>
      <w:spacing w:after="0" w:line="216" w:lineRule="exact"/>
      <w:jc w:val="both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character" w:customStyle="1" w:styleId="71">
    <w:name w:val="Основной текст + 7"/>
    <w:aliases w:val="5 pt,Полужирный"/>
    <w:rsid w:val="00C64378"/>
    <w:rPr>
      <w:rFonts w:ascii="Arial Narrow" w:hAnsi="Arial Narrow" w:cs="Arial Narrow"/>
      <w:b/>
      <w:bCs/>
      <w:sz w:val="15"/>
      <w:szCs w:val="15"/>
      <w:shd w:val="clear" w:color="auto" w:fill="FFFFFF"/>
    </w:rPr>
  </w:style>
  <w:style w:type="character" w:customStyle="1" w:styleId="710">
    <w:name w:val="Основной текст + 71"/>
    <w:aliases w:val="5 pt2,Малые прописные"/>
    <w:rsid w:val="00C64378"/>
    <w:rPr>
      <w:rFonts w:ascii="Arial Narrow" w:hAnsi="Arial Narrow" w:cs="Arial Narrow"/>
      <w:smallCaps/>
      <w:sz w:val="15"/>
      <w:szCs w:val="15"/>
      <w:shd w:val="clear" w:color="auto" w:fill="FFFFFF"/>
    </w:rPr>
  </w:style>
  <w:style w:type="character" w:customStyle="1" w:styleId="aff0">
    <w:name w:val="Основной текст + Курсив"/>
    <w:rsid w:val="00C64378"/>
    <w:rPr>
      <w:rFonts w:ascii="Arial Narrow" w:hAnsi="Arial Narrow" w:cs="Arial Narrow"/>
      <w:i/>
      <w:iCs/>
      <w:spacing w:val="0"/>
      <w:w w:val="100"/>
      <w:sz w:val="17"/>
      <w:szCs w:val="17"/>
      <w:shd w:val="clear" w:color="auto" w:fill="FFFFFF"/>
    </w:rPr>
  </w:style>
  <w:style w:type="character" w:customStyle="1" w:styleId="15">
    <w:name w:val="Основной текст (15)_"/>
    <w:link w:val="150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150">
    <w:name w:val="Основной текст (15)"/>
    <w:basedOn w:val="a"/>
    <w:link w:val="15"/>
    <w:rsid w:val="00C64378"/>
    <w:pPr>
      <w:shd w:val="clear" w:color="auto" w:fill="FFFFFF"/>
      <w:spacing w:before="60" w:after="60" w:line="240" w:lineRule="atLeast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paragraph" w:styleId="aff1">
    <w:name w:val="Balloon Text"/>
    <w:basedOn w:val="a"/>
    <w:link w:val="aff2"/>
    <w:uiPriority w:val="99"/>
    <w:semiHidden/>
    <w:unhideWhenUsed/>
    <w:rsid w:val="00C64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2">
    <w:name w:val="Текст выноски Знак"/>
    <w:basedOn w:val="a0"/>
    <w:link w:val="aff1"/>
    <w:uiPriority w:val="99"/>
    <w:semiHidden/>
    <w:rsid w:val="00C64378"/>
    <w:rPr>
      <w:rFonts w:ascii="Tahoma" w:eastAsia="Calibri" w:hAnsi="Tahoma" w:cs="Tahoma"/>
      <w:sz w:val="16"/>
      <w:szCs w:val="16"/>
      <w:lang w:val="uk-U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t.ua/2000/2040/53895/" TargetMode="Externa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bank.gov.ua" TargetMode="Externa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Office_Excel1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plotArea>
      <c:layout>
        <c:manualLayout>
          <c:layoutTarget val="inner"/>
          <c:xMode val="edge"/>
          <c:yMode val="edge"/>
          <c:x val="5.348460291734209E-2"/>
          <c:y val="7.0512820512820609E-2"/>
          <c:w val="0.78768233387358266"/>
          <c:h val="0.85897435897435892"/>
        </c:manualLayout>
      </c:layout>
      <c:bar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  <c:pt idx="0">
                  <c:v>РФ</c:v>
                </c:pt>
              </c:strCache>
            </c:strRef>
          </c:tx>
          <c:spPr>
            <a:pattFill prst="wdDnDiag">
              <a:fgClr>
                <a:srgbClr val="000000"/>
              </a:fgClr>
              <a:bgClr>
                <a:srgbClr val="FFFFFF"/>
              </a:bgClr>
            </a:pattFill>
            <a:ln w="12623">
              <a:solidFill>
                <a:srgbClr val="000000"/>
              </a:solidFill>
              <a:prstDash val="solid"/>
            </a:ln>
          </c:spPr>
          <c:dLbls>
            <c:numFmt formatCode="General" sourceLinked="0"/>
            <c:spPr>
              <a:noFill/>
              <a:ln w="25245">
                <a:noFill/>
              </a:ln>
            </c:spPr>
            <c:txPr>
              <a:bodyPr/>
              <a:lstStyle/>
              <a:p>
                <a:pPr>
                  <a:defRPr lang="uk-UA" sz="845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endParaRPr lang="ru-RU"/>
              </a:p>
            </c:txPr>
            <c:showVal val="1"/>
          </c:dLbls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Sheet1!$B$2:$B$2</c:f>
              <c:numCache>
                <c:formatCode>General</c:formatCode>
                <c:ptCount val="1"/>
                <c:pt idx="0">
                  <c:v>26.7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Кіпр</c:v>
                </c:pt>
              </c:strCache>
            </c:strRef>
          </c:tx>
          <c:spPr>
            <a:pattFill prst="smCheck">
              <a:fgClr>
                <a:srgbClr val="000000"/>
              </a:fgClr>
              <a:bgClr>
                <a:srgbClr val="FFFFFF"/>
              </a:bgClr>
            </a:pattFill>
            <a:ln w="12623">
              <a:solidFill>
                <a:srgbClr val="000000"/>
              </a:solidFill>
              <a:prstDash val="solid"/>
            </a:ln>
          </c:spPr>
          <c:dLbls>
            <c:spPr>
              <a:noFill/>
              <a:ln w="25245">
                <a:noFill/>
              </a:ln>
            </c:spPr>
            <c:txPr>
              <a:bodyPr/>
              <a:lstStyle/>
              <a:p>
                <a:pPr>
                  <a:defRPr lang="uk-UA" sz="845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endParaRPr lang="ru-RU"/>
              </a:p>
            </c:txPr>
            <c:showVal val="1"/>
          </c:dLbls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Sheet1!$B$3:$B$3</c:f>
              <c:numCache>
                <c:formatCode>General</c:formatCode>
                <c:ptCount val="1"/>
                <c:pt idx="0">
                  <c:v>12.1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Франція</c:v>
                </c:pt>
              </c:strCache>
            </c:strRef>
          </c:tx>
          <c:spPr>
            <a:pattFill prst="wdUpDiag">
              <a:fgClr>
                <a:srgbClr val="000000"/>
              </a:fgClr>
              <a:bgClr>
                <a:srgbClr val="FFFFFF"/>
              </a:bgClr>
            </a:pattFill>
            <a:ln w="12623">
              <a:solidFill>
                <a:srgbClr val="000000"/>
              </a:solidFill>
              <a:prstDash val="solid"/>
            </a:ln>
          </c:spPr>
          <c:dLbls>
            <c:spPr>
              <a:noFill/>
              <a:ln w="25245">
                <a:noFill/>
              </a:ln>
            </c:spPr>
            <c:txPr>
              <a:bodyPr/>
              <a:lstStyle/>
              <a:p>
                <a:pPr>
                  <a:defRPr lang="uk-UA" sz="845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endParaRPr lang="ru-RU"/>
              </a:p>
            </c:txPr>
            <c:showVal val="1"/>
          </c:dLbls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Sheet1!$B$4:$B$4</c:f>
              <c:numCache>
                <c:formatCode>General</c:formatCode>
                <c:ptCount val="1"/>
                <c:pt idx="0">
                  <c:v>12.1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Австрія</c:v>
                </c:pt>
              </c:strCache>
            </c:strRef>
          </c:tx>
          <c:spPr>
            <a:pattFill prst="pct90">
              <a:fgClr>
                <a:srgbClr val="000000"/>
              </a:fgClr>
              <a:bgClr>
                <a:srgbClr val="FFFFFF"/>
              </a:bgClr>
            </a:pattFill>
            <a:ln w="12623">
              <a:solidFill>
                <a:srgbClr val="000000"/>
              </a:solidFill>
              <a:prstDash val="solid"/>
            </a:ln>
          </c:spPr>
          <c:dLbls>
            <c:spPr>
              <a:noFill/>
              <a:ln w="25245">
                <a:noFill/>
              </a:ln>
            </c:spPr>
            <c:txPr>
              <a:bodyPr/>
              <a:lstStyle/>
              <a:p>
                <a:pPr>
                  <a:defRPr lang="uk-UA" sz="845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endParaRPr lang="ru-RU"/>
              </a:p>
            </c:txPr>
            <c:showVal val="1"/>
          </c:dLbls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Sheet1!$B$5:$B$5</c:f>
              <c:numCache>
                <c:formatCode>General</c:formatCode>
                <c:ptCount val="1"/>
                <c:pt idx="0">
                  <c:v>9.7000000000000011</c:v>
                </c:pt>
              </c:numCache>
            </c:numRef>
          </c:val>
        </c:ser>
        <c:ser>
          <c:idx val="4"/>
          <c:order val="4"/>
          <c:tx>
            <c:strRef>
              <c:f>Sheet1!$A$6</c:f>
              <c:strCache>
                <c:ptCount val="1"/>
                <c:pt idx="0">
                  <c:v>Швеція</c:v>
                </c:pt>
              </c:strCache>
            </c:strRef>
          </c:tx>
          <c:spPr>
            <a:pattFill prst="wdDnDiag">
              <a:fgClr>
                <a:srgbClr val="000000"/>
              </a:fgClr>
              <a:bgClr>
                <a:srgbClr val="FFFFFF"/>
              </a:bgClr>
            </a:pattFill>
            <a:ln w="12623">
              <a:solidFill>
                <a:srgbClr val="000000"/>
              </a:solidFill>
              <a:prstDash val="solid"/>
            </a:ln>
          </c:spPr>
          <c:dLbls>
            <c:spPr>
              <a:noFill/>
              <a:ln w="25245">
                <a:noFill/>
              </a:ln>
            </c:spPr>
            <c:txPr>
              <a:bodyPr/>
              <a:lstStyle/>
              <a:p>
                <a:pPr>
                  <a:defRPr lang="uk-UA" sz="845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endParaRPr lang="ru-RU"/>
              </a:p>
            </c:txPr>
            <c:showVal val="1"/>
          </c:dLbls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Sheet1!$B$6:$B$6</c:f>
              <c:numCache>
                <c:formatCode>General</c:formatCode>
                <c:ptCount val="1"/>
                <c:pt idx="0">
                  <c:v>9.6</c:v>
                </c:pt>
              </c:numCache>
            </c:numRef>
          </c:val>
        </c:ser>
        <c:ser>
          <c:idx val="5"/>
          <c:order val="5"/>
          <c:tx>
            <c:strRef>
              <c:f>Sheet1!$A$7</c:f>
              <c:strCache>
                <c:ptCount val="1"/>
                <c:pt idx="0">
                  <c:v>Німеччина</c:v>
                </c:pt>
              </c:strCache>
            </c:strRef>
          </c:tx>
          <c:spPr>
            <a:pattFill prst="solidDmnd">
              <a:fgClr>
                <a:srgbClr val="000000"/>
              </a:fgClr>
              <a:bgClr>
                <a:srgbClr val="FFFFFF"/>
              </a:bgClr>
            </a:pattFill>
            <a:ln w="12623">
              <a:solidFill>
                <a:srgbClr val="000000"/>
              </a:solidFill>
              <a:prstDash val="solid"/>
            </a:ln>
          </c:spPr>
          <c:dLbls>
            <c:spPr>
              <a:noFill/>
              <a:ln w="25245">
                <a:noFill/>
              </a:ln>
            </c:spPr>
            <c:txPr>
              <a:bodyPr/>
              <a:lstStyle/>
              <a:p>
                <a:pPr>
                  <a:defRPr lang="uk-UA" sz="845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endParaRPr lang="ru-RU"/>
              </a:p>
            </c:txPr>
            <c:showVal val="1"/>
          </c:dLbls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Sheet1!$B$7:$B$7</c:f>
              <c:numCache>
                <c:formatCode>General</c:formatCode>
                <c:ptCount val="1"/>
                <c:pt idx="0">
                  <c:v>8.3000000000000007</c:v>
                </c:pt>
              </c:numCache>
            </c:numRef>
          </c:val>
        </c:ser>
        <c:ser>
          <c:idx val="6"/>
          <c:order val="6"/>
          <c:tx>
            <c:strRef>
              <c:f>Sheet1!$A$8</c:f>
              <c:strCache>
                <c:ptCount val="1"/>
                <c:pt idx="0">
                  <c:v>Нідерланди</c:v>
                </c:pt>
              </c:strCache>
            </c:strRef>
          </c:tx>
          <c:spPr>
            <a:pattFill prst="lgGrid">
              <a:fgClr>
                <a:srgbClr val="000000"/>
              </a:fgClr>
              <a:bgClr>
                <a:srgbClr val="FFFFFF"/>
              </a:bgClr>
            </a:pattFill>
            <a:ln w="12623">
              <a:solidFill>
                <a:srgbClr val="000000"/>
              </a:solidFill>
              <a:prstDash val="solid"/>
            </a:ln>
          </c:spPr>
          <c:dLbls>
            <c:spPr>
              <a:noFill/>
              <a:ln w="25245">
                <a:noFill/>
              </a:ln>
            </c:spPr>
            <c:txPr>
              <a:bodyPr/>
              <a:lstStyle/>
              <a:p>
                <a:pPr>
                  <a:defRPr lang="uk-UA" sz="845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endParaRPr lang="ru-RU"/>
              </a:p>
            </c:txPr>
            <c:showVal val="1"/>
          </c:dLbls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Sheet1!$B$8:$B$8</c:f>
              <c:numCache>
                <c:formatCode>General</c:formatCode>
                <c:ptCount val="1"/>
                <c:pt idx="0">
                  <c:v>4.5999999999999996</c:v>
                </c:pt>
              </c:numCache>
            </c:numRef>
          </c:val>
        </c:ser>
        <c:ser>
          <c:idx val="7"/>
          <c:order val="7"/>
          <c:tx>
            <c:strRef>
              <c:f>Sheet1!$A$9</c:f>
              <c:strCache>
                <c:ptCount val="1"/>
                <c:pt idx="0">
                  <c:v>інші</c:v>
                </c:pt>
              </c:strCache>
            </c:strRef>
          </c:tx>
          <c:spPr>
            <a:pattFill prst="narVert">
              <a:fgClr>
                <a:srgbClr val="000000"/>
              </a:fgClr>
              <a:bgClr>
                <a:srgbClr val="FFFFFF"/>
              </a:bgClr>
            </a:pattFill>
            <a:ln w="12623">
              <a:solidFill>
                <a:srgbClr val="000000"/>
              </a:solidFill>
              <a:prstDash val="solid"/>
            </a:ln>
          </c:spPr>
          <c:dLbls>
            <c:spPr>
              <a:noFill/>
              <a:ln w="25245">
                <a:noFill/>
              </a:ln>
            </c:spPr>
            <c:txPr>
              <a:bodyPr/>
              <a:lstStyle/>
              <a:p>
                <a:pPr>
                  <a:defRPr lang="uk-UA" sz="845" b="1" i="0" u="none" strike="noStrike" baseline="0">
                    <a:solidFill>
                      <a:srgbClr val="000000"/>
                    </a:solidFill>
                    <a:latin typeface="Arial Cyr"/>
                    <a:ea typeface="Arial Cyr"/>
                    <a:cs typeface="Arial Cyr"/>
                  </a:defRPr>
                </a:pPr>
                <a:endParaRPr lang="ru-RU"/>
              </a:p>
            </c:txPr>
            <c:showVal val="1"/>
          </c:dLbls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Sheet1!$B$9:$B$9</c:f>
              <c:numCache>
                <c:formatCode>General</c:formatCode>
                <c:ptCount val="1"/>
                <c:pt idx="0">
                  <c:v>17.3</c:v>
                </c:pt>
              </c:numCache>
            </c:numRef>
          </c:val>
        </c:ser>
        <c:gapWidth val="100"/>
        <c:axId val="161600256"/>
        <c:axId val="161601792"/>
      </c:barChart>
      <c:catAx>
        <c:axId val="161600256"/>
        <c:scaling>
          <c:orientation val="minMax"/>
        </c:scaling>
        <c:axPos val="b"/>
        <c:numFmt formatCode="General" sourceLinked="1"/>
        <c:tickLblPos val="nextTo"/>
        <c:spPr>
          <a:ln w="3156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lang="uk-UA" sz="795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161601792"/>
        <c:crosses val="autoZero"/>
        <c:auto val="1"/>
        <c:lblAlgn val="ctr"/>
        <c:lblOffset val="100"/>
        <c:tickLblSkip val="1"/>
        <c:tickMarkSkip val="1"/>
      </c:catAx>
      <c:valAx>
        <c:axId val="161601792"/>
        <c:scaling>
          <c:orientation val="minMax"/>
        </c:scaling>
        <c:axPos val="l"/>
        <c:majorGridlines>
          <c:spPr>
            <a:ln w="3156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3156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lang="uk-UA" sz="795" b="1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161600256"/>
        <c:crosses val="autoZero"/>
        <c:crossBetween val="between"/>
      </c:valAx>
      <c:spPr>
        <a:solidFill>
          <a:srgbClr val="FFFFFF"/>
        </a:solidFill>
        <a:ln w="12623">
          <a:solidFill>
            <a:srgbClr val="FFFFFF"/>
          </a:solidFill>
          <a:prstDash val="solid"/>
        </a:ln>
      </c:spPr>
    </c:plotArea>
    <c:legend>
      <c:legendPos val="r"/>
      <c:spPr>
        <a:noFill/>
        <a:ln w="3156">
          <a:solidFill>
            <a:srgbClr val="000000"/>
          </a:solidFill>
          <a:prstDash val="solid"/>
        </a:ln>
      </c:spPr>
      <c:txPr>
        <a:bodyPr/>
        <a:lstStyle/>
        <a:p>
          <a:pPr>
            <a:defRPr lang="uk-UA" sz="820" b="1" i="0" u="none" strike="noStrike" baseline="0">
              <a:solidFill>
                <a:srgbClr val="000000"/>
              </a:solidFill>
              <a:latin typeface="Arial Cyr"/>
              <a:ea typeface="Arial Cyr"/>
              <a:cs typeface="Arial Cyr"/>
            </a:defRPr>
          </a:pPr>
          <a:endParaRPr lang="ru-RU"/>
        </a:p>
      </c:txPr>
    </c:legend>
    <c:plotVisOnly val="1"/>
    <c:dispBlanksAs val="gap"/>
  </c:chart>
  <c:spPr>
    <a:noFill/>
    <a:ln>
      <a:noFill/>
    </a:ln>
  </c:spPr>
  <c:txPr>
    <a:bodyPr/>
    <a:lstStyle/>
    <a:p>
      <a:pPr>
        <a:defRPr sz="795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2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547</Words>
  <Characters>3120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3660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3</cp:revision>
  <dcterms:created xsi:type="dcterms:W3CDTF">2013-10-16T12:06:00Z</dcterms:created>
  <dcterms:modified xsi:type="dcterms:W3CDTF">2013-10-16T12:07:00Z</dcterms:modified>
</cp:coreProperties>
</file>