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66" w:rsidRPr="000275C2" w:rsidRDefault="00842066" w:rsidP="00842066">
      <w:pPr>
        <w:pStyle w:val="1"/>
        <w:spacing w:before="0"/>
        <w:jc w:val="center"/>
        <w:rPr>
          <w:rFonts w:ascii="Verdana" w:hAnsi="Verdana"/>
          <w:sz w:val="24"/>
          <w:szCs w:val="24"/>
        </w:rPr>
      </w:pPr>
      <w:bookmarkStart w:id="0" w:name="_Toc352105964"/>
      <w:r w:rsidRPr="000275C2">
        <w:rPr>
          <w:rFonts w:ascii="Verdana" w:hAnsi="Verdana"/>
          <w:sz w:val="24"/>
          <w:szCs w:val="24"/>
        </w:rPr>
        <w:t>Фінансові аспекти управління зовнішньоекономічною діяльністю підприємств</w:t>
      </w:r>
      <w:bookmarkEnd w:id="0"/>
    </w:p>
    <w:p w:rsidR="00842066" w:rsidRPr="00842066" w:rsidRDefault="00842066" w:rsidP="00842066">
      <w:pPr>
        <w:pStyle w:val="1"/>
        <w:spacing w:before="0"/>
        <w:jc w:val="center"/>
        <w:rPr>
          <w:rFonts w:ascii="Verdana" w:hAnsi="Verdana"/>
          <w:b w:val="0"/>
          <w:sz w:val="22"/>
          <w:szCs w:val="22"/>
          <w:lang w:val="ru-RU"/>
        </w:rPr>
      </w:pPr>
      <w:bookmarkStart w:id="1" w:name="_Toc352105965"/>
      <w:r w:rsidRPr="00842066">
        <w:rPr>
          <w:rFonts w:ascii="Verdana" w:hAnsi="Verdana"/>
          <w:b w:val="0"/>
          <w:sz w:val="22"/>
          <w:szCs w:val="22"/>
          <w:lang w:val="ru-RU"/>
        </w:rPr>
        <w:t>Кононенко О. С., к.е.н., доц. Савицька О.М.</w:t>
      </w:r>
      <w:bookmarkEnd w:id="1"/>
    </w:p>
    <w:p w:rsidR="00842066" w:rsidRPr="000275C2" w:rsidRDefault="00842066" w:rsidP="00842066">
      <w:pPr>
        <w:spacing w:after="0" w:line="240" w:lineRule="auto"/>
        <w:ind w:firstLine="567"/>
        <w:jc w:val="center"/>
        <w:rPr>
          <w:rFonts w:ascii="Verdana" w:hAnsi="Verdana"/>
          <w:b/>
        </w:rPr>
      </w:pPr>
      <w:r w:rsidRPr="000275C2">
        <w:rPr>
          <w:rFonts w:ascii="Verdana" w:hAnsi="Verdana"/>
          <w:b/>
        </w:rPr>
        <w:t>Національний технічний університет України «КПІ»</w:t>
      </w:r>
    </w:p>
    <w:p w:rsidR="00842066" w:rsidRPr="000275C2" w:rsidRDefault="00842066" w:rsidP="00842066">
      <w:pPr>
        <w:tabs>
          <w:tab w:val="left" w:pos="9638"/>
        </w:tabs>
        <w:autoSpaceDE w:val="0"/>
        <w:autoSpaceDN w:val="0"/>
        <w:adjustRightInd w:val="0"/>
        <w:spacing w:after="0" w:line="240" w:lineRule="auto"/>
        <w:ind w:firstLine="567"/>
        <w:jc w:val="both"/>
        <w:rPr>
          <w:rFonts w:ascii="Verdana" w:hAnsi="Verdana"/>
          <w:bCs/>
          <w:sz w:val="18"/>
          <w:szCs w:val="18"/>
        </w:rPr>
      </w:pPr>
      <w:r w:rsidRPr="000275C2">
        <w:rPr>
          <w:rFonts w:ascii="Verdana" w:hAnsi="Verdana"/>
          <w:i/>
          <w:iCs/>
        </w:rPr>
        <w:t xml:space="preserve">E-mail: </w:t>
      </w:r>
      <w:hyperlink r:id="rId6" w:history="1">
        <w:r w:rsidRPr="000275C2">
          <w:rPr>
            <w:rStyle w:val="af4"/>
            <w:rFonts w:ascii="Verdana" w:hAnsi="Verdana"/>
            <w:i/>
            <w:iCs/>
            <w:color w:val="auto"/>
          </w:rPr>
          <w:t>elena-kononenko@inbox.ru</w:t>
        </w:r>
      </w:hyperlink>
      <w:r w:rsidRPr="000275C2">
        <w:rPr>
          <w:rFonts w:ascii="Verdana" w:hAnsi="Verdana"/>
          <w:i/>
          <w:iCs/>
        </w:rPr>
        <w:t xml:space="preserve">; </w:t>
      </w:r>
      <w:hyperlink r:id="rId7" w:history="1">
        <w:r w:rsidRPr="000275C2">
          <w:rPr>
            <w:rStyle w:val="af4"/>
            <w:rFonts w:ascii="Verdana" w:hAnsi="Verdana"/>
            <w:i/>
            <w:iCs/>
            <w:color w:val="auto"/>
          </w:rPr>
          <w:t>savickaya.en@gmail.com</w:t>
        </w:r>
      </w:hyperlink>
    </w:p>
    <w:p w:rsidR="00842066" w:rsidRPr="000275C2" w:rsidRDefault="00842066" w:rsidP="00842066">
      <w:pPr>
        <w:tabs>
          <w:tab w:val="left" w:pos="9638"/>
        </w:tabs>
        <w:autoSpaceDE w:val="0"/>
        <w:autoSpaceDN w:val="0"/>
        <w:adjustRightInd w:val="0"/>
        <w:spacing w:after="0" w:line="240" w:lineRule="auto"/>
        <w:ind w:firstLine="567"/>
        <w:jc w:val="center"/>
        <w:rPr>
          <w:rFonts w:ascii="Verdana" w:hAnsi="Verdana"/>
        </w:rPr>
      </w:pPr>
      <w:r w:rsidRPr="000275C2">
        <w:rPr>
          <w:rFonts w:ascii="Verdana" w:hAnsi="Verdana"/>
        </w:rPr>
        <w:t>Науковий керівник:  к.е.н., доц. Савицька О.М.</w:t>
      </w:r>
    </w:p>
    <w:p w:rsidR="00842066" w:rsidRPr="000275C2" w:rsidRDefault="00842066" w:rsidP="00842066">
      <w:pPr>
        <w:tabs>
          <w:tab w:val="left" w:pos="9638"/>
        </w:tabs>
        <w:autoSpaceDE w:val="0"/>
        <w:autoSpaceDN w:val="0"/>
        <w:adjustRightInd w:val="0"/>
        <w:spacing w:after="0" w:line="240" w:lineRule="auto"/>
        <w:ind w:firstLine="567"/>
        <w:jc w:val="both"/>
        <w:rPr>
          <w:rFonts w:ascii="Verdana" w:hAnsi="Verdana"/>
          <w:bCs/>
          <w:sz w:val="18"/>
          <w:szCs w:val="18"/>
        </w:rPr>
      </w:pPr>
      <w:r w:rsidRPr="000275C2">
        <w:rPr>
          <w:rFonts w:ascii="Verdana" w:hAnsi="Verdana"/>
          <w:bCs/>
          <w:sz w:val="18"/>
          <w:szCs w:val="18"/>
        </w:rPr>
        <w:t>України до міжнародної системи господарювання зумовлюють суб’єктів економічних відносин виходити на світові ринки, брати активну учать в системі міжнародних розрахунків та здійснювати операції на міжнародних валютних ринках. Повсякденна практика українських підприємств, що здійснюють свою діяльність в рамках міжнародного співробітництва, свідчить про регулярну їх взаємодію та співпрацю в умовах здійснення міжнародних розрахунків, купівлю та продаж міжнародної валюти, отриманої в результаті зовнішньоекономічних операцій.</w:t>
      </w:r>
    </w:p>
    <w:p w:rsidR="00842066" w:rsidRPr="000275C2" w:rsidRDefault="00842066" w:rsidP="00842066">
      <w:pPr>
        <w:tabs>
          <w:tab w:val="left" w:pos="9638"/>
        </w:tabs>
        <w:autoSpaceDE w:val="0"/>
        <w:autoSpaceDN w:val="0"/>
        <w:adjustRightInd w:val="0"/>
        <w:spacing w:after="0" w:line="240" w:lineRule="auto"/>
        <w:ind w:firstLine="567"/>
        <w:jc w:val="both"/>
        <w:rPr>
          <w:rFonts w:ascii="Verdana" w:hAnsi="Verdana"/>
          <w:bCs/>
          <w:sz w:val="18"/>
          <w:szCs w:val="18"/>
        </w:rPr>
      </w:pPr>
      <w:r w:rsidRPr="000275C2">
        <w:rPr>
          <w:rFonts w:ascii="Verdana" w:hAnsi="Verdana"/>
          <w:bCs/>
          <w:sz w:val="18"/>
          <w:szCs w:val="18"/>
        </w:rPr>
        <w:t>Фінансові особливості здійснення зовнішньоекономічних операцій досліджували державні та закордонні вчені, серед яких: В.П. Хомутенко, Л.Л. Варениченко, Дж. Б. Кейл, Е. Бішоп, А. Грат та ін.</w:t>
      </w:r>
    </w:p>
    <w:p w:rsidR="00842066" w:rsidRPr="000275C2" w:rsidRDefault="00842066" w:rsidP="00842066">
      <w:pPr>
        <w:tabs>
          <w:tab w:val="left" w:pos="9638"/>
        </w:tabs>
        <w:autoSpaceDE w:val="0"/>
        <w:autoSpaceDN w:val="0"/>
        <w:adjustRightInd w:val="0"/>
        <w:spacing w:after="0" w:line="240" w:lineRule="auto"/>
        <w:ind w:firstLine="567"/>
        <w:jc w:val="both"/>
        <w:rPr>
          <w:rFonts w:ascii="Verdana" w:hAnsi="Verdana"/>
          <w:bCs/>
          <w:sz w:val="18"/>
          <w:szCs w:val="18"/>
        </w:rPr>
      </w:pPr>
      <w:r w:rsidRPr="000275C2">
        <w:rPr>
          <w:rFonts w:ascii="Verdana" w:hAnsi="Verdana"/>
          <w:bCs/>
          <w:sz w:val="18"/>
          <w:szCs w:val="18"/>
        </w:rPr>
        <w:t>Згідно з Законом України «Про зовнішньоекономічну діяльність» всі економічні суб’єкти мають рівне право здійснювати будь-які види зовнішньоекономічної діяльності, незалежно від форм власності та інших ознак [1].</w:t>
      </w:r>
    </w:p>
    <w:p w:rsidR="00842066" w:rsidRPr="000275C2" w:rsidRDefault="00842066" w:rsidP="00842066">
      <w:pPr>
        <w:tabs>
          <w:tab w:val="left" w:pos="9638"/>
        </w:tabs>
        <w:autoSpaceDE w:val="0"/>
        <w:autoSpaceDN w:val="0"/>
        <w:adjustRightInd w:val="0"/>
        <w:spacing w:after="0" w:line="240" w:lineRule="auto"/>
        <w:ind w:firstLine="567"/>
        <w:jc w:val="both"/>
        <w:rPr>
          <w:rFonts w:ascii="Verdana" w:hAnsi="Verdana"/>
          <w:bCs/>
          <w:sz w:val="18"/>
          <w:szCs w:val="18"/>
        </w:rPr>
      </w:pPr>
      <w:r w:rsidRPr="000275C2">
        <w:rPr>
          <w:rFonts w:ascii="Verdana" w:hAnsi="Verdana"/>
          <w:bCs/>
          <w:sz w:val="18"/>
          <w:szCs w:val="18"/>
        </w:rPr>
        <w:t>За даними Держкомстату України експорт товарів в географічній структурі зовнішньої торгівлі  за 2012 рік складає 68,8 млрд. дол. США, що на 0,6 % більше за минулий рік, імпорт в свою чергу - 84,7 млн. дол. США та на 2,5 % більший за 2011 рік [2], що свідчить про тенденцію зростання обсягів зовнішньоторговельних операцій.</w:t>
      </w:r>
    </w:p>
    <w:p w:rsidR="00842066" w:rsidRPr="000275C2" w:rsidRDefault="00842066" w:rsidP="00842066">
      <w:pPr>
        <w:tabs>
          <w:tab w:val="left" w:pos="9638"/>
        </w:tabs>
        <w:autoSpaceDE w:val="0"/>
        <w:autoSpaceDN w:val="0"/>
        <w:adjustRightInd w:val="0"/>
        <w:spacing w:after="0" w:line="240" w:lineRule="auto"/>
        <w:ind w:firstLine="567"/>
        <w:jc w:val="both"/>
        <w:rPr>
          <w:rFonts w:ascii="Verdana" w:hAnsi="Verdana"/>
          <w:bCs/>
          <w:sz w:val="18"/>
          <w:szCs w:val="18"/>
        </w:rPr>
      </w:pPr>
      <w:r w:rsidRPr="000275C2">
        <w:rPr>
          <w:rFonts w:ascii="Verdana" w:hAnsi="Verdana"/>
          <w:bCs/>
          <w:sz w:val="18"/>
          <w:szCs w:val="18"/>
        </w:rPr>
        <w:t xml:space="preserve">Здійснення зовнішньоекономічної діяльності вимагає від суб’єктів господарювання виконання певних фінансових завдань, заснованих, насамперед, на використанні в системі економічних відносин сучасних підходів щодо ефективного управління фінансовими, трудовими й інформаційними ресурсами організацій, а також удосконалення внутрішньогосподарських процесів, пов’язаних із формуванням та використанням фондів грошових коштів для досягнення їх суспільних потреб. В умовах зовнішньоекономічного спрямування підприємств особливе місце серед джерел формування їх фінансових ресурсів посідають власні (частина розподіленого прибутку від звичайної та зовнішньоекономічної діяльності, доходи від реалізації оборотних та необоротних активів, міжнародних лізингових операції та операцій з цінними паперами) та залучені кошти (пайові та інші внески фізичних та юридичних осіб). Необхідною умовою здійснення зовнішньоторговельних операцій на міжнародному ринку є складання контракту, який визначає права суб’єктів договору, їх обов’язки та відповідальності, а також визначає форму здійснення розрахункових операцій та момент передачі права власності. Від правильного визначення платіжних умов договору залежить рентабельність здійснення зовнішньоторговельних операцій, страхування валютних ризиків та своєчасне отримання платежу. </w:t>
      </w:r>
    </w:p>
    <w:p w:rsidR="00842066" w:rsidRPr="000275C2" w:rsidRDefault="00842066" w:rsidP="00842066">
      <w:pPr>
        <w:tabs>
          <w:tab w:val="left" w:pos="9638"/>
        </w:tabs>
        <w:autoSpaceDE w:val="0"/>
        <w:autoSpaceDN w:val="0"/>
        <w:adjustRightInd w:val="0"/>
        <w:spacing w:after="0" w:line="240" w:lineRule="auto"/>
        <w:ind w:firstLine="567"/>
        <w:jc w:val="both"/>
        <w:rPr>
          <w:rFonts w:ascii="Verdana" w:hAnsi="Verdana"/>
          <w:bCs/>
          <w:sz w:val="18"/>
          <w:szCs w:val="18"/>
        </w:rPr>
      </w:pPr>
      <w:r w:rsidRPr="000275C2">
        <w:rPr>
          <w:rFonts w:ascii="Verdana" w:hAnsi="Verdana"/>
          <w:bCs/>
          <w:sz w:val="18"/>
          <w:szCs w:val="18"/>
        </w:rPr>
        <w:t>Міжнародні розрахунки як відкрита самостійна система має свої певні особливості. По-перше, вони регулюються не тільки національними нормативно-правовими актами, а й міжнародними законами та банківськими вимогами (Єдиний закон про простий та переказний вексель, Єдиний чековий закон, Уніфіковані правила для інкасо та інші). По-друге, процес здійснення міжнародних розрахунків включає в себе використання різних вільноконвертованих валют, а тому на його результативність впливає динаміка валютних курсів. Третя особливість полягає в валютних обмеженнях, що використовуються державами з частково конвертованою валютою, що ускладнює процес безперешкодного руху грошей [3].</w:t>
      </w:r>
    </w:p>
    <w:p w:rsidR="00842066" w:rsidRPr="000275C2" w:rsidRDefault="00842066" w:rsidP="00842066">
      <w:pPr>
        <w:tabs>
          <w:tab w:val="left" w:pos="9638"/>
        </w:tabs>
        <w:autoSpaceDE w:val="0"/>
        <w:autoSpaceDN w:val="0"/>
        <w:adjustRightInd w:val="0"/>
        <w:spacing w:after="0" w:line="240" w:lineRule="auto"/>
        <w:ind w:firstLine="567"/>
        <w:jc w:val="both"/>
        <w:rPr>
          <w:rFonts w:ascii="Verdana" w:hAnsi="Verdana"/>
          <w:bCs/>
          <w:sz w:val="18"/>
          <w:szCs w:val="18"/>
        </w:rPr>
      </w:pPr>
      <w:r w:rsidRPr="000275C2">
        <w:rPr>
          <w:rFonts w:ascii="Verdana" w:hAnsi="Verdana"/>
          <w:bCs/>
          <w:sz w:val="18"/>
          <w:szCs w:val="18"/>
        </w:rPr>
        <w:t>Вибір необхідної форми розрахунків надає можливість контрагентам зменшувати можливі ризики та витрати, пов’язані з невиконанням протилежною стороною договору своїх обов’язків. Умовно форми міжнародних розрахунків поділяються на документарні (інкасо та акредитиви) та не документарні (авансові платежі, векселі, чеки, платіж на відкритий рахунок, банківський переказ). Біля 80 % всіх світових платежів відбувається в формі акредитива, оскільки його використання максимально знижує ризики неотримання платежу.</w:t>
      </w:r>
    </w:p>
    <w:p w:rsidR="00842066" w:rsidRPr="000275C2" w:rsidRDefault="00842066" w:rsidP="00842066">
      <w:pPr>
        <w:tabs>
          <w:tab w:val="left" w:pos="9638"/>
        </w:tabs>
        <w:spacing w:after="0" w:line="240" w:lineRule="auto"/>
        <w:ind w:firstLine="567"/>
        <w:contextualSpacing/>
        <w:jc w:val="both"/>
        <w:rPr>
          <w:rFonts w:ascii="Verdana" w:hAnsi="Verdana"/>
          <w:sz w:val="18"/>
          <w:szCs w:val="18"/>
        </w:rPr>
      </w:pPr>
      <w:r w:rsidRPr="000275C2">
        <w:rPr>
          <w:rFonts w:ascii="Verdana" w:hAnsi="Verdana"/>
          <w:bCs/>
          <w:sz w:val="18"/>
          <w:szCs w:val="18"/>
        </w:rPr>
        <w:t xml:space="preserve">Проаналізувавши основні фінансові аспекти управління ЗЕД підприємства встановлено, що діяльність в сфері зовнішньоторговельних відносин є досить складною та ризикованою, адже вимагає врахування фінансових особливостей середовища функціонування не тільки усередині України, а й на території держав партнерів. Тому, для підвищення ефективності фінансової діяльності в сфері ЗЕД необхідним є розробка стратегії управління, що буде спрямована на збільшення в структурі фінансових ресурсів частки власних коштів шляхом залучення іноземних інвестицій та здійснення інноваційної політики. </w:t>
      </w:r>
    </w:p>
    <w:p w:rsidR="00842066" w:rsidRPr="000275C2" w:rsidRDefault="00842066" w:rsidP="00842066">
      <w:pPr>
        <w:tabs>
          <w:tab w:val="left" w:pos="9638"/>
        </w:tabs>
        <w:autoSpaceDE w:val="0"/>
        <w:autoSpaceDN w:val="0"/>
        <w:adjustRightInd w:val="0"/>
        <w:spacing w:after="0" w:line="240" w:lineRule="auto"/>
        <w:ind w:firstLine="567"/>
        <w:jc w:val="both"/>
        <w:rPr>
          <w:rFonts w:ascii="Verdana" w:hAnsi="Verdana"/>
          <w:b/>
          <w:bCs/>
          <w:sz w:val="18"/>
          <w:szCs w:val="18"/>
        </w:rPr>
      </w:pPr>
      <w:r w:rsidRPr="000275C2">
        <w:rPr>
          <w:rFonts w:ascii="Verdana" w:hAnsi="Verdana"/>
          <w:b/>
          <w:bCs/>
          <w:sz w:val="18"/>
          <w:szCs w:val="18"/>
        </w:rPr>
        <w:t xml:space="preserve">Список літератури </w:t>
      </w:r>
    </w:p>
    <w:p w:rsidR="00842066" w:rsidRPr="000275C2" w:rsidRDefault="00842066" w:rsidP="00842066">
      <w:pPr>
        <w:tabs>
          <w:tab w:val="left" w:pos="9638"/>
        </w:tabs>
        <w:autoSpaceDE w:val="0"/>
        <w:autoSpaceDN w:val="0"/>
        <w:adjustRightInd w:val="0"/>
        <w:spacing w:after="0" w:line="240" w:lineRule="auto"/>
        <w:ind w:firstLine="284"/>
        <w:jc w:val="both"/>
        <w:rPr>
          <w:rFonts w:ascii="Verdana" w:hAnsi="Verdana"/>
          <w:bCs/>
          <w:sz w:val="18"/>
          <w:szCs w:val="18"/>
        </w:rPr>
      </w:pPr>
      <w:r w:rsidRPr="000275C2">
        <w:rPr>
          <w:rFonts w:ascii="Verdana" w:hAnsi="Verdana"/>
          <w:bCs/>
          <w:sz w:val="18"/>
          <w:szCs w:val="18"/>
        </w:rPr>
        <w:t>1. Закон України «Про зовнішньоекономічну діяльність» // Відомості Верховної Ради, 1991. —  № 29. — Ст. 377 (з подальшими змінами).</w:t>
      </w:r>
    </w:p>
    <w:p w:rsidR="00842066" w:rsidRPr="000275C2" w:rsidRDefault="00842066" w:rsidP="00842066">
      <w:pPr>
        <w:tabs>
          <w:tab w:val="left" w:pos="9638"/>
        </w:tabs>
        <w:autoSpaceDE w:val="0"/>
        <w:autoSpaceDN w:val="0"/>
        <w:adjustRightInd w:val="0"/>
        <w:spacing w:after="0" w:line="240" w:lineRule="auto"/>
        <w:ind w:firstLine="284"/>
        <w:jc w:val="both"/>
        <w:rPr>
          <w:rFonts w:ascii="Verdana" w:hAnsi="Verdana"/>
          <w:bCs/>
          <w:sz w:val="18"/>
          <w:szCs w:val="18"/>
        </w:rPr>
      </w:pPr>
      <w:r w:rsidRPr="000275C2">
        <w:rPr>
          <w:rFonts w:ascii="Verdana" w:hAnsi="Verdana"/>
          <w:bCs/>
          <w:sz w:val="18"/>
          <w:szCs w:val="18"/>
        </w:rPr>
        <w:t xml:space="preserve"> 2. Державний комітет статистики України [Електронний ресурс]. — Режим доступу:</w:t>
      </w:r>
    </w:p>
    <w:p w:rsidR="00842066" w:rsidRPr="000275C2" w:rsidRDefault="00842066" w:rsidP="00842066">
      <w:pPr>
        <w:tabs>
          <w:tab w:val="left" w:pos="9638"/>
        </w:tabs>
        <w:autoSpaceDE w:val="0"/>
        <w:autoSpaceDN w:val="0"/>
        <w:adjustRightInd w:val="0"/>
        <w:spacing w:after="0" w:line="240" w:lineRule="auto"/>
        <w:ind w:firstLine="284"/>
        <w:jc w:val="both"/>
        <w:rPr>
          <w:rFonts w:ascii="Verdana" w:hAnsi="Verdana"/>
          <w:bCs/>
          <w:sz w:val="18"/>
          <w:szCs w:val="18"/>
        </w:rPr>
      </w:pPr>
      <w:r w:rsidRPr="000275C2">
        <w:rPr>
          <w:rFonts w:ascii="Verdana" w:hAnsi="Verdana"/>
          <w:bCs/>
          <w:sz w:val="18"/>
          <w:szCs w:val="18"/>
        </w:rPr>
        <w:t xml:space="preserve">http://www.ukrstat.gov.ua/operativ/operativ2012/zd/ztt/ztt_u/ztt1212_u.htm. </w:t>
      </w:r>
    </w:p>
    <w:p w:rsidR="00397084" w:rsidRDefault="00842066" w:rsidP="00842066">
      <w:pPr>
        <w:spacing w:after="0" w:line="240" w:lineRule="auto"/>
        <w:ind w:firstLine="284"/>
        <w:jc w:val="both"/>
      </w:pPr>
      <w:r w:rsidRPr="000275C2">
        <w:rPr>
          <w:rFonts w:ascii="Verdana" w:hAnsi="Verdana"/>
          <w:bCs/>
          <w:sz w:val="18"/>
          <w:szCs w:val="18"/>
        </w:rPr>
        <w:t>3. Дахно І.І. Зовнішньоекономічний менеджмент / І.І. Дахно. — К.: ЦУЛ, 2012. — 568 с.</w:t>
      </w:r>
      <w:r>
        <w:t xml:space="preserve"> </w:t>
      </w:r>
    </w:p>
    <w:sectPr w:rsidR="00397084" w:rsidSect="00842066">
      <w:footerReference w:type="default" r:id="rId8"/>
      <w:pgSz w:w="11906" w:h="16838"/>
      <w:pgMar w:top="851" w:right="850" w:bottom="1134" w:left="1701"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4D0" w:rsidRDefault="009604D0" w:rsidP="00842066">
      <w:pPr>
        <w:spacing w:after="0" w:line="240" w:lineRule="auto"/>
      </w:pPr>
      <w:r>
        <w:separator/>
      </w:r>
    </w:p>
  </w:endnote>
  <w:endnote w:type="continuationSeparator" w:id="1">
    <w:p w:rsidR="009604D0" w:rsidRDefault="009604D0"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842066">
        <w:pPr>
          <w:pStyle w:val="af7"/>
        </w:pPr>
        <w:fldSimple w:instr=" PAGE   \* MERGEFORMAT ">
          <w:r>
            <w:rPr>
              <w:noProof/>
            </w:rPr>
            <w:t>16</w:t>
          </w:r>
        </w:fldSimple>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4D0" w:rsidRDefault="009604D0" w:rsidP="00842066">
      <w:pPr>
        <w:spacing w:after="0" w:line="240" w:lineRule="auto"/>
      </w:pPr>
      <w:r>
        <w:separator/>
      </w:r>
    </w:p>
  </w:footnote>
  <w:footnote w:type="continuationSeparator" w:id="1">
    <w:p w:rsidR="009604D0" w:rsidRDefault="009604D0" w:rsidP="0084206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1C4033"/>
    <w:rsid w:val="00397084"/>
    <w:rsid w:val="00485B02"/>
    <w:rsid w:val="006B27E3"/>
    <w:rsid w:val="00842066"/>
    <w:rsid w:val="009604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savickaya.en@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lena-kononenko@inbox.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759</Words>
  <Characters>4327</Characters>
  <Application>Microsoft Office Word</Application>
  <DocSecurity>0</DocSecurity>
  <Lines>36</Lines>
  <Paragraphs>10</Paragraphs>
  <ScaleCrop>false</ScaleCrop>
  <Company>None</Company>
  <LinksUpToDate>false</LinksUpToDate>
  <CharactersWithSpaces>5076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1</cp:revision>
  <dcterms:created xsi:type="dcterms:W3CDTF">2013-09-30T13:08:00Z</dcterms:created>
  <dcterms:modified xsi:type="dcterms:W3CDTF">2013-09-30T13:09:00Z</dcterms:modified>
</cp:coreProperties>
</file>