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547" w:rsidRPr="008D5547" w:rsidRDefault="008D5547" w:rsidP="008D5547">
      <w:pPr>
        <w:pStyle w:val="1"/>
        <w:spacing w:before="0"/>
        <w:jc w:val="center"/>
        <w:rPr>
          <w:rFonts w:ascii="Verdana" w:hAnsi="Verdana"/>
          <w:sz w:val="24"/>
          <w:szCs w:val="24"/>
          <w:lang w:val="ru-RU"/>
        </w:rPr>
      </w:pPr>
      <w:bookmarkStart w:id="0" w:name="_Toc352105990"/>
      <w:r w:rsidRPr="008D5547">
        <w:rPr>
          <w:rFonts w:ascii="Verdana" w:hAnsi="Verdana"/>
          <w:sz w:val="24"/>
          <w:szCs w:val="24"/>
          <w:lang w:val="ru-RU"/>
        </w:rPr>
        <w:t>Удосконалення механізму управління сталим розвитком підприємства</w:t>
      </w:r>
      <w:bookmarkEnd w:id="0"/>
    </w:p>
    <w:p w:rsidR="008D5547" w:rsidRPr="008D5547" w:rsidRDefault="008D5547" w:rsidP="008D5547">
      <w:pPr>
        <w:pStyle w:val="1"/>
        <w:spacing w:before="0"/>
        <w:jc w:val="center"/>
        <w:rPr>
          <w:rFonts w:ascii="Verdana" w:hAnsi="Verdana"/>
          <w:b w:val="0"/>
          <w:sz w:val="22"/>
          <w:szCs w:val="22"/>
          <w:lang w:val="ru-RU"/>
        </w:rPr>
      </w:pPr>
      <w:bookmarkStart w:id="1" w:name="_Toc352105991"/>
      <w:r w:rsidRPr="008D5547">
        <w:rPr>
          <w:rFonts w:ascii="Verdana" w:hAnsi="Verdana"/>
          <w:b w:val="0"/>
          <w:sz w:val="22"/>
          <w:szCs w:val="22"/>
          <w:lang w:val="ru-RU"/>
        </w:rPr>
        <w:t>Смачило І.І.</w:t>
      </w:r>
      <w:bookmarkEnd w:id="1"/>
    </w:p>
    <w:p w:rsidR="008D5547" w:rsidRPr="000275C2" w:rsidRDefault="008D5547" w:rsidP="008D5547">
      <w:pPr>
        <w:spacing w:after="0" w:line="240" w:lineRule="auto"/>
        <w:jc w:val="center"/>
        <w:rPr>
          <w:rFonts w:ascii="Verdana" w:hAnsi="Verdana"/>
          <w:b/>
        </w:rPr>
      </w:pPr>
      <w:r w:rsidRPr="000275C2">
        <w:rPr>
          <w:rFonts w:ascii="Verdana" w:hAnsi="Verdana"/>
          <w:b/>
        </w:rPr>
        <w:t>Тернопільський національний економічний університет</w:t>
      </w:r>
    </w:p>
    <w:p w:rsidR="008D5547" w:rsidRPr="000275C2" w:rsidRDefault="008D5547" w:rsidP="008D5547">
      <w:pPr>
        <w:spacing w:after="0" w:line="240" w:lineRule="auto"/>
        <w:jc w:val="center"/>
        <w:rPr>
          <w:rFonts w:ascii="Verdana" w:hAnsi="Verdana"/>
          <w:i/>
        </w:rPr>
      </w:pPr>
      <w:r w:rsidRPr="000275C2">
        <w:rPr>
          <w:rFonts w:ascii="Verdana" w:hAnsi="Verdana"/>
          <w:i/>
        </w:rPr>
        <w:t xml:space="preserve">E-mail: </w:t>
      </w:r>
      <w:hyperlink r:id="rId7" w:history="1">
        <w:r w:rsidRPr="000275C2">
          <w:rPr>
            <w:rFonts w:ascii="Verdana" w:hAnsi="Verdana"/>
            <w:i/>
          </w:rPr>
          <w:t>sm_iryna@ukr.net</w:t>
        </w:r>
      </w:hyperlink>
    </w:p>
    <w:p w:rsidR="008D5547" w:rsidRPr="000275C2" w:rsidRDefault="008D5547" w:rsidP="008D5547">
      <w:pPr>
        <w:spacing w:after="0" w:line="240" w:lineRule="auto"/>
        <w:ind w:firstLine="567"/>
        <w:jc w:val="both"/>
        <w:rPr>
          <w:rFonts w:ascii="Verdana" w:hAnsi="Verdana"/>
          <w:sz w:val="18"/>
          <w:szCs w:val="18"/>
        </w:rPr>
      </w:pPr>
      <w:r w:rsidRPr="000275C2">
        <w:rPr>
          <w:rFonts w:ascii="Verdana" w:hAnsi="Verdana"/>
          <w:sz w:val="18"/>
          <w:szCs w:val="18"/>
        </w:rPr>
        <w:t xml:space="preserve">В умовах високого динамізму зовнішнього середовища сучасне підприємство може стати ефективним завдяки своїй здатності пристосовуватися до змін. Відповідність внутрішнього середовища підприємства вимогам зовнішнього середовища як найважливішого чинника ринкового успіху спонукає підприємство до постійної трансформації. Підвищення темпів зміни сучасних ринків сприяє необхідності підвищувати темпи змін внутрішнього середовища підприємства. При цьому зміна внутрішнього середовища має бути адекватною поточним і майбутнім змінам зовнішнього середовища. </w:t>
      </w:r>
    </w:p>
    <w:p w:rsidR="008D5547" w:rsidRPr="000275C2" w:rsidRDefault="008D5547" w:rsidP="008D5547">
      <w:pPr>
        <w:spacing w:after="0" w:line="240" w:lineRule="auto"/>
        <w:ind w:firstLine="567"/>
        <w:jc w:val="both"/>
        <w:rPr>
          <w:rFonts w:ascii="Verdana" w:hAnsi="Verdana"/>
          <w:sz w:val="18"/>
          <w:szCs w:val="18"/>
        </w:rPr>
      </w:pPr>
      <w:r w:rsidRPr="000275C2">
        <w:rPr>
          <w:rFonts w:ascii="Verdana" w:hAnsi="Verdana"/>
          <w:sz w:val="18"/>
          <w:szCs w:val="18"/>
        </w:rPr>
        <w:t>Для підприємства, яке функціонує в умовах зростаючої невизначеності і динамічності зовнішнього оточення, одним з головних чинників забезпечення конкурентоспроможності є сталий розвиток [1]. Пропонуємо його розглядати як цілеспрямований і безперервний розвиток, який підтримує рівень економічних, виробничих, технічних, соціальних показників у межах, визначених впливом зовнішнього і внутрішнього середовищ.</w:t>
      </w:r>
    </w:p>
    <w:p w:rsidR="008D5547" w:rsidRPr="000275C2" w:rsidRDefault="008D5547" w:rsidP="008D5547">
      <w:pPr>
        <w:widowControl w:val="0"/>
        <w:spacing w:after="0" w:line="240" w:lineRule="auto"/>
        <w:ind w:firstLine="567"/>
        <w:jc w:val="both"/>
        <w:rPr>
          <w:rFonts w:ascii="Verdana" w:eastAsia="Times New Roman" w:hAnsi="Verdana"/>
          <w:sz w:val="18"/>
          <w:szCs w:val="18"/>
          <w:lang w:eastAsia="ru-RU"/>
        </w:rPr>
      </w:pPr>
      <w:r w:rsidRPr="000275C2">
        <w:rPr>
          <w:rFonts w:ascii="Verdana" w:eastAsia="Times New Roman" w:hAnsi="Verdana"/>
          <w:sz w:val="18"/>
          <w:szCs w:val="18"/>
          <w:lang w:eastAsia="ru-RU"/>
        </w:rPr>
        <w:t>Механізм управління сталим розвитком є частиною системи управління, що активно реагує на зміну факторів зовнішнього та внутрішнього середовищ, підтримуючи сталість розвитку об’єктів управління. Це цілісна система взаємопов’язаних елементів, що відображають відповідні заходи менеджменту з управління сталим розвитком підприємства [2].</w:t>
      </w:r>
    </w:p>
    <w:p w:rsidR="008D5547" w:rsidRPr="000275C2" w:rsidRDefault="008D5547" w:rsidP="008D5547">
      <w:pPr>
        <w:tabs>
          <w:tab w:val="left" w:pos="900"/>
        </w:tabs>
        <w:spacing w:after="0" w:line="240" w:lineRule="auto"/>
        <w:ind w:firstLine="567"/>
        <w:jc w:val="both"/>
        <w:rPr>
          <w:rFonts w:ascii="Verdana" w:hAnsi="Verdana" w:cs="Arial"/>
          <w:sz w:val="18"/>
          <w:szCs w:val="18"/>
        </w:rPr>
      </w:pPr>
      <w:r w:rsidRPr="000275C2">
        <w:rPr>
          <w:rFonts w:ascii="Verdana" w:hAnsi="Verdana" w:cs="Arial"/>
          <w:sz w:val="18"/>
          <w:szCs w:val="18"/>
        </w:rPr>
        <w:t>Кожний блок даного механізму складається з певних елементів, які йому підпорядковані.</w:t>
      </w:r>
    </w:p>
    <w:p w:rsidR="008D5547" w:rsidRPr="000275C2" w:rsidRDefault="008D5547" w:rsidP="008D5547">
      <w:pPr>
        <w:tabs>
          <w:tab w:val="left" w:pos="900"/>
        </w:tabs>
        <w:spacing w:after="0" w:line="240" w:lineRule="auto"/>
        <w:ind w:firstLine="567"/>
        <w:jc w:val="both"/>
        <w:rPr>
          <w:rFonts w:ascii="Verdana" w:hAnsi="Verdana" w:cs="Arial"/>
          <w:sz w:val="18"/>
          <w:szCs w:val="18"/>
        </w:rPr>
      </w:pPr>
      <w:r w:rsidRPr="000275C2">
        <w:rPr>
          <w:rFonts w:ascii="Verdana" w:hAnsi="Verdana" w:cs="Arial"/>
          <w:sz w:val="18"/>
          <w:szCs w:val="18"/>
        </w:rPr>
        <w:t>На нашу думку, складовими механізму управління є наступні блоки:</w:t>
      </w:r>
    </w:p>
    <w:p w:rsidR="008D5547" w:rsidRPr="000275C2" w:rsidRDefault="008D5547" w:rsidP="008D5547">
      <w:pPr>
        <w:numPr>
          <w:ilvl w:val="0"/>
          <w:numId w:val="7"/>
        </w:numPr>
        <w:tabs>
          <w:tab w:val="left" w:pos="900"/>
          <w:tab w:val="num" w:pos="1080"/>
        </w:tabs>
        <w:spacing w:after="0" w:line="240" w:lineRule="auto"/>
        <w:ind w:left="0" w:firstLine="567"/>
        <w:jc w:val="both"/>
        <w:rPr>
          <w:rFonts w:ascii="Verdana" w:hAnsi="Verdana" w:cs="Arial"/>
          <w:sz w:val="18"/>
          <w:szCs w:val="18"/>
        </w:rPr>
      </w:pPr>
      <w:r w:rsidRPr="000275C2">
        <w:rPr>
          <w:rFonts w:ascii="Verdana" w:hAnsi="Verdana" w:cs="Arial"/>
          <w:sz w:val="18"/>
          <w:szCs w:val="18"/>
        </w:rPr>
        <w:t>Суб’єкти механізму управління сталим розвитком підприємств.</w:t>
      </w:r>
    </w:p>
    <w:p w:rsidR="008D5547" w:rsidRPr="000275C2" w:rsidRDefault="008D5547" w:rsidP="008D5547">
      <w:pPr>
        <w:numPr>
          <w:ilvl w:val="0"/>
          <w:numId w:val="7"/>
        </w:numPr>
        <w:tabs>
          <w:tab w:val="left" w:pos="900"/>
          <w:tab w:val="num" w:pos="1080"/>
        </w:tabs>
        <w:spacing w:after="0" w:line="240" w:lineRule="auto"/>
        <w:ind w:left="0" w:firstLine="567"/>
        <w:jc w:val="both"/>
        <w:rPr>
          <w:rFonts w:ascii="Verdana" w:hAnsi="Verdana" w:cs="Arial"/>
          <w:sz w:val="18"/>
          <w:szCs w:val="18"/>
        </w:rPr>
      </w:pPr>
      <w:r w:rsidRPr="000275C2">
        <w:rPr>
          <w:rFonts w:ascii="Verdana" w:hAnsi="Verdana" w:cs="Arial"/>
          <w:sz w:val="18"/>
          <w:szCs w:val="18"/>
        </w:rPr>
        <w:t>Об’єкти механізму управління сталим розвитком підприємств.</w:t>
      </w:r>
    </w:p>
    <w:p w:rsidR="008D5547" w:rsidRPr="000275C2" w:rsidRDefault="008D5547" w:rsidP="008D5547">
      <w:pPr>
        <w:numPr>
          <w:ilvl w:val="0"/>
          <w:numId w:val="7"/>
        </w:numPr>
        <w:tabs>
          <w:tab w:val="left" w:pos="900"/>
          <w:tab w:val="num" w:pos="1080"/>
        </w:tabs>
        <w:spacing w:after="0" w:line="240" w:lineRule="auto"/>
        <w:ind w:left="0" w:firstLine="567"/>
        <w:jc w:val="both"/>
        <w:rPr>
          <w:rFonts w:ascii="Verdana" w:hAnsi="Verdana" w:cs="Arial"/>
          <w:sz w:val="18"/>
          <w:szCs w:val="18"/>
        </w:rPr>
      </w:pPr>
      <w:r w:rsidRPr="000275C2">
        <w:rPr>
          <w:rFonts w:ascii="Verdana" w:hAnsi="Verdana" w:cs="Arial"/>
          <w:sz w:val="18"/>
          <w:szCs w:val="18"/>
        </w:rPr>
        <w:t>Процес управління сталим розвитком підприємств: методи управління, важелі управління.</w:t>
      </w:r>
    </w:p>
    <w:p w:rsidR="008D5547" w:rsidRPr="000275C2" w:rsidRDefault="008D5547" w:rsidP="008D5547">
      <w:pPr>
        <w:widowControl w:val="0"/>
        <w:tabs>
          <w:tab w:val="left" w:pos="900"/>
        </w:tabs>
        <w:spacing w:after="0" w:line="240" w:lineRule="auto"/>
        <w:ind w:firstLine="567"/>
        <w:jc w:val="both"/>
        <w:rPr>
          <w:rFonts w:ascii="Verdana" w:eastAsia="Times New Roman" w:hAnsi="Verdana" w:cs="Arial"/>
          <w:sz w:val="18"/>
          <w:szCs w:val="18"/>
          <w:lang w:eastAsia="ru-RU"/>
        </w:rPr>
      </w:pPr>
      <w:r w:rsidRPr="000275C2">
        <w:rPr>
          <w:rFonts w:ascii="Verdana" w:eastAsia="Times New Roman" w:hAnsi="Verdana" w:cs="Arial"/>
          <w:sz w:val="18"/>
          <w:szCs w:val="18"/>
          <w:lang w:eastAsia="ru-RU"/>
        </w:rPr>
        <w:t xml:space="preserve">Перший блок механізму управління охоплює суб’єкти управління, якими є особи, які приймають управлінські рішення та вживають відповідні заходи для регулювання, контролю за всіма стадіями процесу управління сталим розвитком підприємств. </w:t>
      </w:r>
    </w:p>
    <w:p w:rsidR="008D5547" w:rsidRPr="000275C2" w:rsidRDefault="008D5547" w:rsidP="008D5547">
      <w:pPr>
        <w:widowControl w:val="0"/>
        <w:tabs>
          <w:tab w:val="left" w:pos="900"/>
        </w:tabs>
        <w:spacing w:after="0" w:line="240" w:lineRule="auto"/>
        <w:ind w:firstLine="567"/>
        <w:jc w:val="both"/>
        <w:rPr>
          <w:rFonts w:ascii="Verdana" w:eastAsia="Times New Roman" w:hAnsi="Verdana" w:cs="Arial"/>
          <w:sz w:val="18"/>
          <w:szCs w:val="18"/>
          <w:lang w:eastAsia="ru-RU"/>
        </w:rPr>
      </w:pPr>
      <w:r w:rsidRPr="000275C2">
        <w:rPr>
          <w:rFonts w:ascii="Verdana" w:eastAsia="Times New Roman" w:hAnsi="Verdana" w:cs="Arial"/>
          <w:sz w:val="18"/>
          <w:szCs w:val="18"/>
          <w:lang w:eastAsia="ru-RU"/>
        </w:rPr>
        <w:t>Другий блок механізму охоплює об’єкт управління, яким є показники сталого розвитку.</w:t>
      </w:r>
    </w:p>
    <w:p w:rsidR="008D5547" w:rsidRPr="000275C2" w:rsidRDefault="008D5547" w:rsidP="008D5547">
      <w:pPr>
        <w:widowControl w:val="0"/>
        <w:tabs>
          <w:tab w:val="left" w:pos="900"/>
        </w:tabs>
        <w:spacing w:after="0" w:line="240" w:lineRule="auto"/>
        <w:ind w:firstLine="567"/>
        <w:jc w:val="both"/>
        <w:rPr>
          <w:rFonts w:ascii="Verdana" w:eastAsia="Times New Roman" w:hAnsi="Verdana"/>
          <w:sz w:val="18"/>
          <w:szCs w:val="18"/>
          <w:lang w:eastAsia="ru-RU"/>
        </w:rPr>
      </w:pPr>
      <w:r w:rsidRPr="000275C2">
        <w:rPr>
          <w:rFonts w:ascii="Verdana" w:eastAsia="Times New Roman" w:hAnsi="Verdana" w:cs="Arial"/>
          <w:sz w:val="18"/>
          <w:szCs w:val="18"/>
          <w:lang w:eastAsia="ru-RU"/>
        </w:rPr>
        <w:t>Третій блок механізму представлений процесом управління сталим розвитком підприємства, який передбачає застосування методів, основними з яких є наступні: збереження існуючої стратегії сталого розвитку, запобігання порушення сталого розвитку, регулювання інтенсивності сталого розвитку. Методи управління, що ґрунтуються на названих підходах, застосовують у діяльності підприємств. Проте, вони досі не були застосовані для управління сталим розвитком, що особливо важливо для сучасних підприємств України у зв’язку зі стабілізацією після трансформаційних процесів.</w:t>
      </w:r>
    </w:p>
    <w:p w:rsidR="008D5547" w:rsidRPr="000275C2" w:rsidRDefault="008D5547" w:rsidP="008D5547">
      <w:pPr>
        <w:spacing w:after="0" w:line="240" w:lineRule="auto"/>
        <w:ind w:firstLine="567"/>
        <w:jc w:val="both"/>
        <w:rPr>
          <w:rFonts w:ascii="Verdana" w:hAnsi="Verdana" w:cs="Arial"/>
          <w:sz w:val="18"/>
          <w:szCs w:val="18"/>
        </w:rPr>
      </w:pPr>
      <w:r w:rsidRPr="000275C2">
        <w:rPr>
          <w:rFonts w:ascii="Verdana" w:hAnsi="Verdana" w:cs="Arial"/>
          <w:sz w:val="18"/>
          <w:szCs w:val="18"/>
        </w:rPr>
        <w:t xml:space="preserve">Практичними важелями механізму є: фактор часу, ієрархії рівнів управління, діалектики екстенсивного та інтенсивного процесів. Врахування фактора часу </w:t>
      </w:r>
      <w:r w:rsidRPr="000275C2">
        <w:rPr>
          <w:rFonts w:ascii="Verdana" w:hAnsi="Verdana" w:cs="Arial"/>
          <w:sz w:val="18"/>
          <w:szCs w:val="18"/>
        </w:rPr>
        <w:sym w:font="Symbol" w:char="F02D"/>
      </w:r>
      <w:r w:rsidRPr="000275C2">
        <w:rPr>
          <w:rFonts w:ascii="Verdana" w:hAnsi="Verdana" w:cs="Arial"/>
          <w:sz w:val="18"/>
          <w:szCs w:val="18"/>
        </w:rPr>
        <w:t xml:space="preserve"> аналіз минулих досягнень, оперативне управління, стратегічне управління. Відповідно не тільки важливо визначити й аналізувати внутрішнє та зовнішнє середовище в поточний момент часу (</w:t>
      </w:r>
      <w:r w:rsidRPr="000275C2">
        <w:rPr>
          <w:rFonts w:ascii="Verdana" w:hAnsi="Verdana" w:cs="Arial"/>
          <w:i/>
          <w:sz w:val="18"/>
          <w:szCs w:val="18"/>
        </w:rPr>
        <w:t>t</w:t>
      </w:r>
      <w:r w:rsidRPr="000275C2">
        <w:rPr>
          <w:rFonts w:ascii="Verdana" w:hAnsi="Verdana" w:cs="Arial"/>
          <w:sz w:val="18"/>
          <w:szCs w:val="18"/>
          <w:vertAlign w:val="subscript"/>
        </w:rPr>
        <w:t>0</w:t>
      </w:r>
      <w:r w:rsidRPr="000275C2">
        <w:rPr>
          <w:rFonts w:ascii="Verdana" w:hAnsi="Verdana" w:cs="Arial"/>
          <w:sz w:val="18"/>
          <w:szCs w:val="18"/>
        </w:rPr>
        <w:t>), а й проводити моніторинг за попередні періоди часу (</w:t>
      </w:r>
      <w:r w:rsidRPr="000275C2">
        <w:rPr>
          <w:rFonts w:ascii="Verdana" w:hAnsi="Verdana" w:cs="Arial"/>
          <w:i/>
          <w:sz w:val="18"/>
          <w:szCs w:val="18"/>
        </w:rPr>
        <w:t>t</w:t>
      </w:r>
      <w:r w:rsidRPr="000275C2">
        <w:rPr>
          <w:rFonts w:ascii="Verdana" w:hAnsi="Verdana" w:cs="Arial"/>
          <w:sz w:val="18"/>
          <w:szCs w:val="18"/>
          <w:vertAlign w:val="subscript"/>
        </w:rPr>
        <w:t>-1</w:t>
      </w:r>
      <w:r w:rsidRPr="000275C2">
        <w:rPr>
          <w:rFonts w:ascii="Verdana" w:hAnsi="Verdana" w:cs="Arial"/>
          <w:sz w:val="18"/>
          <w:szCs w:val="18"/>
        </w:rPr>
        <w:t>) і прогнозувати їхні значення на майбутній період часу (</w:t>
      </w:r>
      <w:r w:rsidRPr="000275C2">
        <w:rPr>
          <w:rFonts w:ascii="Verdana" w:hAnsi="Verdana" w:cs="Arial"/>
          <w:i/>
          <w:sz w:val="18"/>
          <w:szCs w:val="18"/>
        </w:rPr>
        <w:t>t</w:t>
      </w:r>
      <w:r w:rsidRPr="000275C2">
        <w:rPr>
          <w:rFonts w:ascii="Verdana" w:hAnsi="Verdana" w:cs="Arial"/>
          <w:sz w:val="18"/>
          <w:szCs w:val="18"/>
          <w:vertAlign w:val="subscript"/>
        </w:rPr>
        <w:t>1</w:t>
      </w:r>
      <w:r w:rsidRPr="000275C2">
        <w:rPr>
          <w:rFonts w:ascii="Verdana" w:hAnsi="Verdana" w:cs="Arial"/>
          <w:sz w:val="18"/>
          <w:szCs w:val="18"/>
        </w:rPr>
        <w:t xml:space="preserve">). Особливо важливою обставиною у формуванні механізму управління сталим розвитком є те, що показники минулого, поточного і перспективного періодів не повинні суттєво відрізнятися. </w:t>
      </w:r>
    </w:p>
    <w:p w:rsidR="008D5547" w:rsidRPr="000275C2" w:rsidRDefault="008D5547" w:rsidP="008D5547">
      <w:pPr>
        <w:spacing w:after="0" w:line="240" w:lineRule="auto"/>
        <w:ind w:firstLine="567"/>
        <w:jc w:val="both"/>
        <w:rPr>
          <w:rFonts w:ascii="Verdana" w:hAnsi="Verdana"/>
          <w:sz w:val="18"/>
          <w:szCs w:val="18"/>
        </w:rPr>
      </w:pPr>
      <w:r w:rsidRPr="000275C2">
        <w:rPr>
          <w:rFonts w:ascii="Verdana" w:hAnsi="Verdana"/>
          <w:sz w:val="18"/>
          <w:szCs w:val="18"/>
        </w:rPr>
        <w:t xml:space="preserve">Цей механізм, на відміну від існуючих, надає підприємству можливість змістовнішого визначення й обґрунтування напрямків розвитку; забезпечує високу ефективність, гнучкість і адаптивність системи управління підприємством; гарантує своєчасність розпізнання вагомих змін і розроблення відповідних заходів; сприяє постійному вдосконаленню процесів управління сталим розвитком підприємства з урахуванням мінливості ринкового середовища. </w:t>
      </w:r>
    </w:p>
    <w:p w:rsidR="008D5547" w:rsidRPr="000275C2" w:rsidRDefault="008D5547" w:rsidP="008D5547">
      <w:pPr>
        <w:spacing w:after="0" w:line="240" w:lineRule="auto"/>
        <w:ind w:firstLine="567"/>
        <w:jc w:val="both"/>
        <w:rPr>
          <w:rFonts w:ascii="Verdana" w:hAnsi="Verdana"/>
          <w:sz w:val="18"/>
          <w:szCs w:val="18"/>
        </w:rPr>
      </w:pPr>
      <w:r w:rsidRPr="000275C2">
        <w:rPr>
          <w:rFonts w:ascii="Verdana" w:hAnsi="Verdana"/>
          <w:sz w:val="18"/>
          <w:szCs w:val="18"/>
        </w:rPr>
        <w:t>Реалізувати механізм управління сталим розвитком пропонуємо за такою послідовністю: обґрунтування переліку внутрішніх та зовнішніх показників сталості розвитку; застосування лінійної багатофакторної моделі впливу цих показників на ефективність підприємства; вибір та обчислення найбільш впливових внутрішніх та зовнішніх показників сталості розвитку; обчислення загального показника; обчислення показників управління; кластерний аналіз показників управління у галузевому контексті; вироблення рекомендацій щодо управління сталим розвитком підприємства. Також пропонуємо впровадити в практику управління періодичний комплексний аналіз сталого розвитку підприємства, моніторинг діяльності підприємства і поточне уточнення стратегічного управління підприємством з погляду сталого розвитку.</w:t>
      </w:r>
    </w:p>
    <w:p w:rsidR="008D5547" w:rsidRPr="000275C2" w:rsidRDefault="008D5547" w:rsidP="008D5547">
      <w:pPr>
        <w:widowControl w:val="0"/>
        <w:spacing w:after="0" w:line="240" w:lineRule="auto"/>
        <w:ind w:firstLine="567"/>
        <w:jc w:val="both"/>
        <w:rPr>
          <w:rFonts w:ascii="Verdana" w:eastAsia="Times New Roman" w:hAnsi="Verdana"/>
          <w:b/>
          <w:sz w:val="18"/>
          <w:szCs w:val="18"/>
          <w:lang w:eastAsia="ru-RU"/>
        </w:rPr>
      </w:pPr>
      <w:r w:rsidRPr="000275C2">
        <w:rPr>
          <w:rFonts w:ascii="Verdana" w:eastAsia="Times New Roman" w:hAnsi="Verdana"/>
          <w:b/>
          <w:sz w:val="18"/>
          <w:szCs w:val="18"/>
          <w:lang w:eastAsia="ru-RU"/>
        </w:rPr>
        <w:t>Список літератури</w:t>
      </w:r>
    </w:p>
    <w:p w:rsidR="008D5547" w:rsidRPr="000275C2" w:rsidRDefault="008D5547" w:rsidP="008D5547">
      <w:pPr>
        <w:widowControl w:val="0"/>
        <w:spacing w:after="0" w:line="240" w:lineRule="auto"/>
        <w:ind w:firstLine="284"/>
        <w:jc w:val="both"/>
        <w:rPr>
          <w:rFonts w:ascii="Verdana" w:eastAsia="Times New Roman" w:hAnsi="Verdana"/>
          <w:sz w:val="18"/>
          <w:szCs w:val="18"/>
          <w:lang w:eastAsia="ru-RU"/>
        </w:rPr>
      </w:pPr>
      <w:r w:rsidRPr="000275C2">
        <w:rPr>
          <w:rFonts w:ascii="Verdana" w:eastAsia="Times New Roman" w:hAnsi="Verdana"/>
          <w:sz w:val="18"/>
          <w:szCs w:val="18"/>
          <w:lang w:eastAsia="ru-RU"/>
        </w:rPr>
        <w:t>1. Череп А.В. Методи оцінки ефективності діяльності підприємств харчової промисловості / А.В. Череп // Економіка: проблеми теорії та практики: збірник наукових праць, вип. 255: В 9 т. – Т. VII. – Дніпропетровськ: ДНУ, 2009. – С. 1726-1733.</w:t>
      </w:r>
    </w:p>
    <w:p w:rsidR="001C18CD" w:rsidRPr="00DA2709" w:rsidRDefault="008D5547" w:rsidP="008D5547">
      <w:pPr>
        <w:rPr>
          <w:szCs w:val="18"/>
        </w:rPr>
      </w:pPr>
      <w:r w:rsidRPr="000275C2">
        <w:rPr>
          <w:rFonts w:ascii="Verdana" w:eastAsia="Times New Roman" w:hAnsi="Verdana"/>
          <w:sz w:val="18"/>
          <w:szCs w:val="18"/>
          <w:lang w:eastAsia="ru-RU"/>
        </w:rPr>
        <w:t xml:space="preserve">2. Ватченко О.Б. Механізм забезпечення сталого розвитку регіонів України / О.Б. Ватченко, В.М. Ільченко // Науковий вісник НЛТУ України. </w:t>
      </w:r>
      <w:r>
        <w:rPr>
          <w:rFonts w:ascii="Verdana" w:eastAsia="Times New Roman" w:hAnsi="Verdana" w:cs="Cambria Math"/>
          <w:sz w:val="18"/>
          <w:szCs w:val="18"/>
          <w:lang w:eastAsia="ru-RU"/>
        </w:rPr>
        <w:t>-</w:t>
      </w:r>
      <w:r w:rsidRPr="000275C2">
        <w:rPr>
          <w:rFonts w:ascii="Verdana" w:eastAsia="Times New Roman" w:hAnsi="Verdana"/>
          <w:sz w:val="18"/>
          <w:szCs w:val="18"/>
          <w:lang w:eastAsia="ru-RU"/>
        </w:rPr>
        <w:t xml:space="preserve"> 2011. </w:t>
      </w:r>
      <w:r>
        <w:rPr>
          <w:rFonts w:ascii="Verdana" w:eastAsia="Times New Roman" w:hAnsi="Verdana" w:cs="Cambria Math"/>
          <w:sz w:val="18"/>
          <w:szCs w:val="18"/>
          <w:lang w:eastAsia="ru-RU"/>
        </w:rPr>
        <w:t>-</w:t>
      </w:r>
      <w:r w:rsidRPr="000275C2">
        <w:rPr>
          <w:rFonts w:ascii="Verdana" w:eastAsia="Times New Roman" w:hAnsi="Verdana"/>
          <w:sz w:val="18"/>
          <w:szCs w:val="18"/>
          <w:lang w:eastAsia="ru-RU"/>
        </w:rPr>
        <w:t xml:space="preserve"> </w:t>
      </w:r>
      <w:r w:rsidRPr="000275C2">
        <w:rPr>
          <w:rFonts w:ascii="Verdana" w:eastAsia="Times New Roman" w:hAnsi="Verdana" w:cs="Verdana"/>
          <w:sz w:val="18"/>
          <w:szCs w:val="18"/>
          <w:lang w:eastAsia="ru-RU"/>
        </w:rPr>
        <w:t>Вип</w:t>
      </w:r>
      <w:r w:rsidRPr="000275C2">
        <w:rPr>
          <w:rFonts w:ascii="Verdana" w:eastAsia="Times New Roman" w:hAnsi="Verdana"/>
          <w:sz w:val="18"/>
          <w:szCs w:val="18"/>
          <w:lang w:eastAsia="ru-RU"/>
        </w:rPr>
        <w:t xml:space="preserve">. 21.19. </w:t>
      </w:r>
      <w:r>
        <w:rPr>
          <w:rFonts w:ascii="Verdana" w:eastAsia="Times New Roman" w:hAnsi="Verdana" w:cs="Cambria Math"/>
          <w:sz w:val="18"/>
          <w:szCs w:val="18"/>
          <w:lang w:eastAsia="ru-RU"/>
        </w:rPr>
        <w:t>-</w:t>
      </w:r>
      <w:r w:rsidRPr="000275C2">
        <w:rPr>
          <w:rFonts w:ascii="Verdana" w:eastAsia="Times New Roman" w:hAnsi="Verdana"/>
          <w:sz w:val="18"/>
          <w:szCs w:val="18"/>
          <w:lang w:eastAsia="ru-RU"/>
        </w:rPr>
        <w:t xml:space="preserve"> </w:t>
      </w:r>
      <w:r w:rsidRPr="000275C2">
        <w:rPr>
          <w:rFonts w:ascii="Verdana" w:eastAsia="Times New Roman" w:hAnsi="Verdana" w:cs="Verdana"/>
          <w:sz w:val="18"/>
          <w:szCs w:val="18"/>
          <w:lang w:eastAsia="ru-RU"/>
        </w:rPr>
        <w:t>С</w:t>
      </w:r>
      <w:r w:rsidRPr="000275C2">
        <w:rPr>
          <w:rFonts w:ascii="Verdana" w:eastAsia="Times New Roman" w:hAnsi="Verdana"/>
          <w:sz w:val="18"/>
          <w:szCs w:val="18"/>
          <w:lang w:eastAsia="ru-RU"/>
        </w:rPr>
        <w:t>. 205-212.</w:t>
      </w:r>
    </w:p>
    <w:sectPr w:rsidR="001C18CD" w:rsidRPr="00DA2709" w:rsidSect="00CE2709">
      <w:footerReference w:type="default" r:id="rId8"/>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5CB" w:rsidRDefault="00DB35CB" w:rsidP="00842066">
      <w:pPr>
        <w:spacing w:after="0" w:line="240" w:lineRule="auto"/>
      </w:pPr>
      <w:r>
        <w:separator/>
      </w:r>
    </w:p>
  </w:endnote>
  <w:endnote w:type="continuationSeparator" w:id="1">
    <w:p w:rsidR="00DB35CB" w:rsidRDefault="00DB35CB"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E6B1D">
        <w:pPr>
          <w:pStyle w:val="af7"/>
        </w:pPr>
        <w:r>
          <w:rPr>
            <w:lang w:val="en-US"/>
          </w:rPr>
          <w:t>2</w:t>
        </w:r>
        <w:r w:rsidR="008D5547">
          <w:t>9</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5CB" w:rsidRDefault="00DB35CB" w:rsidP="00842066">
      <w:pPr>
        <w:spacing w:after="0" w:line="240" w:lineRule="auto"/>
      </w:pPr>
      <w:r>
        <w:separator/>
      </w:r>
    </w:p>
  </w:footnote>
  <w:footnote w:type="continuationSeparator" w:id="1">
    <w:p w:rsidR="00DB35CB" w:rsidRDefault="00DB35CB"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C4152C8"/>
    <w:multiLevelType w:val="hybridMultilevel"/>
    <w:tmpl w:val="F42A95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2078"/>
    <w:rsid w:val="006B27E3"/>
    <w:rsid w:val="00777798"/>
    <w:rsid w:val="00793DEB"/>
    <w:rsid w:val="00800172"/>
    <w:rsid w:val="00842066"/>
    <w:rsid w:val="008D5547"/>
    <w:rsid w:val="009604D0"/>
    <w:rsid w:val="0098493A"/>
    <w:rsid w:val="009A0D1B"/>
    <w:rsid w:val="009E7F0F"/>
    <w:rsid w:val="00B17F3E"/>
    <w:rsid w:val="00B66B59"/>
    <w:rsid w:val="00BC0205"/>
    <w:rsid w:val="00BD6F9F"/>
    <w:rsid w:val="00CE2709"/>
    <w:rsid w:val="00D329AE"/>
    <w:rsid w:val="00DA2709"/>
    <w:rsid w:val="00DB35CB"/>
    <w:rsid w:val="00DE6B1D"/>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m_iryna@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4269</Characters>
  <Application>Microsoft Office Word</Application>
  <DocSecurity>0</DocSecurity>
  <Lines>35</Lines>
  <Paragraphs>10</Paragraphs>
  <ScaleCrop>false</ScaleCrop>
  <Company>None</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2013-10-03T10:57:00Z</dcterms:created>
  <dcterms:modified xsi:type="dcterms:W3CDTF">2013-10-03T10:57:00Z</dcterms:modified>
</cp:coreProperties>
</file>