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6CF" w:rsidRPr="00C646CF" w:rsidRDefault="00C646CF" w:rsidP="00C646CF">
      <w:pPr>
        <w:pStyle w:val="1"/>
        <w:spacing w:before="0"/>
        <w:jc w:val="center"/>
        <w:rPr>
          <w:rFonts w:ascii="Verdana" w:hAnsi="Verdana"/>
          <w:sz w:val="24"/>
          <w:szCs w:val="24"/>
          <w:lang w:val="ru-RU"/>
        </w:rPr>
      </w:pPr>
      <w:bookmarkStart w:id="0" w:name="_Toc352105996"/>
      <w:r w:rsidRPr="00C646CF">
        <w:rPr>
          <w:rFonts w:ascii="Verdana" w:hAnsi="Verdana"/>
          <w:sz w:val="24"/>
          <w:szCs w:val="24"/>
          <w:lang w:val="ru-RU"/>
        </w:rPr>
        <w:t>До питання удосконалення контролінгу, фінансового та бюджетного управління на підприємствах, орієнтованих на розвиток зовнішньоекономічної діяльності</w:t>
      </w:r>
      <w:bookmarkEnd w:id="0"/>
    </w:p>
    <w:p w:rsidR="00C646CF" w:rsidRPr="00C646CF" w:rsidRDefault="00C646CF" w:rsidP="00C646CF">
      <w:pPr>
        <w:pStyle w:val="1"/>
        <w:spacing w:before="0"/>
        <w:jc w:val="center"/>
        <w:rPr>
          <w:rFonts w:ascii="Verdana" w:hAnsi="Verdana"/>
          <w:b w:val="0"/>
          <w:sz w:val="22"/>
          <w:szCs w:val="22"/>
          <w:lang w:val="ru-RU"/>
        </w:rPr>
      </w:pPr>
      <w:bookmarkStart w:id="1" w:name="_Toc352105997"/>
      <w:r w:rsidRPr="00C646CF">
        <w:rPr>
          <w:rFonts w:ascii="Verdana" w:hAnsi="Verdana"/>
          <w:b w:val="0"/>
          <w:sz w:val="22"/>
          <w:szCs w:val="22"/>
          <w:lang w:val="ru-RU"/>
        </w:rPr>
        <w:t>Шкурат В.О., к.е.н., доц. Савицька О.М.</w:t>
      </w:r>
      <w:bookmarkEnd w:id="1"/>
    </w:p>
    <w:p w:rsidR="00C646CF" w:rsidRPr="000275C2" w:rsidRDefault="00C646CF" w:rsidP="00C646CF">
      <w:pPr>
        <w:spacing w:after="0" w:line="240" w:lineRule="auto"/>
        <w:jc w:val="center"/>
        <w:rPr>
          <w:rFonts w:ascii="Verdana" w:hAnsi="Verdana"/>
          <w:b/>
        </w:rPr>
      </w:pPr>
      <w:r w:rsidRPr="000275C2">
        <w:rPr>
          <w:rFonts w:ascii="Verdana" w:hAnsi="Verdana"/>
          <w:b/>
        </w:rPr>
        <w:t>Національний технічний університет України «КПІ»</w:t>
      </w:r>
    </w:p>
    <w:p w:rsidR="00C646CF" w:rsidRPr="000275C2" w:rsidRDefault="00C646CF" w:rsidP="00C646CF">
      <w:pPr>
        <w:autoSpaceDE w:val="0"/>
        <w:autoSpaceDN w:val="0"/>
        <w:adjustRightInd w:val="0"/>
        <w:spacing w:after="0" w:line="240" w:lineRule="auto"/>
        <w:jc w:val="center"/>
        <w:rPr>
          <w:rFonts w:ascii="Verdana" w:hAnsi="Verdana"/>
          <w:i/>
          <w:iCs/>
          <w:lang w:val="en-US"/>
        </w:rPr>
      </w:pPr>
      <w:r w:rsidRPr="000275C2">
        <w:rPr>
          <w:rFonts w:ascii="Verdana" w:hAnsi="Verdana"/>
          <w:i/>
          <w:iCs/>
        </w:rPr>
        <w:t xml:space="preserve">E-mail: </w:t>
      </w:r>
      <w:hyperlink r:id="rId7" w:history="1">
        <w:r w:rsidRPr="000275C2">
          <w:rPr>
            <w:rStyle w:val="af4"/>
            <w:rFonts w:ascii="Verdana" w:hAnsi="Verdana" w:cs="Arial"/>
            <w:i/>
            <w:color w:val="auto"/>
            <w:shd w:val="clear" w:color="auto" w:fill="FFFFFF"/>
          </w:rPr>
          <w:t>savickaya.en@gmail.com</w:t>
        </w:r>
      </w:hyperlink>
      <w:r w:rsidRPr="000275C2">
        <w:rPr>
          <w:rFonts w:ascii="Verdana" w:hAnsi="Verdana" w:cs="Arial"/>
          <w:i/>
          <w:shd w:val="clear" w:color="auto" w:fill="FFFFFF"/>
          <w:lang w:val="en-US"/>
        </w:rPr>
        <w:t xml:space="preserve">, </w:t>
      </w:r>
      <w:hyperlink r:id="rId8" w:history="1">
        <w:r w:rsidRPr="000275C2">
          <w:rPr>
            <w:rFonts w:ascii="Verdana" w:hAnsi="Verdana"/>
            <w:i/>
            <w:iCs/>
          </w:rPr>
          <w:t>Shan_Vika@mail.ru</w:t>
        </w:r>
      </w:hyperlink>
    </w:p>
    <w:p w:rsidR="00C646CF" w:rsidRPr="000275C2" w:rsidRDefault="00C646CF" w:rsidP="00C646CF">
      <w:pPr>
        <w:autoSpaceDE w:val="0"/>
        <w:autoSpaceDN w:val="0"/>
        <w:adjustRightInd w:val="0"/>
        <w:spacing w:after="0" w:line="240" w:lineRule="auto"/>
        <w:ind w:firstLine="567"/>
        <w:jc w:val="both"/>
        <w:rPr>
          <w:rFonts w:ascii="Verdana" w:eastAsia="TimesNewRoman" w:hAnsi="Verdana" w:cs="TimesNewRoman"/>
          <w:sz w:val="18"/>
          <w:szCs w:val="18"/>
        </w:rPr>
      </w:pPr>
      <w:r w:rsidRPr="000275C2">
        <w:rPr>
          <w:rFonts w:ascii="Verdana" w:eastAsia="TimesNewRoman" w:hAnsi="Verdana" w:cs="TimesNewRoman"/>
          <w:sz w:val="18"/>
          <w:szCs w:val="18"/>
        </w:rPr>
        <w:t>Одними із основних проблем вітчизняних підприємств, орієнтованих на розвиток зовнішньоекономічної діяльності, є питання удосконалення фінансового управління й процесу бюджетування, що являє собою</w:t>
      </w:r>
      <w:r w:rsidRPr="000275C2">
        <w:rPr>
          <w:rFonts w:ascii="Verdana" w:hAnsi="Verdana"/>
          <w:sz w:val="18"/>
          <w:szCs w:val="18"/>
          <w:shd w:val="clear" w:color="auto" w:fill="FFFFFF"/>
        </w:rPr>
        <w:t xml:space="preserve"> управлінську технологію, яка передбачає формування бюджетів структурних підрозділів організації та їх використання у практичній діяльності управлінців з метою забезпечення оптимальної структури та співвідношення доходів і витрат, надходжень і видатків. Зволікання в цьому напрямі господарювання може коштувати значних проблем підприємству в умовах управління фінансовою діяльністю та удосконалення контролінгу.</w:t>
      </w:r>
    </w:p>
    <w:p w:rsidR="00C646CF" w:rsidRPr="000275C2" w:rsidRDefault="00C646CF" w:rsidP="00C646CF">
      <w:pPr>
        <w:autoSpaceDE w:val="0"/>
        <w:autoSpaceDN w:val="0"/>
        <w:adjustRightInd w:val="0"/>
        <w:spacing w:after="0" w:line="240" w:lineRule="auto"/>
        <w:ind w:firstLine="567"/>
        <w:jc w:val="both"/>
        <w:rPr>
          <w:rFonts w:ascii="Verdana" w:eastAsia="TimesNewRoman" w:hAnsi="Verdana" w:cs="TimesNewRoman"/>
          <w:sz w:val="18"/>
          <w:szCs w:val="18"/>
        </w:rPr>
      </w:pPr>
      <w:r w:rsidRPr="000275C2">
        <w:rPr>
          <w:rFonts w:ascii="Verdana" w:eastAsia="TimesNewRoman" w:hAnsi="Verdana" w:cs="TimesNewRoman"/>
          <w:sz w:val="18"/>
          <w:szCs w:val="18"/>
        </w:rPr>
        <w:t>На сьогоднішній день керівництво підприємств значну увагу приділяють питанням удосконалення діяльності підрозділів контролінгу та фінансового управління, які використовують на практиці основні аспекти та методологію бюджетного управління та планування. Як зазначають Є. Добровольський, Б. Карабанов, П. Боровков, Є. Глухов, О. Бреслав «</w:t>
      </w:r>
      <w:r w:rsidRPr="000275C2">
        <w:rPr>
          <w:rFonts w:ascii="Verdana" w:eastAsia="TimesNewRoman" w:hAnsi="Verdana" w:cs="TimesNewRoman"/>
          <w:i/>
          <w:sz w:val="18"/>
          <w:szCs w:val="18"/>
        </w:rPr>
        <w:t>бюджетне управління</w:t>
      </w:r>
      <w:r w:rsidRPr="000275C2">
        <w:rPr>
          <w:rFonts w:ascii="Verdana" w:eastAsia="TimesNewRoman" w:hAnsi="Verdana" w:cs="TimesNewRoman"/>
          <w:sz w:val="18"/>
          <w:szCs w:val="18"/>
        </w:rPr>
        <w:t xml:space="preserve"> </w:t>
      </w:r>
      <w:r w:rsidRPr="000275C2">
        <w:rPr>
          <w:rFonts w:ascii="Verdana" w:eastAsia="TimesNewRoman" w:hAnsi="Verdana" w:cs="TimesNewRoman"/>
          <w:i/>
          <w:sz w:val="18"/>
          <w:szCs w:val="18"/>
        </w:rPr>
        <w:t xml:space="preserve">відповідає </w:t>
      </w:r>
      <w:r w:rsidRPr="000275C2">
        <w:rPr>
          <w:rFonts w:ascii="Verdana" w:eastAsia="TimesNewRoman" w:hAnsi="Verdana" w:cs="TimesNewRoman"/>
          <w:sz w:val="18"/>
          <w:szCs w:val="18"/>
        </w:rPr>
        <w:t xml:space="preserve">за реалізацію стратегії підприємства, ефективність поточної виробничо-фінансової діяльності та зворотній зв'язок в системі управління» [1, с. 84]. </w:t>
      </w:r>
    </w:p>
    <w:p w:rsidR="00C646CF" w:rsidRPr="000275C2" w:rsidRDefault="00C646CF" w:rsidP="00C646CF">
      <w:pPr>
        <w:autoSpaceDE w:val="0"/>
        <w:autoSpaceDN w:val="0"/>
        <w:adjustRightInd w:val="0"/>
        <w:spacing w:after="0" w:line="240" w:lineRule="auto"/>
        <w:ind w:firstLine="567"/>
        <w:jc w:val="both"/>
        <w:rPr>
          <w:rFonts w:ascii="Verdana" w:eastAsia="TimesNewRoman" w:hAnsi="Verdana" w:cs="TimesNewRoman"/>
          <w:sz w:val="18"/>
          <w:szCs w:val="18"/>
        </w:rPr>
      </w:pPr>
      <w:r w:rsidRPr="000275C2">
        <w:rPr>
          <w:rFonts w:ascii="Verdana" w:eastAsia="TimesNewRoman" w:hAnsi="Verdana" w:cs="TimesNewRoman"/>
          <w:sz w:val="18"/>
          <w:szCs w:val="18"/>
        </w:rPr>
        <w:t xml:space="preserve">У процесі дослідження зазначеної теми авторами визначено, що </w:t>
      </w:r>
      <w:r w:rsidRPr="000275C2">
        <w:rPr>
          <w:rFonts w:ascii="Verdana" w:eastAsia="TimesNewRoman" w:hAnsi="Verdana" w:cs="TimesNewRoman"/>
          <w:i/>
          <w:sz w:val="18"/>
          <w:szCs w:val="18"/>
        </w:rPr>
        <w:t>бюджетне управління спрямоване</w:t>
      </w:r>
      <w:r w:rsidRPr="000275C2">
        <w:rPr>
          <w:rFonts w:ascii="Verdana" w:eastAsia="TimesNewRoman" w:hAnsi="Verdana" w:cs="TimesNewRoman"/>
          <w:sz w:val="18"/>
          <w:szCs w:val="18"/>
        </w:rPr>
        <w:t xml:space="preserve"> на контроль окремих напрямів господарювання підприємств, які орієнтовані на розвиток їх зовнішньоекономічної діяльності (ЗЕД) і контролінгу, з метою встановлення відповідного рівня доходів чи витрат в окремих його підрозділах, а також необхідного управління активами компанії та раціонального використання ресурсів організації. Крім того, </w:t>
      </w:r>
      <w:r w:rsidRPr="000275C2">
        <w:rPr>
          <w:rFonts w:ascii="Verdana" w:eastAsia="TimesNewRoman" w:hAnsi="Verdana" w:cs="TimesNewRoman"/>
          <w:i/>
          <w:sz w:val="18"/>
          <w:szCs w:val="18"/>
        </w:rPr>
        <w:t>бюджетування підприємств, орієнтованих на розвиток ЗЕД</w:t>
      </w:r>
      <w:r w:rsidRPr="000275C2">
        <w:rPr>
          <w:rFonts w:ascii="Verdana" w:eastAsia="TimesNewRoman" w:hAnsi="Verdana" w:cs="TimesNewRoman"/>
          <w:sz w:val="18"/>
          <w:szCs w:val="18"/>
        </w:rPr>
        <w:t xml:space="preserve"> – це управлінська технологія</w:t>
      </w:r>
      <w:r w:rsidRPr="000275C2">
        <w:rPr>
          <w:rFonts w:ascii="Verdana" w:eastAsia="TimesNewRoman" w:hAnsi="Verdana"/>
          <w:sz w:val="18"/>
          <w:szCs w:val="18"/>
        </w:rPr>
        <w:t xml:space="preserve">, </w:t>
      </w:r>
      <w:r w:rsidRPr="000275C2">
        <w:rPr>
          <w:rFonts w:ascii="Verdana" w:eastAsia="TimesNewRoman" w:hAnsi="Verdana" w:cs="TimesNewRoman"/>
          <w:sz w:val="18"/>
          <w:szCs w:val="18"/>
        </w:rPr>
        <w:t>в основі якої передбачено формування системи взаємозалежних бюджетів</w:t>
      </w:r>
      <w:r w:rsidRPr="000275C2">
        <w:rPr>
          <w:rFonts w:ascii="Verdana" w:eastAsia="TimesNewRoman" w:hAnsi="Verdana"/>
          <w:sz w:val="18"/>
          <w:szCs w:val="18"/>
        </w:rPr>
        <w:t xml:space="preserve">, </w:t>
      </w:r>
      <w:r w:rsidRPr="000275C2">
        <w:rPr>
          <w:rFonts w:ascii="Verdana" w:eastAsia="TimesNewRoman" w:hAnsi="Verdana" w:cs="TimesNewRoman"/>
          <w:sz w:val="18"/>
          <w:szCs w:val="18"/>
        </w:rPr>
        <w:t>за допомогою яких підприємство отримує необхідну інформацію про: очікувані витрати та доходи</w:t>
      </w:r>
      <w:r w:rsidRPr="000275C2">
        <w:rPr>
          <w:rFonts w:ascii="Verdana" w:eastAsia="TimesNewRoman" w:hAnsi="Verdana"/>
          <w:sz w:val="18"/>
          <w:szCs w:val="18"/>
        </w:rPr>
        <w:t xml:space="preserve">, </w:t>
      </w:r>
      <w:r w:rsidRPr="000275C2">
        <w:rPr>
          <w:rFonts w:ascii="Verdana" w:eastAsia="TimesNewRoman" w:hAnsi="Verdana" w:cs="TimesNewRoman"/>
          <w:sz w:val="18"/>
          <w:szCs w:val="18"/>
        </w:rPr>
        <w:t>грошові потоки за окремими фінансово-господарськими та зовнішньоекономічними операціями</w:t>
      </w:r>
      <w:r w:rsidRPr="000275C2">
        <w:rPr>
          <w:rFonts w:ascii="Verdana" w:eastAsia="TimesNewRoman" w:hAnsi="Verdana"/>
          <w:sz w:val="18"/>
          <w:szCs w:val="18"/>
        </w:rPr>
        <w:t xml:space="preserve">, </w:t>
      </w:r>
      <w:r w:rsidRPr="000275C2">
        <w:rPr>
          <w:rFonts w:ascii="Verdana" w:eastAsia="TimesNewRoman" w:hAnsi="Verdana" w:cs="TimesNewRoman"/>
          <w:sz w:val="18"/>
          <w:szCs w:val="18"/>
        </w:rPr>
        <w:t>результативність ведення виробничої, фінансової та зовнішньоекономічної діяльності</w:t>
      </w:r>
      <w:r w:rsidRPr="000275C2">
        <w:rPr>
          <w:rFonts w:ascii="Verdana" w:eastAsia="TimesNewRoman" w:hAnsi="Verdana"/>
          <w:sz w:val="18"/>
          <w:szCs w:val="18"/>
        </w:rPr>
        <w:t xml:space="preserve">, </w:t>
      </w:r>
      <w:r w:rsidRPr="000275C2">
        <w:rPr>
          <w:rFonts w:ascii="Verdana" w:eastAsia="TimesNewRoman" w:hAnsi="Verdana" w:cs="TimesNewRoman"/>
          <w:sz w:val="18"/>
          <w:szCs w:val="18"/>
        </w:rPr>
        <w:t>ефективність використання ресурсного потенціалу підприємства</w:t>
      </w:r>
      <w:r w:rsidRPr="000275C2">
        <w:rPr>
          <w:rFonts w:ascii="Verdana" w:eastAsia="TimesNewRoman" w:hAnsi="Verdana"/>
          <w:sz w:val="18"/>
          <w:szCs w:val="18"/>
        </w:rPr>
        <w:t xml:space="preserve">, рівень </w:t>
      </w:r>
      <w:r w:rsidRPr="000275C2">
        <w:rPr>
          <w:rFonts w:ascii="Verdana" w:eastAsia="TimesNewRoman" w:hAnsi="Verdana" w:cs="TimesNewRoman"/>
          <w:sz w:val="18"/>
          <w:szCs w:val="18"/>
        </w:rPr>
        <w:t>забезпечення його стійкого фінансового стану</w:t>
      </w:r>
      <w:r w:rsidRPr="000275C2">
        <w:rPr>
          <w:rFonts w:ascii="Verdana" w:eastAsia="TimesNewRoman" w:hAnsi="Verdana"/>
          <w:sz w:val="18"/>
          <w:szCs w:val="18"/>
        </w:rPr>
        <w:t>.</w:t>
      </w:r>
    </w:p>
    <w:p w:rsidR="00C646CF" w:rsidRPr="000275C2" w:rsidRDefault="00C646CF" w:rsidP="00C646CF">
      <w:pPr>
        <w:autoSpaceDE w:val="0"/>
        <w:autoSpaceDN w:val="0"/>
        <w:adjustRightInd w:val="0"/>
        <w:spacing w:after="0" w:line="240" w:lineRule="auto"/>
        <w:ind w:firstLine="567"/>
        <w:jc w:val="both"/>
        <w:rPr>
          <w:rFonts w:ascii="Verdana" w:eastAsia="TimesNewRoman" w:hAnsi="Verdana" w:cs="TimesNewRoman"/>
          <w:sz w:val="18"/>
          <w:szCs w:val="18"/>
        </w:rPr>
      </w:pPr>
      <w:r w:rsidRPr="000275C2">
        <w:rPr>
          <w:rFonts w:ascii="Verdana" w:eastAsia="TimesNewRoman" w:hAnsi="Verdana" w:cs="TimesNewRoman"/>
          <w:sz w:val="18"/>
          <w:szCs w:val="18"/>
        </w:rPr>
        <w:t>Традиційно бюджет визначається як фінансовий план діяльності підприємства або «план, який складено в натуральному та (або) грошовому виразі і визначає потребу підприємства в ресурсах, необхідних для отримання прогнозованих доходів» [1, с. 51], а сам процес бюджетування складається з трьох елементів [2]:</w:t>
      </w:r>
    </w:p>
    <w:p w:rsidR="00C646CF" w:rsidRPr="000275C2" w:rsidRDefault="00C646CF" w:rsidP="00C646CF">
      <w:pPr>
        <w:autoSpaceDE w:val="0"/>
        <w:autoSpaceDN w:val="0"/>
        <w:adjustRightInd w:val="0"/>
        <w:spacing w:after="0" w:line="240" w:lineRule="auto"/>
        <w:ind w:firstLine="567"/>
        <w:jc w:val="both"/>
        <w:rPr>
          <w:rFonts w:ascii="Verdana" w:eastAsia="TimesNewRoman" w:hAnsi="Verdana" w:cs="TimesNewRoman"/>
          <w:sz w:val="18"/>
          <w:szCs w:val="18"/>
        </w:rPr>
      </w:pPr>
      <w:r w:rsidRPr="000275C2">
        <w:rPr>
          <w:rFonts w:ascii="Verdana" w:eastAsia="TimesNewRoman" w:hAnsi="Verdana" w:cs="TimesNewRoman"/>
          <w:sz w:val="18"/>
          <w:szCs w:val="18"/>
        </w:rPr>
        <w:t>1. Технологія бюджетування, до неї можна віднести елементи фінансового планування.</w:t>
      </w:r>
    </w:p>
    <w:p w:rsidR="00C646CF" w:rsidRPr="000275C2" w:rsidRDefault="00C646CF" w:rsidP="00C646CF">
      <w:pPr>
        <w:autoSpaceDE w:val="0"/>
        <w:autoSpaceDN w:val="0"/>
        <w:adjustRightInd w:val="0"/>
        <w:spacing w:after="0" w:line="240" w:lineRule="auto"/>
        <w:ind w:firstLine="567"/>
        <w:jc w:val="both"/>
        <w:rPr>
          <w:rFonts w:ascii="Verdana" w:eastAsia="TimesNewRoman" w:hAnsi="Verdana" w:cs="TimesNewRoman"/>
          <w:sz w:val="18"/>
          <w:szCs w:val="18"/>
        </w:rPr>
      </w:pPr>
      <w:r w:rsidRPr="000275C2">
        <w:rPr>
          <w:rFonts w:ascii="Verdana" w:eastAsia="TimesNewRoman" w:hAnsi="Verdana" w:cs="TimesNewRoman"/>
          <w:sz w:val="18"/>
          <w:szCs w:val="18"/>
        </w:rPr>
        <w:t>2. Організація процесу бюджетування – це процес, який включає фінансову структуру організації.</w:t>
      </w:r>
    </w:p>
    <w:p w:rsidR="00C646CF" w:rsidRPr="000275C2" w:rsidRDefault="00C646CF" w:rsidP="00C646CF">
      <w:pPr>
        <w:autoSpaceDE w:val="0"/>
        <w:autoSpaceDN w:val="0"/>
        <w:adjustRightInd w:val="0"/>
        <w:spacing w:after="0" w:line="240" w:lineRule="auto"/>
        <w:ind w:firstLine="567"/>
        <w:jc w:val="both"/>
        <w:rPr>
          <w:rFonts w:ascii="Verdana" w:eastAsia="TimesNewRoman" w:hAnsi="Verdana" w:cs="TimesNewRoman"/>
          <w:sz w:val="18"/>
          <w:szCs w:val="18"/>
        </w:rPr>
      </w:pPr>
      <w:r w:rsidRPr="000275C2">
        <w:rPr>
          <w:rFonts w:ascii="Verdana" w:eastAsia="TimesNewRoman" w:hAnsi="Verdana" w:cs="TimesNewRoman"/>
          <w:sz w:val="18"/>
          <w:szCs w:val="18"/>
        </w:rPr>
        <w:t>3. Автоматизація фінансових розрахунків, що включає в себе розробку фінансових прогнозів.</w:t>
      </w:r>
    </w:p>
    <w:p w:rsidR="00C646CF" w:rsidRPr="000275C2" w:rsidRDefault="00C646CF" w:rsidP="00C646CF">
      <w:pPr>
        <w:autoSpaceDE w:val="0"/>
        <w:autoSpaceDN w:val="0"/>
        <w:adjustRightInd w:val="0"/>
        <w:spacing w:after="0" w:line="240" w:lineRule="auto"/>
        <w:ind w:firstLine="567"/>
        <w:jc w:val="both"/>
        <w:rPr>
          <w:rFonts w:ascii="Verdana" w:eastAsia="TimesNewRoman" w:hAnsi="Verdana" w:cs="TimesNewRoman"/>
          <w:sz w:val="18"/>
          <w:szCs w:val="18"/>
        </w:rPr>
      </w:pPr>
      <w:r w:rsidRPr="000275C2">
        <w:rPr>
          <w:rFonts w:ascii="Verdana" w:eastAsia="TimesNewRoman" w:hAnsi="Verdana" w:cs="TimesNewRoman"/>
          <w:sz w:val="18"/>
          <w:szCs w:val="18"/>
        </w:rPr>
        <w:t>В сучасних ринкових умовах Україна є активним учасником на міжнародному ринку, експортує продукцію та імпортує значні обсяги товарів, залучає іноземні інвестиції. За таких умов українським підприємствам доцільно адаптуватися до світового досвіду розвитку механізмів управління підприємствами та організаціями, підвищувати рівень впровадження інформаційних технологій, удосконалювати контролінг, фінансове та бюджетне управління, формувати імідж надійного та відповідального партнера.</w:t>
      </w:r>
    </w:p>
    <w:p w:rsidR="00C646CF" w:rsidRPr="000275C2" w:rsidRDefault="00C646CF" w:rsidP="00C646CF">
      <w:pPr>
        <w:autoSpaceDE w:val="0"/>
        <w:autoSpaceDN w:val="0"/>
        <w:adjustRightInd w:val="0"/>
        <w:spacing w:after="0" w:line="240" w:lineRule="auto"/>
        <w:ind w:firstLine="567"/>
        <w:jc w:val="both"/>
        <w:rPr>
          <w:rFonts w:ascii="Verdana" w:eastAsia="TimesNewRoman" w:hAnsi="Verdana" w:cs="TimesNewRoman"/>
          <w:sz w:val="18"/>
          <w:szCs w:val="18"/>
          <w:highlight w:val="yellow"/>
        </w:rPr>
      </w:pPr>
      <w:r w:rsidRPr="000275C2">
        <w:rPr>
          <w:rFonts w:ascii="Verdana" w:eastAsia="TimesNewRoman" w:hAnsi="Verdana" w:cs="TimesNewRoman"/>
          <w:sz w:val="18"/>
          <w:szCs w:val="18"/>
        </w:rPr>
        <w:t xml:space="preserve">Удосконалення бюджетного управління на вітчизняних підприємствах, орієнтованих на розвиток ЗЕД, надасть можливість: їх працівникам та керівництву, здійснюючи повсякденну діяльність, реалізовувати довгострокову стратегію підприємства, забезпечуючи взаємозв’язок фінансових цілей підприємства і стратегічних програм його розвитку; удосконалювати фінансову й бюджетну структуру організації; прогнозувати основні показники результативності та ефективності виробничо-господарської, фінансової та зовнішньоекономічної діяльності; поліпшувати процедури аналізу виконання бюджетів та прийняття управлінських рішень тощо. </w:t>
      </w:r>
    </w:p>
    <w:p w:rsidR="00C646CF" w:rsidRPr="000275C2" w:rsidRDefault="00C646CF" w:rsidP="00C646CF">
      <w:pPr>
        <w:autoSpaceDE w:val="0"/>
        <w:autoSpaceDN w:val="0"/>
        <w:adjustRightInd w:val="0"/>
        <w:spacing w:after="0" w:line="240" w:lineRule="auto"/>
        <w:ind w:firstLine="567"/>
        <w:jc w:val="both"/>
        <w:rPr>
          <w:rFonts w:ascii="Verdana" w:eastAsia="TimesNewRoman" w:hAnsi="Verdana" w:cs="TimesNewRoman"/>
          <w:b/>
          <w:sz w:val="18"/>
          <w:szCs w:val="18"/>
        </w:rPr>
      </w:pPr>
      <w:r w:rsidRPr="000275C2">
        <w:rPr>
          <w:rFonts w:ascii="Verdana" w:eastAsia="TimesNewRoman" w:hAnsi="Verdana" w:cs="TimesNewRoman"/>
          <w:b/>
          <w:sz w:val="18"/>
          <w:szCs w:val="18"/>
        </w:rPr>
        <w:t>Список використаної літератури:</w:t>
      </w:r>
    </w:p>
    <w:p w:rsidR="00C646CF" w:rsidRPr="000275C2" w:rsidRDefault="00C646CF" w:rsidP="00C646CF">
      <w:pPr>
        <w:autoSpaceDE w:val="0"/>
        <w:autoSpaceDN w:val="0"/>
        <w:adjustRightInd w:val="0"/>
        <w:spacing w:after="0" w:line="240" w:lineRule="auto"/>
        <w:ind w:firstLine="284"/>
        <w:jc w:val="both"/>
        <w:rPr>
          <w:rFonts w:ascii="Verdana" w:eastAsia="TimesNewRoman" w:hAnsi="Verdana" w:cs="TimesNewRoman"/>
          <w:iCs/>
          <w:sz w:val="18"/>
          <w:szCs w:val="18"/>
        </w:rPr>
      </w:pPr>
      <w:r w:rsidRPr="000275C2">
        <w:rPr>
          <w:rFonts w:ascii="Verdana" w:eastAsia="TimesNewRoman" w:hAnsi="Verdana" w:cs="TimesNewRoman"/>
          <w:iCs/>
          <w:sz w:val="18"/>
          <w:szCs w:val="18"/>
        </w:rPr>
        <w:t xml:space="preserve">1. Добровольский Е., Карабанов Б., Боровков П., Глухов Е., Бреслав Е. Бюджетирование: шаг за шагом. 2-е </w:t>
      </w:r>
      <w:r w:rsidRPr="000275C2">
        <w:rPr>
          <w:rFonts w:ascii="Verdana" w:eastAsia="TimesNewRoman" w:hAnsi="Verdana" w:cs="TimesNewRoman"/>
          <w:iCs/>
          <w:sz w:val="18"/>
          <w:szCs w:val="18"/>
          <w:lang w:val="ru-RU"/>
        </w:rPr>
        <w:t>и</w:t>
      </w:r>
      <w:r w:rsidRPr="000275C2">
        <w:rPr>
          <w:rFonts w:ascii="Verdana" w:eastAsia="TimesNewRoman" w:hAnsi="Verdana" w:cs="TimesNewRoman"/>
          <w:iCs/>
          <w:sz w:val="18"/>
          <w:szCs w:val="18"/>
        </w:rPr>
        <w:t>зд., дополн. – СПб. : Питер, 2011. – 480 с.</w:t>
      </w:r>
    </w:p>
    <w:p w:rsidR="00C646CF" w:rsidRPr="000275C2" w:rsidRDefault="00C646CF" w:rsidP="00C646CF">
      <w:pPr>
        <w:autoSpaceDE w:val="0"/>
        <w:autoSpaceDN w:val="0"/>
        <w:adjustRightInd w:val="0"/>
        <w:spacing w:after="0" w:line="240" w:lineRule="auto"/>
        <w:ind w:firstLine="284"/>
        <w:jc w:val="both"/>
        <w:rPr>
          <w:rFonts w:ascii="Verdana" w:eastAsia="TimesNewRoman" w:hAnsi="Verdana" w:cs="TimesNewRoman"/>
          <w:iCs/>
          <w:sz w:val="18"/>
          <w:szCs w:val="18"/>
        </w:rPr>
      </w:pPr>
      <w:r w:rsidRPr="000275C2">
        <w:rPr>
          <w:rFonts w:ascii="Verdana" w:eastAsia="TimesNewRoman" w:hAnsi="Verdana" w:cs="TimesNewRoman"/>
          <w:iCs/>
          <w:sz w:val="18"/>
          <w:szCs w:val="18"/>
        </w:rPr>
        <w:t xml:space="preserve">2. </w:t>
      </w:r>
      <w:r w:rsidRPr="000275C2">
        <w:rPr>
          <w:rFonts w:ascii="Verdana" w:hAnsi="Verdana"/>
          <w:sz w:val="18"/>
          <w:szCs w:val="18"/>
          <w:shd w:val="clear" w:color="auto" w:fill="FFFFFF"/>
        </w:rPr>
        <w:t>Ковтун С. Бюджетирование на современном предприяти</w:t>
      </w:r>
      <w:r w:rsidRPr="000275C2">
        <w:rPr>
          <w:rFonts w:ascii="Verdana" w:hAnsi="Verdana"/>
          <w:sz w:val="18"/>
          <w:szCs w:val="18"/>
          <w:shd w:val="clear" w:color="auto" w:fill="FFFFFF"/>
          <w:lang w:val="ru-RU"/>
        </w:rPr>
        <w:t>и</w:t>
      </w:r>
      <w:r w:rsidRPr="000275C2">
        <w:rPr>
          <w:rFonts w:ascii="Verdana" w:hAnsi="Verdana"/>
          <w:sz w:val="18"/>
          <w:szCs w:val="18"/>
          <w:shd w:val="clear" w:color="auto" w:fill="FFFFFF"/>
        </w:rPr>
        <w:t xml:space="preserve"> или как эффективно управлять финансами. </w:t>
      </w:r>
      <w:r w:rsidRPr="000275C2">
        <w:rPr>
          <w:rFonts w:ascii="Verdana" w:eastAsia="TimesNewRoman" w:hAnsi="Verdana" w:cs="TimesNewRoman"/>
          <w:iCs/>
          <w:sz w:val="18"/>
          <w:szCs w:val="18"/>
        </w:rPr>
        <w:t>–</w:t>
      </w:r>
      <w:r w:rsidRPr="000275C2">
        <w:rPr>
          <w:rFonts w:ascii="Verdana" w:hAnsi="Verdana"/>
          <w:sz w:val="18"/>
          <w:szCs w:val="18"/>
          <w:shd w:val="clear" w:color="auto" w:fill="FFFFFF"/>
        </w:rPr>
        <w:t xml:space="preserve"> Х. : Фактор, 2007. </w:t>
      </w:r>
      <w:r w:rsidRPr="000275C2">
        <w:rPr>
          <w:rFonts w:ascii="Verdana" w:eastAsia="TimesNewRoman" w:hAnsi="Verdana" w:cs="TimesNewRoman"/>
          <w:iCs/>
          <w:sz w:val="18"/>
          <w:szCs w:val="18"/>
        </w:rPr>
        <w:t xml:space="preserve">– </w:t>
      </w:r>
      <w:r w:rsidRPr="000275C2">
        <w:rPr>
          <w:rFonts w:ascii="Verdana" w:hAnsi="Verdana"/>
          <w:sz w:val="18"/>
          <w:szCs w:val="18"/>
          <w:shd w:val="clear" w:color="auto" w:fill="FFFFFF"/>
        </w:rPr>
        <w:t>336 с.</w:t>
      </w:r>
    </w:p>
    <w:p w:rsidR="001C18CD" w:rsidRPr="00DA2709" w:rsidRDefault="00C646CF" w:rsidP="00C646CF">
      <w:pPr>
        <w:rPr>
          <w:szCs w:val="18"/>
        </w:rPr>
      </w:pPr>
      <w:r w:rsidRPr="000275C2">
        <w:rPr>
          <w:rFonts w:ascii="Verdana" w:eastAsia="TimesNewRoman" w:hAnsi="Verdana" w:cs="TimesNewRoman"/>
          <w:iCs/>
          <w:sz w:val="18"/>
          <w:szCs w:val="18"/>
        </w:rPr>
        <w:t xml:space="preserve">3. </w:t>
      </w:r>
      <w:r w:rsidRPr="000275C2">
        <w:rPr>
          <w:rFonts w:ascii="Verdana" w:hAnsi="Verdana" w:cs="TimesNewRoman,Italic"/>
          <w:iCs/>
          <w:sz w:val="18"/>
          <w:szCs w:val="18"/>
        </w:rPr>
        <w:t>Кузьмін О</w:t>
      </w:r>
      <w:r w:rsidRPr="000275C2">
        <w:rPr>
          <w:rFonts w:ascii="Verdana" w:hAnsi="Verdana"/>
          <w:iCs/>
          <w:sz w:val="18"/>
          <w:szCs w:val="18"/>
        </w:rPr>
        <w:t>.</w:t>
      </w:r>
      <w:r w:rsidRPr="000275C2">
        <w:rPr>
          <w:rFonts w:ascii="Verdana" w:hAnsi="Verdana" w:cs="TimesNewRoman,Italic"/>
          <w:iCs/>
          <w:sz w:val="18"/>
          <w:szCs w:val="18"/>
        </w:rPr>
        <w:t>Є</w:t>
      </w:r>
      <w:r w:rsidRPr="000275C2">
        <w:rPr>
          <w:rFonts w:ascii="Verdana" w:hAnsi="Verdana"/>
          <w:iCs/>
          <w:sz w:val="18"/>
          <w:szCs w:val="18"/>
        </w:rPr>
        <w:t xml:space="preserve">. </w:t>
      </w:r>
      <w:r w:rsidRPr="000275C2">
        <w:rPr>
          <w:rFonts w:ascii="Verdana" w:hAnsi="Verdana" w:cs="TimesNewRoman,Italic"/>
          <w:iCs/>
          <w:sz w:val="18"/>
          <w:szCs w:val="18"/>
        </w:rPr>
        <w:t xml:space="preserve">Бюджетування зовнішньоекономічної діяльності підприємства </w:t>
      </w:r>
      <w:r w:rsidRPr="000275C2">
        <w:rPr>
          <w:rFonts w:ascii="Verdana" w:hAnsi="Verdana"/>
          <w:iCs/>
          <w:sz w:val="18"/>
          <w:szCs w:val="18"/>
        </w:rPr>
        <w:t xml:space="preserve">: </w:t>
      </w:r>
      <w:r w:rsidRPr="000275C2">
        <w:rPr>
          <w:rFonts w:ascii="Verdana" w:hAnsi="Verdana" w:cs="TimesNewRoman,Italic"/>
          <w:iCs/>
          <w:sz w:val="18"/>
          <w:szCs w:val="18"/>
        </w:rPr>
        <w:t>навч</w:t>
      </w:r>
      <w:r w:rsidRPr="000275C2">
        <w:rPr>
          <w:rFonts w:ascii="Verdana" w:hAnsi="Verdana"/>
          <w:iCs/>
          <w:sz w:val="18"/>
          <w:szCs w:val="18"/>
        </w:rPr>
        <w:t xml:space="preserve">. </w:t>
      </w:r>
      <w:r w:rsidRPr="000275C2">
        <w:rPr>
          <w:rFonts w:ascii="Verdana" w:hAnsi="Verdana" w:cs="TimesNewRoman,Italic"/>
          <w:iCs/>
          <w:sz w:val="18"/>
          <w:szCs w:val="18"/>
        </w:rPr>
        <w:t>посіб.</w:t>
      </w:r>
      <w:r w:rsidRPr="000275C2">
        <w:rPr>
          <w:rFonts w:ascii="Verdana" w:hAnsi="Verdana"/>
          <w:iCs/>
          <w:sz w:val="18"/>
          <w:szCs w:val="18"/>
        </w:rPr>
        <w:t xml:space="preserve"> / </w:t>
      </w:r>
      <w:r w:rsidRPr="000275C2">
        <w:rPr>
          <w:rFonts w:ascii="Verdana" w:hAnsi="Verdana" w:cs="TimesNewRoman,Italic"/>
          <w:iCs/>
          <w:sz w:val="18"/>
          <w:szCs w:val="18"/>
        </w:rPr>
        <w:t>О</w:t>
      </w:r>
      <w:r w:rsidRPr="000275C2">
        <w:rPr>
          <w:rFonts w:ascii="Verdana" w:hAnsi="Verdana"/>
          <w:iCs/>
          <w:sz w:val="18"/>
          <w:szCs w:val="18"/>
        </w:rPr>
        <w:t>.</w:t>
      </w:r>
      <w:r w:rsidRPr="000275C2">
        <w:rPr>
          <w:rFonts w:ascii="Verdana" w:hAnsi="Verdana" w:cs="TimesNewRoman,Italic"/>
          <w:iCs/>
          <w:sz w:val="18"/>
          <w:szCs w:val="18"/>
        </w:rPr>
        <w:t>Є</w:t>
      </w:r>
      <w:r w:rsidRPr="000275C2">
        <w:rPr>
          <w:rFonts w:ascii="Verdana" w:hAnsi="Verdana"/>
          <w:iCs/>
          <w:sz w:val="18"/>
          <w:szCs w:val="18"/>
        </w:rPr>
        <w:t xml:space="preserve">. </w:t>
      </w:r>
      <w:r w:rsidRPr="000275C2">
        <w:rPr>
          <w:rFonts w:ascii="Verdana" w:hAnsi="Verdana" w:cs="TimesNewRoman,Italic"/>
          <w:iCs/>
          <w:sz w:val="18"/>
          <w:szCs w:val="18"/>
        </w:rPr>
        <w:t>Кузьмін</w:t>
      </w:r>
      <w:r w:rsidRPr="000275C2">
        <w:rPr>
          <w:rFonts w:ascii="Verdana" w:hAnsi="Verdana"/>
          <w:iCs/>
          <w:sz w:val="18"/>
          <w:szCs w:val="18"/>
        </w:rPr>
        <w:t>,</w:t>
      </w:r>
      <w:r w:rsidRPr="000275C2">
        <w:rPr>
          <w:rFonts w:ascii="Verdana" w:eastAsia="TimesNewRoman" w:hAnsi="Verdana" w:cs="TimesNewRoman"/>
          <w:iCs/>
          <w:sz w:val="18"/>
          <w:szCs w:val="18"/>
        </w:rPr>
        <w:t xml:space="preserve"> </w:t>
      </w:r>
      <w:r w:rsidRPr="000275C2">
        <w:rPr>
          <w:rFonts w:ascii="Verdana" w:hAnsi="Verdana" w:cs="TimesNewRoman,Italic"/>
          <w:iCs/>
          <w:sz w:val="18"/>
          <w:szCs w:val="18"/>
        </w:rPr>
        <w:t>О</w:t>
      </w:r>
      <w:r w:rsidRPr="000275C2">
        <w:rPr>
          <w:rFonts w:ascii="Verdana" w:hAnsi="Verdana"/>
          <w:iCs/>
          <w:sz w:val="18"/>
          <w:szCs w:val="18"/>
        </w:rPr>
        <w:t>.</w:t>
      </w:r>
      <w:r w:rsidRPr="000275C2">
        <w:rPr>
          <w:rFonts w:ascii="Verdana" w:hAnsi="Verdana" w:cs="TimesNewRoman,Italic"/>
          <w:iCs/>
          <w:sz w:val="18"/>
          <w:szCs w:val="18"/>
        </w:rPr>
        <w:t>Г</w:t>
      </w:r>
      <w:r w:rsidRPr="000275C2">
        <w:rPr>
          <w:rFonts w:ascii="Verdana" w:hAnsi="Verdana"/>
          <w:iCs/>
          <w:sz w:val="18"/>
          <w:szCs w:val="18"/>
        </w:rPr>
        <w:t xml:space="preserve">. </w:t>
      </w:r>
      <w:r w:rsidRPr="000275C2">
        <w:rPr>
          <w:rFonts w:ascii="Verdana" w:hAnsi="Verdana" w:cs="TimesNewRoman,Italic"/>
          <w:iCs/>
          <w:sz w:val="18"/>
          <w:szCs w:val="18"/>
        </w:rPr>
        <w:t>Мельник</w:t>
      </w:r>
      <w:r w:rsidRPr="000275C2">
        <w:rPr>
          <w:rFonts w:ascii="Verdana" w:hAnsi="Verdana"/>
          <w:iCs/>
          <w:sz w:val="18"/>
          <w:szCs w:val="18"/>
        </w:rPr>
        <w:t xml:space="preserve">, </w:t>
      </w:r>
      <w:r w:rsidRPr="000275C2">
        <w:rPr>
          <w:rFonts w:ascii="Verdana" w:hAnsi="Verdana" w:cs="TimesNewRoman,Italic"/>
          <w:iCs/>
          <w:sz w:val="18"/>
          <w:szCs w:val="18"/>
        </w:rPr>
        <w:t>Л</w:t>
      </w:r>
      <w:r w:rsidRPr="000275C2">
        <w:rPr>
          <w:rFonts w:ascii="Verdana" w:hAnsi="Verdana"/>
          <w:iCs/>
          <w:sz w:val="18"/>
          <w:szCs w:val="18"/>
        </w:rPr>
        <w:t>.</w:t>
      </w:r>
      <w:r w:rsidRPr="000275C2">
        <w:rPr>
          <w:rFonts w:ascii="Verdana" w:hAnsi="Verdana" w:cs="TimesNewRoman,Italic"/>
          <w:iCs/>
          <w:sz w:val="18"/>
          <w:szCs w:val="18"/>
        </w:rPr>
        <w:t>С</w:t>
      </w:r>
      <w:r w:rsidRPr="000275C2">
        <w:rPr>
          <w:rFonts w:ascii="Verdana" w:hAnsi="Verdana"/>
          <w:iCs/>
          <w:sz w:val="18"/>
          <w:szCs w:val="18"/>
        </w:rPr>
        <w:t xml:space="preserve">. </w:t>
      </w:r>
      <w:r w:rsidRPr="000275C2">
        <w:rPr>
          <w:rFonts w:ascii="Verdana" w:hAnsi="Verdana" w:cs="TimesNewRoman,Italic"/>
          <w:iCs/>
          <w:sz w:val="18"/>
          <w:szCs w:val="18"/>
        </w:rPr>
        <w:t>Ноджак</w:t>
      </w:r>
      <w:r w:rsidRPr="000275C2">
        <w:rPr>
          <w:rFonts w:ascii="Verdana" w:hAnsi="Verdana"/>
          <w:iCs/>
          <w:sz w:val="18"/>
          <w:szCs w:val="18"/>
        </w:rPr>
        <w:t xml:space="preserve">. – </w:t>
      </w:r>
      <w:r w:rsidRPr="000275C2">
        <w:rPr>
          <w:rFonts w:ascii="Verdana" w:hAnsi="Verdana" w:cs="TimesNewRoman,Italic"/>
          <w:iCs/>
          <w:sz w:val="18"/>
          <w:szCs w:val="18"/>
        </w:rPr>
        <w:t xml:space="preserve">Львів </w:t>
      </w:r>
      <w:r w:rsidRPr="000275C2">
        <w:rPr>
          <w:rFonts w:ascii="Verdana" w:hAnsi="Verdana"/>
          <w:iCs/>
          <w:sz w:val="18"/>
          <w:szCs w:val="18"/>
        </w:rPr>
        <w:t xml:space="preserve">: </w:t>
      </w:r>
      <w:r w:rsidRPr="000275C2">
        <w:rPr>
          <w:rFonts w:ascii="Verdana" w:hAnsi="Verdana" w:cs="TimesNewRoman,Italic"/>
          <w:iCs/>
          <w:sz w:val="18"/>
          <w:szCs w:val="18"/>
        </w:rPr>
        <w:t>Вид</w:t>
      </w:r>
      <w:r w:rsidRPr="000275C2">
        <w:rPr>
          <w:rFonts w:ascii="Verdana" w:hAnsi="Verdana"/>
          <w:iCs/>
          <w:sz w:val="18"/>
          <w:szCs w:val="18"/>
        </w:rPr>
        <w:t>авництво</w:t>
      </w:r>
      <w:r w:rsidRPr="000275C2">
        <w:rPr>
          <w:rFonts w:ascii="Verdana" w:hAnsi="Verdana" w:cs="TimesNewRoman,Italic"/>
          <w:iCs/>
          <w:sz w:val="18"/>
          <w:szCs w:val="18"/>
        </w:rPr>
        <w:t xml:space="preserve"> Нац</w:t>
      </w:r>
      <w:r w:rsidRPr="000275C2">
        <w:rPr>
          <w:rFonts w:ascii="Verdana" w:hAnsi="Verdana"/>
          <w:iCs/>
          <w:sz w:val="18"/>
          <w:szCs w:val="18"/>
        </w:rPr>
        <w:t xml:space="preserve">. </w:t>
      </w:r>
      <w:r w:rsidRPr="000275C2">
        <w:rPr>
          <w:rFonts w:ascii="Verdana" w:hAnsi="Verdana" w:cs="TimesNewRoman,Italic"/>
          <w:iCs/>
          <w:sz w:val="18"/>
          <w:szCs w:val="18"/>
        </w:rPr>
        <w:t>ун</w:t>
      </w:r>
      <w:r w:rsidRPr="000275C2">
        <w:rPr>
          <w:rFonts w:ascii="Verdana" w:hAnsi="Verdana"/>
          <w:iCs/>
          <w:sz w:val="18"/>
          <w:szCs w:val="18"/>
        </w:rPr>
        <w:t>іверсите</w:t>
      </w:r>
      <w:r w:rsidRPr="000275C2">
        <w:rPr>
          <w:rFonts w:ascii="Verdana" w:hAnsi="Verdana" w:cs="TimesNewRoman,Italic"/>
          <w:iCs/>
          <w:sz w:val="18"/>
          <w:szCs w:val="18"/>
        </w:rPr>
        <w:t xml:space="preserve">ту </w:t>
      </w:r>
      <w:r w:rsidRPr="000275C2">
        <w:rPr>
          <w:rFonts w:ascii="Verdana" w:hAnsi="Verdana"/>
          <w:iCs/>
          <w:sz w:val="18"/>
          <w:szCs w:val="18"/>
        </w:rPr>
        <w:t>«</w:t>
      </w:r>
      <w:r w:rsidRPr="000275C2">
        <w:rPr>
          <w:rFonts w:ascii="Verdana" w:hAnsi="Verdana" w:cs="TimesNewRoman,Italic"/>
          <w:iCs/>
          <w:sz w:val="18"/>
          <w:szCs w:val="18"/>
        </w:rPr>
        <w:t>Львівська політехніка</w:t>
      </w:r>
      <w:r w:rsidRPr="000275C2">
        <w:rPr>
          <w:rFonts w:ascii="Verdana" w:hAnsi="Verdana"/>
          <w:iCs/>
          <w:sz w:val="18"/>
          <w:szCs w:val="18"/>
        </w:rPr>
        <w:t xml:space="preserve">», 2006. – 352 </w:t>
      </w:r>
      <w:r w:rsidRPr="000275C2">
        <w:rPr>
          <w:rFonts w:ascii="Verdana" w:hAnsi="Verdana" w:cs="TimesNewRoman,Italic"/>
          <w:iCs/>
          <w:sz w:val="18"/>
          <w:szCs w:val="18"/>
        </w:rPr>
        <w:t>с</w:t>
      </w:r>
      <w:r w:rsidRPr="000275C2">
        <w:rPr>
          <w:rFonts w:ascii="Verdana" w:hAnsi="Verdana"/>
          <w:iCs/>
          <w:sz w:val="18"/>
          <w:szCs w:val="18"/>
        </w:rPr>
        <w:t>.</w:t>
      </w:r>
    </w:p>
    <w:sectPr w:rsidR="001C18CD" w:rsidRPr="00DA2709" w:rsidSect="00CE2709">
      <w:footerReference w:type="default" r:id="rId9"/>
      <w:pgSz w:w="11906" w:h="16838"/>
      <w:pgMar w:top="851" w:right="707" w:bottom="1134" w:left="1418"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0BCB" w:rsidRDefault="00AF0BCB" w:rsidP="00842066">
      <w:pPr>
        <w:spacing w:after="0" w:line="240" w:lineRule="auto"/>
      </w:pPr>
      <w:r>
        <w:separator/>
      </w:r>
    </w:p>
  </w:endnote>
  <w:endnote w:type="continuationSeparator" w:id="1">
    <w:p w:rsidR="00AF0BCB" w:rsidRDefault="00AF0BCB" w:rsidP="00842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imesNewRoman">
    <w:altName w:val="Arial Unicode MS"/>
    <w:panose1 w:val="00000000000000000000"/>
    <w:charset w:val="80"/>
    <w:family w:val="auto"/>
    <w:notTrueType/>
    <w:pitch w:val="default"/>
    <w:sig w:usb0="00000201" w:usb1="08070000" w:usb2="00000010" w:usb3="00000000" w:csb0="00020004" w:csb1="00000000"/>
  </w:font>
  <w:font w:name="TimesNewRoman,Italic">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7360"/>
      <w:docPartObj>
        <w:docPartGallery w:val="Page Numbers (Bottom of Page)"/>
        <w:docPartUnique/>
      </w:docPartObj>
    </w:sdtPr>
    <w:sdtContent>
      <w:p w:rsidR="00842066" w:rsidRDefault="00DF3CE7">
        <w:pPr>
          <w:pStyle w:val="af7"/>
        </w:pPr>
        <w:r>
          <w:t>3</w:t>
        </w:r>
        <w:r w:rsidR="00C646CF">
          <w:t>2</w:t>
        </w:r>
      </w:p>
    </w:sdtContent>
  </w:sdt>
  <w:p w:rsidR="00842066" w:rsidRDefault="0084206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0BCB" w:rsidRDefault="00AF0BCB" w:rsidP="00842066">
      <w:pPr>
        <w:spacing w:after="0" w:line="240" w:lineRule="auto"/>
      </w:pPr>
      <w:r>
        <w:separator/>
      </w:r>
    </w:p>
  </w:footnote>
  <w:footnote w:type="continuationSeparator" w:id="1">
    <w:p w:rsidR="00AF0BCB" w:rsidRDefault="00AF0BCB" w:rsidP="008420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3"/>
        <w:szCs w:val="23"/>
        <w:u w:val="none"/>
      </w:rPr>
    </w:lvl>
    <w:lvl w:ilvl="2">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3">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4">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5">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6">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7">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8">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nsid w:val="2D695345"/>
    <w:multiLevelType w:val="hybridMultilevel"/>
    <w:tmpl w:val="1D583EEE"/>
    <w:lvl w:ilvl="0" w:tplc="5CFA71E0">
      <w:start w:val="1"/>
      <w:numFmt w:val="bullet"/>
      <w:lvlText w:val="-"/>
      <w:lvlJc w:val="left"/>
      <w:pPr>
        <w:tabs>
          <w:tab w:val="num" w:pos="927"/>
        </w:tabs>
        <w:ind w:left="927" w:hanging="360"/>
      </w:pPr>
      <w:rPr>
        <w:rFonts w:ascii="Verdana" w:eastAsia="Times New Roman" w:hAnsi="Verdana"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3C541360"/>
    <w:multiLevelType w:val="hybridMultilevel"/>
    <w:tmpl w:val="D6C033E4"/>
    <w:lvl w:ilvl="0" w:tplc="DDDE09A6">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4A5550ED"/>
    <w:multiLevelType w:val="hybridMultilevel"/>
    <w:tmpl w:val="154A2BA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588" w:hanging="360"/>
      </w:pPr>
    </w:lvl>
    <w:lvl w:ilvl="2" w:tplc="0422001B" w:tentative="1">
      <w:start w:val="1"/>
      <w:numFmt w:val="lowerRoman"/>
      <w:lvlText w:val="%3."/>
      <w:lvlJc w:val="right"/>
      <w:pPr>
        <w:ind w:left="1308" w:hanging="180"/>
      </w:pPr>
    </w:lvl>
    <w:lvl w:ilvl="3" w:tplc="0422000F" w:tentative="1">
      <w:start w:val="1"/>
      <w:numFmt w:val="decimal"/>
      <w:lvlText w:val="%4."/>
      <w:lvlJc w:val="left"/>
      <w:pPr>
        <w:ind w:left="2028" w:hanging="360"/>
      </w:pPr>
    </w:lvl>
    <w:lvl w:ilvl="4" w:tplc="04220019" w:tentative="1">
      <w:start w:val="1"/>
      <w:numFmt w:val="lowerLetter"/>
      <w:lvlText w:val="%5."/>
      <w:lvlJc w:val="left"/>
      <w:pPr>
        <w:ind w:left="2748" w:hanging="360"/>
      </w:pPr>
    </w:lvl>
    <w:lvl w:ilvl="5" w:tplc="0422001B" w:tentative="1">
      <w:start w:val="1"/>
      <w:numFmt w:val="lowerRoman"/>
      <w:lvlText w:val="%6."/>
      <w:lvlJc w:val="right"/>
      <w:pPr>
        <w:ind w:left="3468" w:hanging="180"/>
      </w:pPr>
    </w:lvl>
    <w:lvl w:ilvl="6" w:tplc="0422000F" w:tentative="1">
      <w:start w:val="1"/>
      <w:numFmt w:val="decimal"/>
      <w:lvlText w:val="%7."/>
      <w:lvlJc w:val="left"/>
      <w:pPr>
        <w:ind w:left="4188" w:hanging="360"/>
      </w:pPr>
    </w:lvl>
    <w:lvl w:ilvl="7" w:tplc="04220019" w:tentative="1">
      <w:start w:val="1"/>
      <w:numFmt w:val="lowerLetter"/>
      <w:lvlText w:val="%8."/>
      <w:lvlJc w:val="left"/>
      <w:pPr>
        <w:ind w:left="4908" w:hanging="360"/>
      </w:pPr>
    </w:lvl>
    <w:lvl w:ilvl="8" w:tplc="0422001B" w:tentative="1">
      <w:start w:val="1"/>
      <w:numFmt w:val="lowerRoman"/>
      <w:lvlText w:val="%9."/>
      <w:lvlJc w:val="right"/>
      <w:pPr>
        <w:ind w:left="5628" w:hanging="180"/>
      </w:pPr>
    </w:lvl>
  </w:abstractNum>
  <w:abstractNum w:abstractNumId="4">
    <w:nsid w:val="4E501B94"/>
    <w:multiLevelType w:val="hybridMultilevel"/>
    <w:tmpl w:val="490EFEDE"/>
    <w:lvl w:ilvl="0" w:tplc="1C8ED13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6C4152C8"/>
    <w:multiLevelType w:val="hybridMultilevel"/>
    <w:tmpl w:val="F42A95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42877C6"/>
    <w:multiLevelType w:val="hybridMultilevel"/>
    <w:tmpl w:val="6966CB40"/>
    <w:lvl w:ilvl="0" w:tplc="ED9E6976">
      <w:numFmt w:val="bullet"/>
      <w:lvlText w:val="-"/>
      <w:lvlJc w:val="left"/>
      <w:pPr>
        <w:ind w:left="927" w:hanging="360"/>
      </w:pPr>
      <w:rPr>
        <w:rFonts w:ascii="Verdana" w:eastAsia="Calibri" w:hAnsi="Verdan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3"/>
  </w:num>
  <w:num w:numId="4">
    <w:abstractNumId w:val="6"/>
  </w:num>
  <w:num w:numId="5">
    <w:abstractNumId w:val="4"/>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42066"/>
    <w:rsid w:val="000A4DF5"/>
    <w:rsid w:val="001C18CD"/>
    <w:rsid w:val="001C4033"/>
    <w:rsid w:val="00336DE6"/>
    <w:rsid w:val="00397084"/>
    <w:rsid w:val="00485B02"/>
    <w:rsid w:val="004C3C43"/>
    <w:rsid w:val="005A2078"/>
    <w:rsid w:val="006B27E3"/>
    <w:rsid w:val="00777798"/>
    <w:rsid w:val="00793DEB"/>
    <w:rsid w:val="00800172"/>
    <w:rsid w:val="00842066"/>
    <w:rsid w:val="008D5547"/>
    <w:rsid w:val="009604D0"/>
    <w:rsid w:val="0098493A"/>
    <w:rsid w:val="009A0D1B"/>
    <w:rsid w:val="009E7F0F"/>
    <w:rsid w:val="00AF0BCB"/>
    <w:rsid w:val="00B17F3E"/>
    <w:rsid w:val="00B66B59"/>
    <w:rsid w:val="00BC0205"/>
    <w:rsid w:val="00BD6F9F"/>
    <w:rsid w:val="00C646CF"/>
    <w:rsid w:val="00CE2709"/>
    <w:rsid w:val="00D329AE"/>
    <w:rsid w:val="00DA2709"/>
    <w:rsid w:val="00DE6B1D"/>
    <w:rsid w:val="00DF3CE7"/>
    <w:rsid w:val="00E71C27"/>
    <w:rsid w:val="00F31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66"/>
    <w:rPr>
      <w:rFonts w:ascii="Calibri" w:eastAsia="Calibri" w:hAnsi="Calibri" w:cs="Times New Roman"/>
      <w:lang w:val="uk-UA" w:bidi="ar-SA"/>
    </w:rPr>
  </w:style>
  <w:style w:type="paragraph" w:styleId="1">
    <w:name w:val="heading 1"/>
    <w:basedOn w:val="a"/>
    <w:next w:val="a"/>
    <w:link w:val="10"/>
    <w:qFormat/>
    <w:rsid w:val="00485B0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2">
    <w:name w:val="heading 2"/>
    <w:basedOn w:val="a"/>
    <w:next w:val="a"/>
    <w:link w:val="20"/>
    <w:uiPriority w:val="9"/>
    <w:semiHidden/>
    <w:unhideWhenUsed/>
    <w:qFormat/>
    <w:rsid w:val="00485B0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3">
    <w:name w:val="heading 3"/>
    <w:basedOn w:val="a"/>
    <w:next w:val="a"/>
    <w:link w:val="30"/>
    <w:uiPriority w:val="9"/>
    <w:semiHidden/>
    <w:unhideWhenUsed/>
    <w:qFormat/>
    <w:rsid w:val="00485B0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4">
    <w:name w:val="heading 4"/>
    <w:basedOn w:val="a"/>
    <w:next w:val="a"/>
    <w:link w:val="40"/>
    <w:uiPriority w:val="9"/>
    <w:semiHidden/>
    <w:unhideWhenUsed/>
    <w:qFormat/>
    <w:rsid w:val="00485B0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5">
    <w:name w:val="heading 5"/>
    <w:basedOn w:val="a"/>
    <w:next w:val="a"/>
    <w:link w:val="50"/>
    <w:uiPriority w:val="9"/>
    <w:semiHidden/>
    <w:unhideWhenUsed/>
    <w:qFormat/>
    <w:rsid w:val="00485B02"/>
    <w:pPr>
      <w:keepNext/>
      <w:keepLines/>
      <w:spacing w:before="200" w:after="0"/>
      <w:outlineLvl w:val="4"/>
    </w:pPr>
    <w:rPr>
      <w:rFonts w:asciiTheme="majorHAnsi" w:eastAsiaTheme="majorEastAsia" w:hAnsiTheme="majorHAnsi" w:cstheme="majorBidi"/>
      <w:color w:val="243F60" w:themeColor="accent1" w:themeShade="7F"/>
      <w:lang w:val="en-US" w:bidi="en-US"/>
    </w:rPr>
  </w:style>
  <w:style w:type="paragraph" w:styleId="6">
    <w:name w:val="heading 6"/>
    <w:basedOn w:val="a"/>
    <w:next w:val="a"/>
    <w:link w:val="60"/>
    <w:uiPriority w:val="9"/>
    <w:semiHidden/>
    <w:unhideWhenUsed/>
    <w:qFormat/>
    <w:rsid w:val="00485B02"/>
    <w:pPr>
      <w:keepNext/>
      <w:keepLines/>
      <w:spacing w:before="200" w:after="0"/>
      <w:outlineLvl w:val="5"/>
    </w:pPr>
    <w:rPr>
      <w:rFonts w:asciiTheme="majorHAnsi" w:eastAsiaTheme="majorEastAsia" w:hAnsiTheme="majorHAnsi" w:cstheme="majorBidi"/>
      <w:i/>
      <w:iCs/>
      <w:color w:val="243F60" w:themeColor="accent1" w:themeShade="7F"/>
      <w:lang w:val="en-US" w:bidi="en-US"/>
    </w:rPr>
  </w:style>
  <w:style w:type="paragraph" w:styleId="7">
    <w:name w:val="heading 7"/>
    <w:basedOn w:val="a"/>
    <w:next w:val="a"/>
    <w:link w:val="70"/>
    <w:uiPriority w:val="9"/>
    <w:semiHidden/>
    <w:unhideWhenUsed/>
    <w:qFormat/>
    <w:rsid w:val="00485B02"/>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485B02"/>
    <w:pPr>
      <w:keepNext/>
      <w:keepLines/>
      <w:spacing w:before="200" w:after="0"/>
      <w:outlineLvl w:val="7"/>
    </w:pPr>
    <w:rPr>
      <w:rFonts w:asciiTheme="majorHAnsi" w:eastAsiaTheme="majorEastAsia" w:hAnsiTheme="majorHAnsi" w:cstheme="majorBidi"/>
      <w:color w:val="4F81BD" w:themeColor="accent1"/>
      <w:sz w:val="20"/>
      <w:szCs w:val="20"/>
      <w:lang w:val="en-US" w:bidi="en-US"/>
    </w:rPr>
  </w:style>
  <w:style w:type="paragraph" w:styleId="9">
    <w:name w:val="heading 9"/>
    <w:basedOn w:val="a"/>
    <w:next w:val="a"/>
    <w:link w:val="90"/>
    <w:uiPriority w:val="9"/>
    <w:semiHidden/>
    <w:unhideWhenUsed/>
    <w:qFormat/>
    <w:rsid w:val="00485B02"/>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B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85B0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85B0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85B0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85B0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85B0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85B0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85B0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85B0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85B02"/>
    <w:pPr>
      <w:spacing w:line="240" w:lineRule="auto"/>
    </w:pPr>
    <w:rPr>
      <w:rFonts w:asciiTheme="minorHAnsi" w:eastAsiaTheme="minorHAnsi" w:hAnsiTheme="minorHAnsi" w:cstheme="minorBidi"/>
      <w:b/>
      <w:bCs/>
      <w:color w:val="4F81BD" w:themeColor="accent1"/>
      <w:sz w:val="18"/>
      <w:szCs w:val="18"/>
      <w:lang w:val="en-US" w:bidi="en-US"/>
    </w:rPr>
  </w:style>
  <w:style w:type="paragraph" w:styleId="a4">
    <w:name w:val="Title"/>
    <w:basedOn w:val="a"/>
    <w:next w:val="a"/>
    <w:link w:val="a5"/>
    <w:uiPriority w:val="10"/>
    <w:qFormat/>
    <w:rsid w:val="00485B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a5">
    <w:name w:val="Название Знак"/>
    <w:basedOn w:val="a0"/>
    <w:link w:val="a4"/>
    <w:uiPriority w:val="10"/>
    <w:rsid w:val="00485B0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85B02"/>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7">
    <w:name w:val="Подзаголовок Знак"/>
    <w:basedOn w:val="a0"/>
    <w:link w:val="a6"/>
    <w:uiPriority w:val="11"/>
    <w:rsid w:val="00485B0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85B02"/>
    <w:rPr>
      <w:b/>
      <w:bCs/>
    </w:rPr>
  </w:style>
  <w:style w:type="character" w:styleId="a9">
    <w:name w:val="Emphasis"/>
    <w:basedOn w:val="a0"/>
    <w:uiPriority w:val="20"/>
    <w:qFormat/>
    <w:rsid w:val="00485B02"/>
    <w:rPr>
      <w:i/>
      <w:iCs/>
    </w:rPr>
  </w:style>
  <w:style w:type="paragraph" w:styleId="aa">
    <w:name w:val="No Spacing"/>
    <w:uiPriority w:val="1"/>
    <w:qFormat/>
    <w:rsid w:val="00485B02"/>
    <w:pPr>
      <w:spacing w:after="0" w:line="240" w:lineRule="auto"/>
    </w:pPr>
  </w:style>
  <w:style w:type="paragraph" w:styleId="ab">
    <w:name w:val="List Paragraph"/>
    <w:basedOn w:val="a"/>
    <w:uiPriority w:val="34"/>
    <w:qFormat/>
    <w:rsid w:val="00485B02"/>
    <w:pPr>
      <w:ind w:left="720"/>
      <w:contextualSpacing/>
    </w:pPr>
    <w:rPr>
      <w:rFonts w:asciiTheme="minorHAnsi" w:eastAsiaTheme="minorHAnsi" w:hAnsiTheme="minorHAnsi" w:cstheme="minorBidi"/>
      <w:lang w:val="en-US" w:bidi="en-US"/>
    </w:rPr>
  </w:style>
  <w:style w:type="paragraph" w:styleId="21">
    <w:name w:val="Quote"/>
    <w:basedOn w:val="a"/>
    <w:next w:val="a"/>
    <w:link w:val="22"/>
    <w:uiPriority w:val="29"/>
    <w:qFormat/>
    <w:rsid w:val="00485B02"/>
    <w:rPr>
      <w:rFonts w:asciiTheme="minorHAnsi" w:eastAsiaTheme="minorHAnsi" w:hAnsiTheme="minorHAnsi" w:cstheme="minorBidi"/>
      <w:i/>
      <w:iCs/>
      <w:color w:val="000000" w:themeColor="text1"/>
      <w:lang w:val="en-US" w:bidi="en-US"/>
    </w:rPr>
  </w:style>
  <w:style w:type="character" w:customStyle="1" w:styleId="22">
    <w:name w:val="Цитата 2 Знак"/>
    <w:basedOn w:val="a0"/>
    <w:link w:val="21"/>
    <w:uiPriority w:val="29"/>
    <w:rsid w:val="00485B02"/>
    <w:rPr>
      <w:i/>
      <w:iCs/>
      <w:color w:val="000000" w:themeColor="text1"/>
    </w:rPr>
  </w:style>
  <w:style w:type="paragraph" w:styleId="ac">
    <w:name w:val="Intense Quote"/>
    <w:basedOn w:val="a"/>
    <w:next w:val="a"/>
    <w:link w:val="ad"/>
    <w:uiPriority w:val="30"/>
    <w:qFormat/>
    <w:rsid w:val="00485B0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lang w:val="en-US" w:bidi="en-US"/>
    </w:rPr>
  </w:style>
  <w:style w:type="character" w:customStyle="1" w:styleId="ad">
    <w:name w:val="Выделенная цитата Знак"/>
    <w:basedOn w:val="a0"/>
    <w:link w:val="ac"/>
    <w:uiPriority w:val="30"/>
    <w:rsid w:val="00485B02"/>
    <w:rPr>
      <w:b/>
      <w:bCs/>
      <w:i/>
      <w:iCs/>
      <w:color w:val="4F81BD" w:themeColor="accent1"/>
    </w:rPr>
  </w:style>
  <w:style w:type="character" w:styleId="ae">
    <w:name w:val="Subtle Emphasis"/>
    <w:basedOn w:val="a0"/>
    <w:uiPriority w:val="19"/>
    <w:qFormat/>
    <w:rsid w:val="00485B02"/>
    <w:rPr>
      <w:i/>
      <w:iCs/>
      <w:color w:val="808080" w:themeColor="text1" w:themeTint="7F"/>
    </w:rPr>
  </w:style>
  <w:style w:type="character" w:styleId="af">
    <w:name w:val="Intense Emphasis"/>
    <w:basedOn w:val="a0"/>
    <w:uiPriority w:val="21"/>
    <w:qFormat/>
    <w:rsid w:val="00485B02"/>
    <w:rPr>
      <w:b/>
      <w:bCs/>
      <w:i/>
      <w:iCs/>
      <w:color w:val="4F81BD" w:themeColor="accent1"/>
    </w:rPr>
  </w:style>
  <w:style w:type="character" w:styleId="af0">
    <w:name w:val="Subtle Reference"/>
    <w:basedOn w:val="a0"/>
    <w:uiPriority w:val="31"/>
    <w:qFormat/>
    <w:rsid w:val="00485B02"/>
    <w:rPr>
      <w:smallCaps/>
      <w:color w:val="C0504D" w:themeColor="accent2"/>
      <w:u w:val="single"/>
    </w:rPr>
  </w:style>
  <w:style w:type="character" w:styleId="af1">
    <w:name w:val="Intense Reference"/>
    <w:basedOn w:val="a0"/>
    <w:uiPriority w:val="32"/>
    <w:qFormat/>
    <w:rsid w:val="00485B02"/>
    <w:rPr>
      <w:b/>
      <w:bCs/>
      <w:smallCaps/>
      <w:color w:val="C0504D" w:themeColor="accent2"/>
      <w:spacing w:val="5"/>
      <w:u w:val="single"/>
    </w:rPr>
  </w:style>
  <w:style w:type="character" w:styleId="af2">
    <w:name w:val="Book Title"/>
    <w:basedOn w:val="a0"/>
    <w:uiPriority w:val="33"/>
    <w:qFormat/>
    <w:rsid w:val="00485B02"/>
    <w:rPr>
      <w:b/>
      <w:bCs/>
      <w:smallCaps/>
      <w:spacing w:val="5"/>
    </w:rPr>
  </w:style>
  <w:style w:type="paragraph" w:styleId="af3">
    <w:name w:val="TOC Heading"/>
    <w:basedOn w:val="1"/>
    <w:next w:val="a"/>
    <w:uiPriority w:val="39"/>
    <w:semiHidden/>
    <w:unhideWhenUsed/>
    <w:qFormat/>
    <w:rsid w:val="00485B02"/>
    <w:pPr>
      <w:outlineLvl w:val="9"/>
    </w:pPr>
  </w:style>
  <w:style w:type="character" w:styleId="af4">
    <w:name w:val="Hyperlink"/>
    <w:uiPriority w:val="99"/>
    <w:unhideWhenUsed/>
    <w:rsid w:val="00842066"/>
    <w:rPr>
      <w:color w:val="0000FF"/>
      <w:u w:val="single"/>
    </w:rPr>
  </w:style>
  <w:style w:type="paragraph" w:styleId="af5">
    <w:name w:val="header"/>
    <w:basedOn w:val="a"/>
    <w:link w:val="af6"/>
    <w:uiPriority w:val="99"/>
    <w:semiHidden/>
    <w:unhideWhenUsed/>
    <w:rsid w:val="0084206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2066"/>
    <w:rPr>
      <w:rFonts w:ascii="Calibri" w:eastAsia="Calibri" w:hAnsi="Calibri" w:cs="Times New Roman"/>
      <w:lang w:val="uk-UA" w:bidi="ar-SA"/>
    </w:rPr>
  </w:style>
  <w:style w:type="paragraph" w:styleId="af7">
    <w:name w:val="footer"/>
    <w:basedOn w:val="a"/>
    <w:link w:val="af8"/>
    <w:uiPriority w:val="99"/>
    <w:unhideWhenUsed/>
    <w:rsid w:val="0084206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2066"/>
    <w:rPr>
      <w:rFonts w:ascii="Calibri" w:eastAsia="Calibri" w:hAnsi="Calibri" w:cs="Times New Roman"/>
      <w:lang w:val="uk-UA" w:bidi="ar-SA"/>
    </w:rPr>
  </w:style>
  <w:style w:type="character" w:customStyle="1" w:styleId="apple-converted-space">
    <w:name w:val="apple-converted-space"/>
    <w:basedOn w:val="a0"/>
    <w:rsid w:val="00BC0205"/>
  </w:style>
  <w:style w:type="paragraph" w:styleId="23">
    <w:name w:val="Body Text Indent 2"/>
    <w:basedOn w:val="a"/>
    <w:link w:val="24"/>
    <w:uiPriority w:val="99"/>
    <w:unhideWhenUsed/>
    <w:rsid w:val="00BC0205"/>
    <w:pPr>
      <w:spacing w:after="120" w:line="480" w:lineRule="auto"/>
      <w:ind w:left="283"/>
    </w:pPr>
    <w:rPr>
      <w:rFonts w:ascii="Times New Roman" w:eastAsia="Times New Roman" w:hAnsi="Times New Roman"/>
      <w:sz w:val="24"/>
      <w:szCs w:val="24"/>
      <w:lang w:val="ru-RU" w:eastAsia="ru-RU"/>
    </w:rPr>
  </w:style>
  <w:style w:type="character" w:customStyle="1" w:styleId="24">
    <w:name w:val="Основной текст с отступом 2 Знак"/>
    <w:basedOn w:val="a0"/>
    <w:link w:val="23"/>
    <w:uiPriority w:val="99"/>
    <w:rsid w:val="00BC0205"/>
    <w:rPr>
      <w:rFonts w:ascii="Times New Roman" w:eastAsia="Times New Roman" w:hAnsi="Times New Roman" w:cs="Times New Roman"/>
      <w:sz w:val="24"/>
      <w:szCs w:val="24"/>
      <w:lang w:val="ru-RU" w:eastAsia="ru-RU" w:bidi="ar-SA"/>
    </w:rPr>
  </w:style>
  <w:style w:type="character" w:customStyle="1" w:styleId="af9">
    <w:name w:val="Основний текст_"/>
    <w:link w:val="11"/>
    <w:rsid w:val="00E71C27"/>
    <w:rPr>
      <w:shd w:val="clear" w:color="auto" w:fill="FFFFFF"/>
    </w:rPr>
  </w:style>
  <w:style w:type="paragraph" w:customStyle="1" w:styleId="11">
    <w:name w:val="Основний текст1"/>
    <w:basedOn w:val="a"/>
    <w:link w:val="af9"/>
    <w:rsid w:val="00E71C27"/>
    <w:pPr>
      <w:shd w:val="clear" w:color="auto" w:fill="FFFFFF"/>
      <w:spacing w:after="0" w:line="250" w:lineRule="exact"/>
      <w:jc w:val="both"/>
    </w:pPr>
    <w:rPr>
      <w:rFonts w:asciiTheme="minorHAnsi" w:eastAsiaTheme="minorHAnsi" w:hAnsiTheme="minorHAnsi" w:cstheme="minorBidi"/>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an_Vika@mail.ru" TargetMode="External"/><Relationship Id="rId3" Type="http://schemas.openxmlformats.org/officeDocument/2006/relationships/settings" Target="settings.xml"/><Relationship Id="rId7" Type="http://schemas.openxmlformats.org/officeDocument/2006/relationships/hyperlink" Target="mailto:savickaya.en@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694</Words>
  <Characters>3961</Characters>
  <Application>Microsoft Office Word</Application>
  <DocSecurity>0</DocSecurity>
  <Lines>33</Lines>
  <Paragraphs>9</Paragraphs>
  <ScaleCrop>false</ScaleCrop>
  <Company>None</Company>
  <LinksUpToDate>false</LinksUpToDate>
  <CharactersWithSpaces>4646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dmitrun'</dc:creator>
  <cp:keywords/>
  <dc:description/>
  <cp:lastModifiedBy>dmitrun'</cp:lastModifiedBy>
  <cp:revision>2</cp:revision>
  <dcterms:created xsi:type="dcterms:W3CDTF">2013-10-03T11:53:00Z</dcterms:created>
  <dcterms:modified xsi:type="dcterms:W3CDTF">2013-10-03T11:53:00Z</dcterms:modified>
</cp:coreProperties>
</file>